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cs-CZ"/>
        </w:rPr>
        <w:id w:val="-1213646199"/>
        <w:docPartObj>
          <w:docPartGallery w:val="Cover Pages"/>
          <w:docPartUnique/>
        </w:docPartObj>
      </w:sdtPr>
      <w:sdtEndPr>
        <w:rPr>
          <w:noProof/>
        </w:rPr>
      </w:sdtEndPr>
      <w:sdtContent>
        <w:p w14:paraId="17DC07CE" w14:textId="77777777" w:rsidR="009E6AEB" w:rsidRPr="00090792" w:rsidRDefault="00685384">
          <w:pPr>
            <w:rPr>
              <w:lang w:val="cs-CZ"/>
            </w:rPr>
          </w:pPr>
          <w:r w:rsidRPr="00090792">
            <w:rPr>
              <w:noProof/>
              <w:lang w:val="cs-CZ" w:eastAsia="cs-CZ"/>
            </w:rPr>
            <mc:AlternateContent>
              <mc:Choice Requires="wps">
                <w:drawing>
                  <wp:anchor distT="45720" distB="45720" distL="114300" distR="114300" simplePos="0" relativeHeight="251658243" behindDoc="0" locked="0" layoutInCell="1" allowOverlap="1" wp14:anchorId="1122C53A" wp14:editId="7DF4FED5">
                    <wp:simplePos x="0" y="0"/>
                    <wp:positionH relativeFrom="margin">
                      <wp:posOffset>213995</wp:posOffset>
                    </wp:positionH>
                    <wp:positionV relativeFrom="paragraph">
                      <wp:posOffset>211455</wp:posOffset>
                    </wp:positionV>
                    <wp:extent cx="2352675" cy="1190625"/>
                    <wp:effectExtent l="0" t="0" r="28575"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90625"/>
                            </a:xfrm>
                            <a:prstGeom prst="rect">
                              <a:avLst/>
                            </a:prstGeom>
                            <a:solidFill>
                              <a:srgbClr val="FFFFFF"/>
                            </a:solidFill>
                            <a:ln w="9525">
                              <a:solidFill>
                                <a:schemeClr val="bg1"/>
                              </a:solidFill>
                              <a:miter lim="800000"/>
                              <a:headEnd/>
                              <a:tailEnd/>
                            </a:ln>
                          </wps:spPr>
                          <wps:txbx>
                            <w:txbxContent>
                              <w:p w14:paraId="2B202C6A" w14:textId="77777777" w:rsidR="009E6AEB" w:rsidRDefault="009E6AEB">
                                <w:pPr>
                                  <w:rPr>
                                    <w:noProof/>
                                    <w:lang w:eastAsia="cs-CZ"/>
                                  </w:rPr>
                                </w:pPr>
                                <w:r>
                                  <w:rPr>
                                    <w:noProof/>
                                    <w:lang w:val="cs-CZ" w:eastAsia="cs-CZ"/>
                                  </w:rPr>
                                  <w:drawing>
                                    <wp:inline distT="0" distB="0" distL="0" distR="0" wp14:anchorId="4251945A" wp14:editId="4EB522A0">
                                      <wp:extent cx="914400" cy="6521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652145"/>
                                              </a:xfrm>
                                              <a:prstGeom prst="rect">
                                                <a:avLst/>
                                              </a:prstGeom>
                                              <a:noFill/>
                                              <a:ln>
                                                <a:noFill/>
                                              </a:ln>
                                            </pic:spPr>
                                          </pic:pic>
                                        </a:graphicData>
                                      </a:graphic>
                                    </wp:inline>
                                  </w:drawing>
                                </w:r>
                              </w:p>
                              <w:p w14:paraId="0C549E5A" w14:textId="77777777" w:rsidR="009E6AEB" w:rsidRDefault="009E6AEB">
                                <w:r>
                                  <w:rPr>
                                    <w:noProof/>
                                    <w:lang w:val="cs-CZ" w:eastAsia="cs-CZ"/>
                                  </w:rPr>
                                  <w:drawing>
                                    <wp:inline distT="0" distB="0" distL="0" distR="0" wp14:anchorId="15FE3D7A" wp14:editId="558933A2">
                                      <wp:extent cx="2115185" cy="1911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962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2C53A" id="_x0000_t202" coordsize="21600,21600" o:spt="202" path="m,l,21600r21600,l21600,xe">
                    <v:stroke joinstyle="miter"/>
                    <v:path gradientshapeok="t" o:connecttype="rect"/>
                  </v:shapetype>
                  <v:shape id="Textové pole 2" o:spid="_x0000_s1026" type="#_x0000_t202" style="position:absolute;margin-left:16.85pt;margin-top:16.65pt;width:185.25pt;height:93.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" strokecolor="white [3212]">
                    <v:textbox>
                      <w:txbxContent>
                        <w:p w14:paraId="2B202C6A" w14:textId="77777777" w:rsidR="009E6AEB" w:rsidRDefault="009E6AEB">
                          <w:pPr>
                            <w:rPr>
                              <w:noProof/>
                              <w:lang w:eastAsia="cs-CZ"/>
                            </w:rPr>
                          </w:pPr>
                          <w:r>
                            <w:rPr>
                              <w:noProof/>
                              <w:lang w:val="cs-CZ" w:eastAsia="cs-CZ"/>
                            </w:rPr>
                            <w:drawing>
                              <wp:inline distT="0" distB="0" distL="0" distR="0" wp14:anchorId="4251945A" wp14:editId="4EB522A0">
                                <wp:extent cx="914400" cy="6521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652145"/>
                                        </a:xfrm>
                                        <a:prstGeom prst="rect">
                                          <a:avLst/>
                                        </a:prstGeom>
                                        <a:noFill/>
                                        <a:ln>
                                          <a:noFill/>
                                        </a:ln>
                                      </pic:spPr>
                                    </pic:pic>
                                  </a:graphicData>
                                </a:graphic>
                              </wp:inline>
                            </w:drawing>
                          </w:r>
                        </w:p>
                        <w:p w14:paraId="0C549E5A" w14:textId="77777777" w:rsidR="009E6AEB" w:rsidRDefault="009E6AEB">
                          <w:r>
                            <w:rPr>
                              <w:noProof/>
                              <w:lang w:val="cs-CZ" w:eastAsia="cs-CZ"/>
                            </w:rPr>
                            <w:drawing>
                              <wp:inline distT="0" distB="0" distL="0" distR="0" wp14:anchorId="15FE3D7A" wp14:editId="558933A2">
                                <wp:extent cx="2115185" cy="1911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96242"/>
                                        </a:xfrm>
                                        <a:prstGeom prst="rect">
                                          <a:avLst/>
                                        </a:prstGeom>
                                        <a:noFill/>
                                        <a:ln>
                                          <a:noFill/>
                                        </a:ln>
                                      </pic:spPr>
                                    </pic:pic>
                                  </a:graphicData>
                                </a:graphic>
                              </wp:inline>
                            </w:drawing>
                          </w:r>
                        </w:p>
                      </w:txbxContent>
                    </v:textbox>
                    <w10:wrap type="square" anchorx="margin"/>
                  </v:shape>
                </w:pict>
              </mc:Fallback>
            </mc:AlternateContent>
          </w:r>
          <w:r w:rsidRPr="00090792">
            <w:rPr>
              <w:noProof/>
              <w:lang w:val="cs-CZ" w:eastAsia="cs-CZ"/>
            </w:rPr>
            <mc:AlternateContent>
              <mc:Choice Requires="wpg">
                <w:drawing>
                  <wp:anchor distT="0" distB="0" distL="114300" distR="114300" simplePos="0" relativeHeight="251658240" behindDoc="0" locked="0" layoutInCell="1" allowOverlap="1" wp14:anchorId="3AE13D7F" wp14:editId="6E00FE63">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514350" cy="9144000"/>
                    <wp:effectExtent l="0" t="0" r="0" b="635"/>
                    <wp:wrapNone/>
                    <wp:docPr id="114" name="Skupina 114"/>
                    <wp:cNvGraphicFramePr/>
                    <a:graphic xmlns:a="http://schemas.openxmlformats.org/drawingml/2006/main">
                      <a:graphicData uri="http://schemas.microsoft.com/office/word/2010/wordprocessingGroup">
                        <wpg:wgp>
                          <wpg:cNvGrpSpPr/>
                          <wpg:grpSpPr>
                            <a:xfrm>
                              <a:off x="0" y="0"/>
                              <a:ext cx="514350" cy="9144000"/>
                              <a:chOff x="0" y="0"/>
                              <a:chExt cx="228600" cy="9144000"/>
                            </a:xfrm>
                            <a:solidFill>
                              <a:schemeClr val="tx2">
                                <a:lumMod val="40000"/>
                                <a:lumOff val="60000"/>
                              </a:schemeClr>
                            </a:solidFill>
                          </wpg:grpSpPr>
                          <wps:wsp>
                            <wps:cNvPr id="115" name="Obdélní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xmlns:arto="http://schemas.microsoft.com/office/word/2006/arto">
                <w:pict>
                  <v:group w14:anchorId="01BBEBB9" id="Skupina 114" o:spid="_x0000_s1026" style="position:absolute;margin-left:0;margin-top:0;width:40.5pt;height:10in;z-index:251664384;mso-height-percent:909;mso-left-percent:45;mso-position-horizontal-relative:page;mso-position-vertical:center;mso-position-vertical-relative:page;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" fillcolor="#c6d9f1 [671]" stroked="f" strokeweight="2pt">
                      <v:path arrowok="t"/>
                      <o:lock v:ext="edit" aspectratio="t"/>
                    </v:rect>
                    <w10:wrap anchorx="page" anchory="page"/>
                  </v:group>
                </w:pict>
              </mc:Fallback>
            </mc:AlternateContent>
          </w:r>
          <w:r w:rsidRPr="00090792">
            <w:rPr>
              <w:noProof/>
              <w:lang w:val="cs-CZ" w:eastAsia="cs-CZ"/>
            </w:rPr>
            <w:drawing>
              <wp:anchor distT="0" distB="0" distL="114300" distR="114300" simplePos="0" relativeHeight="251658244" behindDoc="0" locked="0" layoutInCell="1" allowOverlap="1" wp14:anchorId="372C0038" wp14:editId="2E113FAF">
                <wp:simplePos x="0" y="0"/>
                <wp:positionH relativeFrom="margin">
                  <wp:posOffset>4005580</wp:posOffset>
                </wp:positionH>
                <wp:positionV relativeFrom="page">
                  <wp:posOffset>1104900</wp:posOffset>
                </wp:positionV>
                <wp:extent cx="1964690" cy="1116330"/>
                <wp:effectExtent l="0" t="0" r="0" b="7620"/>
                <wp:wrapSquare wrapText="bothSides"/>
                <wp:docPr id="8" name="obrázek 2" descr="logo mze | Ořech - Včel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ze | Ořech - Včelí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4690"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432BD" w14:textId="77777777" w:rsidR="009E6AEB" w:rsidRPr="00090792" w:rsidRDefault="00685384" w:rsidP="00685384">
          <w:pPr>
            <w:spacing w:after="0" w:line="240" w:lineRule="auto"/>
            <w:rPr>
              <w:noProof/>
              <w:lang w:val="cs-CZ"/>
            </w:rPr>
          </w:pPr>
          <w:r w:rsidRPr="00090792">
            <w:rPr>
              <w:noProof/>
              <w:lang w:val="cs-CZ" w:eastAsia="cs-CZ"/>
            </w:rPr>
            <mc:AlternateContent>
              <mc:Choice Requires="wps">
                <w:drawing>
                  <wp:anchor distT="0" distB="0" distL="114300" distR="114300" simplePos="0" relativeHeight="251658241" behindDoc="0" locked="0" layoutInCell="1" allowOverlap="1" wp14:anchorId="66C4E028" wp14:editId="29D85897">
                    <wp:simplePos x="0" y="0"/>
                    <wp:positionH relativeFrom="page">
                      <wp:posOffset>1200150</wp:posOffset>
                    </wp:positionH>
                    <wp:positionV relativeFrom="page">
                      <wp:posOffset>3943350</wp:posOffset>
                    </wp:positionV>
                    <wp:extent cx="5753100" cy="1247775"/>
                    <wp:effectExtent l="0" t="0" r="0"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247775"/>
                            </a:xfrm>
                            <a:prstGeom prst="rect">
                              <a:avLst/>
                            </a:prstGeom>
                            <a:solidFill>
                              <a:srgbClr val="B9CDE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877B1" w14:textId="77777777" w:rsidR="009E6AEB" w:rsidRDefault="00EE2C84" w:rsidP="00685384">
                                <w:pPr>
                                  <w:pStyle w:val="Bezmezer"/>
                                  <w:jc w:val="center"/>
                                  <w:rPr>
                                    <w:caps/>
                                    <w:color w:val="17365D" w:themeColor="text2" w:themeShade="BF"/>
                                    <w:sz w:val="52"/>
                                    <w:szCs w:val="52"/>
                                  </w:rPr>
                                </w:pPr>
                                <w:sdt>
                                  <w:sdtPr>
                                    <w:rPr>
                                      <w:rFonts w:ascii="Calibri" w:eastAsia="Calibri" w:hAnsi="Calibri" w:cs="Times New Roman"/>
                                      <w:b/>
                                      <w:sz w:val="52"/>
                                      <w:szCs w:val="52"/>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017677" w:rsidRPr="00912548">
                                      <w:rPr>
                                        <w:rFonts w:ascii="Calibri" w:eastAsia="Calibri" w:hAnsi="Calibri" w:cs="Times New Roman"/>
                                        <w:b/>
                                        <w:sz w:val="52"/>
                                        <w:szCs w:val="52"/>
                                      </w:rPr>
                                      <w:t xml:space="preserve">METODIKA K NAVRACENÍ PODPORY </w:t>
                                    </w:r>
                                    <w:r w:rsidR="00017677" w:rsidRPr="00912548">
                                      <w:rPr>
                                        <w:rFonts w:ascii="Calibri" w:eastAsia="Calibri" w:hAnsi="Calibri" w:cs="Times New Roman"/>
                                        <w:b/>
                                        <w:sz w:val="52"/>
                                        <w:szCs w:val="52"/>
                                      </w:rPr>
                                      <w:br/>
                                    </w:r>
                                    <w:proofErr w:type="spellStart"/>
                                    <w:r w:rsidR="00017677" w:rsidRPr="00912548">
                                      <w:rPr>
                                        <w:rFonts w:ascii="Calibri" w:eastAsia="Calibri" w:hAnsi="Calibri" w:cs="Times New Roman"/>
                                        <w:b/>
                                        <w:sz w:val="52"/>
                                        <w:szCs w:val="52"/>
                                      </w:rPr>
                                      <w:t>dle</w:t>
                                    </w:r>
                                    <w:proofErr w:type="spellEnd"/>
                                    <w:r w:rsidR="00017677" w:rsidRPr="00912548">
                                      <w:rPr>
                                        <w:rFonts w:ascii="Calibri" w:eastAsia="Calibri" w:hAnsi="Calibri" w:cs="Times New Roman"/>
                                        <w:b/>
                                        <w:sz w:val="52"/>
                                        <w:szCs w:val="52"/>
                                      </w:rPr>
                                      <w:t xml:space="preserve"> § 7a </w:t>
                                    </w:r>
                                    <w:proofErr w:type="spellStart"/>
                                    <w:r w:rsidR="00017677" w:rsidRPr="00912548">
                                      <w:rPr>
                                        <w:rFonts w:ascii="Calibri" w:eastAsia="Calibri" w:hAnsi="Calibri" w:cs="Times New Roman"/>
                                        <w:b/>
                                        <w:sz w:val="52"/>
                                        <w:szCs w:val="52"/>
                                      </w:rPr>
                                      <w:t>zákona</w:t>
                                    </w:r>
                                    <w:proofErr w:type="spellEnd"/>
                                    <w:r w:rsidR="00017677" w:rsidRPr="00912548">
                                      <w:rPr>
                                        <w:rFonts w:ascii="Calibri" w:eastAsia="Calibri" w:hAnsi="Calibri" w:cs="Times New Roman"/>
                                        <w:b/>
                                        <w:sz w:val="52"/>
                                        <w:szCs w:val="52"/>
                                      </w:rPr>
                                      <w:t xml:space="preserve"> č. 215/2004 Sb.</w:t>
                                    </w:r>
                                  </w:sdtContent>
                                </w:sdt>
                              </w:p>
                              <w:sdt>
                                <w:sdtPr>
                                  <w:rPr>
                                    <w:smallCaps/>
                                    <w:color w:val="1F497D" w:themeColor="text2"/>
                                    <w:sz w:val="36"/>
                                    <w:szCs w:val="36"/>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8C4A6FA" w14:textId="77777777" w:rsidR="009E6AEB" w:rsidRDefault="00833BDA" w:rsidP="00685384">
                                    <w:pPr>
                                      <w:pStyle w:val="Bezmezer"/>
                                      <w:jc w:val="center"/>
                                      <w:rPr>
                                        <w:smallCaps/>
                                        <w:color w:val="1F497D" w:themeColor="text2"/>
                                        <w:sz w:val="36"/>
                                        <w:szCs w:val="36"/>
                                      </w:rPr>
                                    </w:pPr>
                                    <w:r>
                                      <w:rPr>
                                        <w:smallCaps/>
                                        <w:color w:val="1F497D"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6C4E028" id="Textové pole 113" o:spid="_x0000_s1027" type="#_x0000_t202" style="position:absolute;margin-left:94.5pt;margin-top:310.5pt;width:453pt;height:98.25pt;z-index:251658241;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" fillcolor="#b9cde5" stroked="f" strokeweight=".5pt">
                    <v:textbox inset="0,0,0,0">
                      <w:txbxContent>
                        <w:p w14:paraId="5E6877B1" w14:textId="77777777" w:rsidR="009E6AEB" w:rsidRDefault="007F5DDF" w:rsidP="00685384">
                          <w:pPr>
                            <w:pStyle w:val="Bezmezer"/>
                            <w:jc w:val="center"/>
                            <w:rPr>
                              <w:caps/>
                              <w:color w:val="17365D" w:themeColor="text2" w:themeShade="BF"/>
                              <w:sz w:val="52"/>
                              <w:szCs w:val="52"/>
                            </w:rPr>
                          </w:pPr>
                          <w:sdt>
                            <w:sdtPr>
                              <w:rPr>
                                <w:rFonts w:ascii="Calibri" w:eastAsia="Calibri" w:hAnsi="Calibri" w:cs="Times New Roman"/>
                                <w:b/>
                                <w:sz w:val="52"/>
                                <w:szCs w:val="52"/>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017677" w:rsidRPr="00912548">
                                <w:rPr>
                                  <w:rFonts w:ascii="Calibri" w:eastAsia="Calibri" w:hAnsi="Calibri" w:cs="Times New Roman"/>
                                  <w:b/>
                                  <w:sz w:val="52"/>
                                  <w:szCs w:val="52"/>
                                </w:rPr>
                                <w:t xml:space="preserve">METODIKA K NAVRACENÍ PODPORY </w:t>
                              </w:r>
                              <w:r w:rsidR="00017677" w:rsidRPr="00912548">
                                <w:rPr>
                                  <w:rFonts w:ascii="Calibri" w:eastAsia="Calibri" w:hAnsi="Calibri" w:cs="Times New Roman"/>
                                  <w:b/>
                                  <w:sz w:val="52"/>
                                  <w:szCs w:val="52"/>
                                </w:rPr>
                                <w:br/>
                              </w:r>
                              <w:proofErr w:type="spellStart"/>
                              <w:r w:rsidR="00017677" w:rsidRPr="00912548">
                                <w:rPr>
                                  <w:rFonts w:ascii="Calibri" w:eastAsia="Calibri" w:hAnsi="Calibri" w:cs="Times New Roman"/>
                                  <w:b/>
                                  <w:sz w:val="52"/>
                                  <w:szCs w:val="52"/>
                                </w:rPr>
                                <w:t>dle</w:t>
                              </w:r>
                              <w:proofErr w:type="spellEnd"/>
                              <w:r w:rsidR="00017677" w:rsidRPr="00912548">
                                <w:rPr>
                                  <w:rFonts w:ascii="Calibri" w:eastAsia="Calibri" w:hAnsi="Calibri" w:cs="Times New Roman"/>
                                  <w:b/>
                                  <w:sz w:val="52"/>
                                  <w:szCs w:val="52"/>
                                </w:rPr>
                                <w:t xml:space="preserve"> § 7a </w:t>
                              </w:r>
                              <w:proofErr w:type="spellStart"/>
                              <w:r w:rsidR="00017677" w:rsidRPr="00912548">
                                <w:rPr>
                                  <w:rFonts w:ascii="Calibri" w:eastAsia="Calibri" w:hAnsi="Calibri" w:cs="Times New Roman"/>
                                  <w:b/>
                                  <w:sz w:val="52"/>
                                  <w:szCs w:val="52"/>
                                </w:rPr>
                                <w:t>zákona</w:t>
                              </w:r>
                              <w:proofErr w:type="spellEnd"/>
                              <w:r w:rsidR="00017677" w:rsidRPr="00912548">
                                <w:rPr>
                                  <w:rFonts w:ascii="Calibri" w:eastAsia="Calibri" w:hAnsi="Calibri" w:cs="Times New Roman"/>
                                  <w:b/>
                                  <w:sz w:val="52"/>
                                  <w:szCs w:val="52"/>
                                </w:rPr>
                                <w:t xml:space="preserve"> č. 215/2004 Sb.</w:t>
                              </w:r>
                            </w:sdtContent>
                          </w:sdt>
                        </w:p>
                        <w:sdt>
                          <w:sdtPr>
                            <w:rPr>
                              <w:smallCaps/>
                              <w:color w:val="1F497D" w:themeColor="text2"/>
                              <w:sz w:val="36"/>
                              <w:szCs w:val="36"/>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8C4A6FA" w14:textId="77777777" w:rsidR="009E6AEB" w:rsidRDefault="00833BDA" w:rsidP="00685384">
                              <w:pPr>
                                <w:pStyle w:val="Bezmezer"/>
                                <w:jc w:val="center"/>
                                <w:rPr>
                                  <w:smallCaps/>
                                  <w:color w:val="1F497D" w:themeColor="text2"/>
                                  <w:sz w:val="36"/>
                                  <w:szCs w:val="36"/>
                                </w:rPr>
                              </w:pPr>
                              <w:r>
                                <w:rPr>
                                  <w:smallCaps/>
                                  <w:color w:val="1F497D" w:themeColor="text2"/>
                                  <w:sz w:val="36"/>
                                  <w:szCs w:val="36"/>
                                </w:rPr>
                                <w:t xml:space="preserve">     </w:t>
                              </w:r>
                            </w:p>
                          </w:sdtContent>
                        </w:sdt>
                      </w:txbxContent>
                    </v:textbox>
                    <w10:wrap type="square" anchorx="page" anchory="page"/>
                  </v:shape>
                </w:pict>
              </mc:Fallback>
            </mc:AlternateContent>
          </w:r>
          <w:r w:rsidR="009E6AEB" w:rsidRPr="00090792">
            <w:rPr>
              <w:noProof/>
              <w:lang w:val="cs-CZ" w:eastAsia="cs-CZ"/>
            </w:rPr>
            <mc:AlternateContent>
              <mc:Choice Requires="wps">
                <w:drawing>
                  <wp:anchor distT="0" distB="0" distL="114300" distR="114300" simplePos="0" relativeHeight="251658242" behindDoc="0" locked="0" layoutInCell="1" allowOverlap="1" wp14:anchorId="6BCB6E92" wp14:editId="765DCF72">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Datum publikování"/>
                                  <w:tag w:val=""/>
                                  <w:id w:val="400952559"/>
                                  <w:showingPlcHdr/>
                                  <w:dataBinding w:prefixMappings="xmlns:ns0='http://schemas.microsoft.com/office/2006/coverPageProps' " w:xpath="/ns0:CoverPageProperties[1]/ns0:PublishDate[1]" w:storeItemID="{55AF091B-3C7A-41E3-B477-F2FDAA23CFDA}"/>
                                  <w:date w:fullDate="2023-09-01T00:00:00Z">
                                    <w:dateFormat w:val="d. MMMM yyyy"/>
                                    <w:lid w:val="cs-CZ"/>
                                    <w:storeMappedDataAs w:val="dateTime"/>
                                    <w:calendar w:val="gregorian"/>
                                  </w:date>
                                </w:sdtPr>
                                <w:sdtEndPr/>
                                <w:sdtContent>
                                  <w:p w14:paraId="420D4ADD" w14:textId="77777777" w:rsidR="009E6AEB" w:rsidRDefault="004476A9" w:rsidP="00F51BF8">
                                    <w:pPr>
                                      <w:pStyle w:val="Bezmezer"/>
                                      <w:ind w:left="720"/>
                                      <w:jc w:val="right"/>
                                      <w:rPr>
                                        <w:caps/>
                                        <w:color w:val="17365D" w:themeColor="text2" w:themeShade="BF"/>
                                        <w:sz w:val="40"/>
                                        <w:szCs w:val="40"/>
                                      </w:rPr>
                                    </w:pPr>
                                    <w: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BCB6E92" id="Textové pole 111" o:spid="_x0000_s1028" type="#_x0000_t202" style="position:absolute;margin-left:0;margin-top:0;width:288.25pt;height:287.5pt;z-index:25165824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" filled="f" stroked="f" strokeweight=".5pt">
                    <v:textbox style="mso-fit-shape-to-text:t" inset="0,0,0,0">
                      <w:txbxContent>
                        <w:sdt>
                          <w:sdtPr>
                            <w:alias w:val="Datum publikování"/>
                            <w:tag w:val=""/>
                            <w:id w:val="400952559"/>
                            <w:showingPlcHdr/>
                            <w:dataBinding w:prefixMappings="xmlns:ns0='http://schemas.microsoft.com/office/2006/coverPageProps' " w:xpath="/ns0:CoverPageProperties[1]/ns0:PublishDate[1]" w:storeItemID="{55AF091B-3C7A-41E3-B477-F2FDAA23CFDA}"/>
                            <w:date w:fullDate="2023-09-01T00:00:00Z">
                              <w:dateFormat w:val="d. MMMM yyyy"/>
                              <w:lid w:val="cs-CZ"/>
                              <w:storeMappedDataAs w:val="dateTime"/>
                              <w:calendar w:val="gregorian"/>
                            </w:date>
                          </w:sdtPr>
                          <w:sdtEndPr/>
                          <w:sdtContent>
                            <w:p w14:paraId="420D4ADD" w14:textId="77777777" w:rsidR="009E6AEB" w:rsidRDefault="004476A9" w:rsidP="00F51BF8">
                              <w:pPr>
                                <w:pStyle w:val="Bezmezer"/>
                                <w:ind w:left="720"/>
                                <w:jc w:val="right"/>
                                <w:rPr>
                                  <w:caps/>
                                  <w:color w:val="17365D" w:themeColor="text2" w:themeShade="BF"/>
                                  <w:sz w:val="40"/>
                                  <w:szCs w:val="40"/>
                                </w:rPr>
                              </w:pPr>
                              <w:r>
                                <w:t xml:space="preserve">     </w:t>
                              </w:r>
                            </w:p>
                          </w:sdtContent>
                        </w:sdt>
                      </w:txbxContent>
                    </v:textbox>
                    <w10:wrap type="square" anchorx="page" anchory="page"/>
                  </v:shape>
                </w:pict>
              </mc:Fallback>
            </mc:AlternateContent>
          </w:r>
          <w:r w:rsidR="009E6AEB" w:rsidRPr="00090792">
            <w:rPr>
              <w:noProof/>
              <w:lang w:val="cs-CZ"/>
            </w:rPr>
            <w:br w:type="page"/>
          </w:r>
        </w:p>
      </w:sdtContent>
    </w:sdt>
    <w:bookmarkStart w:id="0" w:name="_Toc448847518" w:displacedByCustomXml="next"/>
    <w:sdt>
      <w:sdtPr>
        <w:rPr>
          <w:rFonts w:ascii="Calibri" w:eastAsia="Calibri" w:hAnsi="Calibri" w:cs="Times New Roman"/>
          <w:b/>
          <w:bCs/>
          <w:caps w:val="0"/>
          <w:color w:val="auto"/>
          <w:spacing w:val="0"/>
          <w:sz w:val="32"/>
          <w:szCs w:val="32"/>
          <w:lang w:val="cs-CZ"/>
        </w:rPr>
        <w:id w:val="-1111052974"/>
        <w:docPartObj>
          <w:docPartGallery w:val="Table of Contents"/>
          <w:docPartUnique/>
        </w:docPartObj>
      </w:sdtPr>
      <w:sdtEndPr>
        <w:rPr>
          <w:rFonts w:asciiTheme="minorHAnsi" w:eastAsiaTheme="minorEastAsia" w:hAnsiTheme="minorHAnsi" w:cstheme="minorBidi"/>
          <w:b w:val="0"/>
          <w:bCs w:val="0"/>
          <w:sz w:val="20"/>
          <w:szCs w:val="20"/>
        </w:rPr>
      </w:sdtEndPr>
      <w:sdtContent>
        <w:p w14:paraId="5ABB72BF" w14:textId="77777777" w:rsidR="002528B0" w:rsidRPr="00090792" w:rsidRDefault="002528B0">
          <w:pPr>
            <w:pStyle w:val="Nadpisobsahu"/>
            <w:rPr>
              <w:b/>
              <w:bCs/>
              <w:sz w:val="32"/>
              <w:szCs w:val="32"/>
              <w:lang w:val="cs-CZ"/>
            </w:rPr>
          </w:pPr>
          <w:r w:rsidRPr="00090792">
            <w:rPr>
              <w:b/>
              <w:bCs/>
              <w:sz w:val="32"/>
              <w:szCs w:val="32"/>
              <w:lang w:val="cs-CZ"/>
            </w:rPr>
            <w:t>Obsah</w:t>
          </w:r>
        </w:p>
        <w:p w14:paraId="642DED6A" w14:textId="23DAF357" w:rsidR="004E0BDC" w:rsidRDefault="002528B0">
          <w:pPr>
            <w:pStyle w:val="Obsah1"/>
            <w:tabs>
              <w:tab w:val="right" w:leader="dot" w:pos="9396"/>
            </w:tabs>
            <w:rPr>
              <w:noProof/>
              <w:sz w:val="22"/>
              <w:szCs w:val="22"/>
              <w:lang w:val="cs-CZ" w:eastAsia="cs-CZ"/>
            </w:rPr>
          </w:pPr>
          <w:r w:rsidRPr="00090792">
            <w:rPr>
              <w:lang w:val="cs-CZ"/>
            </w:rPr>
            <w:fldChar w:fldCharType="begin"/>
          </w:r>
          <w:r w:rsidRPr="00090792">
            <w:rPr>
              <w:lang w:val="cs-CZ"/>
            </w:rPr>
            <w:instrText xml:space="preserve"> TOC \o "1-3" \h \z \u </w:instrText>
          </w:r>
          <w:r w:rsidRPr="00090792">
            <w:rPr>
              <w:lang w:val="cs-CZ"/>
            </w:rPr>
            <w:fldChar w:fldCharType="separate"/>
          </w:r>
          <w:hyperlink w:anchor="_Toc202430940" w:history="1">
            <w:r w:rsidR="004E0BDC" w:rsidRPr="00A0093B">
              <w:rPr>
                <w:rStyle w:val="Hypertextovodkaz"/>
                <w:b/>
                <w:bCs/>
                <w:noProof/>
                <w:lang w:val="cs-CZ"/>
              </w:rPr>
              <w:t>1. ÚČEL METODIKY</w:t>
            </w:r>
            <w:r w:rsidR="004E0BDC">
              <w:rPr>
                <w:noProof/>
                <w:webHidden/>
              </w:rPr>
              <w:tab/>
            </w:r>
            <w:r w:rsidR="004E0BDC">
              <w:rPr>
                <w:noProof/>
                <w:webHidden/>
              </w:rPr>
              <w:fldChar w:fldCharType="begin"/>
            </w:r>
            <w:r w:rsidR="004E0BDC">
              <w:rPr>
                <w:noProof/>
                <w:webHidden/>
              </w:rPr>
              <w:instrText xml:space="preserve"> PAGEREF _Toc202430940 \h </w:instrText>
            </w:r>
            <w:r w:rsidR="004E0BDC">
              <w:rPr>
                <w:noProof/>
                <w:webHidden/>
              </w:rPr>
            </w:r>
            <w:r w:rsidR="004E0BDC">
              <w:rPr>
                <w:noProof/>
                <w:webHidden/>
              </w:rPr>
              <w:fldChar w:fldCharType="separate"/>
            </w:r>
            <w:r w:rsidR="00411275">
              <w:rPr>
                <w:noProof/>
                <w:webHidden/>
              </w:rPr>
              <w:t>2</w:t>
            </w:r>
            <w:r w:rsidR="004E0BDC">
              <w:rPr>
                <w:noProof/>
                <w:webHidden/>
              </w:rPr>
              <w:fldChar w:fldCharType="end"/>
            </w:r>
          </w:hyperlink>
        </w:p>
        <w:p w14:paraId="50F9E827" w14:textId="634DD72E" w:rsidR="004E0BDC" w:rsidRDefault="004E0BDC">
          <w:pPr>
            <w:pStyle w:val="Obsah1"/>
            <w:tabs>
              <w:tab w:val="right" w:leader="dot" w:pos="9396"/>
            </w:tabs>
            <w:rPr>
              <w:noProof/>
              <w:sz w:val="22"/>
              <w:szCs w:val="22"/>
              <w:lang w:val="cs-CZ" w:eastAsia="cs-CZ"/>
            </w:rPr>
          </w:pPr>
          <w:hyperlink w:anchor="_Toc202430941" w:history="1">
            <w:r w:rsidRPr="00A0093B">
              <w:rPr>
                <w:rStyle w:val="Hypertextovodkaz"/>
                <w:b/>
                <w:bCs/>
                <w:noProof/>
                <w:lang w:val="cs-CZ"/>
              </w:rPr>
              <w:t>2. VYMEZENÍ VYBRANÝCH POJMŮ</w:t>
            </w:r>
            <w:r>
              <w:rPr>
                <w:noProof/>
                <w:webHidden/>
              </w:rPr>
              <w:tab/>
            </w:r>
            <w:r>
              <w:rPr>
                <w:noProof/>
                <w:webHidden/>
              </w:rPr>
              <w:fldChar w:fldCharType="begin"/>
            </w:r>
            <w:r>
              <w:rPr>
                <w:noProof/>
                <w:webHidden/>
              </w:rPr>
              <w:instrText xml:space="preserve"> PAGEREF _Toc202430941 \h </w:instrText>
            </w:r>
            <w:r>
              <w:rPr>
                <w:noProof/>
                <w:webHidden/>
              </w:rPr>
            </w:r>
            <w:r>
              <w:rPr>
                <w:noProof/>
                <w:webHidden/>
              </w:rPr>
              <w:fldChar w:fldCharType="separate"/>
            </w:r>
            <w:r w:rsidR="00411275">
              <w:rPr>
                <w:noProof/>
                <w:webHidden/>
              </w:rPr>
              <w:t>3</w:t>
            </w:r>
            <w:r>
              <w:rPr>
                <w:noProof/>
                <w:webHidden/>
              </w:rPr>
              <w:fldChar w:fldCharType="end"/>
            </w:r>
          </w:hyperlink>
        </w:p>
        <w:p w14:paraId="1E4C088C" w14:textId="3C5CF9BA" w:rsidR="004E0BDC" w:rsidRDefault="004E0BDC">
          <w:pPr>
            <w:pStyle w:val="Obsah1"/>
            <w:tabs>
              <w:tab w:val="right" w:leader="dot" w:pos="9396"/>
            </w:tabs>
            <w:rPr>
              <w:noProof/>
              <w:sz w:val="22"/>
              <w:szCs w:val="22"/>
              <w:lang w:val="cs-CZ" w:eastAsia="cs-CZ"/>
            </w:rPr>
          </w:pPr>
          <w:hyperlink w:anchor="_Toc202430942" w:history="1">
            <w:r w:rsidRPr="00A0093B">
              <w:rPr>
                <w:rStyle w:val="Hypertextovodkaz"/>
                <w:b/>
                <w:bCs/>
                <w:noProof/>
                <w:lang w:val="cs-CZ"/>
              </w:rPr>
              <w:t>3. PROBLEMATIKA NAVRACENÍ</w:t>
            </w:r>
            <w:r>
              <w:rPr>
                <w:noProof/>
                <w:webHidden/>
              </w:rPr>
              <w:tab/>
            </w:r>
            <w:r>
              <w:rPr>
                <w:noProof/>
                <w:webHidden/>
              </w:rPr>
              <w:fldChar w:fldCharType="begin"/>
            </w:r>
            <w:r>
              <w:rPr>
                <w:noProof/>
                <w:webHidden/>
              </w:rPr>
              <w:instrText xml:space="preserve"> PAGEREF _Toc202430942 \h </w:instrText>
            </w:r>
            <w:r>
              <w:rPr>
                <w:noProof/>
                <w:webHidden/>
              </w:rPr>
            </w:r>
            <w:r>
              <w:rPr>
                <w:noProof/>
                <w:webHidden/>
              </w:rPr>
              <w:fldChar w:fldCharType="separate"/>
            </w:r>
            <w:r w:rsidR="00411275">
              <w:rPr>
                <w:noProof/>
                <w:webHidden/>
              </w:rPr>
              <w:t>6</w:t>
            </w:r>
            <w:r>
              <w:rPr>
                <w:noProof/>
                <w:webHidden/>
              </w:rPr>
              <w:fldChar w:fldCharType="end"/>
            </w:r>
          </w:hyperlink>
        </w:p>
        <w:p w14:paraId="65F0974F" w14:textId="521E7BBE" w:rsidR="004E0BDC" w:rsidRDefault="004E0BDC">
          <w:pPr>
            <w:pStyle w:val="Obsah1"/>
            <w:tabs>
              <w:tab w:val="right" w:leader="dot" w:pos="9396"/>
            </w:tabs>
            <w:rPr>
              <w:noProof/>
              <w:sz w:val="22"/>
              <w:szCs w:val="22"/>
              <w:lang w:val="cs-CZ" w:eastAsia="cs-CZ"/>
            </w:rPr>
          </w:pPr>
          <w:hyperlink w:anchor="_Toc202430943" w:history="1">
            <w:r w:rsidRPr="00A0093B">
              <w:rPr>
                <w:rStyle w:val="Hypertextovodkaz"/>
                <w:b/>
                <w:bCs/>
                <w:noProof/>
                <w:lang w:val="cs-CZ"/>
              </w:rPr>
              <w:t>4. MECHANISMUS VÝPOČTU NAVRACENÉ PODPORY</w:t>
            </w:r>
            <w:r>
              <w:rPr>
                <w:noProof/>
                <w:webHidden/>
              </w:rPr>
              <w:tab/>
            </w:r>
            <w:r>
              <w:rPr>
                <w:noProof/>
                <w:webHidden/>
              </w:rPr>
              <w:fldChar w:fldCharType="begin"/>
            </w:r>
            <w:r>
              <w:rPr>
                <w:noProof/>
                <w:webHidden/>
              </w:rPr>
              <w:instrText xml:space="preserve"> PAGEREF _Toc202430943 \h </w:instrText>
            </w:r>
            <w:r>
              <w:rPr>
                <w:noProof/>
                <w:webHidden/>
              </w:rPr>
            </w:r>
            <w:r>
              <w:rPr>
                <w:noProof/>
                <w:webHidden/>
              </w:rPr>
              <w:fldChar w:fldCharType="separate"/>
            </w:r>
            <w:r w:rsidR="00411275">
              <w:rPr>
                <w:noProof/>
                <w:webHidden/>
              </w:rPr>
              <w:t>9</w:t>
            </w:r>
            <w:r>
              <w:rPr>
                <w:noProof/>
                <w:webHidden/>
              </w:rPr>
              <w:fldChar w:fldCharType="end"/>
            </w:r>
          </w:hyperlink>
        </w:p>
        <w:p w14:paraId="59E9913B" w14:textId="5A4E3623" w:rsidR="004E0BDC" w:rsidRDefault="004E0BDC">
          <w:pPr>
            <w:pStyle w:val="Obsah3"/>
            <w:tabs>
              <w:tab w:val="right" w:leader="dot" w:pos="9396"/>
            </w:tabs>
            <w:rPr>
              <w:noProof/>
              <w:sz w:val="22"/>
              <w:szCs w:val="22"/>
              <w:lang w:val="cs-CZ" w:eastAsia="cs-CZ"/>
            </w:rPr>
          </w:pPr>
          <w:hyperlink w:anchor="_Toc202430944" w:history="1">
            <w:r w:rsidRPr="00A0093B">
              <w:rPr>
                <w:rStyle w:val="Hypertextovodkaz"/>
                <w:rFonts w:cstheme="minorHAnsi"/>
                <w:b/>
                <w:bCs/>
                <w:noProof/>
                <w:lang w:val="cs-CZ"/>
              </w:rPr>
              <w:t>1. Určení výše podpory</w:t>
            </w:r>
            <w:r>
              <w:rPr>
                <w:noProof/>
                <w:webHidden/>
              </w:rPr>
              <w:tab/>
            </w:r>
            <w:r>
              <w:rPr>
                <w:noProof/>
                <w:webHidden/>
              </w:rPr>
              <w:fldChar w:fldCharType="begin"/>
            </w:r>
            <w:r>
              <w:rPr>
                <w:noProof/>
                <w:webHidden/>
              </w:rPr>
              <w:instrText xml:space="preserve"> PAGEREF _Toc202430944 \h </w:instrText>
            </w:r>
            <w:r>
              <w:rPr>
                <w:noProof/>
                <w:webHidden/>
              </w:rPr>
            </w:r>
            <w:r>
              <w:rPr>
                <w:noProof/>
                <w:webHidden/>
              </w:rPr>
              <w:fldChar w:fldCharType="separate"/>
            </w:r>
            <w:r w:rsidR="00411275">
              <w:rPr>
                <w:noProof/>
                <w:webHidden/>
              </w:rPr>
              <w:t>9</w:t>
            </w:r>
            <w:r>
              <w:rPr>
                <w:noProof/>
                <w:webHidden/>
              </w:rPr>
              <w:fldChar w:fldCharType="end"/>
            </w:r>
          </w:hyperlink>
        </w:p>
        <w:p w14:paraId="707574F9" w14:textId="70FEA296" w:rsidR="004E0BDC" w:rsidRDefault="004E0BDC">
          <w:pPr>
            <w:pStyle w:val="Obsah3"/>
            <w:tabs>
              <w:tab w:val="right" w:leader="dot" w:pos="9396"/>
            </w:tabs>
            <w:rPr>
              <w:noProof/>
              <w:sz w:val="22"/>
              <w:szCs w:val="22"/>
              <w:lang w:val="cs-CZ" w:eastAsia="cs-CZ"/>
            </w:rPr>
          </w:pPr>
          <w:hyperlink w:anchor="_Toc202430945" w:history="1">
            <w:r w:rsidRPr="00A0093B">
              <w:rPr>
                <w:rStyle w:val="Hypertextovodkaz"/>
                <w:rFonts w:cstheme="minorHAnsi"/>
                <w:b/>
                <w:bCs/>
                <w:noProof/>
                <w:lang w:val="cs-CZ"/>
              </w:rPr>
              <w:t xml:space="preserve">2. Určení období, po které byla podpora </w:t>
            </w:r>
            <w:r w:rsidR="00CA74BA">
              <w:rPr>
                <w:rStyle w:val="Hypertextovodkaz"/>
                <w:rFonts w:cstheme="minorHAnsi"/>
                <w:b/>
                <w:bCs/>
                <w:noProof/>
                <w:lang w:val="cs-CZ"/>
              </w:rPr>
              <w:t>v</w:t>
            </w:r>
            <w:r w:rsidRPr="00A0093B">
              <w:rPr>
                <w:rStyle w:val="Hypertextovodkaz"/>
                <w:rFonts w:cstheme="minorHAnsi"/>
                <w:b/>
                <w:bCs/>
                <w:noProof/>
                <w:lang w:val="cs-CZ"/>
              </w:rPr>
              <w:t>yužívána</w:t>
            </w:r>
            <w:r>
              <w:rPr>
                <w:noProof/>
                <w:webHidden/>
              </w:rPr>
              <w:tab/>
            </w:r>
            <w:r>
              <w:rPr>
                <w:noProof/>
                <w:webHidden/>
              </w:rPr>
              <w:fldChar w:fldCharType="begin"/>
            </w:r>
            <w:r>
              <w:rPr>
                <w:noProof/>
                <w:webHidden/>
              </w:rPr>
              <w:instrText xml:space="preserve"> PAGEREF _Toc202430945 \h </w:instrText>
            </w:r>
            <w:r>
              <w:rPr>
                <w:noProof/>
                <w:webHidden/>
              </w:rPr>
            </w:r>
            <w:r>
              <w:rPr>
                <w:noProof/>
                <w:webHidden/>
              </w:rPr>
              <w:fldChar w:fldCharType="separate"/>
            </w:r>
            <w:r w:rsidR="00411275">
              <w:rPr>
                <w:noProof/>
                <w:webHidden/>
              </w:rPr>
              <w:t>9</w:t>
            </w:r>
            <w:r>
              <w:rPr>
                <w:noProof/>
                <w:webHidden/>
              </w:rPr>
              <w:fldChar w:fldCharType="end"/>
            </w:r>
          </w:hyperlink>
        </w:p>
        <w:p w14:paraId="65156DEA" w14:textId="6987BC72" w:rsidR="004E0BDC" w:rsidRDefault="004E0BDC">
          <w:pPr>
            <w:pStyle w:val="Obsah3"/>
            <w:tabs>
              <w:tab w:val="right" w:leader="dot" w:pos="9396"/>
            </w:tabs>
            <w:rPr>
              <w:noProof/>
              <w:sz w:val="22"/>
              <w:szCs w:val="22"/>
              <w:lang w:val="cs-CZ" w:eastAsia="cs-CZ"/>
            </w:rPr>
          </w:pPr>
          <w:hyperlink w:anchor="_Toc202430946" w:history="1">
            <w:r w:rsidRPr="00A0093B">
              <w:rPr>
                <w:rStyle w:val="Hypertextovodkaz"/>
                <w:rFonts w:cstheme="minorHAnsi"/>
                <w:b/>
                <w:bCs/>
                <w:noProof/>
                <w:lang w:val="cs-CZ"/>
              </w:rPr>
              <w:t>3. Určení úrokové sazby</w:t>
            </w:r>
            <w:r>
              <w:rPr>
                <w:noProof/>
                <w:webHidden/>
              </w:rPr>
              <w:tab/>
            </w:r>
            <w:r>
              <w:rPr>
                <w:noProof/>
                <w:webHidden/>
              </w:rPr>
              <w:fldChar w:fldCharType="begin"/>
            </w:r>
            <w:r>
              <w:rPr>
                <w:noProof/>
                <w:webHidden/>
              </w:rPr>
              <w:instrText xml:space="preserve"> PAGEREF _Toc202430946 \h </w:instrText>
            </w:r>
            <w:r>
              <w:rPr>
                <w:noProof/>
                <w:webHidden/>
              </w:rPr>
            </w:r>
            <w:r>
              <w:rPr>
                <w:noProof/>
                <w:webHidden/>
              </w:rPr>
              <w:fldChar w:fldCharType="separate"/>
            </w:r>
            <w:r w:rsidR="00411275">
              <w:rPr>
                <w:noProof/>
                <w:webHidden/>
              </w:rPr>
              <w:t>9</w:t>
            </w:r>
            <w:r>
              <w:rPr>
                <w:noProof/>
                <w:webHidden/>
              </w:rPr>
              <w:fldChar w:fldCharType="end"/>
            </w:r>
          </w:hyperlink>
        </w:p>
        <w:p w14:paraId="022694C9" w14:textId="3F66D4E7" w:rsidR="004E0BDC" w:rsidRDefault="004E0BDC">
          <w:pPr>
            <w:pStyle w:val="Obsah3"/>
            <w:tabs>
              <w:tab w:val="right" w:leader="dot" w:pos="9396"/>
            </w:tabs>
            <w:rPr>
              <w:noProof/>
              <w:sz w:val="22"/>
              <w:szCs w:val="22"/>
              <w:lang w:val="cs-CZ" w:eastAsia="cs-CZ"/>
            </w:rPr>
          </w:pPr>
          <w:hyperlink w:anchor="_Toc202430947" w:history="1">
            <w:r w:rsidRPr="00A0093B">
              <w:rPr>
                <w:rStyle w:val="Hypertextovodkaz"/>
                <w:rFonts w:cstheme="minorHAnsi"/>
                <w:b/>
                <w:bCs/>
                <w:noProof/>
                <w:lang w:val="cs-CZ"/>
              </w:rPr>
              <w:t>4. Výpočet navrácené částky</w:t>
            </w:r>
            <w:r>
              <w:rPr>
                <w:noProof/>
                <w:webHidden/>
              </w:rPr>
              <w:tab/>
            </w:r>
            <w:r>
              <w:rPr>
                <w:noProof/>
                <w:webHidden/>
              </w:rPr>
              <w:fldChar w:fldCharType="begin"/>
            </w:r>
            <w:r>
              <w:rPr>
                <w:noProof/>
                <w:webHidden/>
              </w:rPr>
              <w:instrText xml:space="preserve"> PAGEREF _Toc202430947 \h </w:instrText>
            </w:r>
            <w:r>
              <w:rPr>
                <w:noProof/>
                <w:webHidden/>
              </w:rPr>
            </w:r>
            <w:r>
              <w:rPr>
                <w:noProof/>
                <w:webHidden/>
              </w:rPr>
              <w:fldChar w:fldCharType="separate"/>
            </w:r>
            <w:r w:rsidR="00411275">
              <w:rPr>
                <w:noProof/>
                <w:webHidden/>
              </w:rPr>
              <w:t>10</w:t>
            </w:r>
            <w:r>
              <w:rPr>
                <w:noProof/>
                <w:webHidden/>
              </w:rPr>
              <w:fldChar w:fldCharType="end"/>
            </w:r>
          </w:hyperlink>
        </w:p>
        <w:p w14:paraId="1D269047" w14:textId="63196CC1" w:rsidR="004E0BDC" w:rsidRDefault="004E0BDC">
          <w:pPr>
            <w:pStyle w:val="Obsah1"/>
            <w:tabs>
              <w:tab w:val="right" w:leader="dot" w:pos="9396"/>
            </w:tabs>
            <w:rPr>
              <w:noProof/>
              <w:sz w:val="22"/>
              <w:szCs w:val="22"/>
              <w:lang w:val="cs-CZ" w:eastAsia="cs-CZ"/>
            </w:rPr>
          </w:pPr>
          <w:hyperlink w:anchor="_Toc202430948" w:history="1">
            <w:r w:rsidRPr="00A0093B">
              <w:rPr>
                <w:rStyle w:val="Hypertextovodkaz"/>
                <w:b/>
                <w:bCs/>
                <w:noProof/>
                <w:lang w:val="cs-CZ"/>
              </w:rPr>
              <w:t>5. PŘÍKLAD VÝPOČTU</w:t>
            </w:r>
            <w:r>
              <w:rPr>
                <w:noProof/>
                <w:webHidden/>
              </w:rPr>
              <w:tab/>
            </w:r>
            <w:r>
              <w:rPr>
                <w:noProof/>
                <w:webHidden/>
              </w:rPr>
              <w:fldChar w:fldCharType="begin"/>
            </w:r>
            <w:r>
              <w:rPr>
                <w:noProof/>
                <w:webHidden/>
              </w:rPr>
              <w:instrText xml:space="preserve"> PAGEREF _Toc202430948 \h </w:instrText>
            </w:r>
            <w:r>
              <w:rPr>
                <w:noProof/>
                <w:webHidden/>
              </w:rPr>
            </w:r>
            <w:r>
              <w:rPr>
                <w:noProof/>
                <w:webHidden/>
              </w:rPr>
              <w:fldChar w:fldCharType="separate"/>
            </w:r>
            <w:r w:rsidR="00411275">
              <w:rPr>
                <w:noProof/>
                <w:webHidden/>
              </w:rPr>
              <w:t>11</w:t>
            </w:r>
            <w:r>
              <w:rPr>
                <w:noProof/>
                <w:webHidden/>
              </w:rPr>
              <w:fldChar w:fldCharType="end"/>
            </w:r>
          </w:hyperlink>
        </w:p>
        <w:p w14:paraId="6B79C28B" w14:textId="55C92E3E" w:rsidR="004E0BDC" w:rsidRDefault="004E0BDC">
          <w:pPr>
            <w:pStyle w:val="Obsah1"/>
            <w:tabs>
              <w:tab w:val="right" w:leader="dot" w:pos="9396"/>
            </w:tabs>
            <w:rPr>
              <w:noProof/>
              <w:sz w:val="22"/>
              <w:szCs w:val="22"/>
              <w:lang w:val="cs-CZ" w:eastAsia="cs-CZ"/>
            </w:rPr>
          </w:pPr>
          <w:hyperlink w:anchor="_Toc202430949" w:history="1">
            <w:r w:rsidRPr="00A0093B">
              <w:rPr>
                <w:rStyle w:val="Hypertextovodkaz"/>
                <w:b/>
                <w:bCs/>
                <w:noProof/>
                <w:lang w:val="cs-CZ"/>
              </w:rPr>
              <w:t>6. DALŠÍ DŮLEŽITÉ INFORMACE</w:t>
            </w:r>
            <w:r>
              <w:rPr>
                <w:noProof/>
                <w:webHidden/>
              </w:rPr>
              <w:tab/>
            </w:r>
            <w:r>
              <w:rPr>
                <w:noProof/>
                <w:webHidden/>
              </w:rPr>
              <w:fldChar w:fldCharType="begin"/>
            </w:r>
            <w:r>
              <w:rPr>
                <w:noProof/>
                <w:webHidden/>
              </w:rPr>
              <w:instrText xml:space="preserve"> PAGEREF _Toc202430949 \h </w:instrText>
            </w:r>
            <w:r>
              <w:rPr>
                <w:noProof/>
                <w:webHidden/>
              </w:rPr>
            </w:r>
            <w:r>
              <w:rPr>
                <w:noProof/>
                <w:webHidden/>
              </w:rPr>
              <w:fldChar w:fldCharType="separate"/>
            </w:r>
            <w:r w:rsidR="00411275">
              <w:rPr>
                <w:noProof/>
                <w:webHidden/>
              </w:rPr>
              <w:t>13</w:t>
            </w:r>
            <w:r>
              <w:rPr>
                <w:noProof/>
                <w:webHidden/>
              </w:rPr>
              <w:fldChar w:fldCharType="end"/>
            </w:r>
          </w:hyperlink>
        </w:p>
        <w:p w14:paraId="39293BAB" w14:textId="6E4F4021" w:rsidR="004E0BDC" w:rsidRDefault="004E0BDC">
          <w:pPr>
            <w:pStyle w:val="Obsah1"/>
            <w:tabs>
              <w:tab w:val="right" w:leader="dot" w:pos="9396"/>
            </w:tabs>
            <w:rPr>
              <w:noProof/>
              <w:sz w:val="22"/>
              <w:szCs w:val="22"/>
              <w:lang w:val="cs-CZ" w:eastAsia="cs-CZ"/>
            </w:rPr>
          </w:pPr>
          <w:hyperlink w:anchor="_Toc202430950" w:history="1">
            <w:r w:rsidRPr="00A0093B">
              <w:rPr>
                <w:rStyle w:val="Hypertextovodkaz"/>
                <w:b/>
                <w:bCs/>
                <w:noProof/>
                <w:lang w:val="cs-CZ"/>
              </w:rPr>
              <w:t>7. PŘÍLOHA</w:t>
            </w:r>
            <w:r>
              <w:rPr>
                <w:noProof/>
                <w:webHidden/>
              </w:rPr>
              <w:tab/>
            </w:r>
            <w:r>
              <w:rPr>
                <w:noProof/>
                <w:webHidden/>
              </w:rPr>
              <w:fldChar w:fldCharType="begin"/>
            </w:r>
            <w:r>
              <w:rPr>
                <w:noProof/>
                <w:webHidden/>
              </w:rPr>
              <w:instrText xml:space="preserve"> PAGEREF _Toc202430950 \h </w:instrText>
            </w:r>
            <w:r>
              <w:rPr>
                <w:noProof/>
                <w:webHidden/>
              </w:rPr>
            </w:r>
            <w:r>
              <w:rPr>
                <w:noProof/>
                <w:webHidden/>
              </w:rPr>
              <w:fldChar w:fldCharType="separate"/>
            </w:r>
            <w:r w:rsidR="00411275">
              <w:rPr>
                <w:noProof/>
                <w:webHidden/>
              </w:rPr>
              <w:t>14</w:t>
            </w:r>
            <w:r>
              <w:rPr>
                <w:noProof/>
                <w:webHidden/>
              </w:rPr>
              <w:fldChar w:fldCharType="end"/>
            </w:r>
          </w:hyperlink>
        </w:p>
        <w:p w14:paraId="7DE2DB9F" w14:textId="77777777" w:rsidR="002528B0" w:rsidRPr="00090792" w:rsidRDefault="002528B0">
          <w:pPr>
            <w:rPr>
              <w:lang w:val="cs-CZ"/>
            </w:rPr>
          </w:pPr>
          <w:r w:rsidRPr="00090792">
            <w:rPr>
              <w:b/>
              <w:bCs/>
              <w:lang w:val="cs-CZ"/>
            </w:rPr>
            <w:fldChar w:fldCharType="end"/>
          </w:r>
        </w:p>
      </w:sdtContent>
    </w:sdt>
    <w:p w14:paraId="03104E10" w14:textId="77777777" w:rsidR="00CC7A52" w:rsidRDefault="00CC7A52" w:rsidP="00FD2C7F">
      <w:pPr>
        <w:rPr>
          <w:lang w:val="cs-CZ"/>
        </w:rPr>
      </w:pPr>
    </w:p>
    <w:p w14:paraId="46E39D32" w14:textId="77777777" w:rsidR="00FB475E" w:rsidRDefault="00FB475E" w:rsidP="00FD2C7F">
      <w:pPr>
        <w:rPr>
          <w:lang w:val="cs-CZ"/>
        </w:rPr>
      </w:pPr>
    </w:p>
    <w:p w14:paraId="4C0C4173" w14:textId="77777777" w:rsidR="00FB475E" w:rsidRDefault="00FB475E" w:rsidP="00FD2C7F">
      <w:pPr>
        <w:rPr>
          <w:lang w:val="cs-CZ"/>
        </w:rPr>
      </w:pPr>
    </w:p>
    <w:p w14:paraId="2E86D528" w14:textId="77777777" w:rsidR="00FB475E" w:rsidRDefault="00FB475E" w:rsidP="00FD2C7F">
      <w:pPr>
        <w:rPr>
          <w:lang w:val="cs-CZ"/>
        </w:rPr>
      </w:pPr>
    </w:p>
    <w:p w14:paraId="37F167EA" w14:textId="77777777" w:rsidR="00FB475E" w:rsidRDefault="00FB475E" w:rsidP="00FD2C7F">
      <w:pPr>
        <w:rPr>
          <w:lang w:val="cs-CZ"/>
        </w:rPr>
      </w:pPr>
    </w:p>
    <w:p w14:paraId="140098DF" w14:textId="77777777" w:rsidR="00FB475E" w:rsidRDefault="00FB475E" w:rsidP="00FD2C7F">
      <w:pPr>
        <w:rPr>
          <w:lang w:val="cs-CZ"/>
        </w:rPr>
      </w:pPr>
    </w:p>
    <w:p w14:paraId="640E9C86" w14:textId="77777777" w:rsidR="00FB475E" w:rsidRDefault="00FB475E" w:rsidP="00FD2C7F">
      <w:pPr>
        <w:rPr>
          <w:lang w:val="cs-CZ"/>
        </w:rPr>
      </w:pPr>
    </w:p>
    <w:p w14:paraId="195D8974" w14:textId="77777777" w:rsidR="00FB475E" w:rsidRPr="00090792" w:rsidRDefault="00FB475E" w:rsidP="00FD2C7F">
      <w:pPr>
        <w:rPr>
          <w:lang w:val="cs-CZ"/>
        </w:rPr>
      </w:pPr>
    </w:p>
    <w:p w14:paraId="118DE2F5" w14:textId="77777777" w:rsidR="00714B4D" w:rsidRDefault="00714B4D" w:rsidP="00714B4D">
      <w:pPr>
        <w:pStyle w:val="Default"/>
        <w:rPr>
          <w:b/>
          <w:bCs/>
          <w:color w:val="232852"/>
          <w:sz w:val="28"/>
          <w:szCs w:val="28"/>
        </w:rPr>
      </w:pPr>
      <w:r>
        <w:rPr>
          <w:b/>
          <w:bCs/>
          <w:color w:val="232852"/>
          <w:sz w:val="28"/>
          <w:szCs w:val="28"/>
        </w:rPr>
        <w:t xml:space="preserve">Upozornění </w:t>
      </w:r>
    </w:p>
    <w:p w14:paraId="7671AE16" w14:textId="77777777" w:rsidR="00714B4D" w:rsidRDefault="00714B4D" w:rsidP="00714B4D">
      <w:pPr>
        <w:pStyle w:val="Default"/>
        <w:rPr>
          <w:sz w:val="28"/>
          <w:szCs w:val="28"/>
        </w:rPr>
      </w:pPr>
    </w:p>
    <w:tbl>
      <w:tblPr>
        <w:tblStyle w:val="Mkatabulky"/>
        <w:tblW w:w="0" w:type="auto"/>
        <w:tblLook w:val="04A0" w:firstRow="1" w:lastRow="0" w:firstColumn="1" w:lastColumn="0" w:noHBand="0" w:noVBand="1"/>
      </w:tblPr>
      <w:tblGrid>
        <w:gridCol w:w="9396"/>
      </w:tblGrid>
      <w:tr w:rsidR="00714B4D" w:rsidRPr="00090792" w14:paraId="09BB2236" w14:textId="77777777" w:rsidTr="00714B4D">
        <w:tc>
          <w:tcPr>
            <w:tcW w:w="9396" w:type="dxa"/>
            <w:shd w:val="clear" w:color="auto" w:fill="DBE5F1" w:themeFill="accent1" w:themeFillTint="33"/>
          </w:tcPr>
          <w:p w14:paraId="2F5FCFFE" w14:textId="470174C4" w:rsidR="00714B4D" w:rsidRPr="00FB475E" w:rsidRDefault="00714B4D" w:rsidP="00A11676">
            <w:pPr>
              <w:jc w:val="both"/>
              <w:rPr>
                <w:i/>
                <w:iCs/>
                <w:lang w:val="cs-CZ"/>
              </w:rPr>
            </w:pPr>
            <w:proofErr w:type="spellStart"/>
            <w:r w:rsidRPr="00714B4D">
              <w:rPr>
                <w:i/>
                <w:iCs/>
              </w:rPr>
              <w:t>Následující</w:t>
            </w:r>
            <w:proofErr w:type="spellEnd"/>
            <w:r w:rsidRPr="00714B4D">
              <w:rPr>
                <w:i/>
                <w:iCs/>
              </w:rPr>
              <w:t xml:space="preserve"> text je </w:t>
            </w:r>
            <w:proofErr w:type="spellStart"/>
            <w:r w:rsidRPr="00714B4D">
              <w:rPr>
                <w:i/>
                <w:iCs/>
              </w:rPr>
              <w:t>nutno</w:t>
            </w:r>
            <w:proofErr w:type="spellEnd"/>
            <w:r w:rsidRPr="00714B4D">
              <w:rPr>
                <w:i/>
                <w:iCs/>
              </w:rPr>
              <w:t xml:space="preserve"> </w:t>
            </w:r>
            <w:proofErr w:type="spellStart"/>
            <w:r w:rsidRPr="00714B4D">
              <w:rPr>
                <w:i/>
                <w:iCs/>
              </w:rPr>
              <w:t>chápat</w:t>
            </w:r>
            <w:proofErr w:type="spellEnd"/>
            <w:r w:rsidRPr="00714B4D">
              <w:rPr>
                <w:i/>
                <w:iCs/>
              </w:rPr>
              <w:t xml:space="preserve"> </w:t>
            </w:r>
            <w:proofErr w:type="spellStart"/>
            <w:r w:rsidRPr="00714B4D">
              <w:rPr>
                <w:i/>
                <w:iCs/>
              </w:rPr>
              <w:t>jako</w:t>
            </w:r>
            <w:proofErr w:type="spellEnd"/>
            <w:r w:rsidRPr="00714B4D">
              <w:rPr>
                <w:i/>
                <w:iCs/>
              </w:rPr>
              <w:t xml:space="preserve"> </w:t>
            </w:r>
            <w:proofErr w:type="spellStart"/>
            <w:r w:rsidRPr="00714B4D">
              <w:rPr>
                <w:i/>
                <w:iCs/>
              </w:rPr>
              <w:t>doporučení</w:t>
            </w:r>
            <w:proofErr w:type="spellEnd"/>
            <w:r w:rsidRPr="00714B4D">
              <w:rPr>
                <w:i/>
                <w:iCs/>
              </w:rPr>
              <w:t xml:space="preserve">, jak </w:t>
            </w:r>
            <w:proofErr w:type="spellStart"/>
            <w:r w:rsidRPr="00714B4D">
              <w:rPr>
                <w:i/>
                <w:iCs/>
              </w:rPr>
              <w:t>postupovat</w:t>
            </w:r>
            <w:proofErr w:type="spellEnd"/>
            <w:r w:rsidRPr="00714B4D">
              <w:rPr>
                <w:i/>
                <w:iCs/>
              </w:rPr>
              <w:t xml:space="preserve"> </w:t>
            </w:r>
            <w:proofErr w:type="spellStart"/>
            <w:r w:rsidRPr="00714B4D">
              <w:rPr>
                <w:i/>
                <w:iCs/>
              </w:rPr>
              <w:t>při</w:t>
            </w:r>
            <w:proofErr w:type="spellEnd"/>
            <w:r w:rsidRPr="00714B4D">
              <w:rPr>
                <w:i/>
                <w:iCs/>
              </w:rPr>
              <w:t xml:space="preserve"> </w:t>
            </w:r>
            <w:proofErr w:type="spellStart"/>
            <w:r w:rsidRPr="00714B4D">
              <w:rPr>
                <w:i/>
                <w:iCs/>
              </w:rPr>
              <w:t>aplikaci</w:t>
            </w:r>
            <w:proofErr w:type="spellEnd"/>
            <w:r w:rsidRPr="00714B4D">
              <w:rPr>
                <w:i/>
                <w:iCs/>
              </w:rPr>
              <w:t xml:space="preserve"> </w:t>
            </w:r>
            <w:r>
              <w:rPr>
                <w:i/>
                <w:iCs/>
              </w:rPr>
              <w:t xml:space="preserve">§ 7a </w:t>
            </w:r>
            <w:proofErr w:type="spellStart"/>
            <w:r>
              <w:rPr>
                <w:i/>
                <w:iCs/>
              </w:rPr>
              <w:t>zákona</w:t>
            </w:r>
            <w:proofErr w:type="spellEnd"/>
            <w:r>
              <w:rPr>
                <w:i/>
                <w:iCs/>
              </w:rPr>
              <w:t xml:space="preserve"> č. 215/2004 Sb</w:t>
            </w:r>
            <w:r w:rsidRPr="00714B4D">
              <w:rPr>
                <w:i/>
                <w:iCs/>
              </w:rPr>
              <w:t xml:space="preserve">. </w:t>
            </w:r>
            <w:r w:rsidR="00FB475E" w:rsidRPr="00FB475E">
              <w:rPr>
                <w:i/>
                <w:iCs/>
                <w:lang w:val="cs-CZ"/>
              </w:rPr>
              <w:t>Metodika vychází z práva EU, vnitrostátních předpisů, z doporučení a</w:t>
            </w:r>
            <w:r w:rsidR="00E15DC2">
              <w:rPr>
                <w:i/>
                <w:iCs/>
                <w:lang w:val="cs-CZ"/>
              </w:rPr>
              <w:t> </w:t>
            </w:r>
            <w:r w:rsidR="00FB475E" w:rsidRPr="00FB475E">
              <w:rPr>
                <w:i/>
                <w:iCs/>
                <w:lang w:val="cs-CZ"/>
              </w:rPr>
              <w:t>metodických vodítek Evropské komise a dále z poznatků z aplikační praxe, zejm. projednávání dané problematiky s Evropskou komisí.</w:t>
            </w:r>
            <w:r w:rsidR="00FB475E">
              <w:rPr>
                <w:i/>
                <w:iCs/>
                <w:lang w:val="cs-CZ"/>
              </w:rPr>
              <w:t xml:space="preserve"> </w:t>
            </w:r>
            <w:r w:rsidRPr="00714B4D">
              <w:rPr>
                <w:i/>
                <w:iCs/>
              </w:rPr>
              <w:t xml:space="preserve">Text </w:t>
            </w:r>
            <w:proofErr w:type="spellStart"/>
            <w:r w:rsidR="00FB475E">
              <w:rPr>
                <w:i/>
                <w:iCs/>
              </w:rPr>
              <w:t>metodiky</w:t>
            </w:r>
            <w:proofErr w:type="spellEnd"/>
            <w:r w:rsidRPr="00714B4D">
              <w:rPr>
                <w:i/>
                <w:iCs/>
              </w:rPr>
              <w:t xml:space="preserve"> a </w:t>
            </w:r>
            <w:proofErr w:type="spellStart"/>
            <w:r w:rsidRPr="00714B4D">
              <w:rPr>
                <w:i/>
                <w:iCs/>
              </w:rPr>
              <w:t>postupy</w:t>
            </w:r>
            <w:proofErr w:type="spellEnd"/>
            <w:r w:rsidRPr="00714B4D">
              <w:rPr>
                <w:i/>
                <w:iCs/>
              </w:rPr>
              <w:t xml:space="preserve"> v </w:t>
            </w:r>
            <w:proofErr w:type="spellStart"/>
            <w:r w:rsidRPr="00714B4D">
              <w:rPr>
                <w:i/>
                <w:iCs/>
              </w:rPr>
              <w:t>něm</w:t>
            </w:r>
            <w:proofErr w:type="spellEnd"/>
            <w:r w:rsidRPr="00714B4D">
              <w:rPr>
                <w:i/>
                <w:iCs/>
              </w:rPr>
              <w:t xml:space="preserve"> </w:t>
            </w:r>
            <w:proofErr w:type="spellStart"/>
            <w:r w:rsidRPr="00714B4D">
              <w:rPr>
                <w:i/>
                <w:iCs/>
              </w:rPr>
              <w:t>uvedené</w:t>
            </w:r>
            <w:proofErr w:type="spellEnd"/>
            <w:r w:rsidRPr="00714B4D">
              <w:rPr>
                <w:i/>
                <w:iCs/>
              </w:rPr>
              <w:t xml:space="preserve"> </w:t>
            </w:r>
            <w:proofErr w:type="spellStart"/>
            <w:r w:rsidRPr="00714B4D">
              <w:rPr>
                <w:i/>
                <w:iCs/>
              </w:rPr>
              <w:t>nejsou</w:t>
            </w:r>
            <w:proofErr w:type="spellEnd"/>
            <w:r w:rsidRPr="00714B4D">
              <w:rPr>
                <w:i/>
                <w:iCs/>
              </w:rPr>
              <w:t xml:space="preserve"> </w:t>
            </w:r>
            <w:proofErr w:type="spellStart"/>
            <w:r w:rsidRPr="00714B4D">
              <w:rPr>
                <w:i/>
                <w:iCs/>
              </w:rPr>
              <w:t>právně</w:t>
            </w:r>
            <w:proofErr w:type="spellEnd"/>
            <w:r w:rsidRPr="00714B4D">
              <w:rPr>
                <w:i/>
                <w:iCs/>
              </w:rPr>
              <w:t xml:space="preserve"> </w:t>
            </w:r>
            <w:proofErr w:type="spellStart"/>
            <w:r w:rsidRPr="00714B4D">
              <w:rPr>
                <w:i/>
                <w:iCs/>
              </w:rPr>
              <w:t>závazné</w:t>
            </w:r>
            <w:proofErr w:type="spellEnd"/>
            <w:r w:rsidRPr="00714B4D">
              <w:rPr>
                <w:i/>
                <w:iCs/>
              </w:rPr>
              <w:t xml:space="preserve"> a v </w:t>
            </w:r>
            <w:proofErr w:type="spellStart"/>
            <w:r w:rsidRPr="00714B4D">
              <w:rPr>
                <w:i/>
                <w:iCs/>
              </w:rPr>
              <w:t>žádném</w:t>
            </w:r>
            <w:proofErr w:type="spellEnd"/>
            <w:r w:rsidRPr="00714B4D">
              <w:rPr>
                <w:i/>
                <w:iCs/>
              </w:rPr>
              <w:t xml:space="preserve"> </w:t>
            </w:r>
            <w:proofErr w:type="spellStart"/>
            <w:r w:rsidRPr="00714B4D">
              <w:rPr>
                <w:i/>
                <w:iCs/>
              </w:rPr>
              <w:t>případě</w:t>
            </w:r>
            <w:proofErr w:type="spellEnd"/>
            <w:r w:rsidRPr="00714B4D">
              <w:rPr>
                <w:i/>
                <w:iCs/>
              </w:rPr>
              <w:t xml:space="preserve"> </w:t>
            </w:r>
            <w:proofErr w:type="spellStart"/>
            <w:r w:rsidRPr="00714B4D">
              <w:rPr>
                <w:i/>
                <w:iCs/>
              </w:rPr>
              <w:t>nenahrazují</w:t>
            </w:r>
            <w:proofErr w:type="spellEnd"/>
            <w:r w:rsidRPr="00714B4D">
              <w:rPr>
                <w:i/>
                <w:iCs/>
              </w:rPr>
              <w:t xml:space="preserve"> </w:t>
            </w:r>
            <w:proofErr w:type="spellStart"/>
            <w:r w:rsidRPr="00714B4D">
              <w:rPr>
                <w:i/>
                <w:iCs/>
              </w:rPr>
              <w:t>platné</w:t>
            </w:r>
            <w:proofErr w:type="spellEnd"/>
            <w:r w:rsidRPr="00714B4D">
              <w:rPr>
                <w:i/>
                <w:iCs/>
              </w:rPr>
              <w:t xml:space="preserve"> </w:t>
            </w:r>
            <w:proofErr w:type="spellStart"/>
            <w:r w:rsidRPr="00714B4D">
              <w:rPr>
                <w:i/>
                <w:iCs/>
              </w:rPr>
              <w:t>právní</w:t>
            </w:r>
            <w:proofErr w:type="spellEnd"/>
            <w:r w:rsidRPr="00714B4D">
              <w:rPr>
                <w:i/>
                <w:iCs/>
              </w:rPr>
              <w:t xml:space="preserve"> </w:t>
            </w:r>
            <w:proofErr w:type="spellStart"/>
            <w:r w:rsidRPr="00714B4D">
              <w:rPr>
                <w:i/>
                <w:iCs/>
              </w:rPr>
              <w:t>předpisy</w:t>
            </w:r>
            <w:proofErr w:type="spellEnd"/>
            <w:r w:rsidRPr="00714B4D">
              <w:rPr>
                <w:i/>
                <w:iCs/>
              </w:rPr>
              <w:t>.</w:t>
            </w:r>
            <w:bookmarkStart w:id="1" w:name="_Hlk212730345"/>
            <w:r w:rsidR="00E15DC2">
              <w:rPr>
                <w:i/>
                <w:iCs/>
              </w:rPr>
              <w:t xml:space="preserve"> </w:t>
            </w:r>
            <w:r w:rsidR="00E15DC2" w:rsidRPr="00E15DC2">
              <w:rPr>
                <w:i/>
                <w:iCs/>
                <w:lang w:val="cs-CZ"/>
              </w:rPr>
              <w:t>Tato metodika slouží jako informativní materiál k předpisům, které tuto povinnost zakotvují.</w:t>
            </w:r>
            <w:r w:rsidR="007F5DDF">
              <w:rPr>
                <w:i/>
                <w:iCs/>
                <w:lang w:val="cs-CZ"/>
              </w:rPr>
              <w:t xml:space="preserve"> </w:t>
            </w:r>
            <w:r w:rsidR="00FB475E" w:rsidRPr="00FB475E">
              <w:rPr>
                <w:i/>
                <w:iCs/>
                <w:lang w:val="cs-CZ"/>
              </w:rPr>
              <w:t xml:space="preserve">Metodika může být aktualizována na základě změny předpisů Evropské unie, výkladové či aplikační praxe. </w:t>
            </w:r>
            <w:bookmarkEnd w:id="1"/>
          </w:p>
        </w:tc>
      </w:tr>
    </w:tbl>
    <w:p w14:paraId="238F737C" w14:textId="5F2BD38E" w:rsidR="00070FB8" w:rsidRPr="00090792" w:rsidRDefault="00CC7A52" w:rsidP="00714B4D">
      <w:pPr>
        <w:jc w:val="both"/>
        <w:rPr>
          <w:lang w:val="cs-CZ"/>
        </w:rPr>
      </w:pPr>
      <w:r w:rsidRPr="00090792">
        <w:rPr>
          <w:lang w:val="cs-CZ"/>
        </w:rPr>
        <w:br w:type="page"/>
      </w:r>
    </w:p>
    <w:p w14:paraId="514E3450" w14:textId="77777777" w:rsidR="0065502A" w:rsidRPr="00090792" w:rsidRDefault="00E06313" w:rsidP="001962BB">
      <w:pPr>
        <w:pStyle w:val="Nadpis1"/>
        <w:rPr>
          <w:b/>
          <w:bCs/>
          <w:sz w:val="32"/>
          <w:szCs w:val="32"/>
          <w:lang w:val="cs-CZ"/>
        </w:rPr>
      </w:pPr>
      <w:bookmarkStart w:id="2" w:name="_Toc202430940"/>
      <w:r w:rsidRPr="00090792">
        <w:rPr>
          <w:b/>
          <w:bCs/>
          <w:sz w:val="32"/>
          <w:szCs w:val="32"/>
          <w:lang w:val="cs-CZ"/>
        </w:rPr>
        <w:lastRenderedPageBreak/>
        <w:t xml:space="preserve">1. </w:t>
      </w:r>
      <w:r w:rsidR="00D27A35" w:rsidRPr="00090792">
        <w:rPr>
          <w:b/>
          <w:bCs/>
          <w:sz w:val="32"/>
          <w:szCs w:val="32"/>
          <w:lang w:val="cs-CZ"/>
        </w:rPr>
        <w:t xml:space="preserve">ÚČEL </w:t>
      </w:r>
      <w:bookmarkEnd w:id="0"/>
      <w:r w:rsidR="008E6081" w:rsidRPr="00090792">
        <w:rPr>
          <w:b/>
          <w:bCs/>
          <w:sz w:val="32"/>
          <w:szCs w:val="32"/>
          <w:lang w:val="cs-CZ"/>
        </w:rPr>
        <w:t>METODIKY</w:t>
      </w:r>
      <w:bookmarkEnd w:id="2"/>
    </w:p>
    <w:p w14:paraId="4039D0DB" w14:textId="77777777" w:rsidR="00414B81" w:rsidRPr="00090792" w:rsidRDefault="00773EEF" w:rsidP="00BA6B51">
      <w:pPr>
        <w:jc w:val="both"/>
        <w:rPr>
          <w:sz w:val="24"/>
          <w:szCs w:val="24"/>
          <w:lang w:val="cs-CZ"/>
        </w:rPr>
      </w:pPr>
      <w:r w:rsidRPr="00090792">
        <w:rPr>
          <w:sz w:val="24"/>
          <w:szCs w:val="24"/>
          <w:lang w:val="cs-CZ"/>
        </w:rPr>
        <w:t>M</w:t>
      </w:r>
      <w:r w:rsidR="008E6081" w:rsidRPr="00090792">
        <w:rPr>
          <w:sz w:val="24"/>
          <w:szCs w:val="24"/>
          <w:lang w:val="cs-CZ"/>
        </w:rPr>
        <w:t>etodika</w:t>
      </w:r>
      <w:r w:rsidR="000F2F82" w:rsidRPr="00090792">
        <w:rPr>
          <w:sz w:val="24"/>
          <w:szCs w:val="24"/>
          <w:lang w:val="cs-CZ"/>
        </w:rPr>
        <w:t xml:space="preserve"> je určen</w:t>
      </w:r>
      <w:r w:rsidR="008E6081" w:rsidRPr="00090792">
        <w:rPr>
          <w:sz w:val="24"/>
          <w:szCs w:val="24"/>
          <w:lang w:val="cs-CZ"/>
        </w:rPr>
        <w:t>a</w:t>
      </w:r>
      <w:r w:rsidR="000F2F82" w:rsidRPr="00090792">
        <w:rPr>
          <w:sz w:val="24"/>
          <w:szCs w:val="24"/>
          <w:lang w:val="cs-CZ"/>
        </w:rPr>
        <w:t xml:space="preserve"> poskytovatelům veřejné podpory a stanovuje</w:t>
      </w:r>
      <w:r w:rsidR="009F6120" w:rsidRPr="00090792">
        <w:rPr>
          <w:sz w:val="24"/>
          <w:szCs w:val="24"/>
          <w:lang w:val="cs-CZ"/>
        </w:rPr>
        <w:t>,</w:t>
      </w:r>
      <w:r w:rsidR="00102AD9" w:rsidRPr="00090792">
        <w:rPr>
          <w:sz w:val="24"/>
          <w:szCs w:val="24"/>
          <w:lang w:val="cs-CZ"/>
        </w:rPr>
        <w:t xml:space="preserve"> jak </w:t>
      </w:r>
      <w:r w:rsidR="00533007" w:rsidRPr="00090792">
        <w:rPr>
          <w:sz w:val="24"/>
          <w:szCs w:val="24"/>
          <w:lang w:val="cs-CZ"/>
        </w:rPr>
        <w:t xml:space="preserve">splnit </w:t>
      </w:r>
      <w:r w:rsidR="00253025" w:rsidRPr="00090792">
        <w:rPr>
          <w:sz w:val="24"/>
          <w:szCs w:val="24"/>
          <w:lang w:val="cs-CZ"/>
        </w:rPr>
        <w:t>požadavk</w:t>
      </w:r>
      <w:r w:rsidR="00533007" w:rsidRPr="00090792">
        <w:rPr>
          <w:sz w:val="24"/>
          <w:szCs w:val="24"/>
          <w:lang w:val="cs-CZ"/>
        </w:rPr>
        <w:t>y</w:t>
      </w:r>
      <w:r w:rsidR="006E3025" w:rsidRPr="00090792">
        <w:rPr>
          <w:sz w:val="24"/>
          <w:szCs w:val="24"/>
          <w:lang w:val="cs-CZ"/>
        </w:rPr>
        <w:t xml:space="preserve"> </w:t>
      </w:r>
      <w:r w:rsidR="00533007" w:rsidRPr="00090792">
        <w:rPr>
          <w:sz w:val="24"/>
          <w:szCs w:val="24"/>
          <w:lang w:val="cs-CZ"/>
        </w:rPr>
        <w:t>vyplývající z</w:t>
      </w:r>
      <w:r w:rsidR="006E3025" w:rsidRPr="00090792">
        <w:rPr>
          <w:sz w:val="24"/>
          <w:szCs w:val="24"/>
          <w:lang w:val="cs-CZ"/>
        </w:rPr>
        <w:t xml:space="preserve"> </w:t>
      </w:r>
      <w:bookmarkStart w:id="3" w:name="_Hlk193295107"/>
      <w:r w:rsidR="00D64A82" w:rsidRPr="00090792">
        <w:rPr>
          <w:sz w:val="24"/>
          <w:szCs w:val="24"/>
          <w:lang w:val="cs-CZ"/>
        </w:rPr>
        <w:fldChar w:fldCharType="begin"/>
      </w:r>
      <w:r w:rsidR="00D64A82" w:rsidRPr="00090792">
        <w:rPr>
          <w:sz w:val="24"/>
          <w:szCs w:val="24"/>
          <w:lang w:val="cs-CZ"/>
        </w:rPr>
        <w:instrText>HYPERLINK "https://www.aspi.cz/products/lawText/1/103845/1/2"</w:instrText>
      </w:r>
      <w:r w:rsidR="00D64A82" w:rsidRPr="00090792">
        <w:rPr>
          <w:sz w:val="24"/>
          <w:szCs w:val="24"/>
          <w:lang w:val="cs-CZ"/>
        </w:rPr>
      </w:r>
      <w:r w:rsidR="00D64A82" w:rsidRPr="00090792">
        <w:rPr>
          <w:sz w:val="24"/>
          <w:szCs w:val="24"/>
          <w:lang w:val="cs-CZ"/>
        </w:rPr>
        <w:fldChar w:fldCharType="separate"/>
      </w:r>
      <w:r w:rsidR="006E3025" w:rsidRPr="00090792">
        <w:rPr>
          <w:rStyle w:val="Hypertextovodkaz"/>
          <w:sz w:val="24"/>
          <w:szCs w:val="24"/>
          <w:lang w:val="cs-CZ"/>
        </w:rPr>
        <w:t>§ 7a</w:t>
      </w:r>
      <w:r w:rsidR="00D64A82" w:rsidRPr="00090792">
        <w:rPr>
          <w:sz w:val="24"/>
          <w:szCs w:val="24"/>
          <w:lang w:val="cs-CZ"/>
        </w:rPr>
        <w:fldChar w:fldCharType="end"/>
      </w:r>
      <w:r w:rsidR="006E3025" w:rsidRPr="00090792">
        <w:rPr>
          <w:sz w:val="24"/>
          <w:szCs w:val="24"/>
          <w:lang w:val="cs-CZ"/>
        </w:rPr>
        <w:t xml:space="preserve"> zákona č. 215/2004 Sb., o úpravě některých vztahů v oblasti veřejné podpory a o změně zákona o podpoře výzkumu a vývoje</w:t>
      </w:r>
      <w:bookmarkEnd w:id="3"/>
      <w:r w:rsidRPr="00090792">
        <w:rPr>
          <w:sz w:val="24"/>
          <w:szCs w:val="24"/>
          <w:lang w:val="cs-CZ"/>
        </w:rPr>
        <w:t>, ve znění pozdějších předpisů</w:t>
      </w:r>
      <w:r w:rsidR="007A497F" w:rsidRPr="00090792">
        <w:rPr>
          <w:sz w:val="24"/>
          <w:szCs w:val="24"/>
          <w:lang w:val="cs-CZ"/>
        </w:rPr>
        <w:t xml:space="preserve"> (dále jen „zákon</w:t>
      </w:r>
      <w:r w:rsidR="00533007" w:rsidRPr="00090792">
        <w:rPr>
          <w:sz w:val="24"/>
          <w:szCs w:val="24"/>
          <w:lang w:val="cs-CZ"/>
        </w:rPr>
        <w:t xml:space="preserve"> č. 215/2004 Sb.</w:t>
      </w:r>
      <w:r w:rsidR="007A497F" w:rsidRPr="00090792">
        <w:rPr>
          <w:sz w:val="24"/>
          <w:szCs w:val="24"/>
          <w:lang w:val="cs-CZ"/>
        </w:rPr>
        <w:t>“)</w:t>
      </w:r>
      <w:r w:rsidR="002B3C24" w:rsidRPr="00090792">
        <w:rPr>
          <w:sz w:val="24"/>
          <w:szCs w:val="24"/>
          <w:lang w:val="cs-CZ"/>
        </w:rPr>
        <w:t>.</w:t>
      </w:r>
      <w:r w:rsidR="00253025" w:rsidRPr="00090792">
        <w:rPr>
          <w:sz w:val="24"/>
          <w:szCs w:val="24"/>
          <w:lang w:val="cs-CZ"/>
        </w:rPr>
        <w:t xml:space="preserve"> </w:t>
      </w:r>
      <w:bookmarkStart w:id="4" w:name="_Hlk193186497"/>
      <w:bookmarkStart w:id="5" w:name="_Hlk212730267"/>
      <w:r w:rsidR="00533007" w:rsidRPr="00090792">
        <w:rPr>
          <w:sz w:val="24"/>
          <w:szCs w:val="24"/>
          <w:lang w:val="cs-CZ"/>
        </w:rPr>
        <w:t xml:space="preserve">Metodika se vztahuje na </w:t>
      </w:r>
      <w:r w:rsidR="00BA6B51" w:rsidRPr="00090792">
        <w:rPr>
          <w:sz w:val="24"/>
          <w:szCs w:val="24"/>
          <w:lang w:val="cs-CZ"/>
        </w:rPr>
        <w:t xml:space="preserve">případy, kdy o vrácení podpory z důvodu jejího rozporu </w:t>
      </w:r>
      <w:r w:rsidR="00E82695" w:rsidRPr="00090792">
        <w:rPr>
          <w:sz w:val="24"/>
          <w:szCs w:val="24"/>
          <w:lang w:val="cs-CZ"/>
        </w:rPr>
        <w:t xml:space="preserve">s </w:t>
      </w:r>
      <w:r w:rsidR="00BA6B51" w:rsidRPr="00090792">
        <w:rPr>
          <w:sz w:val="24"/>
          <w:szCs w:val="24"/>
          <w:lang w:val="cs-CZ"/>
        </w:rPr>
        <w:t xml:space="preserve">právem EU rozhoduje </w:t>
      </w:r>
      <w:r w:rsidR="00414B81" w:rsidRPr="00090792">
        <w:rPr>
          <w:sz w:val="24"/>
          <w:szCs w:val="24"/>
          <w:lang w:val="cs-CZ"/>
        </w:rPr>
        <w:t xml:space="preserve">sám </w:t>
      </w:r>
      <w:r w:rsidR="00BA6B51" w:rsidRPr="00090792">
        <w:rPr>
          <w:sz w:val="24"/>
          <w:szCs w:val="24"/>
          <w:lang w:val="cs-CZ"/>
        </w:rPr>
        <w:t>poskytovatel podpory v České republice</w:t>
      </w:r>
      <w:r w:rsidR="00533007" w:rsidRPr="00090792">
        <w:rPr>
          <w:sz w:val="24"/>
          <w:szCs w:val="24"/>
          <w:lang w:val="cs-CZ"/>
        </w:rPr>
        <w:t>,</w:t>
      </w:r>
      <w:r w:rsidR="00BA6B51" w:rsidRPr="00090792">
        <w:rPr>
          <w:sz w:val="24"/>
          <w:szCs w:val="24"/>
          <w:lang w:val="cs-CZ"/>
        </w:rPr>
        <w:t xml:space="preserve"> a nikoli Evropská komise </w:t>
      </w:r>
      <w:bookmarkEnd w:id="4"/>
      <w:r w:rsidR="00BA6B51" w:rsidRPr="00090792">
        <w:rPr>
          <w:sz w:val="24"/>
          <w:szCs w:val="24"/>
          <w:lang w:val="cs-CZ"/>
        </w:rPr>
        <w:t>postupem podle nařízení Rady 2015/1589</w:t>
      </w:r>
      <w:r w:rsidR="00BA6B51" w:rsidRPr="00090792">
        <w:rPr>
          <w:rStyle w:val="Znakapoznpodarou"/>
          <w:sz w:val="24"/>
          <w:szCs w:val="24"/>
          <w:lang w:val="cs-CZ"/>
        </w:rPr>
        <w:footnoteReference w:id="1"/>
      </w:r>
      <w:r w:rsidR="00414B81" w:rsidRPr="00090792">
        <w:rPr>
          <w:sz w:val="24"/>
          <w:szCs w:val="24"/>
          <w:lang w:val="cs-CZ"/>
        </w:rPr>
        <w:t>, jež řeší</w:t>
      </w:r>
      <w:r w:rsidR="00533007" w:rsidRPr="00090792">
        <w:rPr>
          <w:sz w:val="24"/>
          <w:szCs w:val="24"/>
          <w:lang w:val="cs-CZ"/>
        </w:rPr>
        <w:t xml:space="preserve"> </w:t>
      </w:r>
      <w:hyperlink r:id="rId17" w:anchor="c_61" w:history="1">
        <w:r w:rsidR="00EC7852" w:rsidRPr="00090792">
          <w:rPr>
            <w:rStyle w:val="Hypertextovodkaz"/>
            <w:sz w:val="24"/>
            <w:szCs w:val="24"/>
            <w:lang w:val="cs-CZ"/>
          </w:rPr>
          <w:t>§</w:t>
        </w:r>
        <w:r w:rsidR="001D0DBF" w:rsidRPr="00090792">
          <w:rPr>
            <w:rStyle w:val="Hypertextovodkaz"/>
            <w:sz w:val="24"/>
            <w:szCs w:val="24"/>
            <w:lang w:val="cs-CZ"/>
          </w:rPr>
          <w:t> </w:t>
        </w:r>
        <w:r w:rsidR="00EC7852" w:rsidRPr="00090792">
          <w:rPr>
            <w:rStyle w:val="Hypertextovodkaz"/>
            <w:sz w:val="24"/>
            <w:szCs w:val="24"/>
            <w:lang w:val="cs-CZ"/>
          </w:rPr>
          <w:t>7</w:t>
        </w:r>
      </w:hyperlink>
      <w:r w:rsidR="00533007" w:rsidRPr="00090792">
        <w:rPr>
          <w:sz w:val="24"/>
          <w:szCs w:val="24"/>
          <w:lang w:val="cs-CZ"/>
        </w:rPr>
        <w:t xml:space="preserve"> zákona č. 215/2004 Sb.</w:t>
      </w:r>
      <w:r w:rsidR="00BA6B51" w:rsidRPr="00090792">
        <w:rPr>
          <w:sz w:val="24"/>
          <w:szCs w:val="24"/>
          <w:lang w:val="cs-CZ"/>
        </w:rPr>
        <w:t xml:space="preserve"> </w:t>
      </w:r>
    </w:p>
    <w:p w14:paraId="050E3BB4" w14:textId="77777777" w:rsidR="00FD2C7F" w:rsidRPr="00090792" w:rsidRDefault="002358A6" w:rsidP="00FD2C7F">
      <w:pPr>
        <w:jc w:val="both"/>
        <w:rPr>
          <w:sz w:val="24"/>
          <w:szCs w:val="24"/>
          <w:lang w:val="cs-CZ"/>
        </w:rPr>
      </w:pPr>
      <w:bookmarkStart w:id="6" w:name="_Hlk208321217"/>
      <w:r w:rsidRPr="00090792">
        <w:rPr>
          <w:sz w:val="24"/>
          <w:szCs w:val="24"/>
          <w:lang w:val="cs-CZ"/>
        </w:rPr>
        <w:t xml:space="preserve">V </w:t>
      </w:r>
      <w:r w:rsidR="00D64A82" w:rsidRPr="00090792">
        <w:rPr>
          <w:sz w:val="24"/>
          <w:szCs w:val="24"/>
          <w:lang w:val="cs-CZ"/>
        </w:rPr>
        <w:t>§ 7a</w:t>
      </w:r>
      <w:r w:rsidR="00BA6B51" w:rsidRPr="00090792">
        <w:rPr>
          <w:sz w:val="24"/>
          <w:szCs w:val="24"/>
          <w:lang w:val="cs-CZ"/>
        </w:rPr>
        <w:t xml:space="preserve"> </w:t>
      </w:r>
      <w:r w:rsidRPr="00090792">
        <w:rPr>
          <w:sz w:val="24"/>
          <w:szCs w:val="24"/>
          <w:lang w:val="cs-CZ"/>
        </w:rPr>
        <w:t xml:space="preserve">je zakotveno </w:t>
      </w:r>
      <w:r w:rsidR="00BA6B51" w:rsidRPr="00090792">
        <w:rPr>
          <w:sz w:val="24"/>
          <w:szCs w:val="24"/>
          <w:lang w:val="cs-CZ"/>
        </w:rPr>
        <w:t xml:space="preserve">oprávnění poskytovatele vymoci a povinnost příjemce vrátit poskytnutou protiprávní podporu </w:t>
      </w:r>
      <w:r w:rsidR="00414B81" w:rsidRPr="00090792">
        <w:rPr>
          <w:sz w:val="24"/>
          <w:szCs w:val="24"/>
          <w:lang w:val="cs-CZ"/>
        </w:rPr>
        <w:t>včetně</w:t>
      </w:r>
      <w:r w:rsidR="00BA6B51" w:rsidRPr="00090792">
        <w:rPr>
          <w:sz w:val="24"/>
          <w:szCs w:val="24"/>
          <w:lang w:val="cs-CZ"/>
        </w:rPr>
        <w:t xml:space="preserve"> </w:t>
      </w:r>
      <w:r w:rsidR="00414B81" w:rsidRPr="00090792">
        <w:rPr>
          <w:sz w:val="24"/>
          <w:szCs w:val="24"/>
          <w:lang w:val="cs-CZ"/>
        </w:rPr>
        <w:t>úroků</w:t>
      </w:r>
      <w:r w:rsidR="00BA6B51" w:rsidRPr="00090792">
        <w:rPr>
          <w:sz w:val="24"/>
          <w:szCs w:val="24"/>
          <w:lang w:val="cs-CZ"/>
        </w:rPr>
        <w:t>, a to za celé období, během něhož s touto podporou</w:t>
      </w:r>
      <w:r w:rsidR="00D64A82" w:rsidRPr="00090792">
        <w:rPr>
          <w:sz w:val="24"/>
          <w:szCs w:val="24"/>
          <w:lang w:val="cs-CZ"/>
        </w:rPr>
        <w:t xml:space="preserve"> nakládal</w:t>
      </w:r>
      <w:r w:rsidR="00BA6B51" w:rsidRPr="00090792">
        <w:rPr>
          <w:sz w:val="24"/>
          <w:szCs w:val="24"/>
          <w:lang w:val="cs-CZ"/>
        </w:rPr>
        <w:t>.</w:t>
      </w:r>
      <w:r w:rsidR="00282838" w:rsidRPr="00090792">
        <w:rPr>
          <w:sz w:val="24"/>
          <w:szCs w:val="24"/>
          <w:lang w:val="cs-CZ"/>
        </w:rPr>
        <w:t xml:space="preserve"> </w:t>
      </w:r>
      <w:bookmarkEnd w:id="6"/>
      <w:r w:rsidR="00282838" w:rsidRPr="00090792">
        <w:rPr>
          <w:sz w:val="24"/>
          <w:szCs w:val="24"/>
          <w:lang w:val="cs-CZ"/>
        </w:rPr>
        <w:t xml:space="preserve">Toto </w:t>
      </w:r>
      <w:r w:rsidR="007A497F" w:rsidRPr="00090792">
        <w:rPr>
          <w:sz w:val="24"/>
          <w:szCs w:val="24"/>
          <w:lang w:val="cs-CZ"/>
        </w:rPr>
        <w:t>ustanovení</w:t>
      </w:r>
      <w:r w:rsidR="00FD2C7F" w:rsidRPr="00090792">
        <w:rPr>
          <w:sz w:val="24"/>
          <w:szCs w:val="24"/>
          <w:lang w:val="cs-CZ"/>
        </w:rPr>
        <w:t xml:space="preserve"> </w:t>
      </w:r>
      <w:r w:rsidR="00390F17">
        <w:rPr>
          <w:sz w:val="24"/>
          <w:szCs w:val="24"/>
          <w:lang w:val="cs-CZ"/>
        </w:rPr>
        <w:t>navazuje</w:t>
      </w:r>
      <w:r w:rsidR="00FD2C7F" w:rsidRPr="00090792">
        <w:rPr>
          <w:sz w:val="24"/>
          <w:szCs w:val="24"/>
          <w:lang w:val="cs-CZ"/>
        </w:rPr>
        <w:t xml:space="preserve"> na rozsudek Soudního dvora EU ve věci EESTI PAGAR (</w:t>
      </w:r>
      <w:hyperlink r:id="rId18" w:history="1">
        <w:r w:rsidR="00FD2C7F" w:rsidRPr="00090792">
          <w:rPr>
            <w:rStyle w:val="Hypertextovodkaz"/>
            <w:sz w:val="24"/>
            <w:szCs w:val="24"/>
            <w:lang w:val="cs-CZ"/>
          </w:rPr>
          <w:t>C-349/17</w:t>
        </w:r>
      </w:hyperlink>
      <w:r w:rsidR="00FD2C7F" w:rsidRPr="00090792">
        <w:rPr>
          <w:sz w:val="24"/>
          <w:szCs w:val="24"/>
          <w:lang w:val="cs-CZ"/>
        </w:rPr>
        <w:t>)</w:t>
      </w:r>
      <w:r w:rsidR="004E4D54">
        <w:rPr>
          <w:sz w:val="24"/>
          <w:szCs w:val="24"/>
          <w:lang w:val="cs-CZ"/>
        </w:rPr>
        <w:t>.</w:t>
      </w:r>
      <w:r w:rsidR="00FD2C7F" w:rsidRPr="00090792">
        <w:rPr>
          <w:sz w:val="24"/>
          <w:szCs w:val="24"/>
          <w:lang w:val="cs-CZ"/>
        </w:rPr>
        <w:t xml:space="preserve"> </w:t>
      </w:r>
      <w:bookmarkEnd w:id="5"/>
      <w:r w:rsidR="00892A14" w:rsidRPr="00090792">
        <w:rPr>
          <w:sz w:val="24"/>
          <w:szCs w:val="24"/>
          <w:lang w:val="cs-CZ"/>
        </w:rPr>
        <w:t>Dle cit. rozsudku, pokud vnitrostátní orgán zjistí, že podpor</w:t>
      </w:r>
      <w:r w:rsidR="009A4EC2" w:rsidRPr="00090792">
        <w:rPr>
          <w:sz w:val="24"/>
          <w:szCs w:val="24"/>
          <w:lang w:val="cs-CZ"/>
        </w:rPr>
        <w:t>u</w:t>
      </w:r>
      <w:r w:rsidR="00892A14" w:rsidRPr="00090792">
        <w:rPr>
          <w:sz w:val="24"/>
          <w:szCs w:val="24"/>
          <w:lang w:val="cs-CZ"/>
        </w:rPr>
        <w:t xml:space="preserve"> poskytl na základě </w:t>
      </w:r>
      <w:r w:rsidR="009A4EC2" w:rsidRPr="00090792">
        <w:rPr>
          <w:sz w:val="24"/>
          <w:szCs w:val="24"/>
          <w:lang w:val="cs-CZ"/>
        </w:rPr>
        <w:t>nesprávného použití pravidel veřejné podpory</w:t>
      </w:r>
      <w:r w:rsidR="00892A14" w:rsidRPr="00090792">
        <w:rPr>
          <w:sz w:val="24"/>
          <w:szCs w:val="24"/>
          <w:lang w:val="cs-CZ"/>
        </w:rPr>
        <w:t>, je povinen požadovat navrácení protiprávně poskytnuté podpory</w:t>
      </w:r>
      <w:r w:rsidR="00033855" w:rsidRPr="00090792">
        <w:rPr>
          <w:rStyle w:val="Znakapoznpodarou"/>
          <w:sz w:val="24"/>
          <w:szCs w:val="24"/>
          <w:lang w:val="cs-CZ"/>
        </w:rPr>
        <w:footnoteReference w:id="2"/>
      </w:r>
      <w:r w:rsidR="00892A14" w:rsidRPr="00090792">
        <w:rPr>
          <w:sz w:val="24"/>
          <w:szCs w:val="24"/>
          <w:lang w:val="cs-CZ"/>
        </w:rPr>
        <w:t xml:space="preserve">. </w:t>
      </w:r>
      <w:r w:rsidR="00833BDA" w:rsidRPr="00090792">
        <w:rPr>
          <w:sz w:val="24"/>
          <w:szCs w:val="24"/>
          <w:lang w:val="cs-CZ"/>
        </w:rPr>
        <w:t xml:space="preserve">V praxi </w:t>
      </w:r>
      <w:r w:rsidR="0081189F" w:rsidRPr="00090792">
        <w:rPr>
          <w:sz w:val="24"/>
          <w:szCs w:val="24"/>
          <w:lang w:val="cs-CZ"/>
        </w:rPr>
        <w:t>tak mohou na</w:t>
      </w:r>
      <w:r w:rsidR="00833BDA" w:rsidRPr="00090792">
        <w:rPr>
          <w:sz w:val="24"/>
          <w:szCs w:val="24"/>
          <w:lang w:val="cs-CZ"/>
        </w:rPr>
        <w:t xml:space="preserve">stat </w:t>
      </w:r>
      <w:r w:rsidR="00FD2C7F" w:rsidRPr="00090792">
        <w:rPr>
          <w:sz w:val="24"/>
          <w:szCs w:val="24"/>
          <w:lang w:val="cs-CZ"/>
        </w:rPr>
        <w:t xml:space="preserve">případy, kdy </w:t>
      </w:r>
      <w:r w:rsidR="000C33DA" w:rsidRPr="00090792">
        <w:rPr>
          <w:sz w:val="24"/>
          <w:szCs w:val="24"/>
          <w:lang w:val="cs-CZ"/>
        </w:rPr>
        <w:t>poskytnutí protiprávní podpory poskytovatel zjist</w:t>
      </w:r>
      <w:r w:rsidR="004369B8">
        <w:rPr>
          <w:sz w:val="24"/>
          <w:szCs w:val="24"/>
          <w:lang w:val="cs-CZ"/>
        </w:rPr>
        <w:t>í</w:t>
      </w:r>
      <w:r w:rsidR="000C33DA" w:rsidRPr="00090792">
        <w:rPr>
          <w:sz w:val="24"/>
          <w:szCs w:val="24"/>
          <w:lang w:val="cs-CZ"/>
        </w:rPr>
        <w:t xml:space="preserve"> </w:t>
      </w:r>
      <w:r w:rsidR="00881461" w:rsidRPr="00090792">
        <w:rPr>
          <w:sz w:val="24"/>
          <w:szCs w:val="24"/>
          <w:lang w:val="cs-CZ"/>
        </w:rPr>
        <w:t>v</w:t>
      </w:r>
      <w:r w:rsidR="000C33DA" w:rsidRPr="00090792">
        <w:rPr>
          <w:sz w:val="24"/>
          <w:szCs w:val="24"/>
          <w:lang w:val="cs-CZ"/>
        </w:rPr>
        <w:t xml:space="preserve"> rámci prováděných kontrol. </w:t>
      </w:r>
      <w:r w:rsidR="005D768D" w:rsidRPr="00090792">
        <w:rPr>
          <w:sz w:val="24"/>
          <w:szCs w:val="24"/>
          <w:lang w:val="cs-CZ"/>
        </w:rPr>
        <w:t>N</w:t>
      </w:r>
      <w:r w:rsidR="00FD2C7F" w:rsidRPr="00090792">
        <w:rPr>
          <w:sz w:val="24"/>
          <w:szCs w:val="24"/>
          <w:lang w:val="cs-CZ"/>
        </w:rPr>
        <w:t>a základě národních právních předpisů (rozpočtov</w:t>
      </w:r>
      <w:r w:rsidR="00924882" w:rsidRPr="00090792">
        <w:rPr>
          <w:sz w:val="24"/>
          <w:szCs w:val="24"/>
          <w:lang w:val="cs-CZ"/>
        </w:rPr>
        <w:t>á</w:t>
      </w:r>
      <w:r w:rsidR="00FD2C7F" w:rsidRPr="00090792">
        <w:rPr>
          <w:sz w:val="24"/>
          <w:szCs w:val="24"/>
          <w:lang w:val="cs-CZ"/>
        </w:rPr>
        <w:t xml:space="preserve"> a</w:t>
      </w:r>
      <w:r w:rsidR="001D0DBF" w:rsidRPr="00090792">
        <w:rPr>
          <w:sz w:val="24"/>
          <w:szCs w:val="24"/>
          <w:lang w:val="cs-CZ"/>
        </w:rPr>
        <w:t> </w:t>
      </w:r>
      <w:r w:rsidR="00FD2C7F" w:rsidRPr="00090792">
        <w:rPr>
          <w:sz w:val="24"/>
          <w:szCs w:val="24"/>
          <w:lang w:val="cs-CZ"/>
        </w:rPr>
        <w:t>dotační pravidla) exist</w:t>
      </w:r>
      <w:r w:rsidR="005D768D" w:rsidRPr="00090792">
        <w:rPr>
          <w:sz w:val="24"/>
          <w:szCs w:val="24"/>
          <w:lang w:val="cs-CZ"/>
        </w:rPr>
        <w:t>oval</w:t>
      </w:r>
      <w:r w:rsidR="00FD2C7F" w:rsidRPr="00090792">
        <w:rPr>
          <w:sz w:val="24"/>
          <w:szCs w:val="24"/>
          <w:lang w:val="cs-CZ"/>
        </w:rPr>
        <w:t xml:space="preserve"> právní základ </w:t>
      </w:r>
      <w:r w:rsidR="005D768D" w:rsidRPr="00090792">
        <w:rPr>
          <w:sz w:val="24"/>
          <w:szCs w:val="24"/>
          <w:lang w:val="cs-CZ"/>
        </w:rPr>
        <w:t xml:space="preserve">pouze </w:t>
      </w:r>
      <w:r w:rsidR="00FD2C7F" w:rsidRPr="00090792">
        <w:rPr>
          <w:sz w:val="24"/>
          <w:szCs w:val="24"/>
          <w:lang w:val="cs-CZ"/>
        </w:rPr>
        <w:t>pro vymožení protiprávní veřejné podpory</w:t>
      </w:r>
      <w:r w:rsidR="001B46A8">
        <w:rPr>
          <w:sz w:val="24"/>
          <w:szCs w:val="24"/>
          <w:lang w:val="cs-CZ"/>
        </w:rPr>
        <w:t>,</w:t>
      </w:r>
      <w:r w:rsidR="004369B8">
        <w:rPr>
          <w:sz w:val="24"/>
          <w:szCs w:val="24"/>
          <w:lang w:val="cs-CZ"/>
        </w:rPr>
        <w:t xml:space="preserve"> a to jen pro určité případy.</w:t>
      </w:r>
      <w:r w:rsidR="00FD2C7F" w:rsidRPr="00090792">
        <w:rPr>
          <w:sz w:val="24"/>
          <w:szCs w:val="24"/>
          <w:lang w:val="cs-CZ"/>
        </w:rPr>
        <w:t xml:space="preserve"> </w:t>
      </w:r>
      <w:r w:rsidR="004369B8">
        <w:rPr>
          <w:sz w:val="24"/>
          <w:szCs w:val="24"/>
          <w:lang w:val="cs-CZ"/>
        </w:rPr>
        <w:t>V</w:t>
      </w:r>
      <w:r w:rsidR="00FD2C7F" w:rsidRPr="00090792">
        <w:rPr>
          <w:sz w:val="24"/>
          <w:szCs w:val="24"/>
          <w:lang w:val="cs-CZ"/>
        </w:rPr>
        <w:t xml:space="preserve">ymožení úroků na základě rozhodnutí poskytovatele podpory </w:t>
      </w:r>
      <w:r w:rsidR="00282C03" w:rsidRPr="00090792">
        <w:rPr>
          <w:sz w:val="24"/>
          <w:szCs w:val="24"/>
          <w:lang w:val="cs-CZ"/>
        </w:rPr>
        <w:t xml:space="preserve">je s účinností od 3. dubna 2025 </w:t>
      </w:r>
      <w:r w:rsidR="004369B8">
        <w:rPr>
          <w:sz w:val="24"/>
          <w:szCs w:val="24"/>
          <w:lang w:val="cs-CZ"/>
        </w:rPr>
        <w:t>ošetřeno</w:t>
      </w:r>
      <w:r w:rsidR="004369B8" w:rsidRPr="00090792">
        <w:rPr>
          <w:sz w:val="24"/>
          <w:szCs w:val="24"/>
          <w:lang w:val="cs-CZ"/>
        </w:rPr>
        <w:t xml:space="preserve"> </w:t>
      </w:r>
      <w:r w:rsidR="00282C03" w:rsidRPr="00090792">
        <w:rPr>
          <w:sz w:val="24"/>
          <w:szCs w:val="24"/>
          <w:lang w:val="cs-CZ"/>
        </w:rPr>
        <w:t>v </w:t>
      </w:r>
      <w:r w:rsidR="00824A87" w:rsidRPr="00090792">
        <w:rPr>
          <w:sz w:val="24"/>
          <w:szCs w:val="24"/>
          <w:lang w:val="cs-CZ"/>
        </w:rPr>
        <w:t>§</w:t>
      </w:r>
      <w:r w:rsidR="00282C03" w:rsidRPr="00090792">
        <w:rPr>
          <w:sz w:val="24"/>
          <w:szCs w:val="24"/>
          <w:lang w:val="cs-CZ"/>
        </w:rPr>
        <w:t> </w:t>
      </w:r>
      <w:r w:rsidR="00824A87" w:rsidRPr="00090792">
        <w:rPr>
          <w:sz w:val="24"/>
          <w:szCs w:val="24"/>
          <w:lang w:val="cs-CZ"/>
        </w:rPr>
        <w:t xml:space="preserve">7a zákona </w:t>
      </w:r>
      <w:r w:rsidR="00282C03" w:rsidRPr="00090792">
        <w:rPr>
          <w:sz w:val="24"/>
          <w:szCs w:val="24"/>
          <w:lang w:val="cs-CZ"/>
        </w:rPr>
        <w:t>č. 215/2004 Sb.</w:t>
      </w:r>
    </w:p>
    <w:p w14:paraId="581F5567" w14:textId="77777777" w:rsidR="00282C03" w:rsidRPr="00090792" w:rsidRDefault="00282C03">
      <w:pPr>
        <w:spacing w:after="0" w:line="240" w:lineRule="auto"/>
        <w:rPr>
          <w:lang w:val="cs-CZ"/>
        </w:rPr>
      </w:pPr>
      <w:r w:rsidRPr="00090792">
        <w:rPr>
          <w:lang w:val="cs-CZ"/>
        </w:rPr>
        <w:br w:type="page"/>
      </w:r>
    </w:p>
    <w:p w14:paraId="451C3472" w14:textId="77777777" w:rsidR="0023357B" w:rsidRPr="00090792" w:rsidRDefault="00070FB8" w:rsidP="00767B7D">
      <w:pPr>
        <w:pStyle w:val="Nadpis1"/>
        <w:rPr>
          <w:b/>
          <w:bCs/>
          <w:sz w:val="32"/>
          <w:szCs w:val="32"/>
          <w:lang w:val="cs-CZ"/>
        </w:rPr>
      </w:pPr>
      <w:bookmarkStart w:id="7" w:name="_Toc448847519"/>
      <w:bookmarkStart w:id="8" w:name="_Toc202430941"/>
      <w:r w:rsidRPr="00090792">
        <w:rPr>
          <w:b/>
          <w:bCs/>
          <w:sz w:val="32"/>
          <w:szCs w:val="32"/>
          <w:lang w:val="cs-CZ"/>
        </w:rPr>
        <w:lastRenderedPageBreak/>
        <w:t>2.</w:t>
      </w:r>
      <w:r w:rsidR="007877C1" w:rsidRPr="00090792">
        <w:rPr>
          <w:b/>
          <w:bCs/>
          <w:sz w:val="32"/>
          <w:szCs w:val="32"/>
          <w:lang w:val="cs-CZ"/>
        </w:rPr>
        <w:t xml:space="preserve"> </w:t>
      </w:r>
      <w:r w:rsidR="007877C1" w:rsidRPr="00090792">
        <w:rPr>
          <w:b/>
          <w:bCs/>
          <w:caps w:val="0"/>
          <w:sz w:val="32"/>
          <w:szCs w:val="32"/>
          <w:lang w:val="cs-CZ"/>
        </w:rPr>
        <w:t>VYMEZENÍ VYBRANÝCH POJMŮ</w:t>
      </w:r>
      <w:bookmarkEnd w:id="7"/>
      <w:bookmarkEnd w:id="8"/>
    </w:p>
    <w:p w14:paraId="6614E60F" w14:textId="77777777" w:rsidR="007F1D69" w:rsidRPr="00090792" w:rsidRDefault="007F1D69" w:rsidP="00DF6000">
      <w:pPr>
        <w:jc w:val="both"/>
        <w:rPr>
          <w:sz w:val="24"/>
          <w:szCs w:val="24"/>
          <w:lang w:val="cs-CZ"/>
        </w:rPr>
      </w:pPr>
      <w:r w:rsidRPr="00090792">
        <w:rPr>
          <w:b/>
          <w:sz w:val="24"/>
          <w:szCs w:val="24"/>
          <w:lang w:val="cs-CZ"/>
        </w:rPr>
        <w:t xml:space="preserve">Aktem poskytnutí podpory </w:t>
      </w:r>
      <w:r w:rsidRPr="00090792">
        <w:rPr>
          <w:sz w:val="24"/>
          <w:szCs w:val="24"/>
          <w:lang w:val="cs-CZ"/>
        </w:rPr>
        <w:t xml:space="preserve">se rozumí právní </w:t>
      </w:r>
      <w:r w:rsidR="00727B83">
        <w:rPr>
          <w:sz w:val="24"/>
          <w:szCs w:val="24"/>
          <w:lang w:val="cs-CZ"/>
        </w:rPr>
        <w:t>titul (</w:t>
      </w:r>
      <w:r w:rsidRPr="00090792">
        <w:rPr>
          <w:sz w:val="24"/>
          <w:szCs w:val="24"/>
          <w:lang w:val="cs-CZ"/>
        </w:rPr>
        <w:t>dokument</w:t>
      </w:r>
      <w:r w:rsidR="00727B83">
        <w:rPr>
          <w:sz w:val="24"/>
          <w:szCs w:val="24"/>
          <w:lang w:val="cs-CZ"/>
        </w:rPr>
        <w:t>)</w:t>
      </w:r>
      <w:r w:rsidRPr="00090792">
        <w:rPr>
          <w:sz w:val="24"/>
          <w:szCs w:val="24"/>
          <w:lang w:val="cs-CZ"/>
        </w:rPr>
        <w:t>, který opravňuje příjemce k přijetí podpory.</w:t>
      </w:r>
      <w:r w:rsidR="001A455D" w:rsidRPr="00090792">
        <w:rPr>
          <w:sz w:val="24"/>
          <w:szCs w:val="24"/>
          <w:lang w:val="cs-CZ"/>
        </w:rPr>
        <w:t xml:space="preserve"> </w:t>
      </w:r>
      <w:r w:rsidR="00C7371F" w:rsidRPr="00090792">
        <w:rPr>
          <w:sz w:val="24"/>
          <w:szCs w:val="24"/>
          <w:lang w:val="cs-CZ"/>
        </w:rPr>
        <w:t>Konkrétně se jedná o právní akt</w:t>
      </w:r>
      <w:r w:rsidR="00476F31">
        <w:rPr>
          <w:sz w:val="24"/>
          <w:szCs w:val="24"/>
          <w:lang w:val="cs-CZ"/>
        </w:rPr>
        <w:t xml:space="preserve"> </w:t>
      </w:r>
      <w:r w:rsidR="001A455D" w:rsidRPr="00090792">
        <w:rPr>
          <w:sz w:val="24"/>
          <w:szCs w:val="24"/>
          <w:lang w:val="cs-CZ"/>
        </w:rPr>
        <w:t>stvrz</w:t>
      </w:r>
      <w:r w:rsidR="00727B83">
        <w:rPr>
          <w:sz w:val="24"/>
          <w:szCs w:val="24"/>
          <w:lang w:val="cs-CZ"/>
        </w:rPr>
        <w:t>ující</w:t>
      </w:r>
      <w:r w:rsidR="001A455D" w:rsidRPr="00090792">
        <w:rPr>
          <w:sz w:val="24"/>
          <w:szCs w:val="24"/>
          <w:lang w:val="cs-CZ"/>
        </w:rPr>
        <w:t xml:space="preserve"> </w:t>
      </w:r>
      <w:r w:rsidR="00071AD5" w:rsidRPr="00090792">
        <w:rPr>
          <w:sz w:val="24"/>
          <w:szCs w:val="24"/>
          <w:lang w:val="cs-CZ"/>
        </w:rPr>
        <w:t xml:space="preserve">poskytnutí/převod podpory </w:t>
      </w:r>
      <w:r w:rsidR="001A455D" w:rsidRPr="00090792">
        <w:rPr>
          <w:sz w:val="24"/>
          <w:szCs w:val="24"/>
          <w:lang w:val="cs-CZ"/>
        </w:rPr>
        <w:t>subjektem poskytujícím podporu vůči příjemci. Blíže specifikuje podmínky p</w:t>
      </w:r>
      <w:r w:rsidR="00057A13" w:rsidRPr="00090792">
        <w:rPr>
          <w:sz w:val="24"/>
          <w:szCs w:val="24"/>
          <w:lang w:val="cs-CZ"/>
        </w:rPr>
        <w:t>oskytnutí podpory. Dle vztahu a </w:t>
      </w:r>
      <w:r w:rsidR="001A455D" w:rsidRPr="00090792">
        <w:rPr>
          <w:sz w:val="24"/>
          <w:szCs w:val="24"/>
          <w:lang w:val="cs-CZ"/>
        </w:rPr>
        <w:t xml:space="preserve">charakteru poskytovatele podpory a příjemce může mít různou formu, např. </w:t>
      </w:r>
      <w:r w:rsidR="00DD426B" w:rsidRPr="00090792">
        <w:rPr>
          <w:sz w:val="24"/>
          <w:szCs w:val="24"/>
          <w:lang w:val="cs-CZ"/>
        </w:rPr>
        <w:t>může jít o</w:t>
      </w:r>
      <w:r w:rsidR="00C40B13">
        <w:rPr>
          <w:sz w:val="24"/>
          <w:szCs w:val="24"/>
          <w:lang w:val="cs-CZ"/>
        </w:rPr>
        <w:t> </w:t>
      </w:r>
      <w:r w:rsidR="00AA1CD6" w:rsidRPr="00090792">
        <w:rPr>
          <w:sz w:val="24"/>
          <w:szCs w:val="24"/>
          <w:lang w:val="cs-CZ"/>
        </w:rPr>
        <w:t>rozhodnutí o </w:t>
      </w:r>
      <w:r w:rsidR="001A455D" w:rsidRPr="00090792">
        <w:rPr>
          <w:sz w:val="24"/>
          <w:szCs w:val="24"/>
          <w:lang w:val="cs-CZ"/>
        </w:rPr>
        <w:t>poskytnutí dotace, smlouv</w:t>
      </w:r>
      <w:r w:rsidR="00DD426B" w:rsidRPr="00090792">
        <w:rPr>
          <w:sz w:val="24"/>
          <w:szCs w:val="24"/>
          <w:lang w:val="cs-CZ"/>
        </w:rPr>
        <w:t>u</w:t>
      </w:r>
      <w:r w:rsidR="001A455D" w:rsidRPr="00090792">
        <w:rPr>
          <w:sz w:val="24"/>
          <w:szCs w:val="24"/>
          <w:lang w:val="cs-CZ"/>
        </w:rPr>
        <w:t xml:space="preserve"> o poskytnutí dotace, smlouv</w:t>
      </w:r>
      <w:r w:rsidR="00DD426B" w:rsidRPr="00090792">
        <w:rPr>
          <w:sz w:val="24"/>
          <w:szCs w:val="24"/>
          <w:lang w:val="cs-CZ"/>
        </w:rPr>
        <w:t>u</w:t>
      </w:r>
      <w:r w:rsidR="001A455D" w:rsidRPr="00090792">
        <w:rPr>
          <w:sz w:val="24"/>
          <w:szCs w:val="24"/>
          <w:lang w:val="cs-CZ"/>
        </w:rPr>
        <w:t xml:space="preserve"> o projektu, stanovení výdajů, smlouv</w:t>
      </w:r>
      <w:r w:rsidR="00DD426B" w:rsidRPr="00090792">
        <w:rPr>
          <w:sz w:val="24"/>
          <w:szCs w:val="24"/>
          <w:lang w:val="cs-CZ"/>
        </w:rPr>
        <w:t>u</w:t>
      </w:r>
      <w:r w:rsidR="00727B83">
        <w:rPr>
          <w:sz w:val="24"/>
          <w:szCs w:val="24"/>
          <w:lang w:val="cs-CZ"/>
        </w:rPr>
        <w:t xml:space="preserve"> (dohodu)</w:t>
      </w:r>
      <w:r w:rsidR="001A455D" w:rsidRPr="00090792">
        <w:rPr>
          <w:sz w:val="24"/>
          <w:szCs w:val="24"/>
          <w:lang w:val="cs-CZ"/>
        </w:rPr>
        <w:t xml:space="preserve"> o</w:t>
      </w:r>
      <w:r w:rsidR="00DF0145" w:rsidRPr="00090792">
        <w:rPr>
          <w:sz w:val="24"/>
          <w:szCs w:val="24"/>
          <w:lang w:val="cs-CZ"/>
        </w:rPr>
        <w:t> </w:t>
      </w:r>
      <w:r w:rsidR="001A455D" w:rsidRPr="00090792">
        <w:rPr>
          <w:sz w:val="24"/>
          <w:szCs w:val="24"/>
          <w:lang w:val="cs-CZ"/>
        </w:rPr>
        <w:t>financování atd.</w:t>
      </w:r>
    </w:p>
    <w:p w14:paraId="4ACAB5D3" w14:textId="77777777" w:rsidR="00EE6983" w:rsidRPr="00090792" w:rsidRDefault="00EE6983" w:rsidP="00DF6000">
      <w:pPr>
        <w:jc w:val="both"/>
        <w:rPr>
          <w:sz w:val="24"/>
          <w:szCs w:val="24"/>
          <w:lang w:val="cs-CZ"/>
        </w:rPr>
      </w:pPr>
      <w:r w:rsidRPr="00090792">
        <w:rPr>
          <w:b/>
          <w:bCs/>
          <w:i/>
          <w:sz w:val="24"/>
          <w:szCs w:val="24"/>
          <w:lang w:val="cs-CZ"/>
        </w:rPr>
        <w:t>Ad hoc</w:t>
      </w:r>
      <w:r w:rsidRPr="00090792">
        <w:rPr>
          <w:b/>
          <w:bCs/>
          <w:sz w:val="24"/>
          <w:szCs w:val="24"/>
          <w:lang w:val="cs-CZ"/>
        </w:rPr>
        <w:t xml:space="preserve"> podpora</w:t>
      </w:r>
      <w:r w:rsidRPr="00090792">
        <w:rPr>
          <w:sz w:val="24"/>
          <w:szCs w:val="24"/>
          <w:lang w:val="cs-CZ"/>
        </w:rPr>
        <w:t xml:space="preserve"> je podpora, která není poskytnuta na základě režimu podpory.</w:t>
      </w:r>
    </w:p>
    <w:p w14:paraId="5DAE3A77" w14:textId="1F27D061" w:rsidR="00C8625E" w:rsidRPr="00A00802" w:rsidRDefault="0027113E" w:rsidP="00DF6000">
      <w:pPr>
        <w:jc w:val="both"/>
        <w:rPr>
          <w:b/>
          <w:i/>
          <w:iCs/>
          <w:sz w:val="24"/>
          <w:szCs w:val="24"/>
          <w:lang w:val="cs-CZ"/>
        </w:rPr>
      </w:pPr>
      <w:r>
        <w:rPr>
          <w:b/>
          <w:sz w:val="24"/>
          <w:szCs w:val="24"/>
          <w:lang w:val="cs-CZ"/>
        </w:rPr>
        <w:t xml:space="preserve">Datem, kdy byla podpora </w:t>
      </w:r>
      <w:r w:rsidR="00DA0498">
        <w:rPr>
          <w:b/>
          <w:sz w:val="24"/>
          <w:szCs w:val="24"/>
          <w:lang w:val="cs-CZ"/>
        </w:rPr>
        <w:t xml:space="preserve">poprvé </w:t>
      </w:r>
      <w:r>
        <w:rPr>
          <w:b/>
          <w:sz w:val="24"/>
          <w:szCs w:val="24"/>
          <w:lang w:val="cs-CZ"/>
        </w:rPr>
        <w:t xml:space="preserve">dána příjemci k dispozici, </w:t>
      </w:r>
      <w:r w:rsidR="00C8625E" w:rsidRPr="00090792">
        <w:rPr>
          <w:sz w:val="24"/>
          <w:szCs w:val="24"/>
          <w:lang w:val="cs-CZ"/>
        </w:rPr>
        <w:t>se rozumí</w:t>
      </w:r>
      <w:r w:rsidR="00C8625E" w:rsidRPr="00090792">
        <w:rPr>
          <w:b/>
          <w:bCs/>
          <w:sz w:val="24"/>
          <w:szCs w:val="24"/>
          <w:lang w:val="cs-CZ"/>
        </w:rPr>
        <w:t xml:space="preserve"> </w:t>
      </w:r>
      <w:r w:rsidR="00C8625E" w:rsidRPr="00090792">
        <w:rPr>
          <w:sz w:val="24"/>
          <w:szCs w:val="24"/>
          <w:lang w:val="cs-CZ"/>
        </w:rPr>
        <w:t>datum, od kterého příjemce</w:t>
      </w:r>
      <w:r w:rsidR="00C40B13">
        <w:rPr>
          <w:sz w:val="24"/>
          <w:szCs w:val="24"/>
          <w:lang w:val="cs-CZ"/>
        </w:rPr>
        <w:t xml:space="preserve"> </w:t>
      </w:r>
      <w:r w:rsidR="002513F6">
        <w:rPr>
          <w:sz w:val="24"/>
          <w:szCs w:val="24"/>
          <w:lang w:val="cs-CZ"/>
        </w:rPr>
        <w:t>mohl s </w:t>
      </w:r>
      <w:r w:rsidR="002E0267">
        <w:rPr>
          <w:sz w:val="24"/>
          <w:szCs w:val="24"/>
          <w:lang w:val="cs-CZ"/>
        </w:rPr>
        <w:t xml:space="preserve">podporou skutečně </w:t>
      </w:r>
      <w:r w:rsidR="002513F6">
        <w:rPr>
          <w:sz w:val="24"/>
          <w:szCs w:val="24"/>
          <w:lang w:val="cs-CZ"/>
        </w:rPr>
        <w:t>nakládat</w:t>
      </w:r>
      <w:r w:rsidR="00C40B13">
        <w:rPr>
          <w:sz w:val="24"/>
          <w:szCs w:val="24"/>
          <w:lang w:val="cs-CZ"/>
        </w:rPr>
        <w:t>.</w:t>
      </w:r>
      <w:r w:rsidR="00C40B13" w:rsidRPr="00090792">
        <w:rPr>
          <w:rStyle w:val="Znakapoznpodarou"/>
          <w:sz w:val="24"/>
          <w:szCs w:val="24"/>
          <w:lang w:val="cs-CZ"/>
        </w:rPr>
        <w:footnoteReference w:id="3"/>
      </w:r>
      <w:r w:rsidR="002513F6">
        <w:rPr>
          <w:sz w:val="24"/>
          <w:szCs w:val="24"/>
          <w:lang w:val="cs-CZ"/>
        </w:rPr>
        <w:t xml:space="preserve"> Od tohoto data se počítají úroky v případě navracení protiprávní podpory. </w:t>
      </w:r>
      <w:r>
        <w:rPr>
          <w:sz w:val="24"/>
          <w:szCs w:val="24"/>
          <w:lang w:val="cs-CZ"/>
        </w:rPr>
        <w:t xml:space="preserve">V případě </w:t>
      </w:r>
      <w:r w:rsidRPr="001B0B67">
        <w:rPr>
          <w:sz w:val="24"/>
          <w:szCs w:val="24"/>
          <w:u w:val="single"/>
          <w:lang w:val="cs-CZ"/>
        </w:rPr>
        <w:t>přímé dotace</w:t>
      </w:r>
      <w:r>
        <w:rPr>
          <w:sz w:val="24"/>
          <w:szCs w:val="24"/>
          <w:lang w:val="cs-CZ"/>
        </w:rPr>
        <w:t xml:space="preserve"> se j</w:t>
      </w:r>
      <w:r w:rsidR="00A76942" w:rsidRPr="00090792">
        <w:rPr>
          <w:sz w:val="24"/>
          <w:szCs w:val="24"/>
          <w:lang w:val="cs-CZ"/>
        </w:rPr>
        <w:t xml:space="preserve">edná o </w:t>
      </w:r>
      <w:r w:rsidR="00A76942" w:rsidRPr="001B0B67">
        <w:rPr>
          <w:sz w:val="24"/>
          <w:szCs w:val="24"/>
          <w:u w:val="single"/>
          <w:lang w:val="cs-CZ"/>
        </w:rPr>
        <w:t>datum</w:t>
      </w:r>
      <w:r w:rsidRPr="001B0B67">
        <w:rPr>
          <w:sz w:val="24"/>
          <w:szCs w:val="24"/>
          <w:u w:val="single"/>
          <w:lang w:val="cs-CZ"/>
        </w:rPr>
        <w:t xml:space="preserve"> vyplacení</w:t>
      </w:r>
      <w:r w:rsidR="00727B83">
        <w:rPr>
          <w:sz w:val="24"/>
          <w:szCs w:val="24"/>
          <w:u w:val="single"/>
          <w:lang w:val="cs-CZ"/>
        </w:rPr>
        <w:t xml:space="preserve"> (připsání na účet)</w:t>
      </w:r>
      <w:r w:rsidR="00C40B13" w:rsidRPr="00C40B13">
        <w:rPr>
          <w:sz w:val="24"/>
          <w:szCs w:val="24"/>
          <w:lang w:val="cs-CZ"/>
        </w:rPr>
        <w:t>.</w:t>
      </w:r>
      <w:r w:rsidR="00F7723B" w:rsidRPr="00C40B13">
        <w:rPr>
          <w:rStyle w:val="Znakapoznpodarou"/>
          <w:sz w:val="24"/>
          <w:szCs w:val="24"/>
          <w:lang w:val="cs-CZ"/>
        </w:rPr>
        <w:footnoteReference w:id="4"/>
      </w:r>
      <w:r w:rsidR="00C8625E" w:rsidRPr="00090792">
        <w:rPr>
          <w:sz w:val="24"/>
          <w:szCs w:val="24"/>
          <w:lang w:val="cs-CZ"/>
        </w:rPr>
        <w:t xml:space="preserve"> </w:t>
      </w:r>
      <w:r w:rsidR="00A00802" w:rsidRPr="00A00802">
        <w:rPr>
          <w:i/>
          <w:iCs/>
          <w:sz w:val="24"/>
          <w:szCs w:val="24"/>
          <w:lang w:val="cs-CZ"/>
        </w:rPr>
        <w:t xml:space="preserve">Co se týče </w:t>
      </w:r>
      <w:r w:rsidR="002513F6" w:rsidRPr="00A00802">
        <w:rPr>
          <w:i/>
          <w:iCs/>
          <w:sz w:val="24"/>
          <w:szCs w:val="24"/>
          <w:u w:val="single"/>
          <w:lang w:val="cs-CZ"/>
        </w:rPr>
        <w:t>ostatních nástrojů podpory</w:t>
      </w:r>
      <w:r w:rsidR="00A00802" w:rsidRPr="00A00802">
        <w:rPr>
          <w:i/>
          <w:iCs/>
          <w:sz w:val="24"/>
          <w:szCs w:val="24"/>
          <w:lang w:val="cs-CZ"/>
        </w:rPr>
        <w:t xml:space="preserve">, bude metodika </w:t>
      </w:r>
      <w:r w:rsidR="00553134">
        <w:rPr>
          <w:i/>
          <w:iCs/>
          <w:sz w:val="24"/>
          <w:szCs w:val="24"/>
          <w:lang w:val="cs-CZ"/>
        </w:rPr>
        <w:t xml:space="preserve">v tomto smyslu </w:t>
      </w:r>
      <w:r w:rsidR="002513F6" w:rsidRPr="00A00802">
        <w:rPr>
          <w:i/>
          <w:iCs/>
          <w:sz w:val="24"/>
          <w:szCs w:val="24"/>
          <w:lang w:val="cs-CZ"/>
        </w:rPr>
        <w:t>postupně upřesňován</w:t>
      </w:r>
      <w:r w:rsidR="00A00802" w:rsidRPr="00A00802">
        <w:rPr>
          <w:i/>
          <w:iCs/>
          <w:sz w:val="24"/>
          <w:szCs w:val="24"/>
          <w:lang w:val="cs-CZ"/>
        </w:rPr>
        <w:t>a</w:t>
      </w:r>
      <w:r w:rsidR="002513F6" w:rsidRPr="00A00802">
        <w:rPr>
          <w:i/>
          <w:iCs/>
          <w:sz w:val="24"/>
          <w:szCs w:val="24"/>
          <w:lang w:val="cs-CZ"/>
        </w:rPr>
        <w:t>.</w:t>
      </w:r>
    </w:p>
    <w:p w14:paraId="0005C6C5" w14:textId="77777777" w:rsidR="00856627" w:rsidRPr="00090792" w:rsidRDefault="00856627" w:rsidP="00856627">
      <w:pPr>
        <w:jc w:val="both"/>
        <w:rPr>
          <w:sz w:val="24"/>
          <w:szCs w:val="24"/>
          <w:lang w:val="cs-CZ"/>
        </w:rPr>
      </w:pPr>
      <w:r w:rsidRPr="00090792">
        <w:rPr>
          <w:b/>
          <w:sz w:val="24"/>
          <w:szCs w:val="24"/>
          <w:lang w:val="cs-CZ"/>
        </w:rPr>
        <w:t xml:space="preserve">Datem poskytnutí podpory </w:t>
      </w:r>
      <w:r w:rsidRPr="00090792">
        <w:rPr>
          <w:sz w:val="24"/>
          <w:szCs w:val="24"/>
          <w:lang w:val="cs-CZ"/>
        </w:rPr>
        <w:t>se rozumí datum, kdy příjemce získá podle platného vnitrostátního právního režimu na tuto podporu právní nárok.</w:t>
      </w:r>
      <w:r w:rsidRPr="00090792">
        <w:rPr>
          <w:rStyle w:val="Znakapoznpodarou"/>
          <w:sz w:val="24"/>
          <w:szCs w:val="24"/>
          <w:lang w:val="cs-CZ"/>
        </w:rPr>
        <w:footnoteReference w:id="5"/>
      </w:r>
      <w:r w:rsidRPr="00090792">
        <w:rPr>
          <w:sz w:val="24"/>
          <w:szCs w:val="24"/>
          <w:lang w:val="cs-CZ"/>
        </w:rPr>
        <w:t xml:space="preserve"> Vznik právního nároku se vykládá jako den, kdy nabylo právních účinků právní jednání, na jehož základě byla podpora příjemci poskytnuta, a to bez ohledu na to, kdy byla podpora danému podniku fakticky </w:t>
      </w:r>
      <w:r w:rsidRPr="00FF7B89">
        <w:rPr>
          <w:sz w:val="24"/>
          <w:szCs w:val="24"/>
          <w:lang w:val="cs-CZ"/>
        </w:rPr>
        <w:t>vyplacena</w:t>
      </w:r>
      <w:r w:rsidR="00936B04" w:rsidRPr="00FF7B89">
        <w:rPr>
          <w:sz w:val="24"/>
          <w:szCs w:val="24"/>
          <w:lang w:val="cs-CZ"/>
        </w:rPr>
        <w:t xml:space="preserve">. Právní jednání, na základě kterého je podpora poskytnuta, může mít různý charakter (smlouva, rozhodnutí, dohoda aj.) a různou účinnost podle právních předpisů, na základě kterých bylo právní jednání </w:t>
      </w:r>
      <w:proofErr w:type="spellStart"/>
      <w:r w:rsidR="00936B04" w:rsidRPr="00FF7B89">
        <w:rPr>
          <w:sz w:val="24"/>
          <w:szCs w:val="24"/>
          <w:lang w:val="cs-CZ"/>
        </w:rPr>
        <w:t>účiněno</w:t>
      </w:r>
      <w:proofErr w:type="spellEnd"/>
      <w:r w:rsidR="00936B04" w:rsidRPr="00FF7B89">
        <w:rPr>
          <w:sz w:val="24"/>
          <w:szCs w:val="24"/>
          <w:lang w:val="cs-CZ"/>
        </w:rPr>
        <w:t xml:space="preserve"> (občanský</w:t>
      </w:r>
      <w:r w:rsidR="00C05220" w:rsidRPr="00FF7B89">
        <w:rPr>
          <w:sz w:val="24"/>
          <w:szCs w:val="24"/>
          <w:lang w:val="cs-CZ"/>
        </w:rPr>
        <w:t xml:space="preserve"> </w:t>
      </w:r>
      <w:r w:rsidR="00936B04" w:rsidRPr="00FF7B89">
        <w:rPr>
          <w:sz w:val="24"/>
          <w:szCs w:val="24"/>
          <w:lang w:val="cs-CZ"/>
        </w:rPr>
        <w:t>zákoník, správní</w:t>
      </w:r>
      <w:r w:rsidR="00C05220" w:rsidRPr="00FF7B89">
        <w:rPr>
          <w:sz w:val="24"/>
          <w:szCs w:val="24"/>
          <w:lang w:val="cs-CZ"/>
        </w:rPr>
        <w:t xml:space="preserve"> </w:t>
      </w:r>
      <w:r w:rsidR="00936B04" w:rsidRPr="00FF7B89">
        <w:rPr>
          <w:sz w:val="24"/>
          <w:szCs w:val="24"/>
          <w:lang w:val="cs-CZ"/>
        </w:rPr>
        <w:t>řád, velká/malá</w:t>
      </w:r>
      <w:r w:rsidR="00C05220" w:rsidRPr="00FF7B89">
        <w:rPr>
          <w:sz w:val="24"/>
          <w:szCs w:val="24"/>
          <w:lang w:val="cs-CZ"/>
        </w:rPr>
        <w:t xml:space="preserve"> </w:t>
      </w:r>
      <w:r w:rsidR="00936B04" w:rsidRPr="00FF7B89">
        <w:rPr>
          <w:sz w:val="24"/>
          <w:szCs w:val="24"/>
          <w:lang w:val="cs-CZ"/>
        </w:rPr>
        <w:t>rozpočtová</w:t>
      </w:r>
      <w:r w:rsidR="00C05220" w:rsidRPr="00FF7B89">
        <w:rPr>
          <w:sz w:val="24"/>
          <w:szCs w:val="24"/>
          <w:lang w:val="cs-CZ"/>
        </w:rPr>
        <w:t xml:space="preserve"> </w:t>
      </w:r>
      <w:r w:rsidR="00936B04" w:rsidRPr="00FF7B89">
        <w:rPr>
          <w:sz w:val="24"/>
          <w:szCs w:val="24"/>
          <w:lang w:val="cs-CZ"/>
        </w:rPr>
        <w:t>pravidla atd.).</w:t>
      </w:r>
      <w:r w:rsidR="00936B04" w:rsidRPr="00FF7B89">
        <w:rPr>
          <w:rStyle w:val="Znakapoznpodarou"/>
          <w:sz w:val="24"/>
          <w:szCs w:val="24"/>
          <w:lang w:val="cs-CZ"/>
        </w:rPr>
        <w:footnoteReference w:id="6"/>
      </w:r>
    </w:p>
    <w:p w14:paraId="78A71761" w14:textId="77777777" w:rsidR="004D7999" w:rsidRPr="00090792" w:rsidRDefault="0023357B" w:rsidP="00DF6000">
      <w:pPr>
        <w:jc w:val="both"/>
        <w:rPr>
          <w:sz w:val="24"/>
          <w:szCs w:val="24"/>
          <w:lang w:val="cs-CZ"/>
        </w:rPr>
      </w:pPr>
      <w:r w:rsidRPr="00090792">
        <w:rPr>
          <w:b/>
          <w:sz w:val="24"/>
          <w:szCs w:val="24"/>
          <w:lang w:val="cs-CZ"/>
        </w:rPr>
        <w:lastRenderedPageBreak/>
        <w:t>Jednotlivou podporou</w:t>
      </w:r>
      <w:r w:rsidRPr="00090792">
        <w:rPr>
          <w:sz w:val="24"/>
          <w:szCs w:val="24"/>
          <w:lang w:val="cs-CZ"/>
        </w:rPr>
        <w:t xml:space="preserve"> se rozumí:</w:t>
      </w:r>
      <w:r w:rsidR="00547BA5" w:rsidRPr="00090792">
        <w:rPr>
          <w:sz w:val="24"/>
          <w:szCs w:val="24"/>
          <w:lang w:val="cs-CZ"/>
        </w:rPr>
        <w:t xml:space="preserve"> i)</w:t>
      </w:r>
      <w:r w:rsidRPr="00090792">
        <w:rPr>
          <w:sz w:val="24"/>
          <w:szCs w:val="24"/>
          <w:lang w:val="cs-CZ"/>
        </w:rPr>
        <w:t xml:space="preserve"> </w:t>
      </w:r>
      <w:r w:rsidR="00EE6983" w:rsidRPr="00090792">
        <w:rPr>
          <w:i/>
          <w:iCs/>
          <w:sz w:val="24"/>
          <w:szCs w:val="24"/>
          <w:lang w:val="cs-CZ"/>
        </w:rPr>
        <w:t>ad hoc</w:t>
      </w:r>
      <w:r w:rsidR="00EE6983" w:rsidRPr="00090792">
        <w:rPr>
          <w:sz w:val="24"/>
          <w:szCs w:val="24"/>
          <w:lang w:val="cs-CZ"/>
        </w:rPr>
        <w:t xml:space="preserve"> </w:t>
      </w:r>
      <w:r w:rsidRPr="00090792">
        <w:rPr>
          <w:sz w:val="24"/>
          <w:szCs w:val="24"/>
          <w:lang w:val="cs-CZ"/>
        </w:rPr>
        <w:t>podpora a</w:t>
      </w:r>
      <w:r w:rsidR="00547BA5" w:rsidRPr="00090792">
        <w:rPr>
          <w:sz w:val="24"/>
          <w:szCs w:val="24"/>
          <w:lang w:val="cs-CZ"/>
        </w:rPr>
        <w:t xml:space="preserve"> </w:t>
      </w:r>
      <w:proofErr w:type="spellStart"/>
      <w:r w:rsidR="00547BA5" w:rsidRPr="00090792">
        <w:rPr>
          <w:sz w:val="24"/>
          <w:szCs w:val="24"/>
          <w:lang w:val="cs-CZ"/>
        </w:rPr>
        <w:t>ii</w:t>
      </w:r>
      <w:proofErr w:type="spellEnd"/>
      <w:r w:rsidR="00547BA5" w:rsidRPr="00090792">
        <w:rPr>
          <w:sz w:val="24"/>
          <w:szCs w:val="24"/>
          <w:lang w:val="cs-CZ"/>
        </w:rPr>
        <w:t>)</w:t>
      </w:r>
      <w:r w:rsidRPr="00090792">
        <w:rPr>
          <w:sz w:val="24"/>
          <w:szCs w:val="24"/>
          <w:lang w:val="cs-CZ"/>
        </w:rPr>
        <w:t xml:space="preserve"> podpora, která je poskytnuta </w:t>
      </w:r>
      <w:r w:rsidR="00ED61FA" w:rsidRPr="00090792">
        <w:rPr>
          <w:sz w:val="24"/>
          <w:szCs w:val="24"/>
          <w:lang w:val="cs-CZ"/>
        </w:rPr>
        <w:t xml:space="preserve">jednotlivým příjemcům </w:t>
      </w:r>
      <w:r w:rsidRPr="00090792">
        <w:rPr>
          <w:sz w:val="24"/>
          <w:szCs w:val="24"/>
          <w:lang w:val="cs-CZ"/>
        </w:rPr>
        <w:t>na základě režimu podpory.</w:t>
      </w:r>
      <w:r w:rsidR="00FA6D19" w:rsidRPr="00090792">
        <w:rPr>
          <w:rStyle w:val="Znakapoznpodarou"/>
          <w:sz w:val="24"/>
          <w:szCs w:val="24"/>
          <w:lang w:val="cs-CZ"/>
        </w:rPr>
        <w:footnoteReference w:id="7"/>
      </w:r>
    </w:p>
    <w:p w14:paraId="3D38DDB3" w14:textId="77777777" w:rsidR="001A4BC9" w:rsidRPr="00090792" w:rsidRDefault="001A4BC9" w:rsidP="00DF6000">
      <w:pPr>
        <w:jc w:val="both"/>
        <w:rPr>
          <w:sz w:val="24"/>
          <w:szCs w:val="24"/>
          <w:lang w:val="cs-CZ"/>
        </w:rPr>
      </w:pPr>
      <w:r w:rsidRPr="00090792">
        <w:rPr>
          <w:b/>
          <w:sz w:val="24"/>
          <w:szCs w:val="24"/>
          <w:lang w:val="cs-CZ"/>
        </w:rPr>
        <w:t>Opatřením podpory</w:t>
      </w:r>
      <w:r w:rsidR="00651589" w:rsidRPr="00090792">
        <w:rPr>
          <w:b/>
          <w:sz w:val="24"/>
          <w:szCs w:val="24"/>
          <w:lang w:val="cs-CZ"/>
        </w:rPr>
        <w:t xml:space="preserve"> (nebo též </w:t>
      </w:r>
      <w:bookmarkStart w:id="9" w:name="_Hlk195532480"/>
      <w:bookmarkStart w:id="10" w:name="_Hlk195529980"/>
      <w:r w:rsidR="00651589" w:rsidRPr="00090792">
        <w:rPr>
          <w:b/>
          <w:sz w:val="24"/>
          <w:szCs w:val="24"/>
          <w:lang w:val="cs-CZ"/>
        </w:rPr>
        <w:t>„</w:t>
      </w:r>
      <w:bookmarkEnd w:id="9"/>
      <w:r w:rsidR="00651589" w:rsidRPr="00090792">
        <w:rPr>
          <w:b/>
          <w:sz w:val="24"/>
          <w:szCs w:val="24"/>
          <w:lang w:val="cs-CZ"/>
        </w:rPr>
        <w:t>případem“)</w:t>
      </w:r>
      <w:r w:rsidRPr="00090792">
        <w:rPr>
          <w:sz w:val="24"/>
          <w:szCs w:val="24"/>
          <w:lang w:val="cs-CZ"/>
        </w:rPr>
        <w:t xml:space="preserve"> </w:t>
      </w:r>
      <w:bookmarkEnd w:id="10"/>
      <w:r w:rsidRPr="00090792">
        <w:rPr>
          <w:sz w:val="24"/>
          <w:szCs w:val="24"/>
          <w:lang w:val="cs-CZ"/>
        </w:rPr>
        <w:t xml:space="preserve">se rozumí </w:t>
      </w:r>
      <w:r w:rsidRPr="00090792">
        <w:rPr>
          <w:i/>
          <w:sz w:val="24"/>
          <w:szCs w:val="24"/>
          <w:lang w:val="cs-CZ"/>
        </w:rPr>
        <w:t>ad hoc</w:t>
      </w:r>
      <w:r w:rsidRPr="00090792">
        <w:rPr>
          <w:sz w:val="24"/>
          <w:szCs w:val="24"/>
          <w:lang w:val="cs-CZ"/>
        </w:rPr>
        <w:t xml:space="preserve"> podpora a režim podpory.</w:t>
      </w:r>
      <w:r w:rsidR="00FF5555" w:rsidRPr="00090792">
        <w:rPr>
          <w:sz w:val="24"/>
          <w:szCs w:val="24"/>
          <w:lang w:val="cs-CZ"/>
        </w:rPr>
        <w:t xml:space="preserve"> </w:t>
      </w:r>
    </w:p>
    <w:p w14:paraId="499DEE39" w14:textId="77777777" w:rsidR="007F1D69" w:rsidRPr="00090792" w:rsidRDefault="00DA2555" w:rsidP="00DF6000">
      <w:pPr>
        <w:jc w:val="both"/>
        <w:rPr>
          <w:sz w:val="24"/>
          <w:szCs w:val="24"/>
          <w:lang w:val="cs-CZ"/>
        </w:rPr>
      </w:pPr>
      <w:r w:rsidRPr="00090792">
        <w:rPr>
          <w:b/>
          <w:sz w:val="24"/>
          <w:szCs w:val="24"/>
          <w:lang w:val="cs-CZ"/>
        </w:rPr>
        <w:t>Poskytovatelem veřejné podpory</w:t>
      </w:r>
      <w:r w:rsidRPr="00090792">
        <w:rPr>
          <w:sz w:val="24"/>
          <w:szCs w:val="24"/>
          <w:lang w:val="cs-CZ"/>
        </w:rPr>
        <w:t xml:space="preserve"> se rozumí ten, kdo rozhoduje o poskytnutí veřejné podpory.</w:t>
      </w:r>
      <w:r w:rsidR="00FA6D19" w:rsidRPr="00090792">
        <w:rPr>
          <w:rStyle w:val="Znakapoznpodarou"/>
          <w:sz w:val="24"/>
          <w:szCs w:val="24"/>
          <w:lang w:val="cs-CZ"/>
        </w:rPr>
        <w:footnoteReference w:id="8"/>
      </w:r>
      <w:r w:rsidR="003B288C" w:rsidRPr="00090792">
        <w:rPr>
          <w:sz w:val="24"/>
          <w:szCs w:val="24"/>
          <w:lang w:val="cs-CZ"/>
        </w:rPr>
        <w:t xml:space="preserve"> Pro účely </w:t>
      </w:r>
      <w:r w:rsidR="008E6081" w:rsidRPr="00090792">
        <w:rPr>
          <w:sz w:val="24"/>
          <w:szCs w:val="24"/>
          <w:lang w:val="cs-CZ"/>
        </w:rPr>
        <w:t>této metodiky</w:t>
      </w:r>
      <w:r w:rsidR="003B288C" w:rsidRPr="00090792">
        <w:rPr>
          <w:sz w:val="24"/>
          <w:szCs w:val="24"/>
          <w:lang w:val="cs-CZ"/>
        </w:rPr>
        <w:t xml:space="preserve"> se poskytovatelem</w:t>
      </w:r>
      <w:r w:rsidR="00F8789A" w:rsidRPr="00090792">
        <w:rPr>
          <w:sz w:val="24"/>
          <w:szCs w:val="24"/>
          <w:lang w:val="cs-CZ"/>
        </w:rPr>
        <w:t xml:space="preserve"> veřejné podpory</w:t>
      </w:r>
      <w:r w:rsidR="003B288C" w:rsidRPr="00090792">
        <w:rPr>
          <w:sz w:val="24"/>
          <w:szCs w:val="24"/>
          <w:lang w:val="cs-CZ"/>
        </w:rPr>
        <w:t xml:space="preserve"> rovněž může rozumět odpovědný orgán</w:t>
      </w:r>
      <w:r w:rsidR="001657BC" w:rsidRPr="00090792">
        <w:rPr>
          <w:sz w:val="24"/>
          <w:szCs w:val="24"/>
          <w:lang w:val="cs-CZ"/>
        </w:rPr>
        <w:t xml:space="preserve"> předávající koordinačnímu orgánu</w:t>
      </w:r>
      <w:r w:rsidR="003B288C" w:rsidRPr="00090792">
        <w:rPr>
          <w:sz w:val="24"/>
          <w:szCs w:val="24"/>
          <w:lang w:val="cs-CZ"/>
        </w:rPr>
        <w:t xml:space="preserve"> oznámení opatření podpory</w:t>
      </w:r>
      <w:r w:rsidR="006951B0" w:rsidRPr="00090792">
        <w:rPr>
          <w:sz w:val="24"/>
          <w:szCs w:val="24"/>
          <w:lang w:val="cs-CZ"/>
        </w:rPr>
        <w:t xml:space="preserve"> </w:t>
      </w:r>
      <w:r w:rsidR="001657BC" w:rsidRPr="00090792">
        <w:rPr>
          <w:sz w:val="24"/>
          <w:szCs w:val="24"/>
          <w:lang w:val="cs-CZ"/>
        </w:rPr>
        <w:t xml:space="preserve">pro </w:t>
      </w:r>
      <w:r w:rsidR="006951B0" w:rsidRPr="00090792">
        <w:rPr>
          <w:sz w:val="24"/>
          <w:szCs w:val="24"/>
          <w:lang w:val="cs-CZ"/>
        </w:rPr>
        <w:t>Evropsk</w:t>
      </w:r>
      <w:r w:rsidR="001657BC" w:rsidRPr="00090792">
        <w:rPr>
          <w:sz w:val="24"/>
          <w:szCs w:val="24"/>
          <w:lang w:val="cs-CZ"/>
        </w:rPr>
        <w:t>ou</w:t>
      </w:r>
      <w:r w:rsidR="006951B0" w:rsidRPr="00090792">
        <w:rPr>
          <w:sz w:val="24"/>
          <w:szCs w:val="24"/>
          <w:lang w:val="cs-CZ"/>
        </w:rPr>
        <w:t xml:space="preserve"> komisi</w:t>
      </w:r>
      <w:r w:rsidR="003B288C" w:rsidRPr="00090792">
        <w:rPr>
          <w:sz w:val="24"/>
          <w:szCs w:val="24"/>
          <w:lang w:val="cs-CZ"/>
        </w:rPr>
        <w:t>.</w:t>
      </w:r>
    </w:p>
    <w:p w14:paraId="4AC8E483" w14:textId="77777777" w:rsidR="008913B6" w:rsidRPr="00090792" w:rsidRDefault="008913B6" w:rsidP="00DF6000">
      <w:pPr>
        <w:jc w:val="both"/>
        <w:rPr>
          <w:sz w:val="24"/>
          <w:szCs w:val="24"/>
          <w:lang w:val="cs-CZ"/>
        </w:rPr>
      </w:pPr>
      <w:r w:rsidRPr="00090792">
        <w:rPr>
          <w:b/>
          <w:bCs/>
          <w:sz w:val="24"/>
          <w:szCs w:val="24"/>
          <w:lang w:val="cs-CZ"/>
        </w:rPr>
        <w:t>Protiprávní podpor</w:t>
      </w:r>
      <w:r w:rsidR="00700D66" w:rsidRPr="00090792">
        <w:rPr>
          <w:b/>
          <w:bCs/>
          <w:sz w:val="24"/>
          <w:szCs w:val="24"/>
          <w:lang w:val="cs-CZ"/>
        </w:rPr>
        <w:t>ou</w:t>
      </w:r>
      <w:r w:rsidR="00700D66" w:rsidRPr="00090792">
        <w:rPr>
          <w:sz w:val="24"/>
          <w:szCs w:val="24"/>
          <w:lang w:val="cs-CZ"/>
        </w:rPr>
        <w:t xml:space="preserve"> se rozumí nová podpora uskuteč</w:t>
      </w:r>
      <w:r w:rsidR="005F6277" w:rsidRPr="00090792">
        <w:rPr>
          <w:sz w:val="24"/>
          <w:szCs w:val="24"/>
          <w:lang w:val="cs-CZ"/>
        </w:rPr>
        <w:t>ňova</w:t>
      </w:r>
      <w:r w:rsidR="00700D66" w:rsidRPr="00090792">
        <w:rPr>
          <w:sz w:val="24"/>
          <w:szCs w:val="24"/>
          <w:lang w:val="cs-CZ"/>
        </w:rPr>
        <w:t>ná v rozporu s článkem 108 odst. 3 Smlouvy o</w:t>
      </w:r>
      <w:r w:rsidR="00282C03" w:rsidRPr="00090792">
        <w:rPr>
          <w:sz w:val="24"/>
          <w:szCs w:val="24"/>
          <w:lang w:val="cs-CZ"/>
        </w:rPr>
        <w:t> </w:t>
      </w:r>
      <w:r w:rsidR="00700D66" w:rsidRPr="00090792">
        <w:rPr>
          <w:sz w:val="24"/>
          <w:szCs w:val="24"/>
          <w:lang w:val="cs-CZ"/>
        </w:rPr>
        <w:t>fungování EU</w:t>
      </w:r>
      <w:r w:rsidR="005F6277" w:rsidRPr="00090792">
        <w:rPr>
          <w:rStyle w:val="Znakapoznpodarou"/>
          <w:sz w:val="24"/>
          <w:szCs w:val="24"/>
          <w:lang w:val="cs-CZ"/>
        </w:rPr>
        <w:footnoteReference w:id="9"/>
      </w:r>
      <w:r w:rsidR="00700D66" w:rsidRPr="00090792">
        <w:rPr>
          <w:sz w:val="24"/>
          <w:szCs w:val="24"/>
          <w:lang w:val="cs-CZ"/>
        </w:rPr>
        <w:t>.</w:t>
      </w:r>
      <w:r w:rsidR="00B20A81" w:rsidRPr="00090792">
        <w:rPr>
          <w:sz w:val="24"/>
          <w:szCs w:val="24"/>
          <w:lang w:val="cs-CZ"/>
        </w:rPr>
        <w:t xml:space="preserve"> Může se jednat jak o </w:t>
      </w:r>
      <w:r w:rsidR="00642535" w:rsidRPr="00090792">
        <w:rPr>
          <w:sz w:val="24"/>
          <w:szCs w:val="24"/>
          <w:lang w:val="cs-CZ"/>
        </w:rPr>
        <w:t>podporu, která</w:t>
      </w:r>
      <w:r w:rsidR="00B20A81" w:rsidRPr="00090792">
        <w:rPr>
          <w:sz w:val="24"/>
          <w:szCs w:val="24"/>
          <w:lang w:val="cs-CZ"/>
        </w:rPr>
        <w:t xml:space="preserve"> vůbec nebyla oznámena Evropské komisi, tak o</w:t>
      </w:r>
      <w:r w:rsidR="001D0DBF" w:rsidRPr="00090792">
        <w:rPr>
          <w:sz w:val="24"/>
          <w:szCs w:val="24"/>
          <w:lang w:val="cs-CZ"/>
        </w:rPr>
        <w:t> </w:t>
      </w:r>
      <w:r w:rsidR="00642535" w:rsidRPr="00090792">
        <w:rPr>
          <w:sz w:val="24"/>
          <w:szCs w:val="24"/>
          <w:lang w:val="cs-CZ"/>
        </w:rPr>
        <w:t>podporu</w:t>
      </w:r>
      <w:r w:rsidR="00B20A81" w:rsidRPr="00090792">
        <w:rPr>
          <w:sz w:val="24"/>
          <w:szCs w:val="24"/>
          <w:lang w:val="cs-CZ"/>
        </w:rPr>
        <w:t xml:space="preserve">, </w:t>
      </w:r>
      <w:r w:rsidR="00642535" w:rsidRPr="00090792">
        <w:rPr>
          <w:sz w:val="24"/>
          <w:szCs w:val="24"/>
          <w:lang w:val="cs-CZ"/>
        </w:rPr>
        <w:t>jež</w:t>
      </w:r>
      <w:r w:rsidR="00B20A81" w:rsidRPr="00090792">
        <w:rPr>
          <w:sz w:val="24"/>
          <w:szCs w:val="24"/>
          <w:lang w:val="cs-CZ"/>
        </w:rPr>
        <w:t xml:space="preserve"> sice oznámena byla, avšak následně došlo k jejímu poskytnutí v rozporu s pravidly příslušné výjimky v oblasti veřejné podpory.</w:t>
      </w:r>
    </w:p>
    <w:p w14:paraId="17F34D55" w14:textId="77777777" w:rsidR="001A455D" w:rsidRPr="00090792" w:rsidRDefault="00601EC4" w:rsidP="00DF6000">
      <w:pPr>
        <w:jc w:val="both"/>
        <w:rPr>
          <w:sz w:val="24"/>
          <w:szCs w:val="24"/>
          <w:lang w:val="cs-CZ"/>
        </w:rPr>
      </w:pPr>
      <w:r w:rsidRPr="00090792">
        <w:rPr>
          <w:b/>
          <w:sz w:val="24"/>
          <w:szCs w:val="24"/>
          <w:lang w:val="cs-CZ"/>
        </w:rPr>
        <w:t xml:space="preserve">Příjemcem veřejné podpory </w:t>
      </w:r>
      <w:r w:rsidRPr="00090792">
        <w:rPr>
          <w:sz w:val="24"/>
          <w:szCs w:val="24"/>
          <w:lang w:val="cs-CZ"/>
        </w:rPr>
        <w:t>se rozumí</w:t>
      </w:r>
      <w:r w:rsidRPr="00090792">
        <w:rPr>
          <w:b/>
          <w:sz w:val="24"/>
          <w:szCs w:val="24"/>
          <w:lang w:val="cs-CZ"/>
        </w:rPr>
        <w:t xml:space="preserve"> </w:t>
      </w:r>
      <w:r w:rsidRPr="00090792">
        <w:rPr>
          <w:sz w:val="24"/>
          <w:szCs w:val="24"/>
          <w:lang w:val="cs-CZ"/>
        </w:rPr>
        <w:t>fyzická nebo právnická osoba, v jejíž prospěch bylo o</w:t>
      </w:r>
      <w:r w:rsidR="007D119C">
        <w:rPr>
          <w:sz w:val="24"/>
          <w:szCs w:val="24"/>
          <w:lang w:val="cs-CZ"/>
        </w:rPr>
        <w:t> </w:t>
      </w:r>
      <w:r w:rsidRPr="00090792">
        <w:rPr>
          <w:sz w:val="24"/>
          <w:szCs w:val="24"/>
          <w:lang w:val="cs-CZ"/>
        </w:rPr>
        <w:t>poskytnutí veřejné podpory rozhodnuto.</w:t>
      </w:r>
      <w:r w:rsidRPr="00090792">
        <w:rPr>
          <w:rStyle w:val="Znakapoznpodarou"/>
          <w:sz w:val="24"/>
          <w:szCs w:val="24"/>
          <w:lang w:val="cs-CZ"/>
        </w:rPr>
        <w:footnoteReference w:id="10"/>
      </w:r>
      <w:r w:rsidR="00195A9C" w:rsidRPr="00090792">
        <w:rPr>
          <w:sz w:val="24"/>
          <w:szCs w:val="24"/>
          <w:lang w:val="cs-CZ"/>
        </w:rPr>
        <w:t xml:space="preserve"> </w:t>
      </w:r>
      <w:r w:rsidR="00107969" w:rsidRPr="00090792">
        <w:rPr>
          <w:sz w:val="24"/>
          <w:szCs w:val="24"/>
          <w:lang w:val="cs-CZ"/>
        </w:rPr>
        <w:t>R</w:t>
      </w:r>
      <w:r w:rsidR="001A455D" w:rsidRPr="00090792">
        <w:rPr>
          <w:sz w:val="24"/>
          <w:szCs w:val="24"/>
          <w:lang w:val="cs-CZ"/>
        </w:rPr>
        <w:t>ozumí</w:t>
      </w:r>
      <w:r w:rsidR="00107969" w:rsidRPr="00090792">
        <w:rPr>
          <w:sz w:val="24"/>
          <w:szCs w:val="24"/>
          <w:lang w:val="cs-CZ"/>
        </w:rPr>
        <w:t xml:space="preserve"> se tím tedy</w:t>
      </w:r>
      <w:r w:rsidR="001A455D" w:rsidRPr="00090792">
        <w:rPr>
          <w:sz w:val="24"/>
          <w:szCs w:val="24"/>
          <w:lang w:val="cs-CZ"/>
        </w:rPr>
        <w:t xml:space="preserve"> subjekt, který je nositelem výhody z poskytnuté veřejné podpory. Obvykle se jedná o subjekt, který o podporu žádal a</w:t>
      </w:r>
      <w:r w:rsidR="00727B83">
        <w:rPr>
          <w:sz w:val="24"/>
          <w:szCs w:val="24"/>
          <w:lang w:val="cs-CZ"/>
        </w:rPr>
        <w:t> </w:t>
      </w:r>
      <w:r w:rsidR="001A455D" w:rsidRPr="00090792">
        <w:rPr>
          <w:sz w:val="24"/>
          <w:szCs w:val="24"/>
          <w:lang w:val="cs-CZ"/>
        </w:rPr>
        <w:t>kterému byla veřejná podpora poskytnuta</w:t>
      </w:r>
      <w:r w:rsidR="003427DE" w:rsidRPr="00090792">
        <w:rPr>
          <w:sz w:val="24"/>
          <w:szCs w:val="24"/>
          <w:lang w:val="cs-CZ"/>
        </w:rPr>
        <w:t>.</w:t>
      </w:r>
      <w:r w:rsidR="001A455D" w:rsidRPr="00090792">
        <w:rPr>
          <w:sz w:val="24"/>
          <w:szCs w:val="24"/>
          <w:lang w:val="cs-CZ"/>
        </w:rPr>
        <w:t xml:space="preserve"> </w:t>
      </w:r>
    </w:p>
    <w:p w14:paraId="6BEA8440" w14:textId="77777777" w:rsidR="003B288C" w:rsidRPr="00090792" w:rsidRDefault="003B288C" w:rsidP="003B288C">
      <w:pPr>
        <w:jc w:val="both"/>
        <w:rPr>
          <w:sz w:val="24"/>
          <w:szCs w:val="24"/>
          <w:lang w:val="cs-CZ"/>
        </w:rPr>
      </w:pPr>
      <w:r w:rsidRPr="00090792">
        <w:rPr>
          <w:b/>
          <w:sz w:val="24"/>
          <w:szCs w:val="24"/>
          <w:lang w:val="cs-CZ"/>
        </w:rPr>
        <w:t>Příslušným koordinačním orgánem</w:t>
      </w:r>
      <w:r w:rsidRPr="00090792">
        <w:rPr>
          <w:sz w:val="24"/>
          <w:szCs w:val="24"/>
          <w:lang w:val="cs-CZ"/>
        </w:rPr>
        <w:t xml:space="preserve"> se rozumí Ministerstvo zeměd</w:t>
      </w:r>
      <w:r w:rsidR="00DF0145" w:rsidRPr="00090792">
        <w:rPr>
          <w:sz w:val="24"/>
          <w:szCs w:val="24"/>
          <w:lang w:val="cs-CZ"/>
        </w:rPr>
        <w:t>ělství pro</w:t>
      </w:r>
      <w:r w:rsidR="0022228B" w:rsidRPr="00090792">
        <w:rPr>
          <w:sz w:val="24"/>
          <w:szCs w:val="24"/>
          <w:lang w:val="cs-CZ"/>
        </w:rPr>
        <w:t xml:space="preserve"> </w:t>
      </w:r>
      <w:r w:rsidR="00DF0145" w:rsidRPr="00090792">
        <w:rPr>
          <w:sz w:val="24"/>
          <w:szCs w:val="24"/>
          <w:lang w:val="cs-CZ"/>
        </w:rPr>
        <w:t>oblast zemědělství</w:t>
      </w:r>
      <w:r w:rsidR="003427DE" w:rsidRPr="00090792">
        <w:rPr>
          <w:sz w:val="24"/>
          <w:szCs w:val="24"/>
          <w:lang w:val="cs-CZ"/>
        </w:rPr>
        <w:t>,</w:t>
      </w:r>
      <w:r w:rsidR="00DF0145" w:rsidRPr="00090792">
        <w:rPr>
          <w:sz w:val="24"/>
          <w:szCs w:val="24"/>
          <w:lang w:val="cs-CZ"/>
        </w:rPr>
        <w:t> </w:t>
      </w:r>
      <w:r w:rsidR="00282C03" w:rsidRPr="00090792">
        <w:rPr>
          <w:sz w:val="24"/>
          <w:szCs w:val="24"/>
          <w:lang w:val="cs-CZ"/>
        </w:rPr>
        <w:t xml:space="preserve">lesního hospodářství, </w:t>
      </w:r>
      <w:r w:rsidRPr="00090792">
        <w:rPr>
          <w:sz w:val="24"/>
          <w:szCs w:val="24"/>
          <w:lang w:val="cs-CZ"/>
        </w:rPr>
        <w:t>rybolovu</w:t>
      </w:r>
      <w:r w:rsidR="003427DE" w:rsidRPr="00090792">
        <w:rPr>
          <w:sz w:val="24"/>
          <w:szCs w:val="24"/>
          <w:lang w:val="cs-CZ"/>
        </w:rPr>
        <w:t xml:space="preserve"> a akvakultury</w:t>
      </w:r>
      <w:r w:rsidRPr="00090792">
        <w:rPr>
          <w:sz w:val="24"/>
          <w:szCs w:val="24"/>
          <w:lang w:val="cs-CZ"/>
        </w:rPr>
        <w:t xml:space="preserve"> a Úřad pro ochranu hospodářské soutěže pro ostatní oblasti.</w:t>
      </w:r>
      <w:r w:rsidRPr="00090792">
        <w:rPr>
          <w:rStyle w:val="Znakapoznpodarou"/>
          <w:sz w:val="24"/>
          <w:szCs w:val="24"/>
          <w:lang w:val="cs-CZ"/>
        </w:rPr>
        <w:footnoteReference w:id="11"/>
      </w:r>
      <w:r w:rsidRPr="00090792">
        <w:rPr>
          <w:sz w:val="24"/>
          <w:szCs w:val="24"/>
          <w:lang w:val="cs-CZ"/>
        </w:rPr>
        <w:t xml:space="preserve"> V případě, že bylo opatření oznamováno Evropské komisi ve spolupráci s Ministerstvem zemědělství</w:t>
      </w:r>
      <w:r w:rsidR="009E1AE1" w:rsidRPr="00090792">
        <w:rPr>
          <w:sz w:val="24"/>
          <w:szCs w:val="24"/>
          <w:lang w:val="cs-CZ"/>
        </w:rPr>
        <w:t>,</w:t>
      </w:r>
      <w:r w:rsidRPr="00090792">
        <w:rPr>
          <w:sz w:val="24"/>
          <w:szCs w:val="24"/>
          <w:lang w:val="cs-CZ"/>
        </w:rPr>
        <w:t xml:space="preserve"> je koordinačním orgánem Ministerstvo zemědělství. V případě, že bylo opatření oznamováno Evropské komisi ve spolupráci s Úřadem pro ochranu hospodářské soutěže</w:t>
      </w:r>
      <w:r w:rsidR="009E1AE1" w:rsidRPr="00090792">
        <w:rPr>
          <w:sz w:val="24"/>
          <w:szCs w:val="24"/>
          <w:lang w:val="cs-CZ"/>
        </w:rPr>
        <w:t>,</w:t>
      </w:r>
      <w:r w:rsidRPr="00090792">
        <w:rPr>
          <w:sz w:val="24"/>
          <w:szCs w:val="24"/>
          <w:lang w:val="cs-CZ"/>
        </w:rPr>
        <w:t xml:space="preserve"> je koordinačním orgánem Úřad pro ochranu hospodářské soutěže.</w:t>
      </w:r>
    </w:p>
    <w:p w14:paraId="1EE08B4E" w14:textId="77777777" w:rsidR="0023357B" w:rsidRPr="00090792" w:rsidRDefault="0023357B" w:rsidP="00547BA5">
      <w:pPr>
        <w:jc w:val="both"/>
        <w:rPr>
          <w:sz w:val="24"/>
          <w:szCs w:val="24"/>
          <w:lang w:val="cs-CZ"/>
        </w:rPr>
      </w:pPr>
      <w:r w:rsidRPr="00090792">
        <w:rPr>
          <w:b/>
          <w:sz w:val="24"/>
          <w:szCs w:val="24"/>
          <w:lang w:val="cs-CZ"/>
        </w:rPr>
        <w:t>Režimem podpory</w:t>
      </w:r>
      <w:r w:rsidRPr="00090792">
        <w:rPr>
          <w:sz w:val="24"/>
          <w:szCs w:val="24"/>
          <w:lang w:val="cs-CZ"/>
        </w:rPr>
        <w:t xml:space="preserve"> se rozumí akt, na jehož základě může být be</w:t>
      </w:r>
      <w:r w:rsidR="00547BA5" w:rsidRPr="00090792">
        <w:rPr>
          <w:sz w:val="24"/>
          <w:szCs w:val="24"/>
          <w:lang w:val="cs-CZ"/>
        </w:rPr>
        <w:t>z dalších prováděcích opatření</w:t>
      </w:r>
      <w:r w:rsidRPr="00090792">
        <w:rPr>
          <w:sz w:val="24"/>
          <w:szCs w:val="24"/>
          <w:lang w:val="cs-CZ"/>
        </w:rPr>
        <w:t xml:space="preserve"> poskytnuta jednotlivá podpora podnikům, jež jsou v tomto aktu vymezeny obecným a</w:t>
      </w:r>
      <w:r w:rsidR="00727760" w:rsidRPr="00090792">
        <w:rPr>
          <w:sz w:val="24"/>
          <w:szCs w:val="24"/>
          <w:lang w:val="cs-CZ"/>
        </w:rPr>
        <w:t> </w:t>
      </w:r>
      <w:r w:rsidRPr="00090792">
        <w:rPr>
          <w:sz w:val="24"/>
          <w:szCs w:val="24"/>
          <w:lang w:val="cs-CZ"/>
        </w:rPr>
        <w:t xml:space="preserve">abstraktním způsobem, a dále akt, na jehož základě může být jednomu nebo několika podnikům </w:t>
      </w:r>
      <w:r w:rsidRPr="00090792">
        <w:rPr>
          <w:sz w:val="24"/>
          <w:szCs w:val="24"/>
          <w:lang w:val="cs-CZ"/>
        </w:rPr>
        <w:lastRenderedPageBreak/>
        <w:t>poskytnuta na neurčitou dobu nebo v neurčené výši podpora</w:t>
      </w:r>
      <w:r w:rsidR="00BB4FF9" w:rsidRPr="00090792">
        <w:rPr>
          <w:sz w:val="24"/>
          <w:szCs w:val="24"/>
          <w:lang w:val="cs-CZ"/>
        </w:rPr>
        <w:t>, která není spojena s konkrétním projektem.</w:t>
      </w:r>
      <w:r w:rsidR="00FA6D19" w:rsidRPr="00090792">
        <w:rPr>
          <w:rStyle w:val="Znakapoznpodarou"/>
          <w:sz w:val="24"/>
          <w:szCs w:val="24"/>
          <w:lang w:val="cs-CZ"/>
        </w:rPr>
        <w:footnoteReference w:id="12"/>
      </w:r>
    </w:p>
    <w:p w14:paraId="274CF326" w14:textId="77777777" w:rsidR="00070FB8" w:rsidRPr="00090792" w:rsidRDefault="00AB687B" w:rsidP="00AB687B">
      <w:pPr>
        <w:jc w:val="both"/>
        <w:rPr>
          <w:sz w:val="24"/>
          <w:szCs w:val="24"/>
          <w:lang w:val="cs-CZ"/>
        </w:rPr>
      </w:pPr>
      <w:r w:rsidRPr="00090792">
        <w:rPr>
          <w:b/>
          <w:bCs/>
          <w:sz w:val="24"/>
          <w:szCs w:val="24"/>
          <w:lang w:val="cs-CZ"/>
        </w:rPr>
        <w:t xml:space="preserve">Výše základní sazby pro výpočet referenční a diskontní sazby v České republice </w:t>
      </w:r>
      <w:r w:rsidRPr="00090792">
        <w:rPr>
          <w:sz w:val="24"/>
          <w:szCs w:val="24"/>
          <w:lang w:val="cs-CZ"/>
        </w:rPr>
        <w:t>se upravuje v</w:t>
      </w:r>
      <w:r w:rsidR="00727760" w:rsidRPr="00090792">
        <w:rPr>
          <w:sz w:val="24"/>
          <w:szCs w:val="24"/>
          <w:lang w:val="cs-CZ"/>
        </w:rPr>
        <w:t> </w:t>
      </w:r>
      <w:r w:rsidRPr="00090792">
        <w:rPr>
          <w:sz w:val="24"/>
          <w:szCs w:val="24"/>
          <w:lang w:val="cs-CZ"/>
        </w:rPr>
        <w:t xml:space="preserve">souladu se sdělením </w:t>
      </w:r>
      <w:r w:rsidR="008B4CAF">
        <w:rPr>
          <w:sz w:val="24"/>
          <w:szCs w:val="24"/>
          <w:lang w:val="cs-CZ"/>
        </w:rPr>
        <w:t xml:space="preserve">Komise </w:t>
      </w:r>
      <w:r w:rsidRPr="00090792">
        <w:rPr>
          <w:sz w:val="24"/>
          <w:szCs w:val="24"/>
          <w:lang w:val="cs-CZ"/>
        </w:rPr>
        <w:t>o revizi metody stanovování referenčních a diskontních sazeb</w:t>
      </w:r>
      <w:r w:rsidR="00060A5C" w:rsidRPr="00090792">
        <w:rPr>
          <w:rStyle w:val="Znakapoznpodarou"/>
          <w:sz w:val="24"/>
          <w:szCs w:val="24"/>
          <w:lang w:val="cs-CZ"/>
        </w:rPr>
        <w:footnoteReference w:id="13"/>
      </w:r>
      <w:r w:rsidRPr="00090792">
        <w:rPr>
          <w:sz w:val="24"/>
          <w:szCs w:val="24"/>
          <w:lang w:val="cs-CZ"/>
        </w:rPr>
        <w:t>.</w:t>
      </w:r>
      <w:r w:rsidRPr="00090792">
        <w:rPr>
          <w:b/>
          <w:bCs/>
          <w:i/>
          <w:iCs/>
          <w:sz w:val="24"/>
          <w:szCs w:val="24"/>
          <w:lang w:val="cs-CZ"/>
        </w:rPr>
        <w:t xml:space="preserve"> </w:t>
      </w:r>
      <w:r w:rsidRPr="00090792">
        <w:rPr>
          <w:sz w:val="24"/>
          <w:szCs w:val="24"/>
          <w:lang w:val="cs-CZ"/>
        </w:rPr>
        <w:t>Referenční a diskontní sazby se používají jako náhrada tržní sazby k výpočtu grantového ekvivalentu podpory, zvláště v případě, kdy se podpora vyplácí v</w:t>
      </w:r>
      <w:r w:rsidR="00727760" w:rsidRPr="00090792">
        <w:rPr>
          <w:sz w:val="24"/>
          <w:szCs w:val="24"/>
          <w:lang w:val="cs-CZ"/>
        </w:rPr>
        <w:t> </w:t>
      </w:r>
      <w:r w:rsidRPr="00090792">
        <w:rPr>
          <w:sz w:val="24"/>
          <w:szCs w:val="24"/>
          <w:lang w:val="cs-CZ"/>
        </w:rPr>
        <w:t xml:space="preserve">několika splátkách, a k výpočtu části podpory, která vyplývá z režimů dotace úroků. Slouží rovněž ke kontrole souladu </w:t>
      </w:r>
      <w:r w:rsidR="00727B83">
        <w:rPr>
          <w:sz w:val="24"/>
          <w:szCs w:val="24"/>
          <w:lang w:val="cs-CZ"/>
        </w:rPr>
        <w:t xml:space="preserve">poskytnuté výhody </w:t>
      </w:r>
      <w:r w:rsidRPr="00090792">
        <w:rPr>
          <w:sz w:val="24"/>
          <w:szCs w:val="24"/>
          <w:lang w:val="cs-CZ"/>
        </w:rPr>
        <w:t xml:space="preserve">s </w:t>
      </w:r>
      <w:r w:rsidR="00824A87" w:rsidRPr="00090792">
        <w:rPr>
          <w:sz w:val="24"/>
          <w:szCs w:val="24"/>
          <w:lang w:val="cs-CZ"/>
        </w:rPr>
        <w:t xml:space="preserve">pravidly podpory </w:t>
      </w:r>
      <w:r w:rsidRPr="00090792">
        <w:rPr>
          <w:i/>
          <w:iCs/>
          <w:sz w:val="24"/>
          <w:szCs w:val="24"/>
          <w:lang w:val="cs-CZ"/>
        </w:rPr>
        <w:t>de</w:t>
      </w:r>
      <w:r w:rsidR="0061413A" w:rsidRPr="00090792">
        <w:rPr>
          <w:i/>
          <w:iCs/>
          <w:sz w:val="24"/>
          <w:szCs w:val="24"/>
          <w:lang w:val="cs-CZ"/>
        </w:rPr>
        <w:t> </w:t>
      </w:r>
      <w:r w:rsidRPr="00090792">
        <w:rPr>
          <w:i/>
          <w:iCs/>
          <w:sz w:val="24"/>
          <w:szCs w:val="24"/>
          <w:lang w:val="cs-CZ"/>
        </w:rPr>
        <w:t>minimis</w:t>
      </w:r>
      <w:r w:rsidRPr="00090792">
        <w:rPr>
          <w:sz w:val="24"/>
          <w:szCs w:val="24"/>
          <w:lang w:val="cs-CZ"/>
        </w:rPr>
        <w:t xml:space="preserve"> a s předpisy o blokové výjimce. Konkrétním příkladem využití </w:t>
      </w:r>
      <w:r w:rsidR="0061413A" w:rsidRPr="00090792">
        <w:rPr>
          <w:sz w:val="24"/>
          <w:szCs w:val="24"/>
          <w:lang w:val="cs-CZ"/>
        </w:rPr>
        <w:t xml:space="preserve">základní </w:t>
      </w:r>
      <w:r w:rsidRPr="00090792">
        <w:rPr>
          <w:sz w:val="24"/>
          <w:szCs w:val="24"/>
          <w:lang w:val="cs-CZ"/>
        </w:rPr>
        <w:t>referenční sazby je situace, kdy Evropská komise rozhodne, že nelegálně poskytnutá veřejná podpora je neslučitelná s</w:t>
      </w:r>
      <w:r w:rsidR="001D0DBF" w:rsidRPr="00090792">
        <w:rPr>
          <w:sz w:val="24"/>
          <w:szCs w:val="24"/>
          <w:lang w:val="cs-CZ"/>
        </w:rPr>
        <w:t> </w:t>
      </w:r>
      <w:r w:rsidRPr="00090792">
        <w:rPr>
          <w:sz w:val="24"/>
          <w:szCs w:val="24"/>
          <w:lang w:val="cs-CZ"/>
        </w:rPr>
        <w:t>vnitřním trhem a nařídí členskému státu, aby učinil veškerá nutná opatření k získání podpory od příjemce zpět včetně úroků. Tyto úroky se stanovují právě na základě referenční sazby.</w:t>
      </w:r>
    </w:p>
    <w:p w14:paraId="4E18BB0A" w14:textId="77777777" w:rsidR="00AB687B" w:rsidRPr="00090792" w:rsidRDefault="00070FB8" w:rsidP="00F33BB6">
      <w:pPr>
        <w:rPr>
          <w:lang w:val="cs-CZ"/>
        </w:rPr>
      </w:pPr>
      <w:r w:rsidRPr="00090792">
        <w:rPr>
          <w:lang w:val="cs-CZ"/>
        </w:rPr>
        <w:br w:type="page"/>
      </w:r>
    </w:p>
    <w:p w14:paraId="25CC5E5A" w14:textId="77777777" w:rsidR="001F5DDB" w:rsidRPr="00090792" w:rsidRDefault="00070FB8" w:rsidP="00112110">
      <w:pPr>
        <w:pStyle w:val="Nadpis1"/>
        <w:rPr>
          <w:b/>
          <w:bCs/>
          <w:sz w:val="32"/>
          <w:szCs w:val="32"/>
          <w:lang w:val="cs-CZ"/>
        </w:rPr>
      </w:pPr>
      <w:bookmarkStart w:id="11" w:name="_Toc448847520"/>
      <w:bookmarkStart w:id="12" w:name="_Toc202430942"/>
      <w:r w:rsidRPr="00090792">
        <w:rPr>
          <w:b/>
          <w:bCs/>
          <w:sz w:val="32"/>
          <w:szCs w:val="32"/>
          <w:lang w:val="cs-CZ"/>
        </w:rPr>
        <w:lastRenderedPageBreak/>
        <w:t>3.</w:t>
      </w:r>
      <w:r w:rsidR="0065502A" w:rsidRPr="00090792">
        <w:rPr>
          <w:b/>
          <w:bCs/>
          <w:sz w:val="32"/>
          <w:szCs w:val="32"/>
          <w:lang w:val="cs-CZ"/>
        </w:rPr>
        <w:t xml:space="preserve"> </w:t>
      </w:r>
      <w:r w:rsidR="00D27A35" w:rsidRPr="00090792">
        <w:rPr>
          <w:b/>
          <w:bCs/>
          <w:sz w:val="32"/>
          <w:szCs w:val="32"/>
          <w:lang w:val="cs-CZ"/>
        </w:rPr>
        <w:t>PROBLEMATIK</w:t>
      </w:r>
      <w:bookmarkEnd w:id="11"/>
      <w:r w:rsidR="00FD2C7F" w:rsidRPr="00090792">
        <w:rPr>
          <w:b/>
          <w:bCs/>
          <w:sz w:val="32"/>
          <w:szCs w:val="32"/>
          <w:lang w:val="cs-CZ"/>
        </w:rPr>
        <w:t>A NAVRACENÍ</w:t>
      </w:r>
      <w:bookmarkEnd w:id="12"/>
    </w:p>
    <w:p w14:paraId="2C4C75DE" w14:textId="3180CE2F" w:rsidR="00D16A8F" w:rsidRDefault="00D16A8F" w:rsidP="008C463A">
      <w:pPr>
        <w:jc w:val="both"/>
        <w:rPr>
          <w:sz w:val="24"/>
          <w:szCs w:val="24"/>
          <w:lang w:val="cs-CZ"/>
        </w:rPr>
      </w:pPr>
    </w:p>
    <w:p w14:paraId="0C5290F4" w14:textId="77777777" w:rsidR="00212CB0" w:rsidRPr="00090792" w:rsidRDefault="00212CB0" w:rsidP="00212CB0">
      <w:pPr>
        <w:pStyle w:val="Nadpis3"/>
        <w:rPr>
          <w:lang w:val="cs-CZ"/>
        </w:rPr>
      </w:pPr>
      <w:r w:rsidRPr="00212CB0">
        <w:rPr>
          <w:lang w:val="cs-CZ"/>
        </w:rPr>
        <w:t>navracení podpory bez rozhodnutí Evropské komise</w:t>
      </w:r>
    </w:p>
    <w:p w14:paraId="20DB9358" w14:textId="77777777" w:rsidR="00942BE8" w:rsidRDefault="00942BE8" w:rsidP="00942BE8">
      <w:pPr>
        <w:jc w:val="both"/>
        <w:rPr>
          <w:sz w:val="24"/>
          <w:szCs w:val="24"/>
          <w:lang w:val="cs-CZ"/>
        </w:rPr>
      </w:pPr>
      <w:bookmarkStart w:id="13" w:name="_Hlk212732004"/>
      <w:r w:rsidRPr="00090792">
        <w:rPr>
          <w:sz w:val="24"/>
          <w:szCs w:val="24"/>
          <w:lang w:val="cs-CZ"/>
        </w:rPr>
        <w:t>V aplikační praxi mohou nastat situace, kdy o vrácení podpory z důvodu jejího rozporu s právem EU rozhoduje poskytovatel podpory v České republice, a nikoli Evropská komise.</w:t>
      </w:r>
      <w:r>
        <w:rPr>
          <w:sz w:val="24"/>
          <w:szCs w:val="24"/>
          <w:lang w:val="cs-CZ"/>
        </w:rPr>
        <w:t xml:space="preserve"> </w:t>
      </w:r>
    </w:p>
    <w:p w14:paraId="568FA92C" w14:textId="77777777" w:rsidR="008C463A" w:rsidRPr="00090792" w:rsidRDefault="0097695A" w:rsidP="008C463A">
      <w:pPr>
        <w:jc w:val="both"/>
        <w:rPr>
          <w:sz w:val="24"/>
          <w:szCs w:val="24"/>
          <w:lang w:val="cs-CZ"/>
        </w:rPr>
      </w:pPr>
      <w:r w:rsidRPr="00090792">
        <w:rPr>
          <w:rFonts w:cs="Arial"/>
          <w:noProof/>
          <w:sz w:val="24"/>
          <w:szCs w:val="24"/>
          <w:lang w:val="cs-CZ" w:eastAsia="cs-CZ"/>
        </w:rPr>
        <mc:AlternateContent>
          <mc:Choice Requires="wps">
            <w:drawing>
              <wp:anchor distT="45720" distB="45720" distL="114300" distR="114300" simplePos="0" relativeHeight="251658245" behindDoc="0" locked="0" layoutInCell="1" allowOverlap="1" wp14:anchorId="07EC44B9" wp14:editId="0E152DE0">
                <wp:simplePos x="0" y="0"/>
                <wp:positionH relativeFrom="margin">
                  <wp:align>right</wp:align>
                </wp:positionH>
                <wp:positionV relativeFrom="paragraph">
                  <wp:posOffset>423545</wp:posOffset>
                </wp:positionV>
                <wp:extent cx="5946775" cy="3159760"/>
                <wp:effectExtent l="0" t="0" r="15875" b="21590"/>
                <wp:wrapSquare wrapText="bothSides"/>
                <wp:docPr id="3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159760"/>
                        </a:xfrm>
                        <a:prstGeom prst="rect">
                          <a:avLst/>
                        </a:prstGeom>
                        <a:solidFill>
                          <a:srgbClr val="4F81BD">
                            <a:lumMod val="20000"/>
                            <a:lumOff val="80000"/>
                          </a:srgbClr>
                        </a:solidFill>
                        <a:ln w="9525">
                          <a:solidFill>
                            <a:srgbClr val="1F497D"/>
                          </a:solidFill>
                          <a:miter lim="800000"/>
                          <a:headEnd/>
                          <a:tailEnd/>
                        </a:ln>
                      </wps:spPr>
                      <wps:txbx>
                        <w:txbxContent>
                          <w:p w14:paraId="31075F64" w14:textId="77777777" w:rsidR="0097695A" w:rsidRPr="00F62C8F" w:rsidRDefault="0097695A" w:rsidP="0097695A">
                            <w:pPr>
                              <w:jc w:val="center"/>
                              <w:rPr>
                                <w:i/>
                                <w:iCs/>
                              </w:rPr>
                            </w:pPr>
                            <w:r w:rsidRPr="00F62C8F">
                              <w:rPr>
                                <w:i/>
                                <w:iCs/>
                              </w:rPr>
                              <w:t>§ 7a</w:t>
                            </w:r>
                          </w:p>
                          <w:p w14:paraId="02E3508E" w14:textId="77777777" w:rsidR="0097695A" w:rsidRPr="00F62C8F" w:rsidRDefault="0097695A" w:rsidP="0097695A">
                            <w:pPr>
                              <w:jc w:val="center"/>
                              <w:rPr>
                                <w:i/>
                                <w:iCs/>
                              </w:rPr>
                            </w:pPr>
                            <w:proofErr w:type="spellStart"/>
                            <w:r w:rsidRPr="00F62C8F">
                              <w:rPr>
                                <w:b/>
                                <w:bCs/>
                                <w:i/>
                                <w:iCs/>
                              </w:rPr>
                              <w:t>Postup</w:t>
                            </w:r>
                            <w:proofErr w:type="spellEnd"/>
                            <w:r w:rsidRPr="00F62C8F">
                              <w:rPr>
                                <w:b/>
                                <w:bCs/>
                                <w:i/>
                                <w:iCs/>
                              </w:rPr>
                              <w:t xml:space="preserve"> </w:t>
                            </w:r>
                            <w:proofErr w:type="spellStart"/>
                            <w:r w:rsidRPr="00F62C8F">
                              <w:rPr>
                                <w:b/>
                                <w:bCs/>
                                <w:i/>
                                <w:iCs/>
                              </w:rPr>
                              <w:t>při</w:t>
                            </w:r>
                            <w:proofErr w:type="spellEnd"/>
                            <w:r w:rsidRPr="00F62C8F">
                              <w:rPr>
                                <w:b/>
                                <w:bCs/>
                                <w:i/>
                                <w:iCs/>
                              </w:rPr>
                              <w:t xml:space="preserve"> </w:t>
                            </w:r>
                            <w:proofErr w:type="spellStart"/>
                            <w:r w:rsidRPr="00F62C8F">
                              <w:rPr>
                                <w:b/>
                                <w:bCs/>
                                <w:i/>
                                <w:iCs/>
                              </w:rPr>
                              <w:t>navracení</w:t>
                            </w:r>
                            <w:proofErr w:type="spellEnd"/>
                            <w:r w:rsidRPr="00F62C8F">
                              <w:rPr>
                                <w:b/>
                                <w:bCs/>
                                <w:i/>
                                <w:iCs/>
                              </w:rPr>
                              <w:t xml:space="preserve"> </w:t>
                            </w:r>
                            <w:proofErr w:type="spellStart"/>
                            <w:r w:rsidRPr="00F62C8F">
                              <w:rPr>
                                <w:b/>
                                <w:bCs/>
                                <w:i/>
                                <w:iCs/>
                              </w:rPr>
                              <w:t>veřejné</w:t>
                            </w:r>
                            <w:proofErr w:type="spellEnd"/>
                            <w:r w:rsidRPr="00F62C8F">
                              <w:rPr>
                                <w:b/>
                                <w:bCs/>
                                <w:i/>
                                <w:iCs/>
                              </w:rPr>
                              <w:t xml:space="preserve"> </w:t>
                            </w:r>
                            <w:proofErr w:type="spellStart"/>
                            <w:r w:rsidRPr="00F62C8F">
                              <w:rPr>
                                <w:b/>
                                <w:bCs/>
                                <w:i/>
                                <w:iCs/>
                              </w:rPr>
                              <w:t>podpory</w:t>
                            </w:r>
                            <w:proofErr w:type="spellEnd"/>
                            <w:r w:rsidRPr="00F62C8F">
                              <w:rPr>
                                <w:b/>
                                <w:bCs/>
                                <w:i/>
                                <w:iCs/>
                              </w:rPr>
                              <w:t xml:space="preserve"> v </w:t>
                            </w:r>
                            <w:proofErr w:type="spellStart"/>
                            <w:r w:rsidRPr="00F62C8F">
                              <w:rPr>
                                <w:b/>
                                <w:bCs/>
                                <w:i/>
                                <w:iCs/>
                              </w:rPr>
                              <w:t>ostatních</w:t>
                            </w:r>
                            <w:proofErr w:type="spellEnd"/>
                            <w:r w:rsidRPr="00F62C8F">
                              <w:rPr>
                                <w:b/>
                                <w:bCs/>
                                <w:i/>
                                <w:iCs/>
                              </w:rPr>
                              <w:t xml:space="preserve"> </w:t>
                            </w:r>
                            <w:proofErr w:type="spellStart"/>
                            <w:r w:rsidRPr="00F62C8F">
                              <w:rPr>
                                <w:b/>
                                <w:bCs/>
                                <w:i/>
                                <w:iCs/>
                              </w:rPr>
                              <w:t>případech</w:t>
                            </w:r>
                            <w:proofErr w:type="spellEnd"/>
                          </w:p>
                          <w:p w14:paraId="6596072A" w14:textId="77777777" w:rsidR="0097695A" w:rsidRPr="00F62C8F" w:rsidRDefault="0097695A" w:rsidP="0097695A">
                            <w:pPr>
                              <w:jc w:val="both"/>
                              <w:rPr>
                                <w:i/>
                                <w:iCs/>
                              </w:rPr>
                            </w:pPr>
                            <w:r w:rsidRPr="00F62C8F">
                              <w:rPr>
                                <w:i/>
                                <w:iCs/>
                              </w:rPr>
                              <w:t xml:space="preserve">(1) </w:t>
                            </w:r>
                            <w:proofErr w:type="spellStart"/>
                            <w:r w:rsidRPr="00F62C8F">
                              <w:rPr>
                                <w:i/>
                                <w:iCs/>
                              </w:rPr>
                              <w:t>Pokud</w:t>
                            </w:r>
                            <w:proofErr w:type="spellEnd"/>
                            <w:r w:rsidRPr="00F62C8F">
                              <w:rPr>
                                <w:i/>
                                <w:iCs/>
                              </w:rPr>
                              <w:t xml:space="preserve"> </w:t>
                            </w:r>
                            <w:proofErr w:type="spellStart"/>
                            <w:r w:rsidRPr="00F62C8F">
                              <w:rPr>
                                <w:i/>
                                <w:iCs/>
                              </w:rPr>
                              <w:t>poskytovatel</w:t>
                            </w:r>
                            <w:proofErr w:type="spellEnd"/>
                            <w:r w:rsidRPr="00F62C8F">
                              <w:rPr>
                                <w:i/>
                                <w:iCs/>
                              </w:rPr>
                              <w:t xml:space="preserve"> </w:t>
                            </w:r>
                            <w:proofErr w:type="spellStart"/>
                            <w:r w:rsidRPr="00F62C8F">
                              <w:rPr>
                                <w:i/>
                                <w:iCs/>
                              </w:rPr>
                              <w:t>poskytl</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podporu</w:t>
                            </w:r>
                            <w:proofErr w:type="spellEnd"/>
                            <w:r w:rsidRPr="00F62C8F">
                              <w:rPr>
                                <w:i/>
                                <w:iCs/>
                              </w:rPr>
                              <w:t xml:space="preserve"> v </w:t>
                            </w:r>
                            <w:proofErr w:type="spellStart"/>
                            <w:r w:rsidRPr="00F62C8F">
                              <w:rPr>
                                <w:i/>
                                <w:iCs/>
                              </w:rPr>
                              <w:t>rozporu</w:t>
                            </w:r>
                            <w:proofErr w:type="spellEnd"/>
                            <w:r w:rsidRPr="00F62C8F">
                              <w:rPr>
                                <w:i/>
                                <w:iCs/>
                              </w:rPr>
                              <w:t xml:space="preserve"> s </w:t>
                            </w:r>
                            <w:proofErr w:type="spellStart"/>
                            <w:r w:rsidRPr="00F62C8F">
                              <w:rPr>
                                <w:i/>
                                <w:iCs/>
                              </w:rPr>
                              <w:t>právem</w:t>
                            </w:r>
                            <w:proofErr w:type="spellEnd"/>
                            <w:r w:rsidRPr="00F62C8F">
                              <w:rPr>
                                <w:i/>
                                <w:iCs/>
                              </w:rPr>
                              <w:t xml:space="preserve"> </w:t>
                            </w:r>
                            <w:proofErr w:type="spellStart"/>
                            <w:r w:rsidRPr="00F62C8F">
                              <w:rPr>
                                <w:i/>
                                <w:iCs/>
                              </w:rPr>
                              <w:t>Evropské</w:t>
                            </w:r>
                            <w:proofErr w:type="spellEnd"/>
                            <w:r w:rsidRPr="00F62C8F">
                              <w:rPr>
                                <w:i/>
                                <w:iCs/>
                              </w:rPr>
                              <w:t xml:space="preserve"> </w:t>
                            </w:r>
                            <w:proofErr w:type="spellStart"/>
                            <w:r w:rsidRPr="00F62C8F">
                              <w:rPr>
                                <w:i/>
                                <w:iCs/>
                              </w:rPr>
                              <w:t>unie</w:t>
                            </w:r>
                            <w:proofErr w:type="spellEnd"/>
                            <w:r w:rsidRPr="00F62C8F">
                              <w:rPr>
                                <w:i/>
                                <w:iCs/>
                              </w:rPr>
                              <w:t xml:space="preserve">, je </w:t>
                            </w:r>
                            <w:proofErr w:type="spellStart"/>
                            <w:r w:rsidRPr="00F62C8F">
                              <w:rPr>
                                <w:i/>
                                <w:iCs/>
                              </w:rPr>
                              <w:t>příjemce</w:t>
                            </w:r>
                            <w:proofErr w:type="spellEnd"/>
                            <w:r w:rsidRPr="00F62C8F">
                              <w:rPr>
                                <w:i/>
                                <w:iCs/>
                              </w:rPr>
                              <w:t xml:space="preserve"> </w:t>
                            </w:r>
                            <w:proofErr w:type="spellStart"/>
                            <w:r w:rsidRPr="00F62C8F">
                              <w:rPr>
                                <w:i/>
                                <w:iCs/>
                              </w:rPr>
                              <w:t>povinen</w:t>
                            </w:r>
                            <w:proofErr w:type="spellEnd"/>
                            <w:r w:rsidRPr="00F62C8F">
                              <w:rPr>
                                <w:i/>
                                <w:iCs/>
                              </w:rPr>
                              <w:t xml:space="preserve"> </w:t>
                            </w:r>
                            <w:proofErr w:type="spellStart"/>
                            <w:r w:rsidRPr="00F62C8F">
                              <w:rPr>
                                <w:i/>
                                <w:iCs/>
                              </w:rPr>
                              <w:t>poskytnutou</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podporu</w:t>
                            </w:r>
                            <w:proofErr w:type="spellEnd"/>
                            <w:r w:rsidRPr="00F62C8F">
                              <w:rPr>
                                <w:i/>
                                <w:iCs/>
                              </w:rPr>
                              <w:t xml:space="preserve"> </w:t>
                            </w:r>
                            <w:proofErr w:type="spellStart"/>
                            <w:r w:rsidRPr="00F62C8F">
                              <w:rPr>
                                <w:i/>
                                <w:iCs/>
                              </w:rPr>
                              <w:t>vrátit</w:t>
                            </w:r>
                            <w:proofErr w:type="spellEnd"/>
                            <w:r w:rsidRPr="00F62C8F">
                              <w:rPr>
                                <w:i/>
                                <w:iCs/>
                              </w:rPr>
                              <w:t xml:space="preserve"> </w:t>
                            </w:r>
                            <w:proofErr w:type="spellStart"/>
                            <w:r w:rsidRPr="00F62C8F">
                              <w:rPr>
                                <w:i/>
                                <w:iCs/>
                              </w:rPr>
                              <w:t>poskytovateli</w:t>
                            </w:r>
                            <w:proofErr w:type="spellEnd"/>
                            <w:r w:rsidRPr="00F62C8F">
                              <w:rPr>
                                <w:i/>
                                <w:iCs/>
                              </w:rPr>
                              <w:t xml:space="preserve">, </w:t>
                            </w:r>
                            <w:proofErr w:type="spellStart"/>
                            <w:r w:rsidRPr="00F62C8F">
                              <w:rPr>
                                <w:i/>
                                <w:iCs/>
                              </w:rPr>
                              <w:t>případně</w:t>
                            </w:r>
                            <w:proofErr w:type="spellEnd"/>
                            <w:r w:rsidRPr="00F62C8F">
                              <w:rPr>
                                <w:i/>
                                <w:iCs/>
                              </w:rPr>
                              <w:t xml:space="preserve"> </w:t>
                            </w:r>
                            <w:proofErr w:type="spellStart"/>
                            <w:r w:rsidRPr="00F62C8F">
                              <w:rPr>
                                <w:i/>
                                <w:iCs/>
                              </w:rPr>
                              <w:t>jeho</w:t>
                            </w:r>
                            <w:proofErr w:type="spellEnd"/>
                            <w:r w:rsidRPr="00F62C8F">
                              <w:rPr>
                                <w:i/>
                                <w:iCs/>
                              </w:rPr>
                              <w:t xml:space="preserve"> </w:t>
                            </w:r>
                            <w:proofErr w:type="spellStart"/>
                            <w:r w:rsidRPr="00F62C8F">
                              <w:rPr>
                                <w:i/>
                                <w:iCs/>
                              </w:rPr>
                              <w:t>právnímu</w:t>
                            </w:r>
                            <w:proofErr w:type="spellEnd"/>
                            <w:r w:rsidRPr="00F62C8F">
                              <w:rPr>
                                <w:i/>
                                <w:iCs/>
                              </w:rPr>
                              <w:t xml:space="preserve"> </w:t>
                            </w:r>
                            <w:proofErr w:type="spellStart"/>
                            <w:r w:rsidRPr="00F62C8F">
                              <w:rPr>
                                <w:i/>
                                <w:iCs/>
                              </w:rPr>
                              <w:t>nástupci</w:t>
                            </w:r>
                            <w:proofErr w:type="spellEnd"/>
                            <w:r w:rsidRPr="00F62C8F">
                              <w:rPr>
                                <w:i/>
                                <w:iCs/>
                              </w:rPr>
                              <w:t xml:space="preserve">, a to </w:t>
                            </w:r>
                            <w:proofErr w:type="spellStart"/>
                            <w:r w:rsidRPr="00F62C8F">
                              <w:rPr>
                                <w:i/>
                                <w:iCs/>
                              </w:rPr>
                              <w:t>včetně</w:t>
                            </w:r>
                            <w:proofErr w:type="spellEnd"/>
                            <w:r w:rsidRPr="00F62C8F">
                              <w:rPr>
                                <w:i/>
                                <w:iCs/>
                              </w:rPr>
                              <w:t xml:space="preserve"> </w:t>
                            </w:r>
                            <w:proofErr w:type="spellStart"/>
                            <w:r w:rsidRPr="00F62C8F">
                              <w:rPr>
                                <w:i/>
                                <w:iCs/>
                              </w:rPr>
                              <w:t>úroků</w:t>
                            </w:r>
                            <w:proofErr w:type="spellEnd"/>
                            <w:r w:rsidRPr="00F62C8F">
                              <w:rPr>
                                <w:i/>
                                <w:iCs/>
                              </w:rPr>
                              <w:t xml:space="preserve">. </w:t>
                            </w:r>
                            <w:proofErr w:type="spellStart"/>
                            <w:r w:rsidRPr="00F62C8F">
                              <w:rPr>
                                <w:i/>
                                <w:iCs/>
                              </w:rPr>
                              <w:t>Poskytovatel</w:t>
                            </w:r>
                            <w:proofErr w:type="spellEnd"/>
                            <w:r w:rsidRPr="00F62C8F">
                              <w:rPr>
                                <w:i/>
                                <w:iCs/>
                              </w:rPr>
                              <w:t xml:space="preserve"> </w:t>
                            </w:r>
                            <w:proofErr w:type="spellStart"/>
                            <w:r w:rsidRPr="00F62C8F">
                              <w:rPr>
                                <w:i/>
                                <w:iCs/>
                              </w:rPr>
                              <w:t>nebo</w:t>
                            </w:r>
                            <w:proofErr w:type="spellEnd"/>
                            <w:r w:rsidRPr="00F62C8F">
                              <w:rPr>
                                <w:i/>
                                <w:iCs/>
                              </w:rPr>
                              <w:t xml:space="preserve"> </w:t>
                            </w:r>
                            <w:proofErr w:type="spellStart"/>
                            <w:r w:rsidRPr="00F62C8F">
                              <w:rPr>
                                <w:i/>
                                <w:iCs/>
                              </w:rPr>
                              <w:t>jeho</w:t>
                            </w:r>
                            <w:proofErr w:type="spellEnd"/>
                            <w:r w:rsidRPr="00F62C8F">
                              <w:rPr>
                                <w:i/>
                                <w:iCs/>
                              </w:rPr>
                              <w:t xml:space="preserve"> </w:t>
                            </w:r>
                            <w:proofErr w:type="spellStart"/>
                            <w:r w:rsidRPr="00F62C8F">
                              <w:rPr>
                                <w:i/>
                                <w:iCs/>
                              </w:rPr>
                              <w:t>právní</w:t>
                            </w:r>
                            <w:proofErr w:type="spellEnd"/>
                            <w:r w:rsidRPr="00F62C8F">
                              <w:rPr>
                                <w:i/>
                                <w:iCs/>
                              </w:rPr>
                              <w:t xml:space="preserve"> </w:t>
                            </w:r>
                            <w:proofErr w:type="spellStart"/>
                            <w:r w:rsidRPr="00F62C8F">
                              <w:rPr>
                                <w:i/>
                                <w:iCs/>
                              </w:rPr>
                              <w:t>nástupce</w:t>
                            </w:r>
                            <w:proofErr w:type="spellEnd"/>
                            <w:r w:rsidRPr="00F62C8F">
                              <w:rPr>
                                <w:i/>
                                <w:iCs/>
                              </w:rPr>
                              <w:t xml:space="preserve"> je </w:t>
                            </w:r>
                            <w:proofErr w:type="spellStart"/>
                            <w:r w:rsidRPr="00F62C8F">
                              <w:rPr>
                                <w:i/>
                                <w:iCs/>
                              </w:rPr>
                              <w:t>povinen</w:t>
                            </w:r>
                            <w:proofErr w:type="spellEnd"/>
                            <w:r w:rsidRPr="00F62C8F">
                              <w:rPr>
                                <w:i/>
                                <w:iCs/>
                              </w:rPr>
                              <w:t xml:space="preserve"> bez </w:t>
                            </w:r>
                            <w:proofErr w:type="spellStart"/>
                            <w:r w:rsidRPr="00F62C8F">
                              <w:rPr>
                                <w:i/>
                                <w:iCs/>
                              </w:rPr>
                              <w:t>zbytečného</w:t>
                            </w:r>
                            <w:proofErr w:type="spellEnd"/>
                            <w:r w:rsidRPr="00F62C8F">
                              <w:rPr>
                                <w:i/>
                                <w:iCs/>
                              </w:rPr>
                              <w:t xml:space="preserve"> </w:t>
                            </w:r>
                            <w:proofErr w:type="spellStart"/>
                            <w:r w:rsidRPr="00F62C8F">
                              <w:rPr>
                                <w:i/>
                                <w:iCs/>
                              </w:rPr>
                              <w:t>odkladu</w:t>
                            </w:r>
                            <w:proofErr w:type="spellEnd"/>
                            <w:r w:rsidRPr="00F62C8F">
                              <w:rPr>
                                <w:i/>
                                <w:iCs/>
                              </w:rPr>
                              <w:t xml:space="preserve"> </w:t>
                            </w:r>
                            <w:proofErr w:type="spellStart"/>
                            <w:r w:rsidRPr="00F62C8F">
                              <w:rPr>
                                <w:i/>
                                <w:iCs/>
                              </w:rPr>
                              <w:t>učinit</w:t>
                            </w:r>
                            <w:proofErr w:type="spellEnd"/>
                            <w:r w:rsidRPr="00F62C8F">
                              <w:rPr>
                                <w:i/>
                                <w:iCs/>
                              </w:rPr>
                              <w:t xml:space="preserve"> </w:t>
                            </w:r>
                            <w:proofErr w:type="spellStart"/>
                            <w:r w:rsidRPr="00F62C8F">
                              <w:rPr>
                                <w:i/>
                                <w:iCs/>
                              </w:rPr>
                              <w:t>veškerá</w:t>
                            </w:r>
                            <w:proofErr w:type="spellEnd"/>
                            <w:r w:rsidRPr="00F62C8F">
                              <w:rPr>
                                <w:i/>
                                <w:iCs/>
                              </w:rPr>
                              <w:t xml:space="preserve"> </w:t>
                            </w:r>
                            <w:proofErr w:type="spellStart"/>
                            <w:r w:rsidRPr="00F62C8F">
                              <w:rPr>
                                <w:i/>
                                <w:iCs/>
                              </w:rPr>
                              <w:t>nezbytná</w:t>
                            </w:r>
                            <w:proofErr w:type="spellEnd"/>
                            <w:r w:rsidRPr="00F62C8F">
                              <w:rPr>
                                <w:i/>
                                <w:iCs/>
                              </w:rPr>
                              <w:t xml:space="preserve"> </w:t>
                            </w:r>
                            <w:proofErr w:type="spellStart"/>
                            <w:r w:rsidRPr="00F62C8F">
                              <w:rPr>
                                <w:i/>
                                <w:iCs/>
                              </w:rPr>
                              <w:t>opatření</w:t>
                            </w:r>
                            <w:proofErr w:type="spellEnd"/>
                            <w:r w:rsidRPr="00F62C8F">
                              <w:rPr>
                                <w:i/>
                                <w:iCs/>
                              </w:rPr>
                              <w:t xml:space="preserve"> k</w:t>
                            </w:r>
                            <w:r>
                              <w:rPr>
                                <w:i/>
                                <w:iCs/>
                              </w:rPr>
                              <w:t> </w:t>
                            </w:r>
                            <w:proofErr w:type="spellStart"/>
                            <w:r w:rsidRPr="00F62C8F">
                              <w:rPr>
                                <w:i/>
                                <w:iCs/>
                              </w:rPr>
                              <w:t>zajištění</w:t>
                            </w:r>
                            <w:proofErr w:type="spellEnd"/>
                            <w:r w:rsidRPr="00F62C8F">
                              <w:rPr>
                                <w:i/>
                                <w:iCs/>
                              </w:rPr>
                              <w:t xml:space="preserve"> </w:t>
                            </w:r>
                            <w:proofErr w:type="spellStart"/>
                            <w:r w:rsidRPr="00F62C8F">
                              <w:rPr>
                                <w:i/>
                                <w:iCs/>
                              </w:rPr>
                              <w:t>splnění</w:t>
                            </w:r>
                            <w:proofErr w:type="spellEnd"/>
                            <w:r w:rsidRPr="00F62C8F">
                              <w:rPr>
                                <w:i/>
                                <w:iCs/>
                              </w:rPr>
                              <w:t xml:space="preserve"> </w:t>
                            </w:r>
                            <w:proofErr w:type="spellStart"/>
                            <w:r w:rsidRPr="00F62C8F">
                              <w:rPr>
                                <w:i/>
                                <w:iCs/>
                              </w:rPr>
                              <w:t>této</w:t>
                            </w:r>
                            <w:proofErr w:type="spellEnd"/>
                            <w:r w:rsidRPr="00F62C8F">
                              <w:rPr>
                                <w:i/>
                                <w:iCs/>
                              </w:rPr>
                              <w:t xml:space="preserve"> </w:t>
                            </w:r>
                            <w:proofErr w:type="spellStart"/>
                            <w:r w:rsidRPr="00F62C8F">
                              <w:rPr>
                                <w:i/>
                                <w:iCs/>
                              </w:rPr>
                              <w:t>povinnosti</w:t>
                            </w:r>
                            <w:proofErr w:type="spellEnd"/>
                            <w:r w:rsidRPr="00F62C8F">
                              <w:rPr>
                                <w:i/>
                                <w:iCs/>
                              </w:rPr>
                              <w:t xml:space="preserve">, </w:t>
                            </w:r>
                            <w:proofErr w:type="spellStart"/>
                            <w:r w:rsidRPr="00F62C8F">
                              <w:rPr>
                                <w:i/>
                                <w:iCs/>
                              </w:rPr>
                              <w:t>vyzvat</w:t>
                            </w:r>
                            <w:proofErr w:type="spellEnd"/>
                            <w:r w:rsidRPr="00F62C8F">
                              <w:rPr>
                                <w:i/>
                                <w:iCs/>
                              </w:rPr>
                              <w:t xml:space="preserve"> </w:t>
                            </w:r>
                            <w:proofErr w:type="spellStart"/>
                            <w:r w:rsidRPr="00F62C8F">
                              <w:rPr>
                                <w:i/>
                                <w:iCs/>
                              </w:rPr>
                              <w:t>neprodleně</w:t>
                            </w:r>
                            <w:proofErr w:type="spellEnd"/>
                            <w:r w:rsidRPr="00F62C8F">
                              <w:rPr>
                                <w:i/>
                                <w:iCs/>
                              </w:rPr>
                              <w:t xml:space="preserve"> </w:t>
                            </w:r>
                            <w:proofErr w:type="spellStart"/>
                            <w:r w:rsidRPr="00F62C8F">
                              <w:rPr>
                                <w:i/>
                                <w:iCs/>
                              </w:rPr>
                              <w:t>příjemce</w:t>
                            </w:r>
                            <w:proofErr w:type="spellEnd"/>
                            <w:r w:rsidRPr="00F62C8F">
                              <w:rPr>
                                <w:i/>
                                <w:iCs/>
                              </w:rPr>
                              <w:t xml:space="preserve"> k </w:t>
                            </w:r>
                            <w:proofErr w:type="spellStart"/>
                            <w:r w:rsidRPr="00F62C8F">
                              <w:rPr>
                                <w:i/>
                                <w:iCs/>
                              </w:rPr>
                              <w:t>navrácení</w:t>
                            </w:r>
                            <w:proofErr w:type="spellEnd"/>
                            <w:r w:rsidRPr="00F62C8F">
                              <w:rPr>
                                <w:i/>
                                <w:iCs/>
                              </w:rPr>
                              <w:t xml:space="preserve"> </w:t>
                            </w:r>
                            <w:proofErr w:type="spellStart"/>
                            <w:r w:rsidRPr="00F62C8F">
                              <w:rPr>
                                <w:i/>
                                <w:iCs/>
                              </w:rPr>
                              <w:t>veřejné</w:t>
                            </w:r>
                            <w:proofErr w:type="spellEnd"/>
                            <w:r w:rsidRPr="00F62C8F">
                              <w:rPr>
                                <w:i/>
                                <w:iCs/>
                              </w:rPr>
                              <w:t xml:space="preserve"> </w:t>
                            </w:r>
                            <w:proofErr w:type="spellStart"/>
                            <w:r w:rsidRPr="00F62C8F">
                              <w:rPr>
                                <w:i/>
                                <w:iCs/>
                              </w:rPr>
                              <w:t>podpory</w:t>
                            </w:r>
                            <w:proofErr w:type="spellEnd"/>
                            <w:r w:rsidRPr="00F62C8F">
                              <w:rPr>
                                <w:i/>
                                <w:iCs/>
                              </w:rPr>
                              <w:t xml:space="preserve"> </w:t>
                            </w:r>
                            <w:proofErr w:type="spellStart"/>
                            <w:r w:rsidRPr="00F62C8F">
                              <w:rPr>
                                <w:i/>
                                <w:iCs/>
                              </w:rPr>
                              <w:t>včetně</w:t>
                            </w:r>
                            <w:proofErr w:type="spellEnd"/>
                            <w:r w:rsidRPr="00F62C8F">
                              <w:rPr>
                                <w:i/>
                                <w:iCs/>
                              </w:rPr>
                              <w:t xml:space="preserve"> </w:t>
                            </w:r>
                            <w:proofErr w:type="spellStart"/>
                            <w:r w:rsidRPr="00F62C8F">
                              <w:rPr>
                                <w:i/>
                                <w:iCs/>
                              </w:rPr>
                              <w:t>úroků</w:t>
                            </w:r>
                            <w:proofErr w:type="spellEnd"/>
                            <w:r w:rsidRPr="00F62C8F">
                              <w:rPr>
                                <w:i/>
                                <w:iCs/>
                              </w:rPr>
                              <w:t xml:space="preserve"> a</w:t>
                            </w:r>
                            <w:r>
                              <w:rPr>
                                <w:i/>
                                <w:iCs/>
                              </w:rPr>
                              <w:t> </w:t>
                            </w:r>
                            <w:proofErr w:type="spellStart"/>
                            <w:r w:rsidRPr="00F62C8F">
                              <w:rPr>
                                <w:i/>
                                <w:iCs/>
                              </w:rPr>
                              <w:t>stanovit</w:t>
                            </w:r>
                            <w:proofErr w:type="spellEnd"/>
                            <w:r w:rsidRPr="00F62C8F">
                              <w:rPr>
                                <w:i/>
                                <w:iCs/>
                              </w:rPr>
                              <w:t xml:space="preserve"> mu k </w:t>
                            </w:r>
                            <w:proofErr w:type="spellStart"/>
                            <w:r w:rsidRPr="00F62C8F">
                              <w:rPr>
                                <w:i/>
                                <w:iCs/>
                              </w:rPr>
                              <w:t>tomu</w:t>
                            </w:r>
                            <w:proofErr w:type="spellEnd"/>
                            <w:r w:rsidRPr="00F62C8F">
                              <w:rPr>
                                <w:i/>
                                <w:iCs/>
                              </w:rPr>
                              <w:t xml:space="preserve"> </w:t>
                            </w:r>
                            <w:proofErr w:type="spellStart"/>
                            <w:r w:rsidRPr="00F62C8F">
                              <w:rPr>
                                <w:i/>
                                <w:iCs/>
                              </w:rPr>
                              <w:t>ve</w:t>
                            </w:r>
                            <w:proofErr w:type="spellEnd"/>
                            <w:r w:rsidRPr="00F62C8F">
                              <w:rPr>
                                <w:i/>
                                <w:iCs/>
                              </w:rPr>
                              <w:t xml:space="preserve"> </w:t>
                            </w:r>
                            <w:proofErr w:type="spellStart"/>
                            <w:r w:rsidRPr="00F62C8F">
                              <w:rPr>
                                <w:i/>
                                <w:iCs/>
                              </w:rPr>
                              <w:t>výzvě</w:t>
                            </w:r>
                            <w:proofErr w:type="spellEnd"/>
                            <w:r w:rsidRPr="00F62C8F">
                              <w:rPr>
                                <w:i/>
                                <w:iCs/>
                              </w:rPr>
                              <w:t xml:space="preserve"> </w:t>
                            </w:r>
                            <w:proofErr w:type="spellStart"/>
                            <w:r w:rsidRPr="00F62C8F">
                              <w:rPr>
                                <w:i/>
                                <w:iCs/>
                              </w:rPr>
                              <w:t>lhůtu</w:t>
                            </w:r>
                            <w:proofErr w:type="spellEnd"/>
                            <w:r w:rsidRPr="00F62C8F">
                              <w:rPr>
                                <w:i/>
                                <w:iCs/>
                              </w:rPr>
                              <w:t xml:space="preserve">. </w:t>
                            </w:r>
                          </w:p>
                          <w:p w14:paraId="479DBD36" w14:textId="77777777" w:rsidR="00EA45D5" w:rsidRDefault="0097695A" w:rsidP="00EA45D5">
                            <w:pPr>
                              <w:jc w:val="both"/>
                              <w:rPr>
                                <w:i/>
                                <w:iCs/>
                              </w:rPr>
                            </w:pPr>
                            <w:r w:rsidRPr="00F62C8F">
                              <w:rPr>
                                <w:i/>
                                <w:iCs/>
                              </w:rPr>
                              <w:t xml:space="preserve">(2) </w:t>
                            </w:r>
                            <w:proofErr w:type="spellStart"/>
                            <w:r w:rsidRPr="00F62C8F">
                              <w:rPr>
                                <w:i/>
                                <w:iCs/>
                              </w:rPr>
                              <w:t>Při</w:t>
                            </w:r>
                            <w:proofErr w:type="spellEnd"/>
                            <w:r w:rsidRPr="00F62C8F">
                              <w:rPr>
                                <w:i/>
                                <w:iCs/>
                              </w:rPr>
                              <w:t xml:space="preserve"> </w:t>
                            </w:r>
                            <w:proofErr w:type="spellStart"/>
                            <w:r w:rsidRPr="00F62C8F">
                              <w:rPr>
                                <w:i/>
                                <w:iCs/>
                              </w:rPr>
                              <w:t>stanovování</w:t>
                            </w:r>
                            <w:proofErr w:type="spellEnd"/>
                            <w:r w:rsidRPr="00F62C8F">
                              <w:rPr>
                                <w:i/>
                                <w:iCs/>
                              </w:rPr>
                              <w:t xml:space="preserve"> </w:t>
                            </w:r>
                            <w:proofErr w:type="spellStart"/>
                            <w:r w:rsidRPr="00F62C8F">
                              <w:rPr>
                                <w:i/>
                                <w:iCs/>
                              </w:rPr>
                              <w:t>úrokové</w:t>
                            </w:r>
                            <w:proofErr w:type="spellEnd"/>
                            <w:r w:rsidRPr="00F62C8F">
                              <w:rPr>
                                <w:i/>
                                <w:iCs/>
                              </w:rPr>
                              <w:t xml:space="preserve"> </w:t>
                            </w:r>
                            <w:proofErr w:type="spellStart"/>
                            <w:r w:rsidRPr="00F62C8F">
                              <w:rPr>
                                <w:i/>
                                <w:iCs/>
                              </w:rPr>
                              <w:t>sazby</w:t>
                            </w:r>
                            <w:proofErr w:type="spellEnd"/>
                            <w:r w:rsidRPr="00F62C8F">
                              <w:rPr>
                                <w:i/>
                                <w:iCs/>
                              </w:rPr>
                              <w:t xml:space="preserve"> pro </w:t>
                            </w:r>
                            <w:proofErr w:type="spellStart"/>
                            <w:r w:rsidRPr="00F62C8F">
                              <w:rPr>
                                <w:i/>
                                <w:iCs/>
                              </w:rPr>
                              <w:t>účely</w:t>
                            </w:r>
                            <w:proofErr w:type="spellEnd"/>
                            <w:r w:rsidRPr="00F62C8F">
                              <w:rPr>
                                <w:i/>
                                <w:iCs/>
                              </w:rPr>
                              <w:t xml:space="preserve"> </w:t>
                            </w:r>
                            <w:proofErr w:type="spellStart"/>
                            <w:r w:rsidRPr="00F62C8F">
                              <w:rPr>
                                <w:i/>
                                <w:iCs/>
                              </w:rPr>
                              <w:t>navracení</w:t>
                            </w:r>
                            <w:proofErr w:type="spellEnd"/>
                            <w:r w:rsidRPr="00F62C8F">
                              <w:rPr>
                                <w:i/>
                                <w:iCs/>
                              </w:rPr>
                              <w:t xml:space="preserve"> </w:t>
                            </w:r>
                            <w:proofErr w:type="spellStart"/>
                            <w:r w:rsidRPr="00F62C8F">
                              <w:rPr>
                                <w:i/>
                                <w:iCs/>
                              </w:rPr>
                              <w:t>veřejné</w:t>
                            </w:r>
                            <w:proofErr w:type="spellEnd"/>
                            <w:r w:rsidRPr="00F62C8F">
                              <w:rPr>
                                <w:i/>
                                <w:iCs/>
                              </w:rPr>
                              <w:t xml:space="preserve"> </w:t>
                            </w:r>
                            <w:proofErr w:type="spellStart"/>
                            <w:r w:rsidRPr="00F62C8F">
                              <w:rPr>
                                <w:i/>
                                <w:iCs/>
                              </w:rPr>
                              <w:t>podpory</w:t>
                            </w:r>
                            <w:proofErr w:type="spellEnd"/>
                            <w:r w:rsidRPr="00F62C8F">
                              <w:rPr>
                                <w:i/>
                                <w:iCs/>
                              </w:rPr>
                              <w:t xml:space="preserve"> </w:t>
                            </w:r>
                            <w:proofErr w:type="spellStart"/>
                            <w:r w:rsidRPr="00F62C8F">
                              <w:rPr>
                                <w:i/>
                                <w:iCs/>
                              </w:rPr>
                              <w:t>podle</w:t>
                            </w:r>
                            <w:proofErr w:type="spellEnd"/>
                            <w:r w:rsidRPr="00F62C8F">
                              <w:rPr>
                                <w:i/>
                                <w:iCs/>
                              </w:rPr>
                              <w:t xml:space="preserve"> </w:t>
                            </w:r>
                            <w:proofErr w:type="spellStart"/>
                            <w:r w:rsidRPr="00F62C8F">
                              <w:rPr>
                                <w:i/>
                                <w:iCs/>
                              </w:rPr>
                              <w:t>odstavce</w:t>
                            </w:r>
                            <w:proofErr w:type="spellEnd"/>
                            <w:r w:rsidRPr="00F62C8F">
                              <w:rPr>
                                <w:i/>
                                <w:iCs/>
                              </w:rPr>
                              <w:t xml:space="preserve"> 1 </w:t>
                            </w:r>
                            <w:proofErr w:type="spellStart"/>
                            <w:r w:rsidRPr="00F62C8F">
                              <w:rPr>
                                <w:i/>
                                <w:iCs/>
                              </w:rPr>
                              <w:t>vychází</w:t>
                            </w:r>
                            <w:proofErr w:type="spellEnd"/>
                            <w:r w:rsidRPr="00F62C8F">
                              <w:rPr>
                                <w:i/>
                                <w:iCs/>
                              </w:rPr>
                              <w:t xml:space="preserve"> </w:t>
                            </w:r>
                            <w:proofErr w:type="spellStart"/>
                            <w:r w:rsidRPr="00F62C8F">
                              <w:rPr>
                                <w:i/>
                                <w:iCs/>
                              </w:rPr>
                              <w:t>poskytovatel</w:t>
                            </w:r>
                            <w:proofErr w:type="spellEnd"/>
                            <w:r w:rsidRPr="00F62C8F">
                              <w:rPr>
                                <w:i/>
                                <w:iCs/>
                              </w:rPr>
                              <w:t xml:space="preserve"> z</w:t>
                            </w:r>
                            <w:r>
                              <w:rPr>
                                <w:i/>
                                <w:iCs/>
                              </w:rPr>
                              <w:t> </w:t>
                            </w:r>
                            <w:proofErr w:type="spellStart"/>
                            <w:r w:rsidRPr="00F62C8F">
                              <w:rPr>
                                <w:i/>
                                <w:iCs/>
                              </w:rPr>
                              <w:t>kapitoly</w:t>
                            </w:r>
                            <w:proofErr w:type="spellEnd"/>
                            <w:r w:rsidRPr="00F62C8F">
                              <w:rPr>
                                <w:i/>
                                <w:iCs/>
                              </w:rPr>
                              <w:t xml:space="preserve"> V </w:t>
                            </w:r>
                            <w:proofErr w:type="spellStart"/>
                            <w:r w:rsidRPr="00F62C8F">
                              <w:rPr>
                                <w:i/>
                                <w:iCs/>
                              </w:rPr>
                              <w:t>nařízení</w:t>
                            </w:r>
                            <w:proofErr w:type="spellEnd"/>
                            <w:r w:rsidRPr="00F62C8F">
                              <w:rPr>
                                <w:i/>
                                <w:iCs/>
                              </w:rPr>
                              <w:t xml:space="preserve"> </w:t>
                            </w:r>
                            <w:proofErr w:type="spellStart"/>
                            <w:r w:rsidRPr="00F62C8F">
                              <w:rPr>
                                <w:i/>
                                <w:iCs/>
                              </w:rPr>
                              <w:t>Komise</w:t>
                            </w:r>
                            <w:proofErr w:type="spellEnd"/>
                            <w:r w:rsidRPr="00F62C8F">
                              <w:rPr>
                                <w:i/>
                                <w:iCs/>
                              </w:rPr>
                              <w:t xml:space="preserve"> (ES) č. 794/2004 ze </w:t>
                            </w:r>
                            <w:proofErr w:type="spellStart"/>
                            <w:r w:rsidRPr="00F62C8F">
                              <w:rPr>
                                <w:i/>
                                <w:iCs/>
                              </w:rPr>
                              <w:t>dne</w:t>
                            </w:r>
                            <w:proofErr w:type="spellEnd"/>
                            <w:r w:rsidRPr="00F62C8F">
                              <w:rPr>
                                <w:i/>
                                <w:iCs/>
                              </w:rPr>
                              <w:t xml:space="preserve"> 21. </w:t>
                            </w:r>
                            <w:proofErr w:type="spellStart"/>
                            <w:r w:rsidRPr="00F62C8F">
                              <w:rPr>
                                <w:i/>
                                <w:iCs/>
                              </w:rPr>
                              <w:t>dubna</w:t>
                            </w:r>
                            <w:proofErr w:type="spellEnd"/>
                            <w:r w:rsidRPr="00F62C8F">
                              <w:rPr>
                                <w:i/>
                                <w:iCs/>
                              </w:rPr>
                              <w:t xml:space="preserve"> 2004, </w:t>
                            </w:r>
                            <w:proofErr w:type="spellStart"/>
                            <w:r w:rsidRPr="00F62C8F">
                              <w:rPr>
                                <w:i/>
                                <w:iCs/>
                              </w:rPr>
                              <w:t>kterým</w:t>
                            </w:r>
                            <w:proofErr w:type="spellEnd"/>
                            <w:r w:rsidRPr="00F62C8F">
                              <w:rPr>
                                <w:i/>
                                <w:iCs/>
                              </w:rPr>
                              <w:t xml:space="preserve"> se </w:t>
                            </w:r>
                            <w:proofErr w:type="spellStart"/>
                            <w:r w:rsidRPr="00F62C8F">
                              <w:rPr>
                                <w:i/>
                                <w:iCs/>
                              </w:rPr>
                              <w:t>provádí</w:t>
                            </w:r>
                            <w:proofErr w:type="spellEnd"/>
                            <w:r w:rsidRPr="00F62C8F">
                              <w:rPr>
                                <w:i/>
                                <w:iCs/>
                              </w:rPr>
                              <w:t xml:space="preserve"> </w:t>
                            </w:r>
                            <w:proofErr w:type="spellStart"/>
                            <w:r w:rsidRPr="00F62C8F">
                              <w:rPr>
                                <w:i/>
                                <w:iCs/>
                              </w:rPr>
                              <w:t>nařízení</w:t>
                            </w:r>
                            <w:proofErr w:type="spellEnd"/>
                            <w:r w:rsidRPr="00F62C8F">
                              <w:rPr>
                                <w:i/>
                                <w:iCs/>
                              </w:rPr>
                              <w:t xml:space="preserve"> Rady (EU) 2015/1589, </w:t>
                            </w:r>
                            <w:proofErr w:type="spellStart"/>
                            <w:r w:rsidRPr="00F62C8F">
                              <w:rPr>
                                <w:i/>
                                <w:iCs/>
                              </w:rPr>
                              <w:t>kterým</w:t>
                            </w:r>
                            <w:proofErr w:type="spellEnd"/>
                            <w:r w:rsidRPr="00F62C8F">
                              <w:rPr>
                                <w:i/>
                                <w:iCs/>
                              </w:rPr>
                              <w:t xml:space="preserve"> se </w:t>
                            </w:r>
                            <w:proofErr w:type="spellStart"/>
                            <w:r w:rsidRPr="00F62C8F">
                              <w:rPr>
                                <w:i/>
                                <w:iCs/>
                              </w:rPr>
                              <w:t>stanoví</w:t>
                            </w:r>
                            <w:proofErr w:type="spellEnd"/>
                            <w:r w:rsidRPr="00F62C8F">
                              <w:rPr>
                                <w:i/>
                                <w:iCs/>
                              </w:rPr>
                              <w:t xml:space="preserve"> </w:t>
                            </w:r>
                            <w:proofErr w:type="spellStart"/>
                            <w:r w:rsidRPr="00F62C8F">
                              <w:rPr>
                                <w:i/>
                                <w:iCs/>
                              </w:rPr>
                              <w:t>prováděcí</w:t>
                            </w:r>
                            <w:proofErr w:type="spellEnd"/>
                            <w:r w:rsidRPr="00F62C8F">
                              <w:rPr>
                                <w:i/>
                                <w:iCs/>
                              </w:rPr>
                              <w:t xml:space="preserve"> </w:t>
                            </w:r>
                            <w:proofErr w:type="spellStart"/>
                            <w:r w:rsidRPr="00F62C8F">
                              <w:rPr>
                                <w:i/>
                                <w:iCs/>
                              </w:rPr>
                              <w:t>pravidla</w:t>
                            </w:r>
                            <w:proofErr w:type="spellEnd"/>
                            <w:r w:rsidRPr="00F62C8F">
                              <w:rPr>
                                <w:i/>
                                <w:iCs/>
                              </w:rPr>
                              <w:t xml:space="preserve"> k </w:t>
                            </w:r>
                            <w:proofErr w:type="spellStart"/>
                            <w:r w:rsidRPr="00F62C8F">
                              <w:rPr>
                                <w:i/>
                                <w:iCs/>
                              </w:rPr>
                              <w:t>článku</w:t>
                            </w:r>
                            <w:proofErr w:type="spellEnd"/>
                            <w:r w:rsidRPr="00F62C8F">
                              <w:rPr>
                                <w:i/>
                                <w:iCs/>
                              </w:rPr>
                              <w:t xml:space="preserve"> 108 </w:t>
                            </w:r>
                            <w:proofErr w:type="spellStart"/>
                            <w:r w:rsidRPr="00F62C8F">
                              <w:rPr>
                                <w:i/>
                                <w:iCs/>
                              </w:rPr>
                              <w:t>Smlouvy</w:t>
                            </w:r>
                            <w:proofErr w:type="spellEnd"/>
                            <w:r w:rsidRPr="00F62C8F">
                              <w:rPr>
                                <w:i/>
                                <w:iCs/>
                              </w:rPr>
                              <w:t xml:space="preserve"> o </w:t>
                            </w:r>
                            <w:proofErr w:type="spellStart"/>
                            <w:r w:rsidRPr="00F62C8F">
                              <w:rPr>
                                <w:i/>
                                <w:iCs/>
                              </w:rPr>
                              <w:t>fungování</w:t>
                            </w:r>
                            <w:proofErr w:type="spellEnd"/>
                            <w:r w:rsidRPr="00F62C8F">
                              <w:rPr>
                                <w:i/>
                                <w:iCs/>
                              </w:rPr>
                              <w:t xml:space="preserve"> </w:t>
                            </w:r>
                            <w:proofErr w:type="spellStart"/>
                            <w:r w:rsidRPr="00F62C8F">
                              <w:rPr>
                                <w:i/>
                                <w:iCs/>
                              </w:rPr>
                              <w:t>Evropské</w:t>
                            </w:r>
                            <w:proofErr w:type="spellEnd"/>
                            <w:r w:rsidRPr="00F62C8F">
                              <w:rPr>
                                <w:i/>
                                <w:iCs/>
                              </w:rPr>
                              <w:t xml:space="preserve"> </w:t>
                            </w:r>
                            <w:proofErr w:type="spellStart"/>
                            <w:r w:rsidRPr="00F62C8F">
                              <w:rPr>
                                <w:i/>
                                <w:iCs/>
                              </w:rPr>
                              <w:t>unie</w:t>
                            </w:r>
                            <w:proofErr w:type="spellEnd"/>
                            <w:r w:rsidRPr="00F62C8F">
                              <w:rPr>
                                <w:i/>
                                <w:iCs/>
                              </w:rPr>
                              <w:t xml:space="preserve">. </w:t>
                            </w:r>
                            <w:proofErr w:type="spellStart"/>
                            <w:r w:rsidRPr="00F62C8F">
                              <w:rPr>
                                <w:i/>
                                <w:iCs/>
                              </w:rPr>
                              <w:t>Úroky</w:t>
                            </w:r>
                            <w:proofErr w:type="spellEnd"/>
                            <w:r w:rsidRPr="00F62C8F">
                              <w:rPr>
                                <w:i/>
                                <w:iCs/>
                              </w:rPr>
                              <w:t xml:space="preserve"> </w:t>
                            </w:r>
                            <w:proofErr w:type="spellStart"/>
                            <w:r w:rsidRPr="00F62C8F">
                              <w:rPr>
                                <w:i/>
                                <w:iCs/>
                              </w:rPr>
                              <w:t>hradí</w:t>
                            </w:r>
                            <w:proofErr w:type="spellEnd"/>
                            <w:r w:rsidRPr="00F62C8F">
                              <w:rPr>
                                <w:i/>
                                <w:iCs/>
                              </w:rPr>
                              <w:t xml:space="preserve"> </w:t>
                            </w:r>
                            <w:proofErr w:type="spellStart"/>
                            <w:r w:rsidRPr="00F62C8F">
                              <w:rPr>
                                <w:i/>
                                <w:iCs/>
                              </w:rPr>
                              <w:t>příjemce</w:t>
                            </w:r>
                            <w:proofErr w:type="spellEnd"/>
                            <w:r w:rsidRPr="00F62C8F">
                              <w:rPr>
                                <w:i/>
                                <w:iCs/>
                              </w:rPr>
                              <w:t xml:space="preserve"> ode </w:t>
                            </w:r>
                            <w:proofErr w:type="spellStart"/>
                            <w:r w:rsidRPr="00F62C8F">
                              <w:rPr>
                                <w:i/>
                                <w:iCs/>
                              </w:rPr>
                              <w:t>dne</w:t>
                            </w:r>
                            <w:proofErr w:type="spellEnd"/>
                            <w:r w:rsidRPr="00F62C8F">
                              <w:rPr>
                                <w:i/>
                                <w:iCs/>
                              </w:rPr>
                              <w:t xml:space="preserve">, </w:t>
                            </w:r>
                            <w:proofErr w:type="spellStart"/>
                            <w:r w:rsidRPr="00F62C8F">
                              <w:rPr>
                                <w:i/>
                                <w:iCs/>
                              </w:rPr>
                              <w:t>kdy</w:t>
                            </w:r>
                            <w:proofErr w:type="spellEnd"/>
                            <w:r w:rsidRPr="00F62C8F">
                              <w:rPr>
                                <w:i/>
                                <w:iCs/>
                              </w:rPr>
                              <w:t xml:space="preserve"> </w:t>
                            </w:r>
                            <w:proofErr w:type="spellStart"/>
                            <w:r w:rsidRPr="00F62C8F">
                              <w:rPr>
                                <w:i/>
                                <w:iCs/>
                              </w:rPr>
                              <w:t>mohl</w:t>
                            </w:r>
                            <w:proofErr w:type="spellEnd"/>
                            <w:r w:rsidRPr="00F62C8F">
                              <w:rPr>
                                <w:i/>
                                <w:iCs/>
                              </w:rPr>
                              <w:t xml:space="preserve"> s </w:t>
                            </w:r>
                            <w:proofErr w:type="spellStart"/>
                            <w:r w:rsidRPr="00F62C8F">
                              <w:rPr>
                                <w:i/>
                                <w:iCs/>
                              </w:rPr>
                              <w:t>protiprávní</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podporou</w:t>
                            </w:r>
                            <w:proofErr w:type="spellEnd"/>
                            <w:r w:rsidRPr="00F62C8F">
                              <w:rPr>
                                <w:i/>
                                <w:iCs/>
                              </w:rPr>
                              <w:t xml:space="preserve"> </w:t>
                            </w:r>
                            <w:proofErr w:type="spellStart"/>
                            <w:r w:rsidRPr="00F62C8F">
                              <w:rPr>
                                <w:i/>
                                <w:iCs/>
                              </w:rPr>
                              <w:t>nakládat</w:t>
                            </w:r>
                            <w:proofErr w:type="spellEnd"/>
                            <w:r w:rsidRPr="00F62C8F">
                              <w:rPr>
                                <w:i/>
                                <w:iCs/>
                              </w:rPr>
                              <w:t xml:space="preserve">, do </w:t>
                            </w:r>
                            <w:proofErr w:type="spellStart"/>
                            <w:r w:rsidRPr="00F62C8F">
                              <w:rPr>
                                <w:i/>
                                <w:iCs/>
                              </w:rPr>
                              <w:t>dne</w:t>
                            </w:r>
                            <w:proofErr w:type="spellEnd"/>
                            <w:r w:rsidRPr="00F62C8F">
                              <w:rPr>
                                <w:i/>
                                <w:iCs/>
                              </w:rPr>
                              <w:t xml:space="preserve"> </w:t>
                            </w:r>
                            <w:proofErr w:type="spellStart"/>
                            <w:r w:rsidRPr="00F62C8F">
                              <w:rPr>
                                <w:i/>
                                <w:iCs/>
                              </w:rPr>
                              <w:t>jejího</w:t>
                            </w:r>
                            <w:proofErr w:type="spellEnd"/>
                            <w:r w:rsidRPr="00F62C8F">
                              <w:rPr>
                                <w:i/>
                                <w:iCs/>
                              </w:rPr>
                              <w:t xml:space="preserve"> </w:t>
                            </w:r>
                            <w:proofErr w:type="spellStart"/>
                            <w:r w:rsidRPr="00F62C8F">
                              <w:rPr>
                                <w:i/>
                                <w:iCs/>
                              </w:rPr>
                              <w:t>navrácení</w:t>
                            </w:r>
                            <w:proofErr w:type="spellEnd"/>
                            <w:r w:rsidRPr="00F62C8F">
                              <w:rPr>
                                <w:i/>
                                <w:iCs/>
                              </w:rPr>
                              <w:t xml:space="preserve">. </w:t>
                            </w:r>
                          </w:p>
                          <w:p w14:paraId="0970A121" w14:textId="77777777" w:rsidR="0097695A" w:rsidRPr="00EA45D5" w:rsidRDefault="0097695A" w:rsidP="00EA45D5">
                            <w:pPr>
                              <w:jc w:val="both"/>
                              <w:rPr>
                                <w:i/>
                                <w:iCs/>
                              </w:rPr>
                            </w:pPr>
                            <w:r w:rsidRPr="00F62C8F">
                              <w:rPr>
                                <w:i/>
                                <w:iCs/>
                              </w:rPr>
                              <w:t xml:space="preserve">(3) </w:t>
                            </w:r>
                            <w:proofErr w:type="spellStart"/>
                            <w:r w:rsidRPr="00F62C8F">
                              <w:rPr>
                                <w:i/>
                                <w:iCs/>
                              </w:rPr>
                              <w:t>Pokud</w:t>
                            </w:r>
                            <w:proofErr w:type="spellEnd"/>
                            <w:r w:rsidRPr="00F62C8F">
                              <w:rPr>
                                <w:i/>
                                <w:iCs/>
                              </w:rPr>
                              <w:t xml:space="preserve"> </w:t>
                            </w:r>
                            <w:proofErr w:type="spellStart"/>
                            <w:r w:rsidRPr="00F62C8F">
                              <w:rPr>
                                <w:i/>
                                <w:iCs/>
                              </w:rPr>
                              <w:t>podléhá</w:t>
                            </w:r>
                            <w:proofErr w:type="spellEnd"/>
                            <w:r w:rsidRPr="00F62C8F">
                              <w:rPr>
                                <w:i/>
                                <w:iCs/>
                              </w:rPr>
                              <w:t xml:space="preserve"> </w:t>
                            </w:r>
                            <w:proofErr w:type="spellStart"/>
                            <w:r w:rsidRPr="00F62C8F">
                              <w:rPr>
                                <w:i/>
                                <w:iCs/>
                              </w:rPr>
                              <w:t>příjemce</w:t>
                            </w:r>
                            <w:proofErr w:type="spellEnd"/>
                            <w:r w:rsidRPr="00F62C8F">
                              <w:rPr>
                                <w:i/>
                                <w:iCs/>
                              </w:rPr>
                              <w:t xml:space="preserve"> </w:t>
                            </w:r>
                            <w:proofErr w:type="spellStart"/>
                            <w:r w:rsidRPr="00F62C8F">
                              <w:rPr>
                                <w:i/>
                                <w:iCs/>
                              </w:rPr>
                              <w:t>dozoru</w:t>
                            </w:r>
                            <w:proofErr w:type="spellEnd"/>
                            <w:r w:rsidRPr="00F62C8F">
                              <w:rPr>
                                <w:i/>
                                <w:iCs/>
                              </w:rPr>
                              <w:t xml:space="preserve"> </w:t>
                            </w:r>
                            <w:proofErr w:type="spellStart"/>
                            <w:r w:rsidRPr="00F62C8F">
                              <w:rPr>
                                <w:i/>
                                <w:iCs/>
                              </w:rPr>
                              <w:t>nebo</w:t>
                            </w:r>
                            <w:proofErr w:type="spellEnd"/>
                            <w:r w:rsidRPr="00F62C8F">
                              <w:rPr>
                                <w:i/>
                                <w:iCs/>
                              </w:rPr>
                              <w:t xml:space="preserve"> </w:t>
                            </w:r>
                            <w:proofErr w:type="spellStart"/>
                            <w:r w:rsidRPr="00F62C8F">
                              <w:rPr>
                                <w:i/>
                                <w:iCs/>
                              </w:rPr>
                              <w:t>dohledu</w:t>
                            </w:r>
                            <w:proofErr w:type="spellEnd"/>
                            <w:r w:rsidRPr="00F62C8F">
                              <w:rPr>
                                <w:i/>
                                <w:iCs/>
                              </w:rPr>
                              <w:t xml:space="preserve"> </w:t>
                            </w:r>
                            <w:proofErr w:type="spellStart"/>
                            <w:r w:rsidRPr="00F62C8F">
                              <w:rPr>
                                <w:i/>
                                <w:iCs/>
                              </w:rPr>
                              <w:t>podle</w:t>
                            </w:r>
                            <w:proofErr w:type="spellEnd"/>
                            <w:r w:rsidRPr="00F62C8F">
                              <w:rPr>
                                <w:i/>
                                <w:iCs/>
                              </w:rPr>
                              <w:t xml:space="preserve"> </w:t>
                            </w:r>
                            <w:proofErr w:type="spellStart"/>
                            <w:r w:rsidRPr="00F62C8F">
                              <w:rPr>
                                <w:i/>
                                <w:iCs/>
                              </w:rPr>
                              <w:t>zvláštního</w:t>
                            </w:r>
                            <w:proofErr w:type="spellEnd"/>
                            <w:r w:rsidRPr="00F62C8F">
                              <w:rPr>
                                <w:i/>
                                <w:iCs/>
                              </w:rPr>
                              <w:t xml:space="preserve"> </w:t>
                            </w:r>
                            <w:proofErr w:type="spellStart"/>
                            <w:r w:rsidRPr="00F62C8F">
                              <w:rPr>
                                <w:i/>
                                <w:iCs/>
                              </w:rPr>
                              <w:t>právního</w:t>
                            </w:r>
                            <w:proofErr w:type="spellEnd"/>
                            <w:r w:rsidRPr="00F62C8F">
                              <w:rPr>
                                <w:i/>
                                <w:iCs/>
                              </w:rPr>
                              <w:t xml:space="preserve"> </w:t>
                            </w:r>
                            <w:proofErr w:type="spellStart"/>
                            <w:r w:rsidRPr="00F62C8F">
                              <w:rPr>
                                <w:i/>
                                <w:iCs/>
                              </w:rPr>
                              <w:t>předpisu</w:t>
                            </w:r>
                            <w:proofErr w:type="spellEnd"/>
                            <w:r w:rsidRPr="00F62C8F">
                              <w:rPr>
                                <w:i/>
                                <w:iCs/>
                              </w:rPr>
                              <w:t xml:space="preserve">, </w:t>
                            </w:r>
                            <w:proofErr w:type="spellStart"/>
                            <w:r w:rsidRPr="00F62C8F">
                              <w:rPr>
                                <w:i/>
                                <w:iCs/>
                              </w:rPr>
                              <w:t>informuje</w:t>
                            </w:r>
                            <w:proofErr w:type="spellEnd"/>
                            <w:r w:rsidRPr="00F62C8F">
                              <w:rPr>
                                <w:i/>
                                <w:iCs/>
                              </w:rPr>
                              <w:t xml:space="preserve"> </w:t>
                            </w:r>
                            <w:proofErr w:type="spellStart"/>
                            <w:r w:rsidRPr="00F62C8F">
                              <w:rPr>
                                <w:i/>
                                <w:iCs/>
                              </w:rPr>
                              <w:t>poskytovatel</w:t>
                            </w:r>
                            <w:proofErr w:type="spellEnd"/>
                            <w:r w:rsidRPr="00F62C8F">
                              <w:rPr>
                                <w:i/>
                                <w:iCs/>
                              </w:rPr>
                              <w:t xml:space="preserve"> </w:t>
                            </w:r>
                            <w:proofErr w:type="spellStart"/>
                            <w:r w:rsidRPr="00F62C8F">
                              <w:rPr>
                                <w:i/>
                                <w:iCs/>
                              </w:rPr>
                              <w:t>neprodleně</w:t>
                            </w:r>
                            <w:proofErr w:type="spellEnd"/>
                            <w:r w:rsidRPr="00F62C8F">
                              <w:rPr>
                                <w:i/>
                                <w:iCs/>
                              </w:rPr>
                              <w:t xml:space="preserve"> o </w:t>
                            </w:r>
                            <w:proofErr w:type="spellStart"/>
                            <w:r w:rsidRPr="00F62C8F">
                              <w:rPr>
                                <w:i/>
                                <w:iCs/>
                              </w:rPr>
                              <w:t>povinnosti</w:t>
                            </w:r>
                            <w:proofErr w:type="spellEnd"/>
                            <w:r w:rsidRPr="00F62C8F">
                              <w:rPr>
                                <w:i/>
                                <w:iCs/>
                              </w:rPr>
                              <w:t xml:space="preserve"> </w:t>
                            </w:r>
                            <w:proofErr w:type="spellStart"/>
                            <w:r w:rsidRPr="00F62C8F">
                              <w:rPr>
                                <w:i/>
                                <w:iCs/>
                              </w:rPr>
                              <w:t>poskytnutou</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podporu</w:t>
                            </w:r>
                            <w:proofErr w:type="spellEnd"/>
                            <w:r w:rsidRPr="00F62C8F">
                              <w:rPr>
                                <w:i/>
                                <w:iCs/>
                              </w:rPr>
                              <w:t xml:space="preserve"> </w:t>
                            </w:r>
                            <w:proofErr w:type="spellStart"/>
                            <w:r w:rsidRPr="00F62C8F">
                              <w:rPr>
                                <w:i/>
                                <w:iCs/>
                              </w:rPr>
                              <w:t>vrátit</w:t>
                            </w:r>
                            <w:proofErr w:type="spellEnd"/>
                            <w:r w:rsidRPr="00F62C8F">
                              <w:rPr>
                                <w:i/>
                                <w:iCs/>
                              </w:rPr>
                              <w:t xml:space="preserve"> </w:t>
                            </w:r>
                            <w:proofErr w:type="spellStart"/>
                            <w:r w:rsidRPr="00F62C8F">
                              <w:rPr>
                                <w:i/>
                                <w:iCs/>
                              </w:rPr>
                              <w:t>i</w:t>
                            </w:r>
                            <w:proofErr w:type="spellEnd"/>
                            <w:r w:rsidRPr="00F62C8F">
                              <w:rPr>
                                <w:i/>
                                <w:iCs/>
                              </w:rPr>
                              <w:t xml:space="preserve"> </w:t>
                            </w:r>
                            <w:proofErr w:type="spellStart"/>
                            <w:r w:rsidRPr="00F62C8F">
                              <w:rPr>
                                <w:i/>
                                <w:iCs/>
                              </w:rPr>
                              <w:t>orgán</w:t>
                            </w:r>
                            <w:proofErr w:type="spellEnd"/>
                            <w:r w:rsidRPr="00F62C8F">
                              <w:rPr>
                                <w:i/>
                                <w:iCs/>
                              </w:rPr>
                              <w:t xml:space="preserve">, </w:t>
                            </w:r>
                            <w:proofErr w:type="spellStart"/>
                            <w:r w:rsidRPr="00F62C8F">
                              <w:rPr>
                                <w:i/>
                                <w:iCs/>
                              </w:rPr>
                              <w:t>který</w:t>
                            </w:r>
                            <w:proofErr w:type="spellEnd"/>
                            <w:r w:rsidRPr="00F62C8F">
                              <w:rPr>
                                <w:i/>
                                <w:iCs/>
                              </w:rPr>
                              <w:t xml:space="preserve"> </w:t>
                            </w:r>
                            <w:proofErr w:type="spellStart"/>
                            <w:r w:rsidRPr="00F62C8F">
                              <w:rPr>
                                <w:i/>
                                <w:iCs/>
                              </w:rPr>
                              <w:t>dozor</w:t>
                            </w:r>
                            <w:proofErr w:type="spellEnd"/>
                            <w:r w:rsidRPr="00F62C8F">
                              <w:rPr>
                                <w:i/>
                                <w:iCs/>
                              </w:rPr>
                              <w:t xml:space="preserve"> </w:t>
                            </w:r>
                            <w:proofErr w:type="spellStart"/>
                            <w:r w:rsidRPr="00F62C8F">
                              <w:rPr>
                                <w:i/>
                                <w:iCs/>
                              </w:rPr>
                              <w:t>nebo</w:t>
                            </w:r>
                            <w:proofErr w:type="spellEnd"/>
                            <w:r w:rsidRPr="00F62C8F">
                              <w:rPr>
                                <w:i/>
                                <w:iCs/>
                              </w:rPr>
                              <w:t xml:space="preserve"> </w:t>
                            </w:r>
                            <w:proofErr w:type="spellStart"/>
                            <w:r w:rsidRPr="00F62C8F">
                              <w:rPr>
                                <w:i/>
                                <w:iCs/>
                              </w:rPr>
                              <w:t>dohled</w:t>
                            </w:r>
                            <w:proofErr w:type="spellEnd"/>
                            <w:r w:rsidRPr="00F62C8F">
                              <w:rPr>
                                <w:i/>
                                <w:iCs/>
                              </w:rPr>
                              <w:t xml:space="preserve"> </w:t>
                            </w:r>
                            <w:proofErr w:type="spellStart"/>
                            <w:r w:rsidRPr="00F62C8F">
                              <w:rPr>
                                <w:i/>
                                <w:iCs/>
                              </w:rPr>
                              <w:t>provádí</w:t>
                            </w:r>
                            <w:proofErr w:type="spellEnd"/>
                            <w:r w:rsidRPr="00F62C8F">
                              <w:rPr>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C44B9" id="_x0000_s1029" type="#_x0000_t202" style="position:absolute;left:0;text-align:left;margin-left:417.05pt;margin-top:33.35pt;width:468.25pt;height:248.8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" fillcolor="#dce6f2" strokecolor="#1f497d">
                <v:textbox>
                  <w:txbxContent>
                    <w:p w14:paraId="31075F64" w14:textId="77777777" w:rsidR="0097695A" w:rsidRPr="00F62C8F" w:rsidRDefault="0097695A" w:rsidP="0097695A">
                      <w:pPr>
                        <w:jc w:val="center"/>
                        <w:rPr>
                          <w:i/>
                          <w:iCs/>
                        </w:rPr>
                      </w:pPr>
                      <w:r w:rsidRPr="00F62C8F">
                        <w:rPr>
                          <w:i/>
                          <w:iCs/>
                        </w:rPr>
                        <w:t>§ 7a</w:t>
                      </w:r>
                    </w:p>
                    <w:p w14:paraId="02E3508E" w14:textId="77777777" w:rsidR="0097695A" w:rsidRPr="00F62C8F" w:rsidRDefault="0097695A" w:rsidP="0097695A">
                      <w:pPr>
                        <w:jc w:val="center"/>
                        <w:rPr>
                          <w:i/>
                          <w:iCs/>
                        </w:rPr>
                      </w:pPr>
                      <w:proofErr w:type="spellStart"/>
                      <w:r w:rsidRPr="00F62C8F">
                        <w:rPr>
                          <w:b/>
                          <w:bCs/>
                          <w:i/>
                          <w:iCs/>
                        </w:rPr>
                        <w:t>Postup</w:t>
                      </w:r>
                      <w:proofErr w:type="spellEnd"/>
                      <w:r w:rsidRPr="00F62C8F">
                        <w:rPr>
                          <w:b/>
                          <w:bCs/>
                          <w:i/>
                          <w:iCs/>
                        </w:rPr>
                        <w:t xml:space="preserve"> </w:t>
                      </w:r>
                      <w:proofErr w:type="spellStart"/>
                      <w:r w:rsidRPr="00F62C8F">
                        <w:rPr>
                          <w:b/>
                          <w:bCs/>
                          <w:i/>
                          <w:iCs/>
                        </w:rPr>
                        <w:t>při</w:t>
                      </w:r>
                      <w:proofErr w:type="spellEnd"/>
                      <w:r w:rsidRPr="00F62C8F">
                        <w:rPr>
                          <w:b/>
                          <w:bCs/>
                          <w:i/>
                          <w:iCs/>
                        </w:rPr>
                        <w:t xml:space="preserve"> </w:t>
                      </w:r>
                      <w:proofErr w:type="spellStart"/>
                      <w:r w:rsidRPr="00F62C8F">
                        <w:rPr>
                          <w:b/>
                          <w:bCs/>
                          <w:i/>
                          <w:iCs/>
                        </w:rPr>
                        <w:t>navracení</w:t>
                      </w:r>
                      <w:proofErr w:type="spellEnd"/>
                      <w:r w:rsidRPr="00F62C8F">
                        <w:rPr>
                          <w:b/>
                          <w:bCs/>
                          <w:i/>
                          <w:iCs/>
                        </w:rPr>
                        <w:t xml:space="preserve"> </w:t>
                      </w:r>
                      <w:proofErr w:type="spellStart"/>
                      <w:r w:rsidRPr="00F62C8F">
                        <w:rPr>
                          <w:b/>
                          <w:bCs/>
                          <w:i/>
                          <w:iCs/>
                        </w:rPr>
                        <w:t>veřejné</w:t>
                      </w:r>
                      <w:proofErr w:type="spellEnd"/>
                      <w:r w:rsidRPr="00F62C8F">
                        <w:rPr>
                          <w:b/>
                          <w:bCs/>
                          <w:i/>
                          <w:iCs/>
                        </w:rPr>
                        <w:t xml:space="preserve"> </w:t>
                      </w:r>
                      <w:proofErr w:type="spellStart"/>
                      <w:r w:rsidRPr="00F62C8F">
                        <w:rPr>
                          <w:b/>
                          <w:bCs/>
                          <w:i/>
                          <w:iCs/>
                        </w:rPr>
                        <w:t>podpory</w:t>
                      </w:r>
                      <w:proofErr w:type="spellEnd"/>
                      <w:r w:rsidRPr="00F62C8F">
                        <w:rPr>
                          <w:b/>
                          <w:bCs/>
                          <w:i/>
                          <w:iCs/>
                        </w:rPr>
                        <w:t xml:space="preserve"> v </w:t>
                      </w:r>
                      <w:proofErr w:type="spellStart"/>
                      <w:r w:rsidRPr="00F62C8F">
                        <w:rPr>
                          <w:b/>
                          <w:bCs/>
                          <w:i/>
                          <w:iCs/>
                        </w:rPr>
                        <w:t>ostatních</w:t>
                      </w:r>
                      <w:proofErr w:type="spellEnd"/>
                      <w:r w:rsidRPr="00F62C8F">
                        <w:rPr>
                          <w:b/>
                          <w:bCs/>
                          <w:i/>
                          <w:iCs/>
                        </w:rPr>
                        <w:t xml:space="preserve"> </w:t>
                      </w:r>
                      <w:proofErr w:type="spellStart"/>
                      <w:r w:rsidRPr="00F62C8F">
                        <w:rPr>
                          <w:b/>
                          <w:bCs/>
                          <w:i/>
                          <w:iCs/>
                        </w:rPr>
                        <w:t>případech</w:t>
                      </w:r>
                      <w:proofErr w:type="spellEnd"/>
                    </w:p>
                    <w:p w14:paraId="6596072A" w14:textId="77777777" w:rsidR="0097695A" w:rsidRPr="00F62C8F" w:rsidRDefault="0097695A" w:rsidP="0097695A">
                      <w:pPr>
                        <w:jc w:val="both"/>
                        <w:rPr>
                          <w:i/>
                          <w:iCs/>
                        </w:rPr>
                      </w:pPr>
                      <w:r w:rsidRPr="00F62C8F">
                        <w:rPr>
                          <w:i/>
                          <w:iCs/>
                        </w:rPr>
                        <w:t xml:space="preserve">(1) </w:t>
                      </w:r>
                      <w:proofErr w:type="spellStart"/>
                      <w:r w:rsidRPr="00F62C8F">
                        <w:rPr>
                          <w:i/>
                          <w:iCs/>
                        </w:rPr>
                        <w:t>Pokud</w:t>
                      </w:r>
                      <w:proofErr w:type="spellEnd"/>
                      <w:r w:rsidRPr="00F62C8F">
                        <w:rPr>
                          <w:i/>
                          <w:iCs/>
                        </w:rPr>
                        <w:t xml:space="preserve"> </w:t>
                      </w:r>
                      <w:proofErr w:type="spellStart"/>
                      <w:r w:rsidRPr="00F62C8F">
                        <w:rPr>
                          <w:i/>
                          <w:iCs/>
                        </w:rPr>
                        <w:t>poskytovatel</w:t>
                      </w:r>
                      <w:proofErr w:type="spellEnd"/>
                      <w:r w:rsidRPr="00F62C8F">
                        <w:rPr>
                          <w:i/>
                          <w:iCs/>
                        </w:rPr>
                        <w:t xml:space="preserve"> </w:t>
                      </w:r>
                      <w:proofErr w:type="spellStart"/>
                      <w:r w:rsidRPr="00F62C8F">
                        <w:rPr>
                          <w:i/>
                          <w:iCs/>
                        </w:rPr>
                        <w:t>poskytl</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podporu</w:t>
                      </w:r>
                      <w:proofErr w:type="spellEnd"/>
                      <w:r w:rsidRPr="00F62C8F">
                        <w:rPr>
                          <w:i/>
                          <w:iCs/>
                        </w:rPr>
                        <w:t xml:space="preserve"> v </w:t>
                      </w:r>
                      <w:proofErr w:type="spellStart"/>
                      <w:r w:rsidRPr="00F62C8F">
                        <w:rPr>
                          <w:i/>
                          <w:iCs/>
                        </w:rPr>
                        <w:t>rozporu</w:t>
                      </w:r>
                      <w:proofErr w:type="spellEnd"/>
                      <w:r w:rsidRPr="00F62C8F">
                        <w:rPr>
                          <w:i/>
                          <w:iCs/>
                        </w:rPr>
                        <w:t xml:space="preserve"> s </w:t>
                      </w:r>
                      <w:proofErr w:type="spellStart"/>
                      <w:r w:rsidRPr="00F62C8F">
                        <w:rPr>
                          <w:i/>
                          <w:iCs/>
                        </w:rPr>
                        <w:t>právem</w:t>
                      </w:r>
                      <w:proofErr w:type="spellEnd"/>
                      <w:r w:rsidRPr="00F62C8F">
                        <w:rPr>
                          <w:i/>
                          <w:iCs/>
                        </w:rPr>
                        <w:t xml:space="preserve"> </w:t>
                      </w:r>
                      <w:proofErr w:type="spellStart"/>
                      <w:r w:rsidRPr="00F62C8F">
                        <w:rPr>
                          <w:i/>
                          <w:iCs/>
                        </w:rPr>
                        <w:t>Evropské</w:t>
                      </w:r>
                      <w:proofErr w:type="spellEnd"/>
                      <w:r w:rsidRPr="00F62C8F">
                        <w:rPr>
                          <w:i/>
                          <w:iCs/>
                        </w:rPr>
                        <w:t xml:space="preserve"> </w:t>
                      </w:r>
                      <w:proofErr w:type="spellStart"/>
                      <w:r w:rsidRPr="00F62C8F">
                        <w:rPr>
                          <w:i/>
                          <w:iCs/>
                        </w:rPr>
                        <w:t>unie</w:t>
                      </w:r>
                      <w:proofErr w:type="spellEnd"/>
                      <w:r w:rsidRPr="00F62C8F">
                        <w:rPr>
                          <w:i/>
                          <w:iCs/>
                        </w:rPr>
                        <w:t xml:space="preserve">, je </w:t>
                      </w:r>
                      <w:proofErr w:type="spellStart"/>
                      <w:r w:rsidRPr="00F62C8F">
                        <w:rPr>
                          <w:i/>
                          <w:iCs/>
                        </w:rPr>
                        <w:t>příjemce</w:t>
                      </w:r>
                      <w:proofErr w:type="spellEnd"/>
                      <w:r w:rsidRPr="00F62C8F">
                        <w:rPr>
                          <w:i/>
                          <w:iCs/>
                        </w:rPr>
                        <w:t xml:space="preserve"> </w:t>
                      </w:r>
                      <w:proofErr w:type="spellStart"/>
                      <w:r w:rsidRPr="00F62C8F">
                        <w:rPr>
                          <w:i/>
                          <w:iCs/>
                        </w:rPr>
                        <w:t>povinen</w:t>
                      </w:r>
                      <w:proofErr w:type="spellEnd"/>
                      <w:r w:rsidRPr="00F62C8F">
                        <w:rPr>
                          <w:i/>
                          <w:iCs/>
                        </w:rPr>
                        <w:t xml:space="preserve"> </w:t>
                      </w:r>
                      <w:proofErr w:type="spellStart"/>
                      <w:r w:rsidRPr="00F62C8F">
                        <w:rPr>
                          <w:i/>
                          <w:iCs/>
                        </w:rPr>
                        <w:t>poskytnutou</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podporu</w:t>
                      </w:r>
                      <w:proofErr w:type="spellEnd"/>
                      <w:r w:rsidRPr="00F62C8F">
                        <w:rPr>
                          <w:i/>
                          <w:iCs/>
                        </w:rPr>
                        <w:t xml:space="preserve"> </w:t>
                      </w:r>
                      <w:proofErr w:type="spellStart"/>
                      <w:r w:rsidRPr="00F62C8F">
                        <w:rPr>
                          <w:i/>
                          <w:iCs/>
                        </w:rPr>
                        <w:t>vrátit</w:t>
                      </w:r>
                      <w:proofErr w:type="spellEnd"/>
                      <w:r w:rsidRPr="00F62C8F">
                        <w:rPr>
                          <w:i/>
                          <w:iCs/>
                        </w:rPr>
                        <w:t xml:space="preserve"> </w:t>
                      </w:r>
                      <w:proofErr w:type="spellStart"/>
                      <w:r w:rsidRPr="00F62C8F">
                        <w:rPr>
                          <w:i/>
                          <w:iCs/>
                        </w:rPr>
                        <w:t>poskytovateli</w:t>
                      </w:r>
                      <w:proofErr w:type="spellEnd"/>
                      <w:r w:rsidRPr="00F62C8F">
                        <w:rPr>
                          <w:i/>
                          <w:iCs/>
                        </w:rPr>
                        <w:t xml:space="preserve">, </w:t>
                      </w:r>
                      <w:proofErr w:type="spellStart"/>
                      <w:r w:rsidRPr="00F62C8F">
                        <w:rPr>
                          <w:i/>
                          <w:iCs/>
                        </w:rPr>
                        <w:t>případně</w:t>
                      </w:r>
                      <w:proofErr w:type="spellEnd"/>
                      <w:r w:rsidRPr="00F62C8F">
                        <w:rPr>
                          <w:i/>
                          <w:iCs/>
                        </w:rPr>
                        <w:t xml:space="preserve"> </w:t>
                      </w:r>
                      <w:proofErr w:type="spellStart"/>
                      <w:r w:rsidRPr="00F62C8F">
                        <w:rPr>
                          <w:i/>
                          <w:iCs/>
                        </w:rPr>
                        <w:t>jeho</w:t>
                      </w:r>
                      <w:proofErr w:type="spellEnd"/>
                      <w:r w:rsidRPr="00F62C8F">
                        <w:rPr>
                          <w:i/>
                          <w:iCs/>
                        </w:rPr>
                        <w:t xml:space="preserve"> </w:t>
                      </w:r>
                      <w:proofErr w:type="spellStart"/>
                      <w:r w:rsidRPr="00F62C8F">
                        <w:rPr>
                          <w:i/>
                          <w:iCs/>
                        </w:rPr>
                        <w:t>právnímu</w:t>
                      </w:r>
                      <w:proofErr w:type="spellEnd"/>
                      <w:r w:rsidRPr="00F62C8F">
                        <w:rPr>
                          <w:i/>
                          <w:iCs/>
                        </w:rPr>
                        <w:t xml:space="preserve"> </w:t>
                      </w:r>
                      <w:proofErr w:type="spellStart"/>
                      <w:r w:rsidRPr="00F62C8F">
                        <w:rPr>
                          <w:i/>
                          <w:iCs/>
                        </w:rPr>
                        <w:t>nástupci</w:t>
                      </w:r>
                      <w:proofErr w:type="spellEnd"/>
                      <w:r w:rsidRPr="00F62C8F">
                        <w:rPr>
                          <w:i/>
                          <w:iCs/>
                        </w:rPr>
                        <w:t xml:space="preserve">, a to </w:t>
                      </w:r>
                      <w:proofErr w:type="spellStart"/>
                      <w:r w:rsidRPr="00F62C8F">
                        <w:rPr>
                          <w:i/>
                          <w:iCs/>
                        </w:rPr>
                        <w:t>včetně</w:t>
                      </w:r>
                      <w:proofErr w:type="spellEnd"/>
                      <w:r w:rsidRPr="00F62C8F">
                        <w:rPr>
                          <w:i/>
                          <w:iCs/>
                        </w:rPr>
                        <w:t xml:space="preserve"> </w:t>
                      </w:r>
                      <w:proofErr w:type="spellStart"/>
                      <w:r w:rsidRPr="00F62C8F">
                        <w:rPr>
                          <w:i/>
                          <w:iCs/>
                        </w:rPr>
                        <w:t>úroků</w:t>
                      </w:r>
                      <w:proofErr w:type="spellEnd"/>
                      <w:r w:rsidRPr="00F62C8F">
                        <w:rPr>
                          <w:i/>
                          <w:iCs/>
                        </w:rPr>
                        <w:t xml:space="preserve">. </w:t>
                      </w:r>
                      <w:proofErr w:type="spellStart"/>
                      <w:r w:rsidRPr="00F62C8F">
                        <w:rPr>
                          <w:i/>
                          <w:iCs/>
                        </w:rPr>
                        <w:t>Poskytovatel</w:t>
                      </w:r>
                      <w:proofErr w:type="spellEnd"/>
                      <w:r w:rsidRPr="00F62C8F">
                        <w:rPr>
                          <w:i/>
                          <w:iCs/>
                        </w:rPr>
                        <w:t xml:space="preserve"> </w:t>
                      </w:r>
                      <w:proofErr w:type="spellStart"/>
                      <w:r w:rsidRPr="00F62C8F">
                        <w:rPr>
                          <w:i/>
                          <w:iCs/>
                        </w:rPr>
                        <w:t>nebo</w:t>
                      </w:r>
                      <w:proofErr w:type="spellEnd"/>
                      <w:r w:rsidRPr="00F62C8F">
                        <w:rPr>
                          <w:i/>
                          <w:iCs/>
                        </w:rPr>
                        <w:t xml:space="preserve"> </w:t>
                      </w:r>
                      <w:proofErr w:type="spellStart"/>
                      <w:r w:rsidRPr="00F62C8F">
                        <w:rPr>
                          <w:i/>
                          <w:iCs/>
                        </w:rPr>
                        <w:t>jeho</w:t>
                      </w:r>
                      <w:proofErr w:type="spellEnd"/>
                      <w:r w:rsidRPr="00F62C8F">
                        <w:rPr>
                          <w:i/>
                          <w:iCs/>
                        </w:rPr>
                        <w:t xml:space="preserve"> </w:t>
                      </w:r>
                      <w:proofErr w:type="spellStart"/>
                      <w:r w:rsidRPr="00F62C8F">
                        <w:rPr>
                          <w:i/>
                          <w:iCs/>
                        </w:rPr>
                        <w:t>právní</w:t>
                      </w:r>
                      <w:proofErr w:type="spellEnd"/>
                      <w:r w:rsidRPr="00F62C8F">
                        <w:rPr>
                          <w:i/>
                          <w:iCs/>
                        </w:rPr>
                        <w:t xml:space="preserve"> </w:t>
                      </w:r>
                      <w:proofErr w:type="spellStart"/>
                      <w:r w:rsidRPr="00F62C8F">
                        <w:rPr>
                          <w:i/>
                          <w:iCs/>
                        </w:rPr>
                        <w:t>nástupce</w:t>
                      </w:r>
                      <w:proofErr w:type="spellEnd"/>
                      <w:r w:rsidRPr="00F62C8F">
                        <w:rPr>
                          <w:i/>
                          <w:iCs/>
                        </w:rPr>
                        <w:t xml:space="preserve"> je </w:t>
                      </w:r>
                      <w:proofErr w:type="spellStart"/>
                      <w:r w:rsidRPr="00F62C8F">
                        <w:rPr>
                          <w:i/>
                          <w:iCs/>
                        </w:rPr>
                        <w:t>povinen</w:t>
                      </w:r>
                      <w:proofErr w:type="spellEnd"/>
                      <w:r w:rsidRPr="00F62C8F">
                        <w:rPr>
                          <w:i/>
                          <w:iCs/>
                        </w:rPr>
                        <w:t xml:space="preserve"> bez </w:t>
                      </w:r>
                      <w:proofErr w:type="spellStart"/>
                      <w:r w:rsidRPr="00F62C8F">
                        <w:rPr>
                          <w:i/>
                          <w:iCs/>
                        </w:rPr>
                        <w:t>zbytečného</w:t>
                      </w:r>
                      <w:proofErr w:type="spellEnd"/>
                      <w:r w:rsidRPr="00F62C8F">
                        <w:rPr>
                          <w:i/>
                          <w:iCs/>
                        </w:rPr>
                        <w:t xml:space="preserve"> </w:t>
                      </w:r>
                      <w:proofErr w:type="spellStart"/>
                      <w:r w:rsidRPr="00F62C8F">
                        <w:rPr>
                          <w:i/>
                          <w:iCs/>
                        </w:rPr>
                        <w:t>odkladu</w:t>
                      </w:r>
                      <w:proofErr w:type="spellEnd"/>
                      <w:r w:rsidRPr="00F62C8F">
                        <w:rPr>
                          <w:i/>
                          <w:iCs/>
                        </w:rPr>
                        <w:t xml:space="preserve"> </w:t>
                      </w:r>
                      <w:proofErr w:type="spellStart"/>
                      <w:r w:rsidRPr="00F62C8F">
                        <w:rPr>
                          <w:i/>
                          <w:iCs/>
                        </w:rPr>
                        <w:t>učinit</w:t>
                      </w:r>
                      <w:proofErr w:type="spellEnd"/>
                      <w:r w:rsidRPr="00F62C8F">
                        <w:rPr>
                          <w:i/>
                          <w:iCs/>
                        </w:rPr>
                        <w:t xml:space="preserve"> </w:t>
                      </w:r>
                      <w:proofErr w:type="spellStart"/>
                      <w:r w:rsidRPr="00F62C8F">
                        <w:rPr>
                          <w:i/>
                          <w:iCs/>
                        </w:rPr>
                        <w:t>veškerá</w:t>
                      </w:r>
                      <w:proofErr w:type="spellEnd"/>
                      <w:r w:rsidRPr="00F62C8F">
                        <w:rPr>
                          <w:i/>
                          <w:iCs/>
                        </w:rPr>
                        <w:t xml:space="preserve"> </w:t>
                      </w:r>
                      <w:proofErr w:type="spellStart"/>
                      <w:r w:rsidRPr="00F62C8F">
                        <w:rPr>
                          <w:i/>
                          <w:iCs/>
                        </w:rPr>
                        <w:t>nezbytná</w:t>
                      </w:r>
                      <w:proofErr w:type="spellEnd"/>
                      <w:r w:rsidRPr="00F62C8F">
                        <w:rPr>
                          <w:i/>
                          <w:iCs/>
                        </w:rPr>
                        <w:t xml:space="preserve"> </w:t>
                      </w:r>
                      <w:proofErr w:type="spellStart"/>
                      <w:r w:rsidRPr="00F62C8F">
                        <w:rPr>
                          <w:i/>
                          <w:iCs/>
                        </w:rPr>
                        <w:t>opatření</w:t>
                      </w:r>
                      <w:proofErr w:type="spellEnd"/>
                      <w:r w:rsidRPr="00F62C8F">
                        <w:rPr>
                          <w:i/>
                          <w:iCs/>
                        </w:rPr>
                        <w:t xml:space="preserve"> k</w:t>
                      </w:r>
                      <w:r>
                        <w:rPr>
                          <w:i/>
                          <w:iCs/>
                        </w:rPr>
                        <w:t> </w:t>
                      </w:r>
                      <w:proofErr w:type="spellStart"/>
                      <w:r w:rsidRPr="00F62C8F">
                        <w:rPr>
                          <w:i/>
                          <w:iCs/>
                        </w:rPr>
                        <w:t>zajištění</w:t>
                      </w:r>
                      <w:proofErr w:type="spellEnd"/>
                      <w:r w:rsidRPr="00F62C8F">
                        <w:rPr>
                          <w:i/>
                          <w:iCs/>
                        </w:rPr>
                        <w:t xml:space="preserve"> </w:t>
                      </w:r>
                      <w:proofErr w:type="spellStart"/>
                      <w:r w:rsidRPr="00F62C8F">
                        <w:rPr>
                          <w:i/>
                          <w:iCs/>
                        </w:rPr>
                        <w:t>splnění</w:t>
                      </w:r>
                      <w:proofErr w:type="spellEnd"/>
                      <w:r w:rsidRPr="00F62C8F">
                        <w:rPr>
                          <w:i/>
                          <w:iCs/>
                        </w:rPr>
                        <w:t xml:space="preserve"> </w:t>
                      </w:r>
                      <w:proofErr w:type="spellStart"/>
                      <w:r w:rsidRPr="00F62C8F">
                        <w:rPr>
                          <w:i/>
                          <w:iCs/>
                        </w:rPr>
                        <w:t>této</w:t>
                      </w:r>
                      <w:proofErr w:type="spellEnd"/>
                      <w:r w:rsidRPr="00F62C8F">
                        <w:rPr>
                          <w:i/>
                          <w:iCs/>
                        </w:rPr>
                        <w:t xml:space="preserve"> </w:t>
                      </w:r>
                      <w:proofErr w:type="spellStart"/>
                      <w:r w:rsidRPr="00F62C8F">
                        <w:rPr>
                          <w:i/>
                          <w:iCs/>
                        </w:rPr>
                        <w:t>povinnosti</w:t>
                      </w:r>
                      <w:proofErr w:type="spellEnd"/>
                      <w:r w:rsidRPr="00F62C8F">
                        <w:rPr>
                          <w:i/>
                          <w:iCs/>
                        </w:rPr>
                        <w:t xml:space="preserve">, </w:t>
                      </w:r>
                      <w:proofErr w:type="spellStart"/>
                      <w:r w:rsidRPr="00F62C8F">
                        <w:rPr>
                          <w:i/>
                          <w:iCs/>
                        </w:rPr>
                        <w:t>vyzvat</w:t>
                      </w:r>
                      <w:proofErr w:type="spellEnd"/>
                      <w:r w:rsidRPr="00F62C8F">
                        <w:rPr>
                          <w:i/>
                          <w:iCs/>
                        </w:rPr>
                        <w:t xml:space="preserve"> </w:t>
                      </w:r>
                      <w:proofErr w:type="spellStart"/>
                      <w:r w:rsidRPr="00F62C8F">
                        <w:rPr>
                          <w:i/>
                          <w:iCs/>
                        </w:rPr>
                        <w:t>neprodleně</w:t>
                      </w:r>
                      <w:proofErr w:type="spellEnd"/>
                      <w:r w:rsidRPr="00F62C8F">
                        <w:rPr>
                          <w:i/>
                          <w:iCs/>
                        </w:rPr>
                        <w:t xml:space="preserve"> </w:t>
                      </w:r>
                      <w:proofErr w:type="spellStart"/>
                      <w:r w:rsidRPr="00F62C8F">
                        <w:rPr>
                          <w:i/>
                          <w:iCs/>
                        </w:rPr>
                        <w:t>příjemce</w:t>
                      </w:r>
                      <w:proofErr w:type="spellEnd"/>
                      <w:r w:rsidRPr="00F62C8F">
                        <w:rPr>
                          <w:i/>
                          <w:iCs/>
                        </w:rPr>
                        <w:t xml:space="preserve"> k </w:t>
                      </w:r>
                      <w:proofErr w:type="spellStart"/>
                      <w:r w:rsidRPr="00F62C8F">
                        <w:rPr>
                          <w:i/>
                          <w:iCs/>
                        </w:rPr>
                        <w:t>navrácení</w:t>
                      </w:r>
                      <w:proofErr w:type="spellEnd"/>
                      <w:r w:rsidRPr="00F62C8F">
                        <w:rPr>
                          <w:i/>
                          <w:iCs/>
                        </w:rPr>
                        <w:t xml:space="preserve"> </w:t>
                      </w:r>
                      <w:proofErr w:type="spellStart"/>
                      <w:r w:rsidRPr="00F62C8F">
                        <w:rPr>
                          <w:i/>
                          <w:iCs/>
                        </w:rPr>
                        <w:t>veřejné</w:t>
                      </w:r>
                      <w:proofErr w:type="spellEnd"/>
                      <w:r w:rsidRPr="00F62C8F">
                        <w:rPr>
                          <w:i/>
                          <w:iCs/>
                        </w:rPr>
                        <w:t xml:space="preserve"> </w:t>
                      </w:r>
                      <w:proofErr w:type="spellStart"/>
                      <w:r w:rsidRPr="00F62C8F">
                        <w:rPr>
                          <w:i/>
                          <w:iCs/>
                        </w:rPr>
                        <w:t>podpory</w:t>
                      </w:r>
                      <w:proofErr w:type="spellEnd"/>
                      <w:r w:rsidRPr="00F62C8F">
                        <w:rPr>
                          <w:i/>
                          <w:iCs/>
                        </w:rPr>
                        <w:t xml:space="preserve"> </w:t>
                      </w:r>
                      <w:proofErr w:type="spellStart"/>
                      <w:r w:rsidRPr="00F62C8F">
                        <w:rPr>
                          <w:i/>
                          <w:iCs/>
                        </w:rPr>
                        <w:t>včetně</w:t>
                      </w:r>
                      <w:proofErr w:type="spellEnd"/>
                      <w:r w:rsidRPr="00F62C8F">
                        <w:rPr>
                          <w:i/>
                          <w:iCs/>
                        </w:rPr>
                        <w:t xml:space="preserve"> </w:t>
                      </w:r>
                      <w:proofErr w:type="spellStart"/>
                      <w:r w:rsidRPr="00F62C8F">
                        <w:rPr>
                          <w:i/>
                          <w:iCs/>
                        </w:rPr>
                        <w:t>úroků</w:t>
                      </w:r>
                      <w:proofErr w:type="spellEnd"/>
                      <w:r w:rsidRPr="00F62C8F">
                        <w:rPr>
                          <w:i/>
                          <w:iCs/>
                        </w:rPr>
                        <w:t xml:space="preserve"> a</w:t>
                      </w:r>
                      <w:r>
                        <w:rPr>
                          <w:i/>
                          <w:iCs/>
                        </w:rPr>
                        <w:t> </w:t>
                      </w:r>
                      <w:proofErr w:type="spellStart"/>
                      <w:r w:rsidRPr="00F62C8F">
                        <w:rPr>
                          <w:i/>
                          <w:iCs/>
                        </w:rPr>
                        <w:t>stanovit</w:t>
                      </w:r>
                      <w:proofErr w:type="spellEnd"/>
                      <w:r w:rsidRPr="00F62C8F">
                        <w:rPr>
                          <w:i/>
                          <w:iCs/>
                        </w:rPr>
                        <w:t xml:space="preserve"> mu k </w:t>
                      </w:r>
                      <w:proofErr w:type="spellStart"/>
                      <w:r w:rsidRPr="00F62C8F">
                        <w:rPr>
                          <w:i/>
                          <w:iCs/>
                        </w:rPr>
                        <w:t>tomu</w:t>
                      </w:r>
                      <w:proofErr w:type="spellEnd"/>
                      <w:r w:rsidRPr="00F62C8F">
                        <w:rPr>
                          <w:i/>
                          <w:iCs/>
                        </w:rPr>
                        <w:t xml:space="preserve"> </w:t>
                      </w:r>
                      <w:proofErr w:type="spellStart"/>
                      <w:r w:rsidRPr="00F62C8F">
                        <w:rPr>
                          <w:i/>
                          <w:iCs/>
                        </w:rPr>
                        <w:t>ve</w:t>
                      </w:r>
                      <w:proofErr w:type="spellEnd"/>
                      <w:r w:rsidRPr="00F62C8F">
                        <w:rPr>
                          <w:i/>
                          <w:iCs/>
                        </w:rPr>
                        <w:t xml:space="preserve"> </w:t>
                      </w:r>
                      <w:proofErr w:type="spellStart"/>
                      <w:r w:rsidRPr="00F62C8F">
                        <w:rPr>
                          <w:i/>
                          <w:iCs/>
                        </w:rPr>
                        <w:t>výzvě</w:t>
                      </w:r>
                      <w:proofErr w:type="spellEnd"/>
                      <w:r w:rsidRPr="00F62C8F">
                        <w:rPr>
                          <w:i/>
                          <w:iCs/>
                        </w:rPr>
                        <w:t xml:space="preserve"> </w:t>
                      </w:r>
                      <w:proofErr w:type="spellStart"/>
                      <w:r w:rsidRPr="00F62C8F">
                        <w:rPr>
                          <w:i/>
                          <w:iCs/>
                        </w:rPr>
                        <w:t>lhůtu</w:t>
                      </w:r>
                      <w:proofErr w:type="spellEnd"/>
                      <w:r w:rsidRPr="00F62C8F">
                        <w:rPr>
                          <w:i/>
                          <w:iCs/>
                        </w:rPr>
                        <w:t xml:space="preserve">. </w:t>
                      </w:r>
                    </w:p>
                    <w:p w14:paraId="479DBD36" w14:textId="77777777" w:rsidR="00EA45D5" w:rsidRDefault="0097695A" w:rsidP="00EA45D5">
                      <w:pPr>
                        <w:jc w:val="both"/>
                        <w:rPr>
                          <w:i/>
                          <w:iCs/>
                        </w:rPr>
                      </w:pPr>
                      <w:r w:rsidRPr="00F62C8F">
                        <w:rPr>
                          <w:i/>
                          <w:iCs/>
                        </w:rPr>
                        <w:t xml:space="preserve">(2) </w:t>
                      </w:r>
                      <w:proofErr w:type="spellStart"/>
                      <w:r w:rsidRPr="00F62C8F">
                        <w:rPr>
                          <w:i/>
                          <w:iCs/>
                        </w:rPr>
                        <w:t>Při</w:t>
                      </w:r>
                      <w:proofErr w:type="spellEnd"/>
                      <w:r w:rsidRPr="00F62C8F">
                        <w:rPr>
                          <w:i/>
                          <w:iCs/>
                        </w:rPr>
                        <w:t xml:space="preserve"> </w:t>
                      </w:r>
                      <w:proofErr w:type="spellStart"/>
                      <w:r w:rsidRPr="00F62C8F">
                        <w:rPr>
                          <w:i/>
                          <w:iCs/>
                        </w:rPr>
                        <w:t>stanovování</w:t>
                      </w:r>
                      <w:proofErr w:type="spellEnd"/>
                      <w:r w:rsidRPr="00F62C8F">
                        <w:rPr>
                          <w:i/>
                          <w:iCs/>
                        </w:rPr>
                        <w:t xml:space="preserve"> </w:t>
                      </w:r>
                      <w:proofErr w:type="spellStart"/>
                      <w:r w:rsidRPr="00F62C8F">
                        <w:rPr>
                          <w:i/>
                          <w:iCs/>
                        </w:rPr>
                        <w:t>úrokové</w:t>
                      </w:r>
                      <w:proofErr w:type="spellEnd"/>
                      <w:r w:rsidRPr="00F62C8F">
                        <w:rPr>
                          <w:i/>
                          <w:iCs/>
                        </w:rPr>
                        <w:t xml:space="preserve"> </w:t>
                      </w:r>
                      <w:proofErr w:type="spellStart"/>
                      <w:r w:rsidRPr="00F62C8F">
                        <w:rPr>
                          <w:i/>
                          <w:iCs/>
                        </w:rPr>
                        <w:t>sazby</w:t>
                      </w:r>
                      <w:proofErr w:type="spellEnd"/>
                      <w:r w:rsidRPr="00F62C8F">
                        <w:rPr>
                          <w:i/>
                          <w:iCs/>
                        </w:rPr>
                        <w:t xml:space="preserve"> pro </w:t>
                      </w:r>
                      <w:proofErr w:type="spellStart"/>
                      <w:r w:rsidRPr="00F62C8F">
                        <w:rPr>
                          <w:i/>
                          <w:iCs/>
                        </w:rPr>
                        <w:t>účely</w:t>
                      </w:r>
                      <w:proofErr w:type="spellEnd"/>
                      <w:r w:rsidRPr="00F62C8F">
                        <w:rPr>
                          <w:i/>
                          <w:iCs/>
                        </w:rPr>
                        <w:t xml:space="preserve"> </w:t>
                      </w:r>
                      <w:proofErr w:type="spellStart"/>
                      <w:r w:rsidRPr="00F62C8F">
                        <w:rPr>
                          <w:i/>
                          <w:iCs/>
                        </w:rPr>
                        <w:t>navracení</w:t>
                      </w:r>
                      <w:proofErr w:type="spellEnd"/>
                      <w:r w:rsidRPr="00F62C8F">
                        <w:rPr>
                          <w:i/>
                          <w:iCs/>
                        </w:rPr>
                        <w:t xml:space="preserve"> </w:t>
                      </w:r>
                      <w:proofErr w:type="spellStart"/>
                      <w:r w:rsidRPr="00F62C8F">
                        <w:rPr>
                          <w:i/>
                          <w:iCs/>
                        </w:rPr>
                        <w:t>veřejné</w:t>
                      </w:r>
                      <w:proofErr w:type="spellEnd"/>
                      <w:r w:rsidRPr="00F62C8F">
                        <w:rPr>
                          <w:i/>
                          <w:iCs/>
                        </w:rPr>
                        <w:t xml:space="preserve"> </w:t>
                      </w:r>
                      <w:proofErr w:type="spellStart"/>
                      <w:r w:rsidRPr="00F62C8F">
                        <w:rPr>
                          <w:i/>
                          <w:iCs/>
                        </w:rPr>
                        <w:t>podpory</w:t>
                      </w:r>
                      <w:proofErr w:type="spellEnd"/>
                      <w:r w:rsidRPr="00F62C8F">
                        <w:rPr>
                          <w:i/>
                          <w:iCs/>
                        </w:rPr>
                        <w:t xml:space="preserve"> </w:t>
                      </w:r>
                      <w:proofErr w:type="spellStart"/>
                      <w:r w:rsidRPr="00F62C8F">
                        <w:rPr>
                          <w:i/>
                          <w:iCs/>
                        </w:rPr>
                        <w:t>podle</w:t>
                      </w:r>
                      <w:proofErr w:type="spellEnd"/>
                      <w:r w:rsidRPr="00F62C8F">
                        <w:rPr>
                          <w:i/>
                          <w:iCs/>
                        </w:rPr>
                        <w:t xml:space="preserve"> </w:t>
                      </w:r>
                      <w:proofErr w:type="spellStart"/>
                      <w:r w:rsidRPr="00F62C8F">
                        <w:rPr>
                          <w:i/>
                          <w:iCs/>
                        </w:rPr>
                        <w:t>odstavce</w:t>
                      </w:r>
                      <w:proofErr w:type="spellEnd"/>
                      <w:r w:rsidRPr="00F62C8F">
                        <w:rPr>
                          <w:i/>
                          <w:iCs/>
                        </w:rPr>
                        <w:t xml:space="preserve"> 1 </w:t>
                      </w:r>
                      <w:proofErr w:type="spellStart"/>
                      <w:r w:rsidRPr="00F62C8F">
                        <w:rPr>
                          <w:i/>
                          <w:iCs/>
                        </w:rPr>
                        <w:t>vychází</w:t>
                      </w:r>
                      <w:proofErr w:type="spellEnd"/>
                      <w:r w:rsidRPr="00F62C8F">
                        <w:rPr>
                          <w:i/>
                          <w:iCs/>
                        </w:rPr>
                        <w:t xml:space="preserve"> </w:t>
                      </w:r>
                      <w:proofErr w:type="spellStart"/>
                      <w:r w:rsidRPr="00F62C8F">
                        <w:rPr>
                          <w:i/>
                          <w:iCs/>
                        </w:rPr>
                        <w:t>poskytovatel</w:t>
                      </w:r>
                      <w:proofErr w:type="spellEnd"/>
                      <w:r w:rsidRPr="00F62C8F">
                        <w:rPr>
                          <w:i/>
                          <w:iCs/>
                        </w:rPr>
                        <w:t xml:space="preserve"> z</w:t>
                      </w:r>
                      <w:r>
                        <w:rPr>
                          <w:i/>
                          <w:iCs/>
                        </w:rPr>
                        <w:t> </w:t>
                      </w:r>
                      <w:proofErr w:type="spellStart"/>
                      <w:r w:rsidRPr="00F62C8F">
                        <w:rPr>
                          <w:i/>
                          <w:iCs/>
                        </w:rPr>
                        <w:t>kapitoly</w:t>
                      </w:r>
                      <w:proofErr w:type="spellEnd"/>
                      <w:r w:rsidRPr="00F62C8F">
                        <w:rPr>
                          <w:i/>
                          <w:iCs/>
                        </w:rPr>
                        <w:t xml:space="preserve"> V </w:t>
                      </w:r>
                      <w:proofErr w:type="spellStart"/>
                      <w:r w:rsidRPr="00F62C8F">
                        <w:rPr>
                          <w:i/>
                          <w:iCs/>
                        </w:rPr>
                        <w:t>nařízení</w:t>
                      </w:r>
                      <w:proofErr w:type="spellEnd"/>
                      <w:r w:rsidRPr="00F62C8F">
                        <w:rPr>
                          <w:i/>
                          <w:iCs/>
                        </w:rPr>
                        <w:t xml:space="preserve"> </w:t>
                      </w:r>
                      <w:proofErr w:type="spellStart"/>
                      <w:r w:rsidRPr="00F62C8F">
                        <w:rPr>
                          <w:i/>
                          <w:iCs/>
                        </w:rPr>
                        <w:t>Komise</w:t>
                      </w:r>
                      <w:proofErr w:type="spellEnd"/>
                      <w:r w:rsidRPr="00F62C8F">
                        <w:rPr>
                          <w:i/>
                          <w:iCs/>
                        </w:rPr>
                        <w:t xml:space="preserve"> (ES) č. 794/2004 ze </w:t>
                      </w:r>
                      <w:proofErr w:type="spellStart"/>
                      <w:r w:rsidRPr="00F62C8F">
                        <w:rPr>
                          <w:i/>
                          <w:iCs/>
                        </w:rPr>
                        <w:t>dne</w:t>
                      </w:r>
                      <w:proofErr w:type="spellEnd"/>
                      <w:r w:rsidRPr="00F62C8F">
                        <w:rPr>
                          <w:i/>
                          <w:iCs/>
                        </w:rPr>
                        <w:t xml:space="preserve"> 21. </w:t>
                      </w:r>
                      <w:proofErr w:type="spellStart"/>
                      <w:r w:rsidRPr="00F62C8F">
                        <w:rPr>
                          <w:i/>
                          <w:iCs/>
                        </w:rPr>
                        <w:t>dubna</w:t>
                      </w:r>
                      <w:proofErr w:type="spellEnd"/>
                      <w:r w:rsidRPr="00F62C8F">
                        <w:rPr>
                          <w:i/>
                          <w:iCs/>
                        </w:rPr>
                        <w:t xml:space="preserve"> 2004, </w:t>
                      </w:r>
                      <w:proofErr w:type="spellStart"/>
                      <w:r w:rsidRPr="00F62C8F">
                        <w:rPr>
                          <w:i/>
                          <w:iCs/>
                        </w:rPr>
                        <w:t>kterým</w:t>
                      </w:r>
                      <w:proofErr w:type="spellEnd"/>
                      <w:r w:rsidRPr="00F62C8F">
                        <w:rPr>
                          <w:i/>
                          <w:iCs/>
                        </w:rPr>
                        <w:t xml:space="preserve"> se </w:t>
                      </w:r>
                      <w:proofErr w:type="spellStart"/>
                      <w:r w:rsidRPr="00F62C8F">
                        <w:rPr>
                          <w:i/>
                          <w:iCs/>
                        </w:rPr>
                        <w:t>provádí</w:t>
                      </w:r>
                      <w:proofErr w:type="spellEnd"/>
                      <w:r w:rsidRPr="00F62C8F">
                        <w:rPr>
                          <w:i/>
                          <w:iCs/>
                        </w:rPr>
                        <w:t xml:space="preserve"> </w:t>
                      </w:r>
                      <w:proofErr w:type="spellStart"/>
                      <w:r w:rsidRPr="00F62C8F">
                        <w:rPr>
                          <w:i/>
                          <w:iCs/>
                        </w:rPr>
                        <w:t>nařízení</w:t>
                      </w:r>
                      <w:proofErr w:type="spellEnd"/>
                      <w:r w:rsidRPr="00F62C8F">
                        <w:rPr>
                          <w:i/>
                          <w:iCs/>
                        </w:rPr>
                        <w:t xml:space="preserve"> Rady (EU) 2015/1589, </w:t>
                      </w:r>
                      <w:proofErr w:type="spellStart"/>
                      <w:r w:rsidRPr="00F62C8F">
                        <w:rPr>
                          <w:i/>
                          <w:iCs/>
                        </w:rPr>
                        <w:t>kterým</w:t>
                      </w:r>
                      <w:proofErr w:type="spellEnd"/>
                      <w:r w:rsidRPr="00F62C8F">
                        <w:rPr>
                          <w:i/>
                          <w:iCs/>
                        </w:rPr>
                        <w:t xml:space="preserve"> se </w:t>
                      </w:r>
                      <w:proofErr w:type="spellStart"/>
                      <w:r w:rsidRPr="00F62C8F">
                        <w:rPr>
                          <w:i/>
                          <w:iCs/>
                        </w:rPr>
                        <w:t>stanoví</w:t>
                      </w:r>
                      <w:proofErr w:type="spellEnd"/>
                      <w:r w:rsidRPr="00F62C8F">
                        <w:rPr>
                          <w:i/>
                          <w:iCs/>
                        </w:rPr>
                        <w:t xml:space="preserve"> </w:t>
                      </w:r>
                      <w:proofErr w:type="spellStart"/>
                      <w:r w:rsidRPr="00F62C8F">
                        <w:rPr>
                          <w:i/>
                          <w:iCs/>
                        </w:rPr>
                        <w:t>prováděcí</w:t>
                      </w:r>
                      <w:proofErr w:type="spellEnd"/>
                      <w:r w:rsidRPr="00F62C8F">
                        <w:rPr>
                          <w:i/>
                          <w:iCs/>
                        </w:rPr>
                        <w:t xml:space="preserve"> </w:t>
                      </w:r>
                      <w:proofErr w:type="spellStart"/>
                      <w:r w:rsidRPr="00F62C8F">
                        <w:rPr>
                          <w:i/>
                          <w:iCs/>
                        </w:rPr>
                        <w:t>pravidla</w:t>
                      </w:r>
                      <w:proofErr w:type="spellEnd"/>
                      <w:r w:rsidRPr="00F62C8F">
                        <w:rPr>
                          <w:i/>
                          <w:iCs/>
                        </w:rPr>
                        <w:t xml:space="preserve"> k </w:t>
                      </w:r>
                      <w:proofErr w:type="spellStart"/>
                      <w:r w:rsidRPr="00F62C8F">
                        <w:rPr>
                          <w:i/>
                          <w:iCs/>
                        </w:rPr>
                        <w:t>článku</w:t>
                      </w:r>
                      <w:proofErr w:type="spellEnd"/>
                      <w:r w:rsidRPr="00F62C8F">
                        <w:rPr>
                          <w:i/>
                          <w:iCs/>
                        </w:rPr>
                        <w:t xml:space="preserve"> 108 </w:t>
                      </w:r>
                      <w:proofErr w:type="spellStart"/>
                      <w:r w:rsidRPr="00F62C8F">
                        <w:rPr>
                          <w:i/>
                          <w:iCs/>
                        </w:rPr>
                        <w:t>Smlouvy</w:t>
                      </w:r>
                      <w:proofErr w:type="spellEnd"/>
                      <w:r w:rsidRPr="00F62C8F">
                        <w:rPr>
                          <w:i/>
                          <w:iCs/>
                        </w:rPr>
                        <w:t xml:space="preserve"> o </w:t>
                      </w:r>
                      <w:proofErr w:type="spellStart"/>
                      <w:r w:rsidRPr="00F62C8F">
                        <w:rPr>
                          <w:i/>
                          <w:iCs/>
                        </w:rPr>
                        <w:t>fungování</w:t>
                      </w:r>
                      <w:proofErr w:type="spellEnd"/>
                      <w:r w:rsidRPr="00F62C8F">
                        <w:rPr>
                          <w:i/>
                          <w:iCs/>
                        </w:rPr>
                        <w:t xml:space="preserve"> </w:t>
                      </w:r>
                      <w:proofErr w:type="spellStart"/>
                      <w:r w:rsidRPr="00F62C8F">
                        <w:rPr>
                          <w:i/>
                          <w:iCs/>
                        </w:rPr>
                        <w:t>Evropské</w:t>
                      </w:r>
                      <w:proofErr w:type="spellEnd"/>
                      <w:r w:rsidRPr="00F62C8F">
                        <w:rPr>
                          <w:i/>
                          <w:iCs/>
                        </w:rPr>
                        <w:t xml:space="preserve"> </w:t>
                      </w:r>
                      <w:proofErr w:type="spellStart"/>
                      <w:r w:rsidRPr="00F62C8F">
                        <w:rPr>
                          <w:i/>
                          <w:iCs/>
                        </w:rPr>
                        <w:t>unie</w:t>
                      </w:r>
                      <w:proofErr w:type="spellEnd"/>
                      <w:r w:rsidRPr="00F62C8F">
                        <w:rPr>
                          <w:i/>
                          <w:iCs/>
                        </w:rPr>
                        <w:t xml:space="preserve">. </w:t>
                      </w:r>
                      <w:proofErr w:type="spellStart"/>
                      <w:r w:rsidRPr="00F62C8F">
                        <w:rPr>
                          <w:i/>
                          <w:iCs/>
                        </w:rPr>
                        <w:t>Úroky</w:t>
                      </w:r>
                      <w:proofErr w:type="spellEnd"/>
                      <w:r w:rsidRPr="00F62C8F">
                        <w:rPr>
                          <w:i/>
                          <w:iCs/>
                        </w:rPr>
                        <w:t xml:space="preserve"> </w:t>
                      </w:r>
                      <w:proofErr w:type="spellStart"/>
                      <w:r w:rsidRPr="00F62C8F">
                        <w:rPr>
                          <w:i/>
                          <w:iCs/>
                        </w:rPr>
                        <w:t>hradí</w:t>
                      </w:r>
                      <w:proofErr w:type="spellEnd"/>
                      <w:r w:rsidRPr="00F62C8F">
                        <w:rPr>
                          <w:i/>
                          <w:iCs/>
                        </w:rPr>
                        <w:t xml:space="preserve"> </w:t>
                      </w:r>
                      <w:proofErr w:type="spellStart"/>
                      <w:r w:rsidRPr="00F62C8F">
                        <w:rPr>
                          <w:i/>
                          <w:iCs/>
                        </w:rPr>
                        <w:t>příjemce</w:t>
                      </w:r>
                      <w:proofErr w:type="spellEnd"/>
                      <w:r w:rsidRPr="00F62C8F">
                        <w:rPr>
                          <w:i/>
                          <w:iCs/>
                        </w:rPr>
                        <w:t xml:space="preserve"> ode </w:t>
                      </w:r>
                      <w:proofErr w:type="spellStart"/>
                      <w:r w:rsidRPr="00F62C8F">
                        <w:rPr>
                          <w:i/>
                          <w:iCs/>
                        </w:rPr>
                        <w:t>dne</w:t>
                      </w:r>
                      <w:proofErr w:type="spellEnd"/>
                      <w:r w:rsidRPr="00F62C8F">
                        <w:rPr>
                          <w:i/>
                          <w:iCs/>
                        </w:rPr>
                        <w:t xml:space="preserve">, </w:t>
                      </w:r>
                      <w:proofErr w:type="spellStart"/>
                      <w:r w:rsidRPr="00F62C8F">
                        <w:rPr>
                          <w:i/>
                          <w:iCs/>
                        </w:rPr>
                        <w:t>kdy</w:t>
                      </w:r>
                      <w:proofErr w:type="spellEnd"/>
                      <w:r w:rsidRPr="00F62C8F">
                        <w:rPr>
                          <w:i/>
                          <w:iCs/>
                        </w:rPr>
                        <w:t xml:space="preserve"> </w:t>
                      </w:r>
                      <w:proofErr w:type="spellStart"/>
                      <w:r w:rsidRPr="00F62C8F">
                        <w:rPr>
                          <w:i/>
                          <w:iCs/>
                        </w:rPr>
                        <w:t>mohl</w:t>
                      </w:r>
                      <w:proofErr w:type="spellEnd"/>
                      <w:r w:rsidRPr="00F62C8F">
                        <w:rPr>
                          <w:i/>
                          <w:iCs/>
                        </w:rPr>
                        <w:t xml:space="preserve"> s </w:t>
                      </w:r>
                      <w:proofErr w:type="spellStart"/>
                      <w:r w:rsidRPr="00F62C8F">
                        <w:rPr>
                          <w:i/>
                          <w:iCs/>
                        </w:rPr>
                        <w:t>protiprávní</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podporou</w:t>
                      </w:r>
                      <w:proofErr w:type="spellEnd"/>
                      <w:r w:rsidRPr="00F62C8F">
                        <w:rPr>
                          <w:i/>
                          <w:iCs/>
                        </w:rPr>
                        <w:t xml:space="preserve"> </w:t>
                      </w:r>
                      <w:proofErr w:type="spellStart"/>
                      <w:r w:rsidRPr="00F62C8F">
                        <w:rPr>
                          <w:i/>
                          <w:iCs/>
                        </w:rPr>
                        <w:t>nakládat</w:t>
                      </w:r>
                      <w:proofErr w:type="spellEnd"/>
                      <w:r w:rsidRPr="00F62C8F">
                        <w:rPr>
                          <w:i/>
                          <w:iCs/>
                        </w:rPr>
                        <w:t xml:space="preserve">, do </w:t>
                      </w:r>
                      <w:proofErr w:type="spellStart"/>
                      <w:r w:rsidRPr="00F62C8F">
                        <w:rPr>
                          <w:i/>
                          <w:iCs/>
                        </w:rPr>
                        <w:t>dne</w:t>
                      </w:r>
                      <w:proofErr w:type="spellEnd"/>
                      <w:r w:rsidRPr="00F62C8F">
                        <w:rPr>
                          <w:i/>
                          <w:iCs/>
                        </w:rPr>
                        <w:t xml:space="preserve"> </w:t>
                      </w:r>
                      <w:proofErr w:type="spellStart"/>
                      <w:r w:rsidRPr="00F62C8F">
                        <w:rPr>
                          <w:i/>
                          <w:iCs/>
                        </w:rPr>
                        <w:t>jejího</w:t>
                      </w:r>
                      <w:proofErr w:type="spellEnd"/>
                      <w:r w:rsidRPr="00F62C8F">
                        <w:rPr>
                          <w:i/>
                          <w:iCs/>
                        </w:rPr>
                        <w:t xml:space="preserve"> </w:t>
                      </w:r>
                      <w:proofErr w:type="spellStart"/>
                      <w:r w:rsidRPr="00F62C8F">
                        <w:rPr>
                          <w:i/>
                          <w:iCs/>
                        </w:rPr>
                        <w:t>navrácení</w:t>
                      </w:r>
                      <w:proofErr w:type="spellEnd"/>
                      <w:r w:rsidRPr="00F62C8F">
                        <w:rPr>
                          <w:i/>
                          <w:iCs/>
                        </w:rPr>
                        <w:t xml:space="preserve">. </w:t>
                      </w:r>
                    </w:p>
                    <w:p w14:paraId="0970A121" w14:textId="77777777" w:rsidR="0097695A" w:rsidRPr="00EA45D5" w:rsidRDefault="0097695A" w:rsidP="00EA45D5">
                      <w:pPr>
                        <w:jc w:val="both"/>
                        <w:rPr>
                          <w:i/>
                          <w:iCs/>
                        </w:rPr>
                      </w:pPr>
                      <w:r w:rsidRPr="00F62C8F">
                        <w:rPr>
                          <w:i/>
                          <w:iCs/>
                        </w:rPr>
                        <w:t xml:space="preserve">(3) </w:t>
                      </w:r>
                      <w:proofErr w:type="spellStart"/>
                      <w:r w:rsidRPr="00F62C8F">
                        <w:rPr>
                          <w:i/>
                          <w:iCs/>
                        </w:rPr>
                        <w:t>Pokud</w:t>
                      </w:r>
                      <w:proofErr w:type="spellEnd"/>
                      <w:r w:rsidRPr="00F62C8F">
                        <w:rPr>
                          <w:i/>
                          <w:iCs/>
                        </w:rPr>
                        <w:t xml:space="preserve"> </w:t>
                      </w:r>
                      <w:proofErr w:type="spellStart"/>
                      <w:r w:rsidRPr="00F62C8F">
                        <w:rPr>
                          <w:i/>
                          <w:iCs/>
                        </w:rPr>
                        <w:t>podléhá</w:t>
                      </w:r>
                      <w:proofErr w:type="spellEnd"/>
                      <w:r w:rsidRPr="00F62C8F">
                        <w:rPr>
                          <w:i/>
                          <w:iCs/>
                        </w:rPr>
                        <w:t xml:space="preserve"> </w:t>
                      </w:r>
                      <w:proofErr w:type="spellStart"/>
                      <w:r w:rsidRPr="00F62C8F">
                        <w:rPr>
                          <w:i/>
                          <w:iCs/>
                        </w:rPr>
                        <w:t>příjemce</w:t>
                      </w:r>
                      <w:proofErr w:type="spellEnd"/>
                      <w:r w:rsidRPr="00F62C8F">
                        <w:rPr>
                          <w:i/>
                          <w:iCs/>
                        </w:rPr>
                        <w:t xml:space="preserve"> </w:t>
                      </w:r>
                      <w:proofErr w:type="spellStart"/>
                      <w:r w:rsidRPr="00F62C8F">
                        <w:rPr>
                          <w:i/>
                          <w:iCs/>
                        </w:rPr>
                        <w:t>dozoru</w:t>
                      </w:r>
                      <w:proofErr w:type="spellEnd"/>
                      <w:r w:rsidRPr="00F62C8F">
                        <w:rPr>
                          <w:i/>
                          <w:iCs/>
                        </w:rPr>
                        <w:t xml:space="preserve"> </w:t>
                      </w:r>
                      <w:proofErr w:type="spellStart"/>
                      <w:r w:rsidRPr="00F62C8F">
                        <w:rPr>
                          <w:i/>
                          <w:iCs/>
                        </w:rPr>
                        <w:t>nebo</w:t>
                      </w:r>
                      <w:proofErr w:type="spellEnd"/>
                      <w:r w:rsidRPr="00F62C8F">
                        <w:rPr>
                          <w:i/>
                          <w:iCs/>
                        </w:rPr>
                        <w:t xml:space="preserve"> </w:t>
                      </w:r>
                      <w:proofErr w:type="spellStart"/>
                      <w:r w:rsidRPr="00F62C8F">
                        <w:rPr>
                          <w:i/>
                          <w:iCs/>
                        </w:rPr>
                        <w:t>dohledu</w:t>
                      </w:r>
                      <w:proofErr w:type="spellEnd"/>
                      <w:r w:rsidRPr="00F62C8F">
                        <w:rPr>
                          <w:i/>
                          <w:iCs/>
                        </w:rPr>
                        <w:t xml:space="preserve"> </w:t>
                      </w:r>
                      <w:proofErr w:type="spellStart"/>
                      <w:r w:rsidRPr="00F62C8F">
                        <w:rPr>
                          <w:i/>
                          <w:iCs/>
                        </w:rPr>
                        <w:t>podle</w:t>
                      </w:r>
                      <w:proofErr w:type="spellEnd"/>
                      <w:r w:rsidRPr="00F62C8F">
                        <w:rPr>
                          <w:i/>
                          <w:iCs/>
                        </w:rPr>
                        <w:t xml:space="preserve"> </w:t>
                      </w:r>
                      <w:proofErr w:type="spellStart"/>
                      <w:r w:rsidRPr="00F62C8F">
                        <w:rPr>
                          <w:i/>
                          <w:iCs/>
                        </w:rPr>
                        <w:t>zvláštního</w:t>
                      </w:r>
                      <w:proofErr w:type="spellEnd"/>
                      <w:r w:rsidRPr="00F62C8F">
                        <w:rPr>
                          <w:i/>
                          <w:iCs/>
                        </w:rPr>
                        <w:t xml:space="preserve"> </w:t>
                      </w:r>
                      <w:proofErr w:type="spellStart"/>
                      <w:r w:rsidRPr="00F62C8F">
                        <w:rPr>
                          <w:i/>
                          <w:iCs/>
                        </w:rPr>
                        <w:t>právního</w:t>
                      </w:r>
                      <w:proofErr w:type="spellEnd"/>
                      <w:r w:rsidRPr="00F62C8F">
                        <w:rPr>
                          <w:i/>
                          <w:iCs/>
                        </w:rPr>
                        <w:t xml:space="preserve"> </w:t>
                      </w:r>
                      <w:proofErr w:type="spellStart"/>
                      <w:r w:rsidRPr="00F62C8F">
                        <w:rPr>
                          <w:i/>
                          <w:iCs/>
                        </w:rPr>
                        <w:t>předpisu</w:t>
                      </w:r>
                      <w:proofErr w:type="spellEnd"/>
                      <w:r w:rsidRPr="00F62C8F">
                        <w:rPr>
                          <w:i/>
                          <w:iCs/>
                        </w:rPr>
                        <w:t xml:space="preserve">, </w:t>
                      </w:r>
                      <w:proofErr w:type="spellStart"/>
                      <w:r w:rsidRPr="00F62C8F">
                        <w:rPr>
                          <w:i/>
                          <w:iCs/>
                        </w:rPr>
                        <w:t>informuje</w:t>
                      </w:r>
                      <w:proofErr w:type="spellEnd"/>
                      <w:r w:rsidRPr="00F62C8F">
                        <w:rPr>
                          <w:i/>
                          <w:iCs/>
                        </w:rPr>
                        <w:t xml:space="preserve"> </w:t>
                      </w:r>
                      <w:proofErr w:type="spellStart"/>
                      <w:r w:rsidRPr="00F62C8F">
                        <w:rPr>
                          <w:i/>
                          <w:iCs/>
                        </w:rPr>
                        <w:t>poskytovatel</w:t>
                      </w:r>
                      <w:proofErr w:type="spellEnd"/>
                      <w:r w:rsidRPr="00F62C8F">
                        <w:rPr>
                          <w:i/>
                          <w:iCs/>
                        </w:rPr>
                        <w:t xml:space="preserve"> </w:t>
                      </w:r>
                      <w:proofErr w:type="spellStart"/>
                      <w:r w:rsidRPr="00F62C8F">
                        <w:rPr>
                          <w:i/>
                          <w:iCs/>
                        </w:rPr>
                        <w:t>neprodleně</w:t>
                      </w:r>
                      <w:proofErr w:type="spellEnd"/>
                      <w:r w:rsidRPr="00F62C8F">
                        <w:rPr>
                          <w:i/>
                          <w:iCs/>
                        </w:rPr>
                        <w:t xml:space="preserve"> o </w:t>
                      </w:r>
                      <w:proofErr w:type="spellStart"/>
                      <w:r w:rsidRPr="00F62C8F">
                        <w:rPr>
                          <w:i/>
                          <w:iCs/>
                        </w:rPr>
                        <w:t>povinnosti</w:t>
                      </w:r>
                      <w:proofErr w:type="spellEnd"/>
                      <w:r w:rsidRPr="00F62C8F">
                        <w:rPr>
                          <w:i/>
                          <w:iCs/>
                        </w:rPr>
                        <w:t xml:space="preserve"> </w:t>
                      </w:r>
                      <w:proofErr w:type="spellStart"/>
                      <w:r w:rsidRPr="00F62C8F">
                        <w:rPr>
                          <w:i/>
                          <w:iCs/>
                        </w:rPr>
                        <w:t>poskytnutou</w:t>
                      </w:r>
                      <w:proofErr w:type="spellEnd"/>
                      <w:r w:rsidRPr="00F62C8F">
                        <w:rPr>
                          <w:i/>
                          <w:iCs/>
                        </w:rPr>
                        <w:t xml:space="preserve"> </w:t>
                      </w:r>
                      <w:proofErr w:type="spellStart"/>
                      <w:r w:rsidRPr="00F62C8F">
                        <w:rPr>
                          <w:i/>
                          <w:iCs/>
                        </w:rPr>
                        <w:t>veřejnou</w:t>
                      </w:r>
                      <w:proofErr w:type="spellEnd"/>
                      <w:r w:rsidRPr="00F62C8F">
                        <w:rPr>
                          <w:i/>
                          <w:iCs/>
                        </w:rPr>
                        <w:t xml:space="preserve"> </w:t>
                      </w:r>
                      <w:proofErr w:type="spellStart"/>
                      <w:r w:rsidRPr="00F62C8F">
                        <w:rPr>
                          <w:i/>
                          <w:iCs/>
                        </w:rPr>
                        <w:t>podporu</w:t>
                      </w:r>
                      <w:proofErr w:type="spellEnd"/>
                      <w:r w:rsidRPr="00F62C8F">
                        <w:rPr>
                          <w:i/>
                          <w:iCs/>
                        </w:rPr>
                        <w:t xml:space="preserve"> </w:t>
                      </w:r>
                      <w:proofErr w:type="spellStart"/>
                      <w:r w:rsidRPr="00F62C8F">
                        <w:rPr>
                          <w:i/>
                          <w:iCs/>
                        </w:rPr>
                        <w:t>vrátit</w:t>
                      </w:r>
                      <w:proofErr w:type="spellEnd"/>
                      <w:r w:rsidRPr="00F62C8F">
                        <w:rPr>
                          <w:i/>
                          <w:iCs/>
                        </w:rPr>
                        <w:t xml:space="preserve"> </w:t>
                      </w:r>
                      <w:proofErr w:type="spellStart"/>
                      <w:r w:rsidRPr="00F62C8F">
                        <w:rPr>
                          <w:i/>
                          <w:iCs/>
                        </w:rPr>
                        <w:t>i</w:t>
                      </w:r>
                      <w:proofErr w:type="spellEnd"/>
                      <w:r w:rsidRPr="00F62C8F">
                        <w:rPr>
                          <w:i/>
                          <w:iCs/>
                        </w:rPr>
                        <w:t xml:space="preserve"> </w:t>
                      </w:r>
                      <w:proofErr w:type="spellStart"/>
                      <w:r w:rsidRPr="00F62C8F">
                        <w:rPr>
                          <w:i/>
                          <w:iCs/>
                        </w:rPr>
                        <w:t>orgán</w:t>
                      </w:r>
                      <w:proofErr w:type="spellEnd"/>
                      <w:r w:rsidRPr="00F62C8F">
                        <w:rPr>
                          <w:i/>
                          <w:iCs/>
                        </w:rPr>
                        <w:t xml:space="preserve">, </w:t>
                      </w:r>
                      <w:proofErr w:type="spellStart"/>
                      <w:r w:rsidRPr="00F62C8F">
                        <w:rPr>
                          <w:i/>
                          <w:iCs/>
                        </w:rPr>
                        <w:t>který</w:t>
                      </w:r>
                      <w:proofErr w:type="spellEnd"/>
                      <w:r w:rsidRPr="00F62C8F">
                        <w:rPr>
                          <w:i/>
                          <w:iCs/>
                        </w:rPr>
                        <w:t xml:space="preserve"> </w:t>
                      </w:r>
                      <w:proofErr w:type="spellStart"/>
                      <w:r w:rsidRPr="00F62C8F">
                        <w:rPr>
                          <w:i/>
                          <w:iCs/>
                        </w:rPr>
                        <w:t>dozor</w:t>
                      </w:r>
                      <w:proofErr w:type="spellEnd"/>
                      <w:r w:rsidRPr="00F62C8F">
                        <w:rPr>
                          <w:i/>
                          <w:iCs/>
                        </w:rPr>
                        <w:t xml:space="preserve"> </w:t>
                      </w:r>
                      <w:proofErr w:type="spellStart"/>
                      <w:r w:rsidRPr="00F62C8F">
                        <w:rPr>
                          <w:i/>
                          <w:iCs/>
                        </w:rPr>
                        <w:t>nebo</w:t>
                      </w:r>
                      <w:proofErr w:type="spellEnd"/>
                      <w:r w:rsidRPr="00F62C8F">
                        <w:rPr>
                          <w:i/>
                          <w:iCs/>
                        </w:rPr>
                        <w:t xml:space="preserve"> </w:t>
                      </w:r>
                      <w:proofErr w:type="spellStart"/>
                      <w:r w:rsidRPr="00F62C8F">
                        <w:rPr>
                          <w:i/>
                          <w:iCs/>
                        </w:rPr>
                        <w:t>dohled</w:t>
                      </w:r>
                      <w:proofErr w:type="spellEnd"/>
                      <w:r w:rsidRPr="00F62C8F">
                        <w:rPr>
                          <w:i/>
                          <w:iCs/>
                        </w:rPr>
                        <w:t xml:space="preserve"> </w:t>
                      </w:r>
                      <w:proofErr w:type="spellStart"/>
                      <w:r w:rsidRPr="00F62C8F">
                        <w:rPr>
                          <w:i/>
                          <w:iCs/>
                        </w:rPr>
                        <w:t>provádí</w:t>
                      </w:r>
                      <w:proofErr w:type="spellEnd"/>
                      <w:r w:rsidRPr="00F62C8F">
                        <w:rPr>
                          <w:i/>
                          <w:iCs/>
                        </w:rPr>
                        <w:t xml:space="preserve">. </w:t>
                      </w:r>
                    </w:p>
                  </w:txbxContent>
                </v:textbox>
                <w10:wrap type="square" anchorx="margin"/>
              </v:shape>
            </w:pict>
          </mc:Fallback>
        </mc:AlternateContent>
      </w:r>
      <w:r w:rsidR="0015450F">
        <w:rPr>
          <w:sz w:val="24"/>
          <w:szCs w:val="24"/>
          <w:lang w:val="cs-CZ"/>
        </w:rPr>
        <w:t>P</w:t>
      </w:r>
      <w:r w:rsidR="008C463A" w:rsidRPr="00090792">
        <w:rPr>
          <w:sz w:val="24"/>
          <w:szCs w:val="24"/>
          <w:lang w:val="cs-CZ"/>
        </w:rPr>
        <w:t xml:space="preserve">ro tyto účely </w:t>
      </w:r>
      <w:r w:rsidR="00581566">
        <w:rPr>
          <w:sz w:val="24"/>
          <w:szCs w:val="24"/>
          <w:lang w:val="cs-CZ"/>
        </w:rPr>
        <w:t xml:space="preserve">upravuje </w:t>
      </w:r>
      <w:r w:rsidR="008C463A" w:rsidRPr="00090792">
        <w:rPr>
          <w:sz w:val="24"/>
          <w:szCs w:val="24"/>
          <w:lang w:val="cs-CZ"/>
        </w:rPr>
        <w:t>postup při navracení veřejné podpory § 7a</w:t>
      </w:r>
      <w:r w:rsidR="00581566">
        <w:rPr>
          <w:sz w:val="24"/>
          <w:szCs w:val="24"/>
          <w:lang w:val="cs-CZ"/>
        </w:rPr>
        <w:t xml:space="preserve"> zákona č. 215/2004 Sb</w:t>
      </w:r>
      <w:bookmarkEnd w:id="13"/>
      <w:r w:rsidR="00581566">
        <w:rPr>
          <w:sz w:val="24"/>
          <w:szCs w:val="24"/>
          <w:lang w:val="cs-CZ"/>
        </w:rPr>
        <w:t>.</w:t>
      </w:r>
      <w:r w:rsidR="008C463A" w:rsidRPr="00090792">
        <w:rPr>
          <w:sz w:val="24"/>
          <w:szCs w:val="24"/>
          <w:lang w:val="cs-CZ"/>
        </w:rPr>
        <w:t>:</w:t>
      </w:r>
    </w:p>
    <w:p w14:paraId="6059D03A" w14:textId="77777777" w:rsidR="008C1CFA" w:rsidRDefault="0061413A" w:rsidP="008C463A">
      <w:pPr>
        <w:jc w:val="both"/>
        <w:rPr>
          <w:sz w:val="24"/>
          <w:szCs w:val="24"/>
          <w:lang w:val="cs-CZ"/>
        </w:rPr>
      </w:pPr>
      <w:r w:rsidRPr="00090792">
        <w:rPr>
          <w:sz w:val="24"/>
          <w:szCs w:val="24"/>
          <w:lang w:val="cs-CZ"/>
        </w:rPr>
        <w:t xml:space="preserve">Tímto </w:t>
      </w:r>
      <w:r w:rsidR="00B2102C" w:rsidRPr="00090792">
        <w:rPr>
          <w:sz w:val="24"/>
          <w:szCs w:val="24"/>
          <w:lang w:val="cs-CZ"/>
        </w:rPr>
        <w:t>ustanovení</w:t>
      </w:r>
      <w:r w:rsidR="000D763F" w:rsidRPr="00090792">
        <w:rPr>
          <w:sz w:val="24"/>
          <w:szCs w:val="24"/>
          <w:lang w:val="cs-CZ"/>
        </w:rPr>
        <w:t>m</w:t>
      </w:r>
      <w:r w:rsidR="00B2102C" w:rsidRPr="00090792">
        <w:rPr>
          <w:sz w:val="24"/>
          <w:szCs w:val="24"/>
          <w:lang w:val="cs-CZ"/>
        </w:rPr>
        <w:t xml:space="preserve"> se </w:t>
      </w:r>
      <w:r w:rsidR="00581566">
        <w:rPr>
          <w:sz w:val="24"/>
          <w:szCs w:val="24"/>
          <w:lang w:val="cs-CZ"/>
        </w:rPr>
        <w:t>ukládá</w:t>
      </w:r>
      <w:r w:rsidR="00581566" w:rsidRPr="00090792">
        <w:rPr>
          <w:sz w:val="24"/>
          <w:szCs w:val="24"/>
          <w:lang w:val="cs-CZ"/>
        </w:rPr>
        <w:t xml:space="preserve"> </w:t>
      </w:r>
      <w:r w:rsidR="00F62C8F" w:rsidRPr="00090792">
        <w:rPr>
          <w:sz w:val="24"/>
          <w:szCs w:val="24"/>
          <w:lang w:val="cs-CZ"/>
        </w:rPr>
        <w:t>příjemci veřejné podpory povinnost vrátit ji včetně úroků poskytovateli, pokud byla poskytnuta v rozporu s právem Evropské unie. Poskytovatel je povinen bez zbytečného odkladu učinit veškerá nezbytná opatření k zajištění splnění této povinnosti. Za tím účelem poskytovatel příjemce neprodleně vyzve k</w:t>
      </w:r>
      <w:r w:rsidR="0097695A" w:rsidRPr="00090792">
        <w:rPr>
          <w:sz w:val="24"/>
          <w:szCs w:val="24"/>
          <w:lang w:val="cs-CZ"/>
        </w:rPr>
        <w:t> </w:t>
      </w:r>
      <w:r w:rsidR="00F62C8F" w:rsidRPr="00090792">
        <w:rPr>
          <w:sz w:val="24"/>
          <w:szCs w:val="24"/>
          <w:lang w:val="cs-CZ"/>
        </w:rPr>
        <w:t>navrácení veřejné podpory; poskytovatel zároveň ve výzvě stanoví lhůtu k navrácení.</w:t>
      </w:r>
      <w:r w:rsidR="00690B78" w:rsidRPr="00090792">
        <w:rPr>
          <w:sz w:val="24"/>
          <w:szCs w:val="24"/>
          <w:lang w:val="cs-CZ"/>
        </w:rPr>
        <w:t xml:space="preserve"> Pokud vnitrostátní orgán požaduje z vlastního podnětu, nikoli tedy na základě rozhodnutí Evropské komise, navrácení podpory, kterou poskytl na základě nesprávného použití obecného nařízení o blokových výjimkách</w:t>
      </w:r>
      <w:r w:rsidR="00384509" w:rsidRPr="00090792">
        <w:rPr>
          <w:sz w:val="24"/>
          <w:szCs w:val="24"/>
          <w:lang w:val="cs-CZ"/>
        </w:rPr>
        <w:t xml:space="preserve"> či jiné přímo použitelné výjimky</w:t>
      </w:r>
      <w:r w:rsidR="00690B78" w:rsidRPr="00090792">
        <w:rPr>
          <w:sz w:val="24"/>
          <w:szCs w:val="24"/>
          <w:lang w:val="cs-CZ"/>
        </w:rPr>
        <w:t xml:space="preserve">, má povinnost požadovat od příjemce této podpory úroky podle pravidel vnitrostátního práva. </w:t>
      </w:r>
    </w:p>
    <w:p w14:paraId="3970B3F4" w14:textId="557420D5" w:rsidR="00DD2678" w:rsidRDefault="00942BE8" w:rsidP="008C463A">
      <w:pPr>
        <w:jc w:val="both"/>
        <w:rPr>
          <w:sz w:val="24"/>
          <w:szCs w:val="24"/>
          <w:lang w:val="cs-CZ"/>
        </w:rPr>
      </w:pPr>
      <w:r>
        <w:rPr>
          <w:sz w:val="24"/>
          <w:szCs w:val="24"/>
          <w:lang w:val="cs-CZ"/>
        </w:rPr>
        <w:t xml:space="preserve">Vzhledem k tomu, že o navrácení podpory rozhoduje poskytovatel, nejde o porušení rozpočtové kázně. Konstatovat porušení rozpočtové kázně může pouze finanční úřad, který však v oblasti vracení veřejné podpory nemá žádné kompetence. </w:t>
      </w:r>
      <w:r w:rsidRPr="00090792">
        <w:rPr>
          <w:sz w:val="24"/>
          <w:szCs w:val="24"/>
          <w:lang w:val="cs-CZ"/>
        </w:rPr>
        <w:t xml:space="preserve"> </w:t>
      </w:r>
    </w:p>
    <w:p w14:paraId="33B46D5C" w14:textId="77777777" w:rsidR="00212CB0" w:rsidRDefault="00212CB0" w:rsidP="00212CB0">
      <w:pPr>
        <w:pStyle w:val="Nadpis3"/>
        <w:rPr>
          <w:lang w:val="cs-CZ"/>
        </w:rPr>
      </w:pPr>
      <w:r w:rsidRPr="00212CB0">
        <w:rPr>
          <w:lang w:val="cs-CZ"/>
        </w:rPr>
        <w:lastRenderedPageBreak/>
        <w:t>Základní procesní kroky dle § 7a zákona č. 215/2004 Sb.</w:t>
      </w:r>
    </w:p>
    <w:p w14:paraId="2BD43478" w14:textId="4E5EAEAB" w:rsidR="00DD2678" w:rsidRDefault="00DD2678" w:rsidP="00DD2678">
      <w:pPr>
        <w:jc w:val="both"/>
        <w:rPr>
          <w:lang w:val="cs-CZ"/>
        </w:rPr>
      </w:pPr>
      <w:r w:rsidRPr="00090792">
        <w:rPr>
          <w:rFonts w:cs="Arial"/>
          <w:noProof/>
          <w:sz w:val="24"/>
          <w:szCs w:val="24"/>
          <w:lang w:val="cs-CZ" w:eastAsia="cs-CZ"/>
        </w:rPr>
        <mc:AlternateContent>
          <mc:Choice Requires="wps">
            <w:drawing>
              <wp:anchor distT="0" distB="0" distL="114300" distR="114300" simplePos="0" relativeHeight="251658247" behindDoc="1" locked="0" layoutInCell="1" allowOverlap="1" wp14:anchorId="5D8D947C" wp14:editId="1B863609">
                <wp:simplePos x="0" y="0"/>
                <wp:positionH relativeFrom="margin">
                  <wp:posOffset>-635</wp:posOffset>
                </wp:positionH>
                <wp:positionV relativeFrom="paragraph">
                  <wp:posOffset>1180465</wp:posOffset>
                </wp:positionV>
                <wp:extent cx="5946775" cy="6499860"/>
                <wp:effectExtent l="0" t="0" r="15875" b="15240"/>
                <wp:wrapTight wrapText="bothSides">
                  <wp:wrapPolygon edited="0">
                    <wp:start x="0" y="0"/>
                    <wp:lineTo x="0" y="21587"/>
                    <wp:lineTo x="21588" y="21587"/>
                    <wp:lineTo x="21588" y="0"/>
                    <wp:lineTo x="0" y="0"/>
                  </wp:wrapPolygon>
                </wp:wrapTight>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6499860"/>
                        </a:xfrm>
                        <a:prstGeom prst="rect">
                          <a:avLst/>
                        </a:prstGeom>
                        <a:solidFill>
                          <a:srgbClr val="4F81BD">
                            <a:lumMod val="20000"/>
                            <a:lumOff val="80000"/>
                          </a:srgbClr>
                        </a:solidFill>
                        <a:ln w="9525">
                          <a:solidFill>
                            <a:srgbClr val="1F497D"/>
                          </a:solidFill>
                          <a:miter lim="800000"/>
                          <a:headEnd/>
                          <a:tailEnd/>
                        </a:ln>
                      </wps:spPr>
                      <wps:txbx>
                        <w:txbxContent>
                          <w:p w14:paraId="3E0C0402" w14:textId="77777777" w:rsidR="00DD2678" w:rsidRDefault="00DD2678" w:rsidP="00DD2678">
                            <w:pPr>
                              <w:jc w:val="center"/>
                              <w:rPr>
                                <w:b/>
                                <w:bCs/>
                                <w:i/>
                                <w:iCs/>
                              </w:rPr>
                            </w:pPr>
                            <w:proofErr w:type="spellStart"/>
                            <w:r>
                              <w:rPr>
                                <w:b/>
                                <w:bCs/>
                                <w:i/>
                                <w:iCs/>
                              </w:rPr>
                              <w:t>Základní</w:t>
                            </w:r>
                            <w:proofErr w:type="spellEnd"/>
                            <w:r>
                              <w:rPr>
                                <w:b/>
                                <w:bCs/>
                                <w:i/>
                                <w:iCs/>
                              </w:rPr>
                              <w:t xml:space="preserve"> </w:t>
                            </w:r>
                            <w:proofErr w:type="spellStart"/>
                            <w:r>
                              <w:rPr>
                                <w:b/>
                                <w:bCs/>
                                <w:i/>
                                <w:iCs/>
                              </w:rPr>
                              <w:t>informace</w:t>
                            </w:r>
                            <w:proofErr w:type="spellEnd"/>
                            <w:r>
                              <w:rPr>
                                <w:b/>
                                <w:bCs/>
                                <w:i/>
                                <w:iCs/>
                              </w:rPr>
                              <w:t xml:space="preserve"> k </w:t>
                            </w:r>
                            <w:proofErr w:type="spellStart"/>
                            <w:r>
                              <w:rPr>
                                <w:b/>
                                <w:bCs/>
                                <w:i/>
                                <w:iCs/>
                              </w:rPr>
                              <w:t>procesnímu</w:t>
                            </w:r>
                            <w:proofErr w:type="spellEnd"/>
                            <w:r>
                              <w:rPr>
                                <w:b/>
                                <w:bCs/>
                                <w:i/>
                                <w:iCs/>
                              </w:rPr>
                              <w:t xml:space="preserve"> </w:t>
                            </w:r>
                            <w:proofErr w:type="spellStart"/>
                            <w:r>
                              <w:rPr>
                                <w:b/>
                                <w:bCs/>
                                <w:i/>
                                <w:iCs/>
                              </w:rPr>
                              <w:t>postupu</w:t>
                            </w:r>
                            <w:proofErr w:type="spellEnd"/>
                          </w:p>
                          <w:p w14:paraId="6E0289EE" w14:textId="77777777" w:rsidR="00DD2678" w:rsidRDefault="00DD2678" w:rsidP="00DD2678">
                            <w:pPr>
                              <w:pStyle w:val="Odstavecseseznamem"/>
                              <w:numPr>
                                <w:ilvl w:val="0"/>
                                <w:numId w:val="6"/>
                              </w:numPr>
                              <w:jc w:val="both"/>
                              <w:rPr>
                                <w:i/>
                                <w:iCs/>
                                <w:lang w:val="cs-CZ"/>
                              </w:rPr>
                            </w:pPr>
                            <w:r w:rsidRPr="008C1CFA">
                              <w:rPr>
                                <w:i/>
                                <w:iCs/>
                                <w:lang w:val="cs-CZ"/>
                              </w:rPr>
                              <w:t>Poskytovatel podpory vydá výzvu k navrácení podpory (§ 7a odst. 1), a to bez zbytečného odkladu, jakmile zjistí rozpor s právem EU.</w:t>
                            </w:r>
                          </w:p>
                          <w:p w14:paraId="72725B0E" w14:textId="77777777" w:rsidR="00DD2678" w:rsidRPr="00212CB0" w:rsidRDefault="00DD2678" w:rsidP="00DD2678">
                            <w:pPr>
                              <w:pStyle w:val="Odstavecseseznamem"/>
                              <w:jc w:val="both"/>
                              <w:rPr>
                                <w:i/>
                                <w:iCs/>
                                <w:sz w:val="16"/>
                                <w:szCs w:val="16"/>
                                <w:lang w:val="cs-CZ"/>
                              </w:rPr>
                            </w:pPr>
                          </w:p>
                          <w:p w14:paraId="281C21FF" w14:textId="77777777" w:rsidR="00DD2678" w:rsidRDefault="00DD2678" w:rsidP="00DD2678">
                            <w:pPr>
                              <w:pStyle w:val="Odstavecseseznamem"/>
                              <w:numPr>
                                <w:ilvl w:val="0"/>
                                <w:numId w:val="6"/>
                              </w:numPr>
                              <w:jc w:val="both"/>
                              <w:rPr>
                                <w:i/>
                                <w:iCs/>
                                <w:lang w:val="cs-CZ"/>
                              </w:rPr>
                            </w:pPr>
                            <w:r w:rsidRPr="008C1CFA">
                              <w:rPr>
                                <w:i/>
                                <w:iCs/>
                                <w:lang w:val="cs-CZ"/>
                              </w:rPr>
                              <w:t>Ve výzvě musí být uvedena lhůta k vrácení podpory a výše úroků. Tato výzva není správním rozhodnutím</w:t>
                            </w:r>
                            <w:r>
                              <w:rPr>
                                <w:i/>
                                <w:iCs/>
                                <w:lang w:val="cs-CZ"/>
                              </w:rPr>
                              <w:t xml:space="preserve"> ve smyslu § 67 správního řádu</w:t>
                            </w:r>
                            <w:r w:rsidRPr="008C1CFA">
                              <w:rPr>
                                <w:i/>
                                <w:iCs/>
                                <w:lang w:val="cs-CZ"/>
                              </w:rPr>
                              <w:t>, ale úkonem předcházejícím případnému řízení.</w:t>
                            </w:r>
                          </w:p>
                          <w:p w14:paraId="5A50FB7E" w14:textId="77777777" w:rsidR="00DD2678" w:rsidRPr="00212CB0" w:rsidRDefault="00DD2678" w:rsidP="00DD2678">
                            <w:pPr>
                              <w:pStyle w:val="Odstavecseseznamem"/>
                              <w:rPr>
                                <w:i/>
                                <w:iCs/>
                                <w:sz w:val="16"/>
                                <w:szCs w:val="16"/>
                                <w:lang w:val="cs-CZ"/>
                              </w:rPr>
                            </w:pPr>
                          </w:p>
                          <w:p w14:paraId="1DBC99B5" w14:textId="6E0DD5B2" w:rsidR="001A0427" w:rsidRPr="001A0427" w:rsidRDefault="00DD2678" w:rsidP="001A0427">
                            <w:pPr>
                              <w:pStyle w:val="Odstavecseseznamem"/>
                              <w:numPr>
                                <w:ilvl w:val="0"/>
                                <w:numId w:val="6"/>
                              </w:numPr>
                              <w:jc w:val="both"/>
                              <w:rPr>
                                <w:i/>
                                <w:iCs/>
                                <w:lang w:val="cs-CZ"/>
                              </w:rPr>
                            </w:pPr>
                            <w:r w:rsidRPr="00851102">
                              <w:rPr>
                                <w:i/>
                                <w:iCs/>
                                <w:lang w:val="cs-CZ"/>
                              </w:rPr>
                              <w:t>Tato výzva má specifické postavení. Jedná se o procesní úkon poskytovatele, jehož cílem je umožnit dobrovolné splnění povinnosti (tj. navrácení podpory s úroky). Výzva podle § 7a nezakládá bezprostředně vykonatelnou povinnost. Důsledkem je, že proti samotné výzvě nelze uplatnit opravné prostředky podle správního řádu (např. odvolání).</w:t>
                            </w:r>
                            <w:r w:rsidR="001A0427">
                              <w:rPr>
                                <w:i/>
                                <w:iCs/>
                                <w:lang w:val="cs-CZ"/>
                              </w:rPr>
                              <w:t xml:space="preserve"> </w:t>
                            </w:r>
                            <w:r w:rsidR="001A0427" w:rsidRPr="001A0427">
                              <w:rPr>
                                <w:i/>
                                <w:iCs/>
                                <w:lang w:val="cs-CZ"/>
                              </w:rPr>
                              <w:t>Příjemce může podat neformální námitky, které by měl poskytovatel zvážit.</w:t>
                            </w:r>
                          </w:p>
                          <w:p w14:paraId="29077267" w14:textId="77777777" w:rsidR="001A0427" w:rsidRPr="001A0427" w:rsidRDefault="001A0427" w:rsidP="001A0427">
                            <w:pPr>
                              <w:pStyle w:val="Odstavecseseznamem"/>
                              <w:jc w:val="both"/>
                              <w:rPr>
                                <w:i/>
                                <w:iCs/>
                                <w:lang w:val="cs-CZ"/>
                              </w:rPr>
                            </w:pPr>
                          </w:p>
                          <w:p w14:paraId="319EB74C" w14:textId="5FE8D98B" w:rsidR="00DD2678" w:rsidRDefault="00DD2678" w:rsidP="00DD2678">
                            <w:pPr>
                              <w:pStyle w:val="Odstavecseseznamem"/>
                              <w:numPr>
                                <w:ilvl w:val="0"/>
                                <w:numId w:val="6"/>
                              </w:numPr>
                              <w:jc w:val="both"/>
                              <w:rPr>
                                <w:i/>
                                <w:iCs/>
                                <w:lang w:val="cs-CZ"/>
                              </w:rPr>
                            </w:pPr>
                            <w:r w:rsidRPr="008C1CFA">
                              <w:rPr>
                                <w:i/>
                                <w:iCs/>
                                <w:lang w:val="cs-CZ"/>
                              </w:rPr>
                              <w:t>Pokud příjemce podporu ve stanovené lhůtě nevrátí, může poskytovatel zahájit donucovací proces k</w:t>
                            </w:r>
                            <w:r>
                              <w:rPr>
                                <w:i/>
                                <w:iCs/>
                                <w:lang w:val="cs-CZ"/>
                              </w:rPr>
                              <w:t> </w:t>
                            </w:r>
                            <w:r w:rsidRPr="008C1CFA">
                              <w:rPr>
                                <w:i/>
                                <w:iCs/>
                                <w:lang w:val="cs-CZ"/>
                              </w:rPr>
                              <w:t>vymožení částky formou správního rozhodnutí o povinnosti vrátit podporu. Pro tento proces se již použije úprava ve zvláštních právních předpisech při vymáhání neoprávněných podpor (bez úroků). Správní řád je pak obecným procesním předpisem, přičemž ve speciálních právních předpisech zpravidla je vztah k němu upraven (např. § 15</w:t>
                            </w:r>
                            <w:r w:rsidR="00B267D8">
                              <w:rPr>
                                <w:i/>
                                <w:iCs/>
                                <w:lang w:val="cs-CZ"/>
                              </w:rPr>
                              <w:t xml:space="preserve"> odst. </w:t>
                            </w:r>
                            <w:r w:rsidRPr="008C1CFA">
                              <w:rPr>
                                <w:i/>
                                <w:iCs/>
                                <w:lang w:val="cs-CZ"/>
                              </w:rPr>
                              <w:t xml:space="preserve">2 zákona </w:t>
                            </w:r>
                            <w:r w:rsidR="00EE0B67">
                              <w:rPr>
                                <w:i/>
                                <w:iCs/>
                                <w:lang w:val="cs-CZ"/>
                              </w:rPr>
                              <w:t xml:space="preserve">č. </w:t>
                            </w:r>
                            <w:r w:rsidRPr="008C1CFA">
                              <w:rPr>
                                <w:i/>
                                <w:iCs/>
                                <w:lang w:val="cs-CZ"/>
                              </w:rPr>
                              <w:t>218/2000 Sb.).</w:t>
                            </w:r>
                          </w:p>
                          <w:p w14:paraId="30EAA44B" w14:textId="77777777" w:rsidR="00DD2678" w:rsidRPr="00212CB0" w:rsidRDefault="00DD2678" w:rsidP="00DD2678">
                            <w:pPr>
                              <w:pStyle w:val="Odstavecseseznamem"/>
                              <w:rPr>
                                <w:i/>
                                <w:iCs/>
                                <w:sz w:val="16"/>
                                <w:szCs w:val="16"/>
                                <w:lang w:val="cs-CZ"/>
                              </w:rPr>
                            </w:pPr>
                          </w:p>
                          <w:p w14:paraId="34ADA83D" w14:textId="02E80491" w:rsidR="00DD2678" w:rsidRDefault="00DD2678" w:rsidP="00DD2678">
                            <w:pPr>
                              <w:pStyle w:val="Odstavecseseznamem"/>
                              <w:numPr>
                                <w:ilvl w:val="0"/>
                                <w:numId w:val="6"/>
                              </w:numPr>
                              <w:jc w:val="both"/>
                              <w:rPr>
                                <w:i/>
                                <w:iCs/>
                                <w:lang w:val="cs-CZ"/>
                              </w:rPr>
                            </w:pPr>
                            <w:r w:rsidRPr="00851102">
                              <w:rPr>
                                <w:i/>
                                <w:iCs/>
                                <w:lang w:val="cs-CZ"/>
                              </w:rPr>
                              <w:t>Pokud příjemce nevyhoví výzvě, může poskytovatel nebo jeho právní nástupce zahájit správní řízení a vydat správní rozhodnutí o povinnosti vrátit poskytnutou veřejnou podporu a</w:t>
                            </w:r>
                            <w:r>
                              <w:rPr>
                                <w:i/>
                                <w:iCs/>
                                <w:lang w:val="cs-CZ"/>
                              </w:rPr>
                              <w:t> </w:t>
                            </w:r>
                            <w:r w:rsidRPr="00851102">
                              <w:rPr>
                                <w:i/>
                                <w:iCs/>
                                <w:lang w:val="cs-CZ"/>
                              </w:rPr>
                              <w:t>úroky. Toto správní rozhodnutí je závazné a vykonatelné. Náležitosti správního rozhodnutí obecně vymezuje § 68 správního řádu, v daném případě by toto správní rozhodnutí mělo výslovně obsahovat zejména odůvodnění výpočtu veřejné podpory i úroků.</w:t>
                            </w:r>
                          </w:p>
                          <w:p w14:paraId="051C0195" w14:textId="77777777" w:rsidR="00DD2678" w:rsidRPr="00212CB0" w:rsidRDefault="00DD2678" w:rsidP="00DD2678">
                            <w:pPr>
                              <w:pStyle w:val="Odstavecseseznamem"/>
                              <w:jc w:val="both"/>
                              <w:rPr>
                                <w:i/>
                                <w:iCs/>
                                <w:sz w:val="16"/>
                                <w:szCs w:val="16"/>
                                <w:lang w:val="cs-CZ"/>
                              </w:rPr>
                            </w:pPr>
                          </w:p>
                          <w:p w14:paraId="1E75674E" w14:textId="19679B73" w:rsidR="00DD2678" w:rsidRDefault="00DD2678" w:rsidP="00DD2678">
                            <w:pPr>
                              <w:pStyle w:val="Odstavecseseznamem"/>
                              <w:numPr>
                                <w:ilvl w:val="0"/>
                                <w:numId w:val="6"/>
                              </w:numPr>
                              <w:jc w:val="both"/>
                              <w:rPr>
                                <w:i/>
                                <w:iCs/>
                                <w:lang w:val="cs-CZ"/>
                              </w:rPr>
                            </w:pPr>
                            <w:r w:rsidRPr="00743F22">
                              <w:rPr>
                                <w:i/>
                                <w:iCs/>
                                <w:lang w:val="cs-CZ"/>
                              </w:rPr>
                              <w:t>Tento postup je analogický s § 7 a měl by se řídit správním řádem, přičemž další procesní otázky (lhůty, doručování apod.) se řídí obecným správním řádem nebo zvláštními předpisy (např. § 15</w:t>
                            </w:r>
                            <w:r w:rsidR="00EE0B67">
                              <w:rPr>
                                <w:i/>
                                <w:iCs/>
                                <w:lang w:val="cs-CZ"/>
                              </w:rPr>
                              <w:t xml:space="preserve"> odst. </w:t>
                            </w:r>
                            <w:r w:rsidRPr="00743F22">
                              <w:rPr>
                                <w:i/>
                                <w:iCs/>
                                <w:lang w:val="cs-CZ"/>
                              </w:rPr>
                              <w:t>2 zákona č.</w:t>
                            </w:r>
                            <w:r>
                              <w:rPr>
                                <w:i/>
                                <w:iCs/>
                                <w:lang w:val="cs-CZ"/>
                              </w:rPr>
                              <w:t> </w:t>
                            </w:r>
                            <w:r w:rsidRPr="00743F22">
                              <w:rPr>
                                <w:i/>
                                <w:iCs/>
                                <w:lang w:val="cs-CZ"/>
                              </w:rPr>
                              <w:t>218/2000 Sb.).</w:t>
                            </w:r>
                          </w:p>
                          <w:p w14:paraId="1908DB54" w14:textId="77777777" w:rsidR="00DD2678" w:rsidRPr="00212CB0" w:rsidRDefault="00DD2678" w:rsidP="00DD2678">
                            <w:pPr>
                              <w:pStyle w:val="Odstavecseseznamem"/>
                              <w:rPr>
                                <w:i/>
                                <w:iCs/>
                                <w:sz w:val="16"/>
                                <w:szCs w:val="16"/>
                                <w:lang w:val="cs-CZ"/>
                              </w:rPr>
                            </w:pPr>
                          </w:p>
                          <w:p w14:paraId="03D2DDA4" w14:textId="77777777" w:rsidR="00DD2678" w:rsidRPr="00212CB0" w:rsidRDefault="00DD2678" w:rsidP="00DD2678">
                            <w:pPr>
                              <w:pStyle w:val="Odstavecseseznamem"/>
                              <w:numPr>
                                <w:ilvl w:val="0"/>
                                <w:numId w:val="6"/>
                              </w:numPr>
                              <w:jc w:val="both"/>
                              <w:rPr>
                                <w:i/>
                                <w:iCs/>
                                <w:lang w:val="cs-CZ"/>
                              </w:rPr>
                            </w:pPr>
                            <w:r w:rsidRPr="00743F22">
                              <w:rPr>
                                <w:i/>
                                <w:iCs/>
                                <w:lang w:val="cs-CZ"/>
                              </w:rPr>
                              <w:t>Pokud je vydáno správní rozhodnutí o vrácení podpory, lze proti němu využít všechny standardní opravné prostředky správního řádu (odvolání, přezkum, obnova řízení, soudní žaloba)</w:t>
                            </w:r>
                            <w:r>
                              <w:rPr>
                                <w:i/>
                                <w:iCs/>
                                <w:lang w:val="cs-CZ"/>
                              </w:rPr>
                              <w:t>.</w:t>
                            </w:r>
                          </w:p>
                        </w:txbxContent>
                      </wps:txbx>
                      <wps:bodyPr rot="0" vert="horz" wrap="square" lIns="91440" tIns="45720" rIns="91440" bIns="45720" anchor="t" anchorCtr="0">
                        <a:noAutofit/>
                      </wps:bodyPr>
                    </wps:wsp>
                  </a:graphicData>
                </a:graphic>
              </wp:anchor>
            </w:drawing>
          </mc:Choice>
          <mc:Fallback>
            <w:pict>
              <v:shape w14:anchorId="5D8D947C" id="_x0000_s1030" type="#_x0000_t202" style="position:absolute;left:0;text-align:left;margin-left:-.05pt;margin-top:92.95pt;width:468.25pt;height:511.8pt;z-index:-25165823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" fillcolor="#dce6f2" strokecolor="#1f497d">
                <v:textbox>
                  <w:txbxContent>
                    <w:p w14:paraId="3E0C0402" w14:textId="77777777" w:rsidR="00DD2678" w:rsidRDefault="00DD2678" w:rsidP="00DD2678">
                      <w:pPr>
                        <w:jc w:val="center"/>
                        <w:rPr>
                          <w:b/>
                          <w:bCs/>
                          <w:i/>
                          <w:iCs/>
                        </w:rPr>
                      </w:pPr>
                      <w:proofErr w:type="spellStart"/>
                      <w:r>
                        <w:rPr>
                          <w:b/>
                          <w:bCs/>
                          <w:i/>
                          <w:iCs/>
                        </w:rPr>
                        <w:t>Základní</w:t>
                      </w:r>
                      <w:proofErr w:type="spellEnd"/>
                      <w:r>
                        <w:rPr>
                          <w:b/>
                          <w:bCs/>
                          <w:i/>
                          <w:iCs/>
                        </w:rPr>
                        <w:t xml:space="preserve"> </w:t>
                      </w:r>
                      <w:proofErr w:type="spellStart"/>
                      <w:r>
                        <w:rPr>
                          <w:b/>
                          <w:bCs/>
                          <w:i/>
                          <w:iCs/>
                        </w:rPr>
                        <w:t>informace</w:t>
                      </w:r>
                      <w:proofErr w:type="spellEnd"/>
                      <w:r>
                        <w:rPr>
                          <w:b/>
                          <w:bCs/>
                          <w:i/>
                          <w:iCs/>
                        </w:rPr>
                        <w:t xml:space="preserve"> k </w:t>
                      </w:r>
                      <w:proofErr w:type="spellStart"/>
                      <w:r>
                        <w:rPr>
                          <w:b/>
                          <w:bCs/>
                          <w:i/>
                          <w:iCs/>
                        </w:rPr>
                        <w:t>procesnímu</w:t>
                      </w:r>
                      <w:proofErr w:type="spellEnd"/>
                      <w:r>
                        <w:rPr>
                          <w:b/>
                          <w:bCs/>
                          <w:i/>
                          <w:iCs/>
                        </w:rPr>
                        <w:t xml:space="preserve"> </w:t>
                      </w:r>
                      <w:proofErr w:type="spellStart"/>
                      <w:r>
                        <w:rPr>
                          <w:b/>
                          <w:bCs/>
                          <w:i/>
                          <w:iCs/>
                        </w:rPr>
                        <w:t>postupu</w:t>
                      </w:r>
                      <w:proofErr w:type="spellEnd"/>
                    </w:p>
                    <w:p w14:paraId="6E0289EE" w14:textId="77777777" w:rsidR="00DD2678" w:rsidRDefault="00DD2678" w:rsidP="00DD2678">
                      <w:pPr>
                        <w:pStyle w:val="Odstavecseseznamem"/>
                        <w:numPr>
                          <w:ilvl w:val="0"/>
                          <w:numId w:val="6"/>
                        </w:numPr>
                        <w:jc w:val="both"/>
                        <w:rPr>
                          <w:i/>
                          <w:iCs/>
                          <w:lang w:val="cs-CZ"/>
                        </w:rPr>
                      </w:pPr>
                      <w:r w:rsidRPr="008C1CFA">
                        <w:rPr>
                          <w:i/>
                          <w:iCs/>
                          <w:lang w:val="cs-CZ"/>
                        </w:rPr>
                        <w:t>Poskytovatel podpory vydá výzvu k navrácení podpory (§ 7a odst. 1), a to bez zbytečného odkladu, jakmile zjistí rozpor s právem EU.</w:t>
                      </w:r>
                    </w:p>
                    <w:p w14:paraId="72725B0E" w14:textId="77777777" w:rsidR="00DD2678" w:rsidRPr="00212CB0" w:rsidRDefault="00DD2678" w:rsidP="00DD2678">
                      <w:pPr>
                        <w:pStyle w:val="Odstavecseseznamem"/>
                        <w:jc w:val="both"/>
                        <w:rPr>
                          <w:i/>
                          <w:iCs/>
                          <w:sz w:val="16"/>
                          <w:szCs w:val="16"/>
                          <w:lang w:val="cs-CZ"/>
                        </w:rPr>
                      </w:pPr>
                    </w:p>
                    <w:p w14:paraId="281C21FF" w14:textId="77777777" w:rsidR="00DD2678" w:rsidRDefault="00DD2678" w:rsidP="00DD2678">
                      <w:pPr>
                        <w:pStyle w:val="Odstavecseseznamem"/>
                        <w:numPr>
                          <w:ilvl w:val="0"/>
                          <w:numId w:val="6"/>
                        </w:numPr>
                        <w:jc w:val="both"/>
                        <w:rPr>
                          <w:i/>
                          <w:iCs/>
                          <w:lang w:val="cs-CZ"/>
                        </w:rPr>
                      </w:pPr>
                      <w:r w:rsidRPr="008C1CFA">
                        <w:rPr>
                          <w:i/>
                          <w:iCs/>
                          <w:lang w:val="cs-CZ"/>
                        </w:rPr>
                        <w:t>Ve výzvě musí být uvedena lhůta k vrácení podpory a výše úroků. Tato výzva není správním rozhodnutím</w:t>
                      </w:r>
                      <w:r>
                        <w:rPr>
                          <w:i/>
                          <w:iCs/>
                          <w:lang w:val="cs-CZ"/>
                        </w:rPr>
                        <w:t xml:space="preserve"> ve smyslu § 67 správního řádu</w:t>
                      </w:r>
                      <w:r w:rsidRPr="008C1CFA">
                        <w:rPr>
                          <w:i/>
                          <w:iCs/>
                          <w:lang w:val="cs-CZ"/>
                        </w:rPr>
                        <w:t>, ale úkonem předcházejícím případnému řízení.</w:t>
                      </w:r>
                    </w:p>
                    <w:p w14:paraId="5A50FB7E" w14:textId="77777777" w:rsidR="00DD2678" w:rsidRPr="00212CB0" w:rsidRDefault="00DD2678" w:rsidP="00DD2678">
                      <w:pPr>
                        <w:pStyle w:val="Odstavecseseznamem"/>
                        <w:rPr>
                          <w:i/>
                          <w:iCs/>
                          <w:sz w:val="16"/>
                          <w:szCs w:val="16"/>
                          <w:lang w:val="cs-CZ"/>
                        </w:rPr>
                      </w:pPr>
                    </w:p>
                    <w:p w14:paraId="1DBC99B5" w14:textId="6E0DD5B2" w:rsidR="001A0427" w:rsidRPr="001A0427" w:rsidRDefault="00DD2678" w:rsidP="001A0427">
                      <w:pPr>
                        <w:pStyle w:val="Odstavecseseznamem"/>
                        <w:numPr>
                          <w:ilvl w:val="0"/>
                          <w:numId w:val="6"/>
                        </w:numPr>
                        <w:jc w:val="both"/>
                        <w:rPr>
                          <w:i/>
                          <w:iCs/>
                          <w:lang w:val="cs-CZ"/>
                        </w:rPr>
                      </w:pPr>
                      <w:r w:rsidRPr="00851102">
                        <w:rPr>
                          <w:i/>
                          <w:iCs/>
                          <w:lang w:val="cs-CZ"/>
                        </w:rPr>
                        <w:t>Tato výzva má specifické postavení. Jedná se o procesní úkon poskytovatele, jehož cílem je umožnit dobrovolné splnění povinnosti (tj. navrácení podpory s úroky). Výzva podle § 7a nezakládá bezprostředně vykonatelnou povinnost. Důsledkem je, že proti samotné výzvě nelze uplatnit opravné prostředky podle správního řádu (např. odvolání).</w:t>
                      </w:r>
                      <w:r w:rsidR="001A0427">
                        <w:rPr>
                          <w:i/>
                          <w:iCs/>
                          <w:lang w:val="cs-CZ"/>
                        </w:rPr>
                        <w:t xml:space="preserve"> </w:t>
                      </w:r>
                      <w:r w:rsidR="001A0427" w:rsidRPr="001A0427">
                        <w:rPr>
                          <w:i/>
                          <w:iCs/>
                          <w:lang w:val="cs-CZ"/>
                        </w:rPr>
                        <w:t>Příjemce může podat neformální námitky, které by měl poskytovatel zvážit.</w:t>
                      </w:r>
                    </w:p>
                    <w:p w14:paraId="29077267" w14:textId="77777777" w:rsidR="001A0427" w:rsidRPr="001A0427" w:rsidRDefault="001A0427" w:rsidP="001A0427">
                      <w:pPr>
                        <w:pStyle w:val="Odstavecseseznamem"/>
                        <w:jc w:val="both"/>
                        <w:rPr>
                          <w:i/>
                          <w:iCs/>
                          <w:lang w:val="cs-CZ"/>
                        </w:rPr>
                      </w:pPr>
                    </w:p>
                    <w:p w14:paraId="319EB74C" w14:textId="5FE8D98B" w:rsidR="00DD2678" w:rsidRDefault="00DD2678" w:rsidP="00DD2678">
                      <w:pPr>
                        <w:pStyle w:val="Odstavecseseznamem"/>
                        <w:numPr>
                          <w:ilvl w:val="0"/>
                          <w:numId w:val="6"/>
                        </w:numPr>
                        <w:jc w:val="both"/>
                        <w:rPr>
                          <w:i/>
                          <w:iCs/>
                          <w:lang w:val="cs-CZ"/>
                        </w:rPr>
                      </w:pPr>
                      <w:r w:rsidRPr="008C1CFA">
                        <w:rPr>
                          <w:i/>
                          <w:iCs/>
                          <w:lang w:val="cs-CZ"/>
                        </w:rPr>
                        <w:t>Pokud příjemce podporu ve stanovené lhůtě nevrátí, může poskytovatel zahájit donucovací proces k</w:t>
                      </w:r>
                      <w:r>
                        <w:rPr>
                          <w:i/>
                          <w:iCs/>
                          <w:lang w:val="cs-CZ"/>
                        </w:rPr>
                        <w:t> </w:t>
                      </w:r>
                      <w:r w:rsidRPr="008C1CFA">
                        <w:rPr>
                          <w:i/>
                          <w:iCs/>
                          <w:lang w:val="cs-CZ"/>
                        </w:rPr>
                        <w:t>vymožení částky formou správního rozhodnutí o povinnosti vrátit podporu. Pro tento proces se již použije úprava ve zvláštních právních předpisech při vymáhání neoprávněných podpor (bez úroků). Správní řád je pak obecným procesním předpisem, přičemž ve speciálních právních předpisech zpravidla je vztah k němu upraven (např. § 15</w:t>
                      </w:r>
                      <w:r w:rsidR="00B267D8">
                        <w:rPr>
                          <w:i/>
                          <w:iCs/>
                          <w:lang w:val="cs-CZ"/>
                        </w:rPr>
                        <w:t xml:space="preserve"> odst. </w:t>
                      </w:r>
                      <w:r w:rsidRPr="008C1CFA">
                        <w:rPr>
                          <w:i/>
                          <w:iCs/>
                          <w:lang w:val="cs-CZ"/>
                        </w:rPr>
                        <w:t xml:space="preserve">2 zákona </w:t>
                      </w:r>
                      <w:r w:rsidR="00EE0B67">
                        <w:rPr>
                          <w:i/>
                          <w:iCs/>
                          <w:lang w:val="cs-CZ"/>
                        </w:rPr>
                        <w:t xml:space="preserve">č. </w:t>
                      </w:r>
                      <w:r w:rsidRPr="008C1CFA">
                        <w:rPr>
                          <w:i/>
                          <w:iCs/>
                          <w:lang w:val="cs-CZ"/>
                        </w:rPr>
                        <w:t>218/2000 Sb.).</w:t>
                      </w:r>
                    </w:p>
                    <w:p w14:paraId="30EAA44B" w14:textId="77777777" w:rsidR="00DD2678" w:rsidRPr="00212CB0" w:rsidRDefault="00DD2678" w:rsidP="00DD2678">
                      <w:pPr>
                        <w:pStyle w:val="Odstavecseseznamem"/>
                        <w:rPr>
                          <w:i/>
                          <w:iCs/>
                          <w:sz w:val="16"/>
                          <w:szCs w:val="16"/>
                          <w:lang w:val="cs-CZ"/>
                        </w:rPr>
                      </w:pPr>
                    </w:p>
                    <w:p w14:paraId="34ADA83D" w14:textId="02E80491" w:rsidR="00DD2678" w:rsidRDefault="00DD2678" w:rsidP="00DD2678">
                      <w:pPr>
                        <w:pStyle w:val="Odstavecseseznamem"/>
                        <w:numPr>
                          <w:ilvl w:val="0"/>
                          <w:numId w:val="6"/>
                        </w:numPr>
                        <w:jc w:val="both"/>
                        <w:rPr>
                          <w:i/>
                          <w:iCs/>
                          <w:lang w:val="cs-CZ"/>
                        </w:rPr>
                      </w:pPr>
                      <w:r w:rsidRPr="00851102">
                        <w:rPr>
                          <w:i/>
                          <w:iCs/>
                          <w:lang w:val="cs-CZ"/>
                        </w:rPr>
                        <w:t>Pokud příjemce nevyhoví výzvě, může poskytovatel nebo jeho právní nástupce zahájit správní řízení a vydat správní rozhodnutí o povinnosti vrátit poskytnutou veřejnou podporu a</w:t>
                      </w:r>
                      <w:r>
                        <w:rPr>
                          <w:i/>
                          <w:iCs/>
                          <w:lang w:val="cs-CZ"/>
                        </w:rPr>
                        <w:t> </w:t>
                      </w:r>
                      <w:r w:rsidRPr="00851102">
                        <w:rPr>
                          <w:i/>
                          <w:iCs/>
                          <w:lang w:val="cs-CZ"/>
                        </w:rPr>
                        <w:t>úroky. Toto správní rozhodnutí je závazné a vykonatelné. Náležitosti správního rozhodnutí obecně vymezuje § 68 správního řádu, v daném případě by toto správní rozhodnutí mělo výslovně obsahovat zejména odůvodnění výpočtu veřejné podpory i úroků.</w:t>
                      </w:r>
                    </w:p>
                    <w:p w14:paraId="051C0195" w14:textId="77777777" w:rsidR="00DD2678" w:rsidRPr="00212CB0" w:rsidRDefault="00DD2678" w:rsidP="00DD2678">
                      <w:pPr>
                        <w:pStyle w:val="Odstavecseseznamem"/>
                        <w:jc w:val="both"/>
                        <w:rPr>
                          <w:i/>
                          <w:iCs/>
                          <w:sz w:val="16"/>
                          <w:szCs w:val="16"/>
                          <w:lang w:val="cs-CZ"/>
                        </w:rPr>
                      </w:pPr>
                    </w:p>
                    <w:p w14:paraId="1E75674E" w14:textId="19679B73" w:rsidR="00DD2678" w:rsidRDefault="00DD2678" w:rsidP="00DD2678">
                      <w:pPr>
                        <w:pStyle w:val="Odstavecseseznamem"/>
                        <w:numPr>
                          <w:ilvl w:val="0"/>
                          <w:numId w:val="6"/>
                        </w:numPr>
                        <w:jc w:val="both"/>
                        <w:rPr>
                          <w:i/>
                          <w:iCs/>
                          <w:lang w:val="cs-CZ"/>
                        </w:rPr>
                      </w:pPr>
                      <w:r w:rsidRPr="00743F22">
                        <w:rPr>
                          <w:i/>
                          <w:iCs/>
                          <w:lang w:val="cs-CZ"/>
                        </w:rPr>
                        <w:t>Tento postup je analogický s § 7 a měl by se řídit správním řádem, přičemž další procesní otázky (lhůty, doručování apod.) se řídí obecným správním řádem nebo zvláštními předpisy (např. § 15</w:t>
                      </w:r>
                      <w:r w:rsidR="00EE0B67">
                        <w:rPr>
                          <w:i/>
                          <w:iCs/>
                          <w:lang w:val="cs-CZ"/>
                        </w:rPr>
                        <w:t xml:space="preserve"> odst. </w:t>
                      </w:r>
                      <w:r w:rsidRPr="00743F22">
                        <w:rPr>
                          <w:i/>
                          <w:iCs/>
                          <w:lang w:val="cs-CZ"/>
                        </w:rPr>
                        <w:t>2 zákona č.</w:t>
                      </w:r>
                      <w:r>
                        <w:rPr>
                          <w:i/>
                          <w:iCs/>
                          <w:lang w:val="cs-CZ"/>
                        </w:rPr>
                        <w:t> </w:t>
                      </w:r>
                      <w:r w:rsidRPr="00743F22">
                        <w:rPr>
                          <w:i/>
                          <w:iCs/>
                          <w:lang w:val="cs-CZ"/>
                        </w:rPr>
                        <w:t>218/2000 Sb.).</w:t>
                      </w:r>
                    </w:p>
                    <w:p w14:paraId="1908DB54" w14:textId="77777777" w:rsidR="00DD2678" w:rsidRPr="00212CB0" w:rsidRDefault="00DD2678" w:rsidP="00DD2678">
                      <w:pPr>
                        <w:pStyle w:val="Odstavecseseznamem"/>
                        <w:rPr>
                          <w:i/>
                          <w:iCs/>
                          <w:sz w:val="16"/>
                          <w:szCs w:val="16"/>
                          <w:lang w:val="cs-CZ"/>
                        </w:rPr>
                      </w:pPr>
                    </w:p>
                    <w:p w14:paraId="03D2DDA4" w14:textId="77777777" w:rsidR="00DD2678" w:rsidRPr="00212CB0" w:rsidRDefault="00DD2678" w:rsidP="00DD2678">
                      <w:pPr>
                        <w:pStyle w:val="Odstavecseseznamem"/>
                        <w:numPr>
                          <w:ilvl w:val="0"/>
                          <w:numId w:val="6"/>
                        </w:numPr>
                        <w:jc w:val="both"/>
                        <w:rPr>
                          <w:i/>
                          <w:iCs/>
                          <w:lang w:val="cs-CZ"/>
                        </w:rPr>
                      </w:pPr>
                      <w:r w:rsidRPr="00743F22">
                        <w:rPr>
                          <w:i/>
                          <w:iCs/>
                          <w:lang w:val="cs-CZ"/>
                        </w:rPr>
                        <w:t>Pokud je vydáno správní rozhodnutí o vrácení podpory, lze proti němu využít všechny standardní opravné prostředky správního řádu (odvolání, přezkum, obnova řízení, soudní žaloba)</w:t>
                      </w:r>
                      <w:r>
                        <w:rPr>
                          <w:i/>
                          <w:iCs/>
                          <w:lang w:val="cs-CZ"/>
                        </w:rPr>
                        <w:t>.</w:t>
                      </w:r>
                    </w:p>
                  </w:txbxContent>
                </v:textbox>
                <w10:wrap type="tight" anchorx="margin"/>
              </v:shape>
            </w:pict>
          </mc:Fallback>
        </mc:AlternateContent>
      </w:r>
      <w:bookmarkStart w:id="14" w:name="_Hlk208320065"/>
      <w:r w:rsidRPr="00212CB0">
        <w:rPr>
          <w:sz w:val="24"/>
          <w:szCs w:val="24"/>
          <w:lang w:val="cs-CZ"/>
        </w:rPr>
        <w:t xml:space="preserve">Zákon č. 215/2004 Sb. pro případ </w:t>
      </w:r>
      <w:r w:rsidR="0017412C">
        <w:rPr>
          <w:sz w:val="24"/>
          <w:szCs w:val="24"/>
          <w:lang w:val="cs-CZ"/>
        </w:rPr>
        <w:t xml:space="preserve">navracení </w:t>
      </w:r>
      <w:r w:rsidRPr="00212CB0">
        <w:rPr>
          <w:sz w:val="24"/>
          <w:szCs w:val="24"/>
          <w:lang w:val="cs-CZ"/>
        </w:rPr>
        <w:t xml:space="preserve">podle § 7a neobsahuje žádné procesní ustanovení, s výjimkou zakotvení výzvy. </w:t>
      </w:r>
      <w:r w:rsidR="00B267D8">
        <w:rPr>
          <w:sz w:val="24"/>
          <w:szCs w:val="24"/>
          <w:lang w:val="cs-CZ"/>
        </w:rPr>
        <w:t>Toto u</w:t>
      </w:r>
      <w:r w:rsidRPr="00212CB0">
        <w:rPr>
          <w:sz w:val="24"/>
          <w:szCs w:val="24"/>
          <w:lang w:val="cs-CZ"/>
        </w:rPr>
        <w:t>stanovení není novým mechanismem pro vracení veřejné podpory, ale pouze doplňuje možnost vymáhání úroků</w:t>
      </w:r>
      <w:r>
        <w:rPr>
          <w:sz w:val="24"/>
          <w:szCs w:val="24"/>
          <w:lang w:val="cs-CZ"/>
        </w:rPr>
        <w:t xml:space="preserve">. </w:t>
      </w:r>
      <w:r w:rsidRPr="00212CB0">
        <w:rPr>
          <w:sz w:val="24"/>
          <w:szCs w:val="24"/>
          <w:lang w:val="cs-CZ"/>
        </w:rPr>
        <w:t>Postupy zůstávají v</w:t>
      </w:r>
      <w:r w:rsidR="00A74A93">
        <w:rPr>
          <w:sz w:val="24"/>
          <w:szCs w:val="24"/>
          <w:lang w:val="cs-CZ"/>
        </w:rPr>
        <w:t xml:space="preserve"> </w:t>
      </w:r>
      <w:r w:rsidRPr="00212CB0">
        <w:rPr>
          <w:sz w:val="24"/>
          <w:szCs w:val="24"/>
          <w:lang w:val="cs-CZ"/>
        </w:rPr>
        <w:t>zásadě stejné, jen je nyní explicitně upraven právní rámec pro úroky, a</w:t>
      </w:r>
      <w:r>
        <w:rPr>
          <w:sz w:val="24"/>
          <w:szCs w:val="24"/>
          <w:lang w:val="cs-CZ"/>
        </w:rPr>
        <w:t> </w:t>
      </w:r>
      <w:r w:rsidRPr="00212CB0">
        <w:rPr>
          <w:sz w:val="24"/>
          <w:szCs w:val="24"/>
          <w:lang w:val="cs-CZ"/>
        </w:rPr>
        <w:t>poskytovatelé mají oporu v zákoně pro jejich vymáhání.</w:t>
      </w:r>
      <w:r w:rsidRPr="00DD2678">
        <w:rPr>
          <w:rFonts w:cs="Arial"/>
          <w:noProof/>
          <w:sz w:val="24"/>
          <w:szCs w:val="24"/>
          <w:lang w:val="cs-CZ"/>
        </w:rPr>
        <w:t xml:space="preserve"> </w:t>
      </w:r>
      <w:bookmarkEnd w:id="14"/>
    </w:p>
    <w:p w14:paraId="06EDB577" w14:textId="77777777" w:rsidR="00212CB0" w:rsidRDefault="00212CB0" w:rsidP="00212CB0">
      <w:pPr>
        <w:pStyle w:val="Nadpis3"/>
        <w:rPr>
          <w:lang w:val="cs-CZ"/>
        </w:rPr>
      </w:pPr>
      <w:r w:rsidRPr="00212CB0">
        <w:rPr>
          <w:lang w:val="cs-CZ"/>
        </w:rPr>
        <w:lastRenderedPageBreak/>
        <w:t>Stanovení úrokové sazby a zásady unijního práva při navracení podpory</w:t>
      </w:r>
    </w:p>
    <w:p w14:paraId="68574FD9" w14:textId="77777777" w:rsidR="00690B78" w:rsidRPr="00090792" w:rsidRDefault="00690B78" w:rsidP="008C463A">
      <w:pPr>
        <w:jc w:val="both"/>
        <w:rPr>
          <w:sz w:val="24"/>
          <w:szCs w:val="24"/>
          <w:lang w:val="cs-CZ"/>
        </w:rPr>
      </w:pPr>
      <w:r w:rsidRPr="00090792">
        <w:rPr>
          <w:sz w:val="24"/>
          <w:szCs w:val="24"/>
          <w:lang w:val="cs-CZ"/>
        </w:rPr>
        <w:t>V tomto ohledu čl. 108 odst. 3 Smlouvy o fungování Evropské unie vyžaduje, aby tato pr</w:t>
      </w:r>
      <w:r w:rsidR="00384509" w:rsidRPr="00090792">
        <w:rPr>
          <w:sz w:val="24"/>
          <w:szCs w:val="24"/>
          <w:lang w:val="cs-CZ"/>
        </w:rPr>
        <w:t>a</w:t>
      </w:r>
      <w:r w:rsidRPr="00090792">
        <w:rPr>
          <w:sz w:val="24"/>
          <w:szCs w:val="24"/>
          <w:lang w:val="cs-CZ"/>
        </w:rPr>
        <w:t>vidla umožnil</w:t>
      </w:r>
      <w:r w:rsidR="00384509" w:rsidRPr="00090792">
        <w:rPr>
          <w:sz w:val="24"/>
          <w:szCs w:val="24"/>
          <w:lang w:val="cs-CZ"/>
        </w:rPr>
        <w:t>a</w:t>
      </w:r>
      <w:r w:rsidRPr="00090792">
        <w:rPr>
          <w:sz w:val="24"/>
          <w:szCs w:val="24"/>
          <w:lang w:val="cs-CZ"/>
        </w:rPr>
        <w:t xml:space="preserve"> zajistit úplné navrácení protiprávní podpory, a tudíž aby bylo příjemci podpory zejména nařízen</w:t>
      </w:r>
      <w:r w:rsidR="00384509" w:rsidRPr="00090792">
        <w:rPr>
          <w:sz w:val="24"/>
          <w:szCs w:val="24"/>
          <w:lang w:val="cs-CZ"/>
        </w:rPr>
        <w:t>o</w:t>
      </w:r>
      <w:r w:rsidRPr="00090792">
        <w:rPr>
          <w:sz w:val="24"/>
          <w:szCs w:val="24"/>
          <w:lang w:val="cs-CZ"/>
        </w:rPr>
        <w:t xml:space="preserve"> uhradit úroky za celé období, během něhož</w:t>
      </w:r>
      <w:r w:rsidR="00702D07">
        <w:rPr>
          <w:sz w:val="24"/>
          <w:szCs w:val="24"/>
          <w:lang w:val="cs-CZ"/>
        </w:rPr>
        <w:t xml:space="preserve"> mohl</w:t>
      </w:r>
      <w:r w:rsidRPr="00090792">
        <w:rPr>
          <w:sz w:val="24"/>
          <w:szCs w:val="24"/>
          <w:lang w:val="cs-CZ"/>
        </w:rPr>
        <w:t xml:space="preserve"> nakláda</w:t>
      </w:r>
      <w:r w:rsidR="00702D07">
        <w:rPr>
          <w:sz w:val="24"/>
          <w:szCs w:val="24"/>
          <w:lang w:val="cs-CZ"/>
        </w:rPr>
        <w:t>t</w:t>
      </w:r>
      <w:r w:rsidRPr="00090792">
        <w:rPr>
          <w:sz w:val="24"/>
          <w:szCs w:val="24"/>
          <w:lang w:val="cs-CZ"/>
        </w:rPr>
        <w:t xml:space="preserve"> s touto podporou, a to ve výši rovnající se </w:t>
      </w:r>
      <w:r w:rsidR="00702D07">
        <w:rPr>
          <w:sz w:val="24"/>
          <w:szCs w:val="24"/>
          <w:lang w:val="cs-CZ"/>
        </w:rPr>
        <w:t>úrokové sazbě</w:t>
      </w:r>
      <w:r w:rsidRPr="00090792">
        <w:rPr>
          <w:sz w:val="24"/>
          <w:szCs w:val="24"/>
          <w:lang w:val="cs-CZ"/>
        </w:rPr>
        <w:t>, která by byla použita, kdyby si musel částku dotyčné podpory půjčit na trhu během tohoto období.</w:t>
      </w:r>
      <w:r w:rsidRPr="00090792">
        <w:rPr>
          <w:rStyle w:val="Znakapoznpodarou"/>
          <w:sz w:val="24"/>
          <w:szCs w:val="24"/>
          <w:lang w:val="cs-CZ"/>
        </w:rPr>
        <w:footnoteReference w:id="14"/>
      </w:r>
    </w:p>
    <w:p w14:paraId="789F2BD1" w14:textId="101B3818" w:rsidR="00F62C8F" w:rsidRPr="00090792" w:rsidRDefault="00B2102C" w:rsidP="008C463A">
      <w:pPr>
        <w:jc w:val="both"/>
        <w:rPr>
          <w:sz w:val="24"/>
          <w:szCs w:val="24"/>
          <w:lang w:val="cs-CZ"/>
        </w:rPr>
      </w:pPr>
      <w:r w:rsidRPr="00090792">
        <w:rPr>
          <w:sz w:val="24"/>
          <w:szCs w:val="24"/>
          <w:lang w:val="cs-CZ"/>
        </w:rPr>
        <w:t>P</w:t>
      </w:r>
      <w:r w:rsidR="00F62C8F" w:rsidRPr="00090792">
        <w:rPr>
          <w:sz w:val="24"/>
          <w:szCs w:val="24"/>
          <w:lang w:val="cs-CZ"/>
        </w:rPr>
        <w:t xml:space="preserve">ři stanovování úrokové sazby </w:t>
      </w:r>
      <w:r w:rsidR="0074091B">
        <w:rPr>
          <w:sz w:val="24"/>
          <w:szCs w:val="24"/>
          <w:lang w:val="cs-CZ"/>
        </w:rPr>
        <w:t xml:space="preserve">a výpočtu </w:t>
      </w:r>
      <w:r w:rsidR="00F62C8F" w:rsidRPr="00090792">
        <w:rPr>
          <w:sz w:val="24"/>
          <w:szCs w:val="24"/>
          <w:lang w:val="cs-CZ"/>
        </w:rPr>
        <w:t>pro účely navracení</w:t>
      </w:r>
      <w:r w:rsidRPr="00090792">
        <w:rPr>
          <w:sz w:val="24"/>
          <w:szCs w:val="24"/>
          <w:lang w:val="cs-CZ"/>
        </w:rPr>
        <w:t xml:space="preserve"> </w:t>
      </w:r>
      <w:r w:rsidR="00F62C8F" w:rsidRPr="00090792">
        <w:rPr>
          <w:sz w:val="24"/>
          <w:szCs w:val="24"/>
          <w:lang w:val="cs-CZ"/>
        </w:rPr>
        <w:t>vycház</w:t>
      </w:r>
      <w:r w:rsidRPr="00090792">
        <w:rPr>
          <w:sz w:val="24"/>
          <w:szCs w:val="24"/>
          <w:lang w:val="cs-CZ"/>
        </w:rPr>
        <w:t>í poskytovatel</w:t>
      </w:r>
      <w:r w:rsidR="00F62C8F" w:rsidRPr="00090792">
        <w:rPr>
          <w:sz w:val="24"/>
          <w:szCs w:val="24"/>
          <w:lang w:val="cs-CZ"/>
        </w:rPr>
        <w:t xml:space="preserve"> </w:t>
      </w:r>
      <w:r w:rsidR="00572E2F">
        <w:rPr>
          <w:sz w:val="24"/>
          <w:szCs w:val="24"/>
          <w:lang w:val="cs-CZ"/>
        </w:rPr>
        <w:t>z</w:t>
      </w:r>
      <w:r w:rsidR="00F62C8F" w:rsidRPr="00090792">
        <w:rPr>
          <w:sz w:val="24"/>
          <w:szCs w:val="24"/>
          <w:lang w:val="cs-CZ"/>
        </w:rPr>
        <w:t xml:space="preserve"> </w:t>
      </w:r>
      <w:hyperlink r:id="rId19" w:history="1">
        <w:r w:rsidR="00572E2F">
          <w:rPr>
            <w:rStyle w:val="Hypertextovodkaz"/>
            <w:sz w:val="24"/>
            <w:szCs w:val="24"/>
            <w:lang w:val="cs-CZ"/>
          </w:rPr>
          <w:t>kapitoly V n</w:t>
        </w:r>
        <w:r w:rsidR="00F62C8F" w:rsidRPr="00090792">
          <w:rPr>
            <w:rStyle w:val="Hypertextovodkaz"/>
            <w:sz w:val="24"/>
            <w:szCs w:val="24"/>
            <w:lang w:val="cs-CZ"/>
          </w:rPr>
          <w:t>ařízení Komise (ES) č. 794/2004</w:t>
        </w:r>
      </w:hyperlink>
      <w:r w:rsidR="00F62C8F" w:rsidRPr="00090792">
        <w:rPr>
          <w:sz w:val="24"/>
          <w:szCs w:val="24"/>
          <w:lang w:val="cs-CZ"/>
        </w:rPr>
        <w:t xml:space="preserve"> ze dne 21. dubna 2004, kterým se provádí nařízení Rady (EU) 2015/1589, kterým se stanoví prováděcí pravidla k</w:t>
      </w:r>
      <w:r w:rsidR="0097695A" w:rsidRPr="00090792">
        <w:rPr>
          <w:sz w:val="24"/>
          <w:szCs w:val="24"/>
          <w:lang w:val="cs-CZ"/>
        </w:rPr>
        <w:t> </w:t>
      </w:r>
      <w:r w:rsidR="00F62C8F" w:rsidRPr="00090792">
        <w:rPr>
          <w:sz w:val="24"/>
          <w:szCs w:val="24"/>
          <w:lang w:val="cs-CZ"/>
        </w:rPr>
        <w:t xml:space="preserve">článku 108 Smlouvy o fungování Evropské unie. </w:t>
      </w:r>
      <w:r w:rsidRPr="00090792">
        <w:rPr>
          <w:sz w:val="24"/>
          <w:szCs w:val="24"/>
          <w:lang w:val="cs-CZ"/>
        </w:rPr>
        <w:t>Ú</w:t>
      </w:r>
      <w:r w:rsidR="00F62C8F" w:rsidRPr="00090792">
        <w:rPr>
          <w:sz w:val="24"/>
          <w:szCs w:val="24"/>
          <w:lang w:val="cs-CZ"/>
        </w:rPr>
        <w:t>roky jsou splatné ode dne, kdy mohl příjemce s protiprávní veřejnou podporou nakládat, do dne jejího navrácení.</w:t>
      </w:r>
      <w:r w:rsidRPr="00090792">
        <w:rPr>
          <w:sz w:val="24"/>
          <w:szCs w:val="24"/>
          <w:lang w:val="cs-CZ"/>
        </w:rPr>
        <w:t xml:space="preserve"> Z pohledu příjemce podpory se jedná o neoprávněné zvýhodnění, které spočívá jednak v tom, že neplatí úroky, které by pla</w:t>
      </w:r>
      <w:r w:rsidR="000D763F" w:rsidRPr="00090792">
        <w:rPr>
          <w:sz w:val="24"/>
          <w:szCs w:val="24"/>
          <w:lang w:val="cs-CZ"/>
        </w:rPr>
        <w:t>til</w:t>
      </w:r>
      <w:r w:rsidRPr="00090792">
        <w:rPr>
          <w:sz w:val="24"/>
          <w:szCs w:val="24"/>
          <w:lang w:val="cs-CZ"/>
        </w:rPr>
        <w:t xml:space="preserve"> z dotčené částky podpory, pokud by si musel tuto částku vypůjčit na trhu po dobu trvání protiprávního stavu, a jednak ve zlepšení jeho soutěžního postavení vůči jiným subjektům na trhu po tuto dobu.</w:t>
      </w:r>
      <w:r w:rsidRPr="00090792">
        <w:rPr>
          <w:rStyle w:val="Znakapoznpodarou"/>
          <w:sz w:val="24"/>
          <w:szCs w:val="24"/>
          <w:lang w:val="cs-CZ"/>
        </w:rPr>
        <w:footnoteReference w:id="15"/>
      </w:r>
      <w:r w:rsidRPr="00090792">
        <w:rPr>
          <w:sz w:val="24"/>
          <w:szCs w:val="24"/>
          <w:lang w:val="cs-CZ"/>
        </w:rPr>
        <w:t xml:space="preserve"> V souladu s ustálenou judikaturou Soudního dvora nesmí být však použitelná vnitrostátní právní úprava méně příznivá než ta, kterou se řídí obdobná situace ve vnitrostátním právu (zásada rovnocennosti), ani nesmí být upravena tak, aby v praxi znemožňovala nebo nadměrně ztěžovala výkon práv přiznaných unijním právním řádem (zásada efektivity). </w:t>
      </w:r>
    </w:p>
    <w:p w14:paraId="0D60F806" w14:textId="77777777" w:rsidR="00070FB8" w:rsidRPr="00090792" w:rsidRDefault="008B4CAF" w:rsidP="0052521B">
      <w:pPr>
        <w:jc w:val="both"/>
        <w:rPr>
          <w:sz w:val="24"/>
          <w:szCs w:val="24"/>
          <w:lang w:val="cs-CZ"/>
        </w:rPr>
      </w:pPr>
      <w:r>
        <w:rPr>
          <w:sz w:val="24"/>
          <w:szCs w:val="24"/>
          <w:lang w:val="cs-CZ"/>
        </w:rPr>
        <w:t xml:space="preserve">V případě, že příjemce podpory podléhá </w:t>
      </w:r>
      <w:r w:rsidR="0052521B" w:rsidRPr="00090792">
        <w:rPr>
          <w:sz w:val="24"/>
          <w:szCs w:val="24"/>
          <w:lang w:val="cs-CZ"/>
        </w:rPr>
        <w:t>dozor</w:t>
      </w:r>
      <w:r>
        <w:rPr>
          <w:sz w:val="24"/>
          <w:szCs w:val="24"/>
          <w:lang w:val="cs-CZ"/>
        </w:rPr>
        <w:t>u</w:t>
      </w:r>
      <w:r w:rsidR="0052521B" w:rsidRPr="00090792">
        <w:rPr>
          <w:sz w:val="24"/>
          <w:szCs w:val="24"/>
          <w:lang w:val="cs-CZ"/>
        </w:rPr>
        <w:t xml:space="preserve"> nebo dohled</w:t>
      </w:r>
      <w:r>
        <w:rPr>
          <w:sz w:val="24"/>
          <w:szCs w:val="24"/>
          <w:lang w:val="cs-CZ"/>
        </w:rPr>
        <w:t>u</w:t>
      </w:r>
      <w:r w:rsidR="0052521B" w:rsidRPr="00090792">
        <w:rPr>
          <w:sz w:val="24"/>
          <w:szCs w:val="24"/>
          <w:lang w:val="cs-CZ"/>
        </w:rPr>
        <w:t xml:space="preserve"> podle zvláštního právního předpisu</w:t>
      </w:r>
      <w:r w:rsidR="00D575DC" w:rsidRPr="00090792">
        <w:rPr>
          <w:rStyle w:val="Znakapoznpodarou"/>
          <w:sz w:val="24"/>
          <w:szCs w:val="24"/>
          <w:lang w:val="cs-CZ"/>
        </w:rPr>
        <w:footnoteReference w:id="16"/>
      </w:r>
      <w:r>
        <w:rPr>
          <w:sz w:val="24"/>
          <w:szCs w:val="24"/>
          <w:lang w:val="cs-CZ"/>
        </w:rPr>
        <w:t xml:space="preserve">, je poskytovatel veřejné podpory povinen neprodleně informovat o jejím vrácení příslušný </w:t>
      </w:r>
      <w:r w:rsidR="006236CE">
        <w:rPr>
          <w:sz w:val="24"/>
          <w:szCs w:val="24"/>
          <w:lang w:val="cs-CZ"/>
        </w:rPr>
        <w:t xml:space="preserve">dozorový </w:t>
      </w:r>
      <w:r>
        <w:rPr>
          <w:sz w:val="24"/>
          <w:szCs w:val="24"/>
          <w:lang w:val="cs-CZ"/>
        </w:rPr>
        <w:t>orgán</w:t>
      </w:r>
      <w:r w:rsidR="0052521B" w:rsidRPr="00090792">
        <w:rPr>
          <w:sz w:val="24"/>
          <w:szCs w:val="24"/>
          <w:lang w:val="cs-CZ"/>
        </w:rPr>
        <w:t>.</w:t>
      </w:r>
    </w:p>
    <w:p w14:paraId="5C17C4D6" w14:textId="77777777" w:rsidR="00FC72E2" w:rsidRPr="00090792" w:rsidRDefault="00FC72E2">
      <w:pPr>
        <w:rPr>
          <w:sz w:val="24"/>
          <w:szCs w:val="24"/>
          <w:lang w:val="cs-CZ"/>
        </w:rPr>
      </w:pPr>
      <w:r w:rsidRPr="00090792">
        <w:rPr>
          <w:sz w:val="24"/>
          <w:szCs w:val="24"/>
          <w:lang w:val="cs-CZ"/>
        </w:rPr>
        <w:br w:type="page"/>
      </w:r>
    </w:p>
    <w:p w14:paraId="16E72A99" w14:textId="77777777" w:rsidR="00BE267B" w:rsidRPr="00090792" w:rsidRDefault="007877C1" w:rsidP="007877C1">
      <w:pPr>
        <w:pStyle w:val="Nadpis1"/>
        <w:rPr>
          <w:b/>
          <w:bCs/>
          <w:sz w:val="32"/>
          <w:szCs w:val="32"/>
          <w:lang w:val="cs-CZ"/>
        </w:rPr>
      </w:pPr>
      <w:bookmarkStart w:id="15" w:name="_Toc193198965"/>
      <w:bookmarkStart w:id="16" w:name="_Toc202430943"/>
      <w:r w:rsidRPr="00090792">
        <w:rPr>
          <w:b/>
          <w:bCs/>
          <w:sz w:val="32"/>
          <w:szCs w:val="32"/>
          <w:lang w:val="cs-CZ"/>
        </w:rPr>
        <w:lastRenderedPageBreak/>
        <w:t>4</w:t>
      </w:r>
      <w:r w:rsidR="00070FB8" w:rsidRPr="00090792">
        <w:rPr>
          <w:b/>
          <w:bCs/>
          <w:sz w:val="32"/>
          <w:szCs w:val="32"/>
          <w:lang w:val="cs-CZ"/>
        </w:rPr>
        <w:t>.</w:t>
      </w:r>
      <w:r w:rsidR="00FD2C7F" w:rsidRPr="00090792">
        <w:rPr>
          <w:b/>
          <w:bCs/>
          <w:sz w:val="32"/>
          <w:szCs w:val="32"/>
          <w:lang w:val="cs-CZ"/>
        </w:rPr>
        <w:t xml:space="preserve"> </w:t>
      </w:r>
      <w:r w:rsidR="00FD50DD" w:rsidRPr="00090792">
        <w:rPr>
          <w:b/>
          <w:bCs/>
          <w:sz w:val="32"/>
          <w:szCs w:val="32"/>
          <w:lang w:val="cs-CZ"/>
        </w:rPr>
        <w:t>MECHANISMUS VÝPOČ</w:t>
      </w:r>
      <w:r w:rsidR="000D763F" w:rsidRPr="00090792">
        <w:rPr>
          <w:b/>
          <w:bCs/>
          <w:sz w:val="32"/>
          <w:szCs w:val="32"/>
          <w:lang w:val="cs-CZ"/>
        </w:rPr>
        <w:t>T</w:t>
      </w:r>
      <w:r w:rsidR="00FD50DD" w:rsidRPr="00090792">
        <w:rPr>
          <w:b/>
          <w:bCs/>
          <w:sz w:val="32"/>
          <w:szCs w:val="32"/>
          <w:lang w:val="cs-CZ"/>
        </w:rPr>
        <w:t>U NAVRACEN</w:t>
      </w:r>
      <w:r w:rsidR="006A4D02">
        <w:rPr>
          <w:b/>
          <w:bCs/>
          <w:sz w:val="32"/>
          <w:szCs w:val="32"/>
          <w:lang w:val="cs-CZ"/>
        </w:rPr>
        <w:t>É</w:t>
      </w:r>
      <w:r w:rsidR="00FD50DD" w:rsidRPr="00090792">
        <w:rPr>
          <w:b/>
          <w:bCs/>
          <w:sz w:val="32"/>
          <w:szCs w:val="32"/>
          <w:lang w:val="cs-CZ"/>
        </w:rPr>
        <w:t xml:space="preserve"> PODPORY</w:t>
      </w:r>
      <w:bookmarkEnd w:id="15"/>
      <w:bookmarkEnd w:id="16"/>
    </w:p>
    <w:p w14:paraId="3D59F5CA" w14:textId="77777777" w:rsidR="00566096" w:rsidRPr="00090792" w:rsidRDefault="00566096" w:rsidP="00727760">
      <w:pPr>
        <w:jc w:val="both"/>
        <w:rPr>
          <w:rFonts w:cstheme="minorHAnsi"/>
          <w:sz w:val="24"/>
          <w:szCs w:val="24"/>
          <w:lang w:val="cs-CZ"/>
        </w:rPr>
      </w:pPr>
      <w:r w:rsidRPr="00090792">
        <w:rPr>
          <w:rFonts w:cstheme="minorHAnsi"/>
          <w:sz w:val="24"/>
          <w:szCs w:val="24"/>
          <w:lang w:val="cs-CZ"/>
        </w:rPr>
        <w:t>Základní kroky pro výpočet navr</w:t>
      </w:r>
      <w:r w:rsidR="00C3690C" w:rsidRPr="00090792">
        <w:rPr>
          <w:rFonts w:cstheme="minorHAnsi"/>
          <w:sz w:val="24"/>
          <w:szCs w:val="24"/>
          <w:lang w:val="cs-CZ"/>
        </w:rPr>
        <w:t>a</w:t>
      </w:r>
      <w:r w:rsidRPr="00090792">
        <w:rPr>
          <w:rFonts w:cstheme="minorHAnsi"/>
          <w:sz w:val="24"/>
          <w:szCs w:val="24"/>
          <w:lang w:val="cs-CZ"/>
        </w:rPr>
        <w:t xml:space="preserve">cení </w:t>
      </w:r>
      <w:r w:rsidR="00C37FDC" w:rsidRPr="00090792">
        <w:rPr>
          <w:rFonts w:cstheme="minorHAnsi"/>
          <w:sz w:val="24"/>
          <w:szCs w:val="24"/>
          <w:lang w:val="cs-CZ"/>
        </w:rPr>
        <w:t xml:space="preserve">protiprávní </w:t>
      </w:r>
      <w:r w:rsidRPr="00090792">
        <w:rPr>
          <w:rFonts w:cstheme="minorHAnsi"/>
          <w:sz w:val="24"/>
          <w:szCs w:val="24"/>
          <w:lang w:val="cs-CZ"/>
        </w:rPr>
        <w:t>veřejné podpory, včetně úroků za dobu,</w:t>
      </w:r>
      <w:r w:rsidR="001B284A">
        <w:rPr>
          <w:rFonts w:cstheme="minorHAnsi"/>
          <w:sz w:val="24"/>
          <w:szCs w:val="24"/>
          <w:lang w:val="cs-CZ"/>
        </w:rPr>
        <w:t xml:space="preserve"> p</w:t>
      </w:r>
      <w:r w:rsidRPr="00090792">
        <w:rPr>
          <w:rFonts w:cstheme="minorHAnsi"/>
          <w:sz w:val="24"/>
          <w:szCs w:val="24"/>
          <w:lang w:val="cs-CZ"/>
        </w:rPr>
        <w:t>o</w:t>
      </w:r>
      <w:r w:rsidR="00CC7A52" w:rsidRPr="00090792">
        <w:rPr>
          <w:rFonts w:cstheme="minorHAnsi"/>
          <w:sz w:val="24"/>
          <w:szCs w:val="24"/>
          <w:lang w:val="cs-CZ"/>
        </w:rPr>
        <w:t> </w:t>
      </w:r>
      <w:r w:rsidRPr="00090792">
        <w:rPr>
          <w:rFonts w:cstheme="minorHAnsi"/>
          <w:sz w:val="24"/>
          <w:szCs w:val="24"/>
          <w:lang w:val="cs-CZ"/>
        </w:rPr>
        <w:t>kterou byla podpora neprávem využívána,</w:t>
      </w:r>
      <w:r w:rsidR="00596ED9" w:rsidRPr="00090792">
        <w:rPr>
          <w:rFonts w:cstheme="minorHAnsi"/>
          <w:sz w:val="24"/>
          <w:szCs w:val="24"/>
          <w:lang w:val="cs-CZ"/>
        </w:rPr>
        <w:t xml:space="preserve"> </w:t>
      </w:r>
      <w:r w:rsidR="00657E45">
        <w:rPr>
          <w:rFonts w:cstheme="minorHAnsi"/>
          <w:sz w:val="24"/>
          <w:szCs w:val="24"/>
          <w:lang w:val="cs-CZ"/>
        </w:rPr>
        <w:t xml:space="preserve">jsou </w:t>
      </w:r>
      <w:r w:rsidR="00596ED9" w:rsidRPr="00090792">
        <w:rPr>
          <w:rFonts w:cstheme="minorHAnsi"/>
          <w:sz w:val="24"/>
          <w:szCs w:val="24"/>
          <w:lang w:val="cs-CZ"/>
        </w:rPr>
        <w:t xml:space="preserve">v případě </w:t>
      </w:r>
      <w:r w:rsidR="008B2EE1">
        <w:rPr>
          <w:rFonts w:cstheme="minorHAnsi"/>
          <w:sz w:val="24"/>
          <w:szCs w:val="24"/>
          <w:lang w:val="cs-CZ"/>
        </w:rPr>
        <w:t xml:space="preserve">postupu podle </w:t>
      </w:r>
      <w:r w:rsidR="00596ED9" w:rsidRPr="00090792">
        <w:rPr>
          <w:rFonts w:cstheme="minorHAnsi"/>
          <w:sz w:val="24"/>
          <w:szCs w:val="24"/>
          <w:lang w:val="cs-CZ"/>
        </w:rPr>
        <w:t>§ 7a zákona č.</w:t>
      </w:r>
      <w:r w:rsidR="00776609">
        <w:rPr>
          <w:rFonts w:cstheme="minorHAnsi"/>
          <w:sz w:val="24"/>
          <w:szCs w:val="24"/>
          <w:lang w:val="cs-CZ"/>
        </w:rPr>
        <w:t> </w:t>
      </w:r>
      <w:r w:rsidR="00596ED9" w:rsidRPr="00090792">
        <w:rPr>
          <w:rFonts w:cstheme="minorHAnsi"/>
          <w:sz w:val="24"/>
          <w:szCs w:val="24"/>
          <w:lang w:val="cs-CZ"/>
        </w:rPr>
        <w:t>215/2004 Sb.</w:t>
      </w:r>
      <w:r w:rsidR="0074091B">
        <w:rPr>
          <w:rFonts w:cstheme="minorHAnsi"/>
          <w:sz w:val="24"/>
          <w:szCs w:val="24"/>
          <w:lang w:val="cs-CZ"/>
        </w:rPr>
        <w:t>, resp. čl. 9 až 11 nařízení Komise (ES) č. 794/2004</w:t>
      </w:r>
      <w:r w:rsidR="00653567">
        <w:rPr>
          <w:rFonts w:cstheme="minorHAnsi"/>
          <w:sz w:val="24"/>
          <w:szCs w:val="24"/>
          <w:lang w:val="cs-CZ"/>
        </w:rPr>
        <w:t xml:space="preserve"> </w:t>
      </w:r>
      <w:r w:rsidR="00653567">
        <w:rPr>
          <w:sz w:val="24"/>
          <w:szCs w:val="24"/>
          <w:lang w:val="cs-CZ"/>
        </w:rPr>
        <w:t xml:space="preserve">(viz </w:t>
      </w:r>
      <w:hyperlink w:anchor="_7._PŘÍLOHA" w:history="1">
        <w:r w:rsidR="00653567" w:rsidRPr="00C2390F">
          <w:rPr>
            <w:rStyle w:val="Hypertextovodkaz"/>
            <w:caps/>
            <w:sz w:val="24"/>
            <w:szCs w:val="24"/>
            <w:lang w:val="cs-CZ"/>
          </w:rPr>
          <w:t>příloha</w:t>
        </w:r>
      </w:hyperlink>
      <w:r w:rsidR="00653567">
        <w:rPr>
          <w:sz w:val="24"/>
          <w:szCs w:val="24"/>
          <w:lang w:val="cs-CZ"/>
        </w:rPr>
        <w:t>)</w:t>
      </w:r>
      <w:r w:rsidRPr="00090792">
        <w:rPr>
          <w:rFonts w:cstheme="minorHAnsi"/>
          <w:sz w:val="24"/>
          <w:szCs w:val="24"/>
          <w:lang w:val="cs-CZ"/>
        </w:rPr>
        <w:t xml:space="preserve"> následující:</w:t>
      </w:r>
    </w:p>
    <w:p w14:paraId="3F3727CA" w14:textId="77777777" w:rsidR="00566096" w:rsidRPr="00090792" w:rsidRDefault="00566096" w:rsidP="00112110">
      <w:pPr>
        <w:pStyle w:val="Nadpis3"/>
        <w:rPr>
          <w:rFonts w:cstheme="minorHAnsi"/>
          <w:b/>
          <w:bCs/>
          <w:sz w:val="24"/>
          <w:szCs w:val="24"/>
          <w:lang w:val="cs-CZ"/>
        </w:rPr>
      </w:pPr>
      <w:bookmarkStart w:id="17" w:name="_Toc202430944"/>
      <w:r w:rsidRPr="00090792">
        <w:rPr>
          <w:rFonts w:cstheme="minorHAnsi"/>
          <w:b/>
          <w:bCs/>
          <w:sz w:val="24"/>
          <w:szCs w:val="24"/>
          <w:lang w:val="cs-CZ"/>
        </w:rPr>
        <w:t>1. Určení výše podpory</w:t>
      </w:r>
      <w:bookmarkEnd w:id="17"/>
    </w:p>
    <w:p w14:paraId="41FE4F51" w14:textId="77777777" w:rsidR="00566096" w:rsidRPr="00090792" w:rsidRDefault="00566096" w:rsidP="00057119">
      <w:pPr>
        <w:numPr>
          <w:ilvl w:val="0"/>
          <w:numId w:val="3"/>
        </w:numPr>
        <w:spacing w:after="160" w:line="259" w:lineRule="auto"/>
        <w:jc w:val="both"/>
        <w:rPr>
          <w:rFonts w:cstheme="minorHAnsi"/>
          <w:sz w:val="24"/>
          <w:szCs w:val="24"/>
          <w:lang w:val="cs-CZ"/>
        </w:rPr>
      </w:pPr>
      <w:r w:rsidRPr="00090792">
        <w:rPr>
          <w:rFonts w:cstheme="minorHAnsi"/>
          <w:sz w:val="24"/>
          <w:szCs w:val="24"/>
          <w:lang w:val="cs-CZ"/>
        </w:rPr>
        <w:t xml:space="preserve">Stanoví se </w:t>
      </w:r>
      <w:r w:rsidR="00C3690C" w:rsidRPr="00090792">
        <w:rPr>
          <w:rFonts w:cstheme="minorHAnsi"/>
          <w:sz w:val="24"/>
          <w:szCs w:val="24"/>
          <w:u w:val="single"/>
          <w:lang w:val="cs-CZ"/>
        </w:rPr>
        <w:t>nominální hodnota podpory</w:t>
      </w:r>
      <w:r w:rsidRPr="00090792">
        <w:rPr>
          <w:rFonts w:cstheme="minorHAnsi"/>
          <w:sz w:val="24"/>
          <w:szCs w:val="24"/>
          <w:lang w:val="cs-CZ"/>
        </w:rPr>
        <w:t xml:space="preserve">, kterou je třeba vrátit. To zahrnuje jak přímou podporu (např. </w:t>
      </w:r>
      <w:r w:rsidR="00596ED9" w:rsidRPr="00090792">
        <w:rPr>
          <w:rFonts w:cstheme="minorHAnsi"/>
          <w:sz w:val="24"/>
          <w:szCs w:val="24"/>
          <w:lang w:val="cs-CZ"/>
        </w:rPr>
        <w:t xml:space="preserve">přímá </w:t>
      </w:r>
      <w:r w:rsidRPr="00090792">
        <w:rPr>
          <w:rFonts w:cstheme="minorHAnsi"/>
          <w:sz w:val="24"/>
          <w:szCs w:val="24"/>
          <w:lang w:val="cs-CZ"/>
        </w:rPr>
        <w:t>dotace, subvencovan</w:t>
      </w:r>
      <w:r w:rsidR="00596ED9" w:rsidRPr="00090792">
        <w:rPr>
          <w:rFonts w:cstheme="minorHAnsi"/>
          <w:sz w:val="24"/>
          <w:szCs w:val="24"/>
          <w:lang w:val="cs-CZ"/>
        </w:rPr>
        <w:t>ý</w:t>
      </w:r>
      <w:r w:rsidRPr="00090792">
        <w:rPr>
          <w:rFonts w:cstheme="minorHAnsi"/>
          <w:sz w:val="24"/>
          <w:szCs w:val="24"/>
          <w:lang w:val="cs-CZ"/>
        </w:rPr>
        <w:t xml:space="preserve"> úvěr), tak i nepřímou (např. osvobození od dan</w:t>
      </w:r>
      <w:r w:rsidR="00596ED9" w:rsidRPr="00090792">
        <w:rPr>
          <w:rFonts w:cstheme="minorHAnsi"/>
          <w:sz w:val="24"/>
          <w:szCs w:val="24"/>
          <w:lang w:val="cs-CZ"/>
        </w:rPr>
        <w:t>ě</w:t>
      </w:r>
      <w:r w:rsidRPr="00090792">
        <w:rPr>
          <w:rFonts w:cstheme="minorHAnsi"/>
          <w:sz w:val="24"/>
          <w:szCs w:val="24"/>
          <w:lang w:val="cs-CZ"/>
        </w:rPr>
        <w:t>, záruk</w:t>
      </w:r>
      <w:r w:rsidR="00596ED9" w:rsidRPr="00090792">
        <w:rPr>
          <w:rFonts w:cstheme="minorHAnsi"/>
          <w:sz w:val="24"/>
          <w:szCs w:val="24"/>
          <w:lang w:val="cs-CZ"/>
        </w:rPr>
        <w:t>a</w:t>
      </w:r>
      <w:r w:rsidRPr="00090792">
        <w:rPr>
          <w:rFonts w:cstheme="minorHAnsi"/>
          <w:sz w:val="24"/>
          <w:szCs w:val="24"/>
          <w:lang w:val="cs-CZ"/>
        </w:rPr>
        <w:t>).</w:t>
      </w:r>
    </w:p>
    <w:p w14:paraId="5435B595" w14:textId="77777777" w:rsidR="00596ED9" w:rsidRPr="00090792" w:rsidRDefault="00596ED9" w:rsidP="00057119">
      <w:pPr>
        <w:numPr>
          <w:ilvl w:val="0"/>
          <w:numId w:val="3"/>
        </w:numPr>
        <w:spacing w:after="160" w:line="259" w:lineRule="auto"/>
        <w:jc w:val="both"/>
        <w:rPr>
          <w:rFonts w:cstheme="minorHAnsi"/>
          <w:sz w:val="24"/>
          <w:szCs w:val="24"/>
          <w:lang w:val="cs-CZ"/>
        </w:rPr>
      </w:pPr>
      <w:r w:rsidRPr="00090792">
        <w:rPr>
          <w:rFonts w:cstheme="minorHAnsi"/>
          <w:sz w:val="24"/>
          <w:szCs w:val="24"/>
          <w:lang w:val="cs-CZ"/>
        </w:rPr>
        <w:t xml:space="preserve">Je-li podpora poskytnuta jinak než formou přímé dotace, stanoví se její výše jako </w:t>
      </w:r>
      <w:r w:rsidRPr="007D119C">
        <w:rPr>
          <w:rFonts w:cstheme="minorHAnsi"/>
          <w:sz w:val="24"/>
          <w:szCs w:val="24"/>
          <w:u w:val="single"/>
          <w:lang w:val="cs-CZ"/>
        </w:rPr>
        <w:t>hrubý grantový ekvivalent</w:t>
      </w:r>
      <w:r w:rsidRPr="00090792">
        <w:rPr>
          <w:rFonts w:cstheme="minorHAnsi"/>
          <w:sz w:val="24"/>
          <w:szCs w:val="24"/>
          <w:lang w:val="cs-CZ"/>
        </w:rPr>
        <w:t xml:space="preserve"> podpory.</w:t>
      </w:r>
    </w:p>
    <w:p w14:paraId="2B840932" w14:textId="77777777" w:rsidR="00566096" w:rsidRPr="00090792" w:rsidRDefault="00566096" w:rsidP="00E77DFD">
      <w:pPr>
        <w:pStyle w:val="Nadpis3"/>
        <w:rPr>
          <w:rFonts w:cstheme="minorHAnsi"/>
          <w:b/>
          <w:bCs/>
          <w:sz w:val="24"/>
          <w:szCs w:val="24"/>
          <w:lang w:val="cs-CZ"/>
        </w:rPr>
      </w:pPr>
      <w:bookmarkStart w:id="18" w:name="_Toc202430945"/>
      <w:r w:rsidRPr="00090792">
        <w:rPr>
          <w:rFonts w:cstheme="minorHAnsi"/>
          <w:b/>
          <w:bCs/>
          <w:sz w:val="24"/>
          <w:szCs w:val="24"/>
          <w:lang w:val="cs-CZ"/>
        </w:rPr>
        <w:t xml:space="preserve">2. Určení období, po které byla podpora </w:t>
      </w:r>
      <w:r w:rsidR="001B284A">
        <w:rPr>
          <w:rFonts w:cstheme="minorHAnsi"/>
          <w:b/>
          <w:bCs/>
          <w:sz w:val="24"/>
          <w:szCs w:val="24"/>
          <w:lang w:val="cs-CZ"/>
        </w:rPr>
        <w:t>V</w:t>
      </w:r>
      <w:r w:rsidRPr="00090792">
        <w:rPr>
          <w:rFonts w:cstheme="minorHAnsi"/>
          <w:b/>
          <w:bCs/>
          <w:sz w:val="24"/>
          <w:szCs w:val="24"/>
          <w:lang w:val="cs-CZ"/>
        </w:rPr>
        <w:t>yužívána</w:t>
      </w:r>
      <w:bookmarkEnd w:id="18"/>
      <w:r w:rsidR="00A76942" w:rsidRPr="00090792">
        <w:rPr>
          <w:rFonts w:cstheme="minorHAnsi"/>
          <w:b/>
          <w:bCs/>
          <w:sz w:val="24"/>
          <w:szCs w:val="24"/>
          <w:lang w:val="cs-CZ"/>
        </w:rPr>
        <w:t xml:space="preserve"> </w:t>
      </w:r>
    </w:p>
    <w:p w14:paraId="03618481" w14:textId="77777777" w:rsidR="00566096" w:rsidRPr="00090792" w:rsidRDefault="00566096" w:rsidP="00057119">
      <w:pPr>
        <w:numPr>
          <w:ilvl w:val="0"/>
          <w:numId w:val="3"/>
        </w:numPr>
        <w:spacing w:after="160" w:line="259" w:lineRule="auto"/>
        <w:jc w:val="both"/>
        <w:rPr>
          <w:rFonts w:cstheme="minorHAnsi"/>
          <w:sz w:val="24"/>
          <w:szCs w:val="24"/>
          <w:lang w:val="cs-CZ"/>
        </w:rPr>
      </w:pPr>
      <w:r w:rsidRPr="00090792">
        <w:rPr>
          <w:rFonts w:cstheme="minorHAnsi"/>
          <w:sz w:val="24"/>
          <w:szCs w:val="24"/>
          <w:lang w:val="cs-CZ"/>
        </w:rPr>
        <w:t>Určí se období</w:t>
      </w:r>
      <w:r w:rsidR="007D119C">
        <w:rPr>
          <w:rFonts w:cstheme="minorHAnsi"/>
          <w:sz w:val="24"/>
          <w:szCs w:val="24"/>
          <w:lang w:val="cs-CZ"/>
        </w:rPr>
        <w:t>, po které</w:t>
      </w:r>
      <w:r w:rsidRPr="00090792">
        <w:rPr>
          <w:rFonts w:cstheme="minorHAnsi"/>
          <w:sz w:val="24"/>
          <w:szCs w:val="24"/>
          <w:lang w:val="cs-CZ"/>
        </w:rPr>
        <w:t xml:space="preserve"> </w:t>
      </w:r>
      <w:r w:rsidR="007D119C">
        <w:rPr>
          <w:rFonts w:cstheme="minorHAnsi"/>
          <w:sz w:val="24"/>
          <w:szCs w:val="24"/>
          <w:lang w:val="cs-CZ"/>
        </w:rPr>
        <w:t xml:space="preserve">mohl příjemce s protiprávní veřejnou </w:t>
      </w:r>
      <w:r w:rsidRPr="00090792">
        <w:rPr>
          <w:rFonts w:cstheme="minorHAnsi"/>
          <w:sz w:val="24"/>
          <w:szCs w:val="24"/>
          <w:lang w:val="cs-CZ"/>
        </w:rPr>
        <w:t>podpor</w:t>
      </w:r>
      <w:r w:rsidR="007D119C">
        <w:rPr>
          <w:rFonts w:cstheme="minorHAnsi"/>
          <w:sz w:val="24"/>
          <w:szCs w:val="24"/>
          <w:lang w:val="cs-CZ"/>
        </w:rPr>
        <w:t>ou</w:t>
      </w:r>
      <w:r w:rsidRPr="00090792">
        <w:rPr>
          <w:rFonts w:cstheme="minorHAnsi"/>
          <w:sz w:val="24"/>
          <w:szCs w:val="24"/>
          <w:lang w:val="cs-CZ"/>
        </w:rPr>
        <w:t xml:space="preserve"> </w:t>
      </w:r>
      <w:r w:rsidR="007D119C">
        <w:rPr>
          <w:rFonts w:cstheme="minorHAnsi"/>
          <w:sz w:val="24"/>
          <w:szCs w:val="24"/>
          <w:lang w:val="cs-CZ"/>
        </w:rPr>
        <w:t>nakládat</w:t>
      </w:r>
      <w:r w:rsidR="00C3690C" w:rsidRPr="00090792">
        <w:rPr>
          <w:rFonts w:cstheme="minorHAnsi"/>
          <w:sz w:val="24"/>
          <w:szCs w:val="24"/>
          <w:lang w:val="cs-CZ"/>
        </w:rPr>
        <w:t>, tj.</w:t>
      </w:r>
      <w:r w:rsidR="0074091B">
        <w:rPr>
          <w:rFonts w:cstheme="minorHAnsi"/>
          <w:sz w:val="24"/>
          <w:szCs w:val="24"/>
          <w:lang w:val="cs-CZ"/>
        </w:rPr>
        <w:t> </w:t>
      </w:r>
      <w:r w:rsidR="000F0FF6" w:rsidRPr="007D119C">
        <w:rPr>
          <w:rFonts w:cstheme="minorHAnsi"/>
          <w:sz w:val="24"/>
          <w:szCs w:val="24"/>
          <w:u w:val="single"/>
          <w:lang w:val="cs-CZ"/>
        </w:rPr>
        <w:t>d</w:t>
      </w:r>
      <w:r w:rsidR="00B75687" w:rsidRPr="007D119C">
        <w:rPr>
          <w:rFonts w:cstheme="minorHAnsi"/>
          <w:sz w:val="24"/>
          <w:szCs w:val="24"/>
          <w:u w:val="single"/>
          <w:lang w:val="cs-CZ"/>
        </w:rPr>
        <w:t>atum</w:t>
      </w:r>
      <w:r w:rsidR="007D119C" w:rsidRPr="007D119C">
        <w:rPr>
          <w:rFonts w:cstheme="minorHAnsi"/>
          <w:sz w:val="24"/>
          <w:szCs w:val="24"/>
          <w:u w:val="single"/>
          <w:lang w:val="cs-CZ"/>
        </w:rPr>
        <w:t>,</w:t>
      </w:r>
      <w:r w:rsidR="00C3690C" w:rsidRPr="007D119C">
        <w:rPr>
          <w:rFonts w:cstheme="minorHAnsi"/>
          <w:sz w:val="24"/>
          <w:szCs w:val="24"/>
          <w:u w:val="single"/>
          <w:lang w:val="cs-CZ"/>
        </w:rPr>
        <w:t xml:space="preserve"> </w:t>
      </w:r>
      <w:r w:rsidR="007D119C" w:rsidRPr="00B124E9">
        <w:rPr>
          <w:rFonts w:cstheme="minorHAnsi"/>
          <w:sz w:val="24"/>
          <w:szCs w:val="24"/>
          <w:u w:val="single"/>
          <w:lang w:val="cs-CZ"/>
        </w:rPr>
        <w:t xml:space="preserve">kdy byla </w:t>
      </w:r>
      <w:r w:rsidR="00C3690C" w:rsidRPr="00B124E9">
        <w:rPr>
          <w:rFonts w:cstheme="minorHAnsi"/>
          <w:sz w:val="24"/>
          <w:szCs w:val="24"/>
          <w:u w:val="single"/>
          <w:lang w:val="cs-CZ"/>
        </w:rPr>
        <w:t>podpor</w:t>
      </w:r>
      <w:r w:rsidR="007D119C" w:rsidRPr="00B124E9">
        <w:rPr>
          <w:rFonts w:cstheme="minorHAnsi"/>
          <w:sz w:val="24"/>
          <w:szCs w:val="24"/>
          <w:u w:val="single"/>
          <w:lang w:val="cs-CZ"/>
        </w:rPr>
        <w:t>a poprvé dána příjemci k dispozici</w:t>
      </w:r>
      <w:r w:rsidR="007D119C">
        <w:rPr>
          <w:rFonts w:cstheme="minorHAnsi"/>
          <w:sz w:val="24"/>
          <w:szCs w:val="24"/>
          <w:lang w:val="cs-CZ"/>
        </w:rPr>
        <w:t>,</w:t>
      </w:r>
      <w:r w:rsidR="00C3690C" w:rsidRPr="00090792">
        <w:rPr>
          <w:rFonts w:cstheme="minorHAnsi"/>
          <w:sz w:val="24"/>
          <w:szCs w:val="24"/>
          <w:lang w:val="cs-CZ"/>
        </w:rPr>
        <w:t xml:space="preserve"> a </w:t>
      </w:r>
      <w:r w:rsidR="00C3690C" w:rsidRPr="007D119C">
        <w:rPr>
          <w:rFonts w:cstheme="minorHAnsi"/>
          <w:sz w:val="24"/>
          <w:szCs w:val="24"/>
          <w:u w:val="single"/>
          <w:lang w:val="cs-CZ"/>
        </w:rPr>
        <w:t>datum navrácení</w:t>
      </w:r>
      <w:r w:rsidR="00C3690C" w:rsidRPr="00090792">
        <w:rPr>
          <w:rFonts w:cstheme="minorHAnsi"/>
          <w:sz w:val="24"/>
          <w:szCs w:val="24"/>
          <w:lang w:val="cs-CZ"/>
        </w:rPr>
        <w:t xml:space="preserve"> podpory, resp. předpokládané datum navrácení.</w:t>
      </w:r>
    </w:p>
    <w:p w14:paraId="4F250B53" w14:textId="77777777" w:rsidR="00566096" w:rsidRPr="00090792" w:rsidRDefault="00566096" w:rsidP="00E77DFD">
      <w:pPr>
        <w:pStyle w:val="Nadpis3"/>
        <w:rPr>
          <w:rFonts w:cstheme="minorHAnsi"/>
          <w:b/>
          <w:bCs/>
          <w:sz w:val="24"/>
          <w:szCs w:val="24"/>
          <w:lang w:val="cs-CZ"/>
        </w:rPr>
      </w:pPr>
      <w:bookmarkStart w:id="19" w:name="_Toc202430946"/>
      <w:r w:rsidRPr="00090792">
        <w:rPr>
          <w:rFonts w:cstheme="minorHAnsi"/>
          <w:b/>
          <w:bCs/>
          <w:sz w:val="24"/>
          <w:szCs w:val="24"/>
          <w:lang w:val="cs-CZ"/>
        </w:rPr>
        <w:t>3. Určení úrokové sazby</w:t>
      </w:r>
      <w:bookmarkEnd w:id="19"/>
      <w:r w:rsidR="001B284A">
        <w:rPr>
          <w:rFonts w:cstheme="minorHAnsi"/>
          <w:b/>
          <w:bCs/>
          <w:sz w:val="24"/>
          <w:szCs w:val="24"/>
          <w:lang w:val="cs-CZ"/>
        </w:rPr>
        <w:t xml:space="preserve"> </w:t>
      </w:r>
    </w:p>
    <w:p w14:paraId="5B304D69" w14:textId="77777777" w:rsidR="00566096" w:rsidRPr="00090792" w:rsidRDefault="00566096" w:rsidP="00057119">
      <w:pPr>
        <w:numPr>
          <w:ilvl w:val="0"/>
          <w:numId w:val="4"/>
        </w:numPr>
        <w:spacing w:after="160" w:line="259" w:lineRule="auto"/>
        <w:jc w:val="both"/>
        <w:rPr>
          <w:rFonts w:cstheme="minorHAnsi"/>
          <w:sz w:val="24"/>
          <w:szCs w:val="24"/>
          <w:lang w:val="cs-CZ"/>
        </w:rPr>
      </w:pPr>
      <w:r w:rsidRPr="00090792">
        <w:rPr>
          <w:rFonts w:cstheme="minorHAnsi"/>
          <w:sz w:val="24"/>
          <w:szCs w:val="24"/>
          <w:lang w:val="cs-CZ"/>
        </w:rPr>
        <w:t>Úroková sazba, která se má použít, je sazba použitelná v den, kdy byla protiprávní podpora</w:t>
      </w:r>
      <w:r w:rsidR="001B284A">
        <w:rPr>
          <w:rFonts w:cstheme="minorHAnsi"/>
          <w:sz w:val="24"/>
          <w:szCs w:val="24"/>
          <w:lang w:val="cs-CZ"/>
        </w:rPr>
        <w:t xml:space="preserve"> </w:t>
      </w:r>
      <w:r w:rsidRPr="00090792">
        <w:rPr>
          <w:rFonts w:cstheme="minorHAnsi"/>
          <w:sz w:val="24"/>
          <w:szCs w:val="24"/>
          <w:lang w:val="cs-CZ"/>
        </w:rPr>
        <w:t>poprvé dána k dispozici příjemci.</w:t>
      </w:r>
    </w:p>
    <w:p w14:paraId="6716A250" w14:textId="77777777" w:rsidR="00566096" w:rsidRPr="00090792" w:rsidRDefault="00566096" w:rsidP="00057119">
      <w:pPr>
        <w:numPr>
          <w:ilvl w:val="0"/>
          <w:numId w:val="4"/>
        </w:numPr>
        <w:spacing w:after="160" w:line="259" w:lineRule="auto"/>
        <w:jc w:val="both"/>
        <w:rPr>
          <w:rFonts w:cstheme="minorHAnsi"/>
          <w:sz w:val="24"/>
          <w:szCs w:val="24"/>
          <w:lang w:val="cs-CZ"/>
        </w:rPr>
      </w:pPr>
      <w:r w:rsidRPr="00090792">
        <w:rPr>
          <w:rFonts w:cstheme="minorHAnsi"/>
          <w:sz w:val="24"/>
          <w:szCs w:val="24"/>
          <w:lang w:val="cs-CZ"/>
        </w:rPr>
        <w:t xml:space="preserve">Úroková sazba </w:t>
      </w:r>
      <w:r w:rsidR="00595BEA" w:rsidRPr="00090792">
        <w:rPr>
          <w:rFonts w:cstheme="minorHAnsi"/>
          <w:sz w:val="24"/>
          <w:szCs w:val="24"/>
          <w:lang w:val="cs-CZ"/>
        </w:rPr>
        <w:t>vychází z roční</w:t>
      </w:r>
      <w:r w:rsidRPr="00090792">
        <w:rPr>
          <w:rFonts w:cstheme="minorHAnsi"/>
          <w:sz w:val="24"/>
          <w:szCs w:val="24"/>
          <w:lang w:val="cs-CZ"/>
        </w:rPr>
        <w:t xml:space="preserve"> </w:t>
      </w:r>
      <w:r w:rsidR="001F0D05" w:rsidRPr="00090792">
        <w:rPr>
          <w:rFonts w:cstheme="minorHAnsi"/>
          <w:sz w:val="24"/>
          <w:szCs w:val="24"/>
          <w:lang w:val="cs-CZ"/>
        </w:rPr>
        <w:t>základní</w:t>
      </w:r>
      <w:r w:rsidRPr="00090792">
        <w:rPr>
          <w:rFonts w:cstheme="minorHAnsi"/>
          <w:sz w:val="24"/>
          <w:szCs w:val="24"/>
          <w:lang w:val="cs-CZ"/>
        </w:rPr>
        <w:t xml:space="preserve"> </w:t>
      </w:r>
      <w:r w:rsidR="00155CCB" w:rsidRPr="00090792">
        <w:rPr>
          <w:rFonts w:cstheme="minorHAnsi"/>
          <w:sz w:val="24"/>
          <w:szCs w:val="24"/>
          <w:lang w:val="cs-CZ"/>
        </w:rPr>
        <w:t xml:space="preserve">referenční </w:t>
      </w:r>
      <w:r w:rsidRPr="00090792">
        <w:rPr>
          <w:rFonts w:cstheme="minorHAnsi"/>
          <w:sz w:val="24"/>
          <w:szCs w:val="24"/>
          <w:lang w:val="cs-CZ"/>
        </w:rPr>
        <w:t>sazb</w:t>
      </w:r>
      <w:r w:rsidR="00595BEA" w:rsidRPr="00090792">
        <w:rPr>
          <w:rFonts w:cstheme="minorHAnsi"/>
          <w:sz w:val="24"/>
          <w:szCs w:val="24"/>
          <w:lang w:val="cs-CZ"/>
        </w:rPr>
        <w:t>y</w:t>
      </w:r>
      <w:r w:rsidRPr="00090792">
        <w:rPr>
          <w:rFonts w:cstheme="minorHAnsi"/>
          <w:sz w:val="24"/>
          <w:szCs w:val="24"/>
          <w:lang w:val="cs-CZ"/>
        </w:rPr>
        <w:t xml:space="preserve"> stanov</w:t>
      </w:r>
      <w:r w:rsidR="001F0D05" w:rsidRPr="00090792">
        <w:rPr>
          <w:rFonts w:cstheme="minorHAnsi"/>
          <w:sz w:val="24"/>
          <w:szCs w:val="24"/>
          <w:lang w:val="cs-CZ"/>
        </w:rPr>
        <w:t>en</w:t>
      </w:r>
      <w:r w:rsidR="00595BEA" w:rsidRPr="00090792">
        <w:rPr>
          <w:rFonts w:cstheme="minorHAnsi"/>
          <w:sz w:val="24"/>
          <w:szCs w:val="24"/>
          <w:lang w:val="cs-CZ"/>
        </w:rPr>
        <w:t>é</w:t>
      </w:r>
      <w:r w:rsidRPr="00090792">
        <w:rPr>
          <w:rFonts w:cstheme="minorHAnsi"/>
          <w:sz w:val="24"/>
          <w:szCs w:val="24"/>
          <w:lang w:val="cs-CZ"/>
        </w:rPr>
        <w:t xml:space="preserve"> Komis</w:t>
      </w:r>
      <w:r w:rsidR="001F0D05" w:rsidRPr="00090792">
        <w:rPr>
          <w:rFonts w:cstheme="minorHAnsi"/>
          <w:sz w:val="24"/>
          <w:szCs w:val="24"/>
          <w:lang w:val="cs-CZ"/>
        </w:rPr>
        <w:t>í</w:t>
      </w:r>
      <w:r w:rsidR="00595BEA" w:rsidRPr="00090792">
        <w:rPr>
          <w:rFonts w:cstheme="minorHAnsi"/>
          <w:sz w:val="24"/>
          <w:szCs w:val="24"/>
          <w:lang w:val="cs-CZ"/>
        </w:rPr>
        <w:t>, ke které se připočte 100 základních bodů</w:t>
      </w:r>
      <w:r w:rsidR="00775E84">
        <w:rPr>
          <w:rFonts w:cstheme="minorHAnsi"/>
          <w:sz w:val="24"/>
          <w:szCs w:val="24"/>
          <w:lang w:val="cs-CZ"/>
        </w:rPr>
        <w:t xml:space="preserve"> (tj. navýšení o 1 %)</w:t>
      </w:r>
      <w:r w:rsidRPr="00090792">
        <w:rPr>
          <w:rFonts w:cstheme="minorHAnsi"/>
          <w:sz w:val="24"/>
          <w:szCs w:val="24"/>
          <w:lang w:val="cs-CZ"/>
        </w:rPr>
        <w:t xml:space="preserve">. </w:t>
      </w:r>
      <w:r w:rsidR="001F0D05" w:rsidRPr="00090792">
        <w:rPr>
          <w:rFonts w:cstheme="minorHAnsi"/>
          <w:sz w:val="24"/>
          <w:szCs w:val="24"/>
          <w:lang w:val="cs-CZ"/>
        </w:rPr>
        <w:t>Základní</w:t>
      </w:r>
      <w:r w:rsidRPr="00090792">
        <w:rPr>
          <w:rFonts w:cstheme="minorHAnsi"/>
          <w:sz w:val="24"/>
          <w:szCs w:val="24"/>
          <w:lang w:val="cs-CZ"/>
        </w:rPr>
        <w:t xml:space="preserve"> sazby jsou dostupné zde: </w:t>
      </w:r>
      <w:hyperlink r:id="rId20" w:history="1">
        <w:r w:rsidRPr="00090792">
          <w:rPr>
            <w:rStyle w:val="Hypertextovodkaz"/>
            <w:rFonts w:cstheme="minorHAnsi"/>
            <w:sz w:val="24"/>
            <w:szCs w:val="24"/>
            <w:lang w:val="cs-CZ"/>
          </w:rPr>
          <w:t>https://competition-policy.ec.europa.eu/state-aid/legislation/reference-discount-rates-and-recovery-interest-rates/reference-and-discount-rates_en</w:t>
        </w:r>
      </w:hyperlink>
      <w:r w:rsidRPr="00090792">
        <w:rPr>
          <w:rFonts w:cstheme="minorHAnsi"/>
          <w:sz w:val="24"/>
          <w:szCs w:val="24"/>
          <w:lang w:val="cs-CZ"/>
        </w:rPr>
        <w:t>.</w:t>
      </w:r>
      <w:r w:rsidR="00595BEA" w:rsidRPr="00090792">
        <w:rPr>
          <w:rStyle w:val="Znakapoznpodarou"/>
          <w:rFonts w:cstheme="minorHAnsi"/>
          <w:sz w:val="24"/>
          <w:szCs w:val="24"/>
          <w:lang w:val="cs-CZ"/>
        </w:rPr>
        <w:footnoteReference w:id="17"/>
      </w:r>
      <w:r w:rsidRPr="00090792">
        <w:rPr>
          <w:rFonts w:cstheme="minorHAnsi"/>
          <w:sz w:val="24"/>
          <w:szCs w:val="24"/>
          <w:lang w:val="cs-CZ"/>
        </w:rPr>
        <w:t xml:space="preserve">  </w:t>
      </w:r>
    </w:p>
    <w:p w14:paraId="6AE91ACE" w14:textId="77777777" w:rsidR="00DB633E" w:rsidRDefault="00566096" w:rsidP="00DB633E">
      <w:pPr>
        <w:numPr>
          <w:ilvl w:val="0"/>
          <w:numId w:val="4"/>
        </w:numPr>
        <w:spacing w:after="160" w:line="259" w:lineRule="auto"/>
        <w:jc w:val="both"/>
        <w:rPr>
          <w:rFonts w:cstheme="minorHAnsi"/>
          <w:sz w:val="24"/>
          <w:szCs w:val="24"/>
          <w:lang w:val="cs-CZ"/>
        </w:rPr>
      </w:pPr>
      <w:r w:rsidRPr="00090792">
        <w:rPr>
          <w:rFonts w:cstheme="minorHAnsi"/>
          <w:sz w:val="24"/>
          <w:szCs w:val="24"/>
          <w:lang w:val="cs-CZ"/>
        </w:rPr>
        <w:t xml:space="preserve">Pokud mezi dnem, kdy byla protiprávní podpora poprvé dána k dispozici příjemci, a dnem navrácení podpory uplynul více než jeden rok, přepočítá se úroková sazba každý rok, přičemž </w:t>
      </w:r>
      <w:r w:rsidR="00F51FFD">
        <w:rPr>
          <w:rFonts w:cstheme="minorHAnsi"/>
          <w:sz w:val="24"/>
          <w:szCs w:val="24"/>
          <w:lang w:val="cs-CZ"/>
        </w:rPr>
        <w:t>se</w:t>
      </w:r>
      <w:r w:rsidR="00F51FFD" w:rsidRPr="00090792">
        <w:rPr>
          <w:rFonts w:cstheme="minorHAnsi"/>
          <w:sz w:val="24"/>
          <w:szCs w:val="24"/>
          <w:lang w:val="cs-CZ"/>
        </w:rPr>
        <w:t xml:space="preserve"> </w:t>
      </w:r>
      <w:r w:rsidR="00F51FFD">
        <w:rPr>
          <w:rFonts w:cstheme="minorHAnsi"/>
          <w:sz w:val="24"/>
          <w:szCs w:val="24"/>
          <w:lang w:val="cs-CZ"/>
        </w:rPr>
        <w:t>použi</w:t>
      </w:r>
      <w:r w:rsidRPr="00090792">
        <w:rPr>
          <w:rFonts w:cstheme="minorHAnsi"/>
          <w:sz w:val="24"/>
          <w:szCs w:val="24"/>
          <w:lang w:val="cs-CZ"/>
        </w:rPr>
        <w:t>je sazba, která je platná v době přepočtu.</w:t>
      </w:r>
    </w:p>
    <w:p w14:paraId="6A5DC9DA" w14:textId="7271D8EF" w:rsidR="00566096" w:rsidRPr="00DB633E" w:rsidRDefault="00AB452F" w:rsidP="00BC682A">
      <w:pPr>
        <w:spacing w:after="160" w:line="259" w:lineRule="auto"/>
        <w:ind w:left="360"/>
        <w:rPr>
          <w:rFonts w:cstheme="minorHAnsi"/>
          <w:sz w:val="24"/>
          <w:szCs w:val="24"/>
          <w:lang w:val="cs-CZ"/>
        </w:rPr>
      </w:pPr>
      <w:r w:rsidRPr="00DB633E">
        <w:rPr>
          <w:rFonts w:cstheme="minorHAnsi"/>
          <w:sz w:val="24"/>
          <w:szCs w:val="24"/>
          <w:lang w:val="cs-CZ"/>
        </w:rPr>
        <w:br w:type="page"/>
      </w:r>
    </w:p>
    <w:p w14:paraId="2B159487" w14:textId="77777777" w:rsidR="00566096" w:rsidRPr="00090792" w:rsidRDefault="00566096" w:rsidP="00CB588B">
      <w:pPr>
        <w:pStyle w:val="Nadpis3"/>
        <w:rPr>
          <w:rFonts w:cstheme="minorHAnsi"/>
          <w:b/>
          <w:bCs/>
          <w:sz w:val="24"/>
          <w:szCs w:val="24"/>
          <w:lang w:val="cs-CZ"/>
        </w:rPr>
      </w:pPr>
      <w:bookmarkStart w:id="20" w:name="_Toc202430947"/>
      <w:r w:rsidRPr="00090792">
        <w:rPr>
          <w:rFonts w:cstheme="minorHAnsi"/>
          <w:b/>
          <w:bCs/>
          <w:sz w:val="24"/>
          <w:szCs w:val="24"/>
          <w:lang w:val="cs-CZ"/>
        </w:rPr>
        <w:lastRenderedPageBreak/>
        <w:t>4. Výpočet navrácené částky</w:t>
      </w:r>
      <w:bookmarkEnd w:id="20"/>
      <w:r w:rsidR="001C471F">
        <w:rPr>
          <w:rFonts w:cstheme="minorHAnsi"/>
          <w:b/>
          <w:bCs/>
          <w:sz w:val="24"/>
          <w:szCs w:val="24"/>
          <w:lang w:val="cs-CZ"/>
        </w:rPr>
        <w:t xml:space="preserve"> </w:t>
      </w:r>
    </w:p>
    <w:p w14:paraId="75EFBAD5" w14:textId="77777777" w:rsidR="00C37FDC" w:rsidRDefault="00257D26" w:rsidP="00057119">
      <w:pPr>
        <w:pStyle w:val="Odstavecseseznamem"/>
        <w:numPr>
          <w:ilvl w:val="0"/>
          <w:numId w:val="4"/>
        </w:numPr>
        <w:spacing w:after="160"/>
        <w:ind w:left="714" w:hanging="357"/>
        <w:contextualSpacing w:val="0"/>
        <w:jc w:val="both"/>
        <w:rPr>
          <w:rFonts w:cstheme="minorHAnsi"/>
          <w:color w:val="000000" w:themeColor="text1"/>
          <w:sz w:val="24"/>
          <w:szCs w:val="24"/>
          <w:lang w:val="cs-CZ"/>
        </w:rPr>
      </w:pPr>
      <w:r w:rsidRPr="00090792">
        <w:rPr>
          <w:rFonts w:cstheme="minorHAnsi"/>
          <w:color w:val="000000" w:themeColor="text1"/>
          <w:sz w:val="24"/>
          <w:szCs w:val="24"/>
          <w:lang w:val="cs-CZ"/>
        </w:rPr>
        <w:t>Pro výpočet se použije</w:t>
      </w:r>
      <w:r w:rsidR="00C37FDC" w:rsidRPr="00090792">
        <w:rPr>
          <w:rFonts w:cstheme="minorHAnsi"/>
          <w:color w:val="000000" w:themeColor="text1"/>
          <w:sz w:val="24"/>
          <w:szCs w:val="24"/>
          <w:lang w:val="cs-CZ"/>
        </w:rPr>
        <w:t xml:space="preserve"> </w:t>
      </w:r>
      <w:r w:rsidR="00C37FDC" w:rsidRPr="00090792">
        <w:rPr>
          <w:rFonts w:cstheme="minorHAnsi"/>
          <w:color w:val="000000" w:themeColor="text1"/>
          <w:sz w:val="24"/>
          <w:szCs w:val="24"/>
          <w:u w:val="single"/>
          <w:lang w:val="cs-CZ"/>
        </w:rPr>
        <w:t>složený úrok</w:t>
      </w:r>
      <w:r w:rsidRPr="00090792">
        <w:rPr>
          <w:rFonts w:cstheme="minorHAnsi"/>
          <w:color w:val="000000" w:themeColor="text1"/>
          <w:sz w:val="24"/>
          <w:szCs w:val="24"/>
          <w:lang w:val="cs-CZ"/>
        </w:rPr>
        <w:t xml:space="preserve">, </w:t>
      </w:r>
      <w:r w:rsidR="00595BEA" w:rsidRPr="00090792">
        <w:rPr>
          <w:rFonts w:cstheme="minorHAnsi"/>
          <w:color w:val="000000" w:themeColor="text1"/>
          <w:sz w:val="24"/>
          <w:szCs w:val="24"/>
          <w:lang w:val="cs-CZ"/>
        </w:rPr>
        <w:t>tj. ú</w:t>
      </w:r>
      <w:r w:rsidR="00C37FDC" w:rsidRPr="00090792">
        <w:rPr>
          <w:rFonts w:cstheme="minorHAnsi"/>
          <w:color w:val="000000" w:themeColor="text1"/>
          <w:sz w:val="24"/>
          <w:szCs w:val="24"/>
          <w:lang w:val="cs-CZ"/>
        </w:rPr>
        <w:t xml:space="preserve">roky </w:t>
      </w:r>
      <w:r w:rsidR="00595BEA" w:rsidRPr="00090792">
        <w:rPr>
          <w:rFonts w:cstheme="minorHAnsi"/>
          <w:color w:val="000000" w:themeColor="text1"/>
          <w:sz w:val="24"/>
          <w:szCs w:val="24"/>
          <w:lang w:val="cs-CZ"/>
        </w:rPr>
        <w:t>z</w:t>
      </w:r>
      <w:r w:rsidR="00C37FDC" w:rsidRPr="00090792">
        <w:rPr>
          <w:rFonts w:cstheme="minorHAnsi"/>
          <w:color w:val="000000" w:themeColor="text1"/>
          <w:sz w:val="24"/>
          <w:szCs w:val="24"/>
          <w:lang w:val="cs-CZ"/>
        </w:rPr>
        <w:t> předcházející</w:t>
      </w:r>
      <w:r w:rsidR="00595BEA" w:rsidRPr="00090792">
        <w:rPr>
          <w:rFonts w:cstheme="minorHAnsi"/>
          <w:color w:val="000000" w:themeColor="text1"/>
          <w:sz w:val="24"/>
          <w:szCs w:val="24"/>
          <w:lang w:val="cs-CZ"/>
        </w:rPr>
        <w:t>ho</w:t>
      </w:r>
      <w:r w:rsidR="00C37FDC" w:rsidRPr="00090792">
        <w:rPr>
          <w:rFonts w:cstheme="minorHAnsi"/>
          <w:color w:val="000000" w:themeColor="text1"/>
          <w:sz w:val="24"/>
          <w:szCs w:val="24"/>
          <w:lang w:val="cs-CZ"/>
        </w:rPr>
        <w:t xml:space="preserve"> ro</w:t>
      </w:r>
      <w:r w:rsidR="00595BEA" w:rsidRPr="00090792">
        <w:rPr>
          <w:rFonts w:cstheme="minorHAnsi"/>
          <w:color w:val="000000" w:themeColor="text1"/>
          <w:sz w:val="24"/>
          <w:szCs w:val="24"/>
          <w:lang w:val="cs-CZ"/>
        </w:rPr>
        <w:t>ku</w:t>
      </w:r>
      <w:r w:rsidR="00C37FDC" w:rsidRPr="00090792">
        <w:rPr>
          <w:rFonts w:cstheme="minorHAnsi"/>
          <w:color w:val="000000" w:themeColor="text1"/>
          <w:sz w:val="24"/>
          <w:szCs w:val="24"/>
          <w:lang w:val="cs-CZ"/>
        </w:rPr>
        <w:t xml:space="preserve"> jsou v každém následujícím roce úročeny</w:t>
      </w:r>
      <w:r w:rsidRPr="00090792">
        <w:rPr>
          <w:rFonts w:cstheme="minorHAnsi"/>
          <w:color w:val="000000" w:themeColor="text1"/>
          <w:sz w:val="24"/>
          <w:szCs w:val="24"/>
          <w:lang w:val="cs-CZ"/>
        </w:rPr>
        <w:t xml:space="preserve"> až do data navrácení podpory</w:t>
      </w:r>
      <w:r w:rsidR="00C37FDC" w:rsidRPr="00090792">
        <w:rPr>
          <w:rFonts w:cstheme="minorHAnsi"/>
          <w:color w:val="000000" w:themeColor="text1"/>
          <w:sz w:val="24"/>
          <w:szCs w:val="24"/>
          <w:lang w:val="cs-CZ"/>
        </w:rPr>
        <w:t xml:space="preserve">. </w:t>
      </w:r>
    </w:p>
    <w:p w14:paraId="08DF7BA3" w14:textId="77777777" w:rsidR="00775E84" w:rsidRPr="00775E84" w:rsidRDefault="00775E84" w:rsidP="00057119">
      <w:pPr>
        <w:numPr>
          <w:ilvl w:val="0"/>
          <w:numId w:val="5"/>
        </w:numPr>
        <w:spacing w:after="160" w:line="259" w:lineRule="auto"/>
        <w:ind w:left="714" w:hanging="357"/>
        <w:jc w:val="both"/>
        <w:rPr>
          <w:rFonts w:cstheme="minorHAnsi"/>
          <w:sz w:val="24"/>
          <w:szCs w:val="24"/>
          <w:lang w:val="cs-CZ"/>
        </w:rPr>
      </w:pPr>
      <w:r w:rsidRPr="00775E84">
        <w:rPr>
          <w:rFonts w:cstheme="minorHAnsi"/>
          <w:sz w:val="24"/>
          <w:szCs w:val="24"/>
          <w:lang w:val="cs-CZ"/>
        </w:rPr>
        <w:t>Pokud je období kratší než rok, počítá se úrok denně a zohlední se přestupný rok.</w:t>
      </w:r>
    </w:p>
    <w:p w14:paraId="0096D23E" w14:textId="77777777" w:rsidR="00566096" w:rsidRPr="00090792" w:rsidRDefault="00C965D3" w:rsidP="00057119">
      <w:pPr>
        <w:numPr>
          <w:ilvl w:val="0"/>
          <w:numId w:val="5"/>
        </w:numPr>
        <w:spacing w:after="160" w:line="259" w:lineRule="auto"/>
        <w:jc w:val="both"/>
        <w:rPr>
          <w:rFonts w:cstheme="minorHAnsi"/>
          <w:sz w:val="24"/>
          <w:szCs w:val="24"/>
          <w:lang w:val="cs-CZ"/>
        </w:rPr>
      </w:pPr>
      <w:r w:rsidRPr="00090792">
        <w:rPr>
          <w:rFonts w:cstheme="minorHAnsi"/>
          <w:sz w:val="24"/>
          <w:szCs w:val="24"/>
          <w:lang w:val="cs-CZ"/>
        </w:rPr>
        <w:t>Upravený v</w:t>
      </w:r>
      <w:r w:rsidR="00566096" w:rsidRPr="00090792">
        <w:rPr>
          <w:rFonts w:cstheme="minorHAnsi"/>
          <w:sz w:val="24"/>
          <w:szCs w:val="24"/>
          <w:lang w:val="cs-CZ"/>
        </w:rPr>
        <w:t>zorec pro složený úrok:</w:t>
      </w:r>
    </w:p>
    <w:p w14:paraId="350C4694" w14:textId="77777777" w:rsidR="00566096" w:rsidRPr="00090792" w:rsidRDefault="00360868" w:rsidP="00057119">
      <w:pPr>
        <w:numPr>
          <w:ilvl w:val="1"/>
          <w:numId w:val="5"/>
        </w:numPr>
        <w:spacing w:after="160" w:line="259" w:lineRule="auto"/>
        <w:jc w:val="both"/>
        <w:rPr>
          <w:rFonts w:cstheme="minorHAnsi"/>
          <w:b/>
          <w:bCs/>
          <w:sz w:val="24"/>
          <w:szCs w:val="24"/>
          <w:lang w:val="cs-CZ"/>
        </w:rPr>
      </w:pPr>
      <w:r w:rsidRPr="00090792">
        <w:rPr>
          <w:rFonts w:cstheme="minorHAnsi"/>
          <w:sz w:val="24"/>
          <w:szCs w:val="24"/>
          <w:lang w:val="cs-CZ"/>
        </w:rPr>
        <w:t xml:space="preserve">pro období zahrnující celý jeden rok:  </w:t>
      </w:r>
      <m:oMath>
        <m:r>
          <m:rPr>
            <m:sty m:val="bi"/>
          </m:rPr>
          <w:rPr>
            <w:rFonts w:ascii="Cambria Math" w:hAnsi="Cambria Math" w:cstheme="minorHAnsi"/>
            <w:sz w:val="24"/>
            <w:szCs w:val="24"/>
            <w:lang w:val="cs-CZ"/>
          </w:rPr>
          <m:t>A=P∙(1+i)</m:t>
        </m:r>
      </m:oMath>
    </w:p>
    <w:p w14:paraId="32FC5C22" w14:textId="77777777" w:rsidR="00360868" w:rsidRPr="00775E84" w:rsidRDefault="00360868" w:rsidP="00057119">
      <w:pPr>
        <w:numPr>
          <w:ilvl w:val="1"/>
          <w:numId w:val="5"/>
        </w:numPr>
        <w:spacing w:after="160" w:line="259" w:lineRule="auto"/>
        <w:jc w:val="both"/>
        <w:rPr>
          <w:rFonts w:cstheme="minorHAnsi"/>
          <w:b/>
          <w:bCs/>
          <w:sz w:val="24"/>
          <w:szCs w:val="24"/>
          <w:lang w:val="cs-CZ"/>
        </w:rPr>
      </w:pPr>
      <w:r w:rsidRPr="00775E84">
        <w:rPr>
          <w:rFonts w:cstheme="minorHAnsi"/>
          <w:sz w:val="24"/>
          <w:szCs w:val="24"/>
          <w:lang w:val="cs-CZ"/>
        </w:rPr>
        <w:t xml:space="preserve">pro období kratší než jeden rok:  </w:t>
      </w:r>
      <m:oMath>
        <m:r>
          <m:rPr>
            <m:sty m:val="bi"/>
          </m:rPr>
          <w:rPr>
            <w:rFonts w:ascii="Cambria Math" w:hAnsi="Cambria Math" w:cstheme="minorHAnsi"/>
            <w:sz w:val="24"/>
            <w:szCs w:val="24"/>
            <w:lang w:val="cs-CZ"/>
          </w:rPr>
          <m:t>A=P∙(1+i∙</m:t>
        </m:r>
        <m:f>
          <m:fPr>
            <m:ctrlPr>
              <w:rPr>
                <w:rFonts w:ascii="Cambria Math" w:hAnsi="Cambria Math" w:cstheme="minorHAnsi"/>
                <w:b/>
                <w:bCs/>
                <w:i/>
                <w:sz w:val="24"/>
                <w:szCs w:val="24"/>
                <w:lang w:val="cs-CZ"/>
              </w:rPr>
            </m:ctrlPr>
          </m:fPr>
          <m:num>
            <m:r>
              <m:rPr>
                <m:sty m:val="bi"/>
              </m:rPr>
              <w:rPr>
                <w:rFonts w:ascii="Cambria Math" w:hAnsi="Cambria Math" w:cstheme="minorHAnsi"/>
                <w:sz w:val="24"/>
                <w:szCs w:val="24"/>
                <w:lang w:val="cs-CZ"/>
              </w:rPr>
              <m:t>x</m:t>
            </m:r>
          </m:num>
          <m:den>
            <m:r>
              <m:rPr>
                <m:sty m:val="bi"/>
              </m:rPr>
              <w:rPr>
                <w:rFonts w:ascii="Cambria Math" w:hAnsi="Cambria Math" w:cstheme="minorHAnsi"/>
                <w:sz w:val="24"/>
                <w:szCs w:val="24"/>
                <w:lang w:val="cs-CZ"/>
              </w:rPr>
              <m:t>y</m:t>
            </m:r>
          </m:den>
        </m:f>
        <m:r>
          <m:rPr>
            <m:sty m:val="bi"/>
          </m:rPr>
          <w:rPr>
            <w:rFonts w:ascii="Cambria Math" w:hAnsi="Cambria Math" w:cstheme="minorHAnsi"/>
            <w:sz w:val="24"/>
            <w:szCs w:val="24"/>
            <w:lang w:val="cs-CZ"/>
          </w:rPr>
          <m:t>)</m:t>
        </m:r>
      </m:oMath>
    </w:p>
    <w:p w14:paraId="16674475" w14:textId="77777777" w:rsidR="00566096" w:rsidRPr="00775E84" w:rsidRDefault="00566096" w:rsidP="00566096">
      <w:pPr>
        <w:ind w:left="708" w:firstLine="12"/>
        <w:rPr>
          <w:rFonts w:cstheme="minorHAnsi"/>
          <w:sz w:val="24"/>
          <w:szCs w:val="24"/>
          <w:lang w:val="cs-CZ"/>
        </w:rPr>
      </w:pPr>
      <w:r w:rsidRPr="00775E84">
        <w:rPr>
          <w:rFonts w:cstheme="minorHAnsi"/>
          <w:sz w:val="24"/>
          <w:szCs w:val="24"/>
          <w:lang w:val="cs-CZ"/>
        </w:rPr>
        <w:t>kde:</w:t>
      </w:r>
    </w:p>
    <w:p w14:paraId="12B9EBE6" w14:textId="77777777" w:rsidR="00566096" w:rsidRPr="00775E84" w:rsidRDefault="00566096" w:rsidP="00AF4884">
      <w:pPr>
        <w:spacing w:after="120"/>
        <w:ind w:firstLine="709"/>
        <w:rPr>
          <w:rFonts w:cstheme="minorHAnsi"/>
          <w:sz w:val="24"/>
          <w:szCs w:val="24"/>
          <w:lang w:val="cs-CZ"/>
        </w:rPr>
      </w:pPr>
      <w:r w:rsidRPr="00775E84">
        <w:rPr>
          <w:rFonts w:cstheme="minorHAnsi"/>
          <w:sz w:val="24"/>
          <w:szCs w:val="24"/>
          <w:lang w:val="cs-CZ"/>
        </w:rPr>
        <w:t xml:space="preserve">A = konečná částka </w:t>
      </w:r>
      <w:r w:rsidR="00257D26" w:rsidRPr="00775E84">
        <w:rPr>
          <w:rFonts w:cstheme="minorHAnsi"/>
          <w:sz w:val="24"/>
          <w:szCs w:val="24"/>
          <w:lang w:val="cs-CZ"/>
        </w:rPr>
        <w:t>navrácené podpory</w:t>
      </w:r>
      <w:r w:rsidRPr="00775E84">
        <w:rPr>
          <w:rFonts w:cstheme="minorHAnsi"/>
          <w:sz w:val="24"/>
          <w:szCs w:val="24"/>
          <w:lang w:val="cs-CZ"/>
        </w:rPr>
        <w:t>,</w:t>
      </w:r>
    </w:p>
    <w:p w14:paraId="019B98E8" w14:textId="77777777" w:rsidR="00566096" w:rsidRPr="00775E84" w:rsidRDefault="00566096" w:rsidP="00AF4884">
      <w:pPr>
        <w:spacing w:after="120"/>
        <w:ind w:firstLine="709"/>
        <w:rPr>
          <w:rFonts w:cstheme="minorHAnsi"/>
          <w:sz w:val="24"/>
          <w:szCs w:val="24"/>
          <w:lang w:val="cs-CZ"/>
        </w:rPr>
      </w:pPr>
      <w:r w:rsidRPr="00775E84">
        <w:rPr>
          <w:rFonts w:cstheme="minorHAnsi"/>
          <w:sz w:val="24"/>
          <w:szCs w:val="24"/>
          <w:lang w:val="cs-CZ"/>
        </w:rPr>
        <w:t xml:space="preserve">P = původní </w:t>
      </w:r>
      <w:r w:rsidR="00257D26" w:rsidRPr="00775E84">
        <w:rPr>
          <w:rFonts w:cstheme="minorHAnsi"/>
          <w:sz w:val="24"/>
          <w:szCs w:val="24"/>
          <w:lang w:val="cs-CZ"/>
        </w:rPr>
        <w:t xml:space="preserve">nominální hodnota </w:t>
      </w:r>
      <w:r w:rsidRPr="00775E84">
        <w:rPr>
          <w:rFonts w:cstheme="minorHAnsi"/>
          <w:sz w:val="24"/>
          <w:szCs w:val="24"/>
          <w:lang w:val="cs-CZ"/>
        </w:rPr>
        <w:t>podpory,</w:t>
      </w:r>
    </w:p>
    <w:p w14:paraId="4945BCE8" w14:textId="77777777" w:rsidR="00C965D3" w:rsidRPr="00775E84" w:rsidRDefault="009C7934" w:rsidP="00AF4884">
      <w:pPr>
        <w:spacing w:after="120"/>
        <w:ind w:firstLine="709"/>
        <w:rPr>
          <w:rFonts w:cstheme="minorHAnsi"/>
          <w:sz w:val="24"/>
          <w:szCs w:val="24"/>
          <w:lang w:val="cs-CZ"/>
        </w:rPr>
      </w:pPr>
      <w:r w:rsidRPr="00775E84">
        <w:rPr>
          <w:rFonts w:cstheme="minorHAnsi"/>
          <w:sz w:val="24"/>
          <w:szCs w:val="24"/>
          <w:lang w:val="cs-CZ"/>
        </w:rPr>
        <w:t>i</w:t>
      </w:r>
      <w:r w:rsidR="00566096" w:rsidRPr="00775E84">
        <w:rPr>
          <w:rFonts w:cstheme="minorHAnsi"/>
          <w:sz w:val="24"/>
          <w:szCs w:val="24"/>
          <w:lang w:val="cs-CZ"/>
        </w:rPr>
        <w:t xml:space="preserve"> = roční úroková sazba</w:t>
      </w:r>
      <w:r w:rsidR="00C965D3" w:rsidRPr="00775E84">
        <w:rPr>
          <w:rFonts w:cstheme="minorHAnsi"/>
          <w:sz w:val="24"/>
          <w:szCs w:val="24"/>
          <w:lang w:val="cs-CZ"/>
        </w:rPr>
        <w:t>,</w:t>
      </w:r>
    </w:p>
    <w:p w14:paraId="136CF075" w14:textId="77777777" w:rsidR="00C965D3" w:rsidRPr="00775E84" w:rsidRDefault="00AF4884" w:rsidP="00D71CE2">
      <w:pPr>
        <w:spacing w:after="120"/>
        <w:ind w:left="709"/>
        <w:jc w:val="both"/>
        <w:rPr>
          <w:rFonts w:cstheme="minorHAnsi"/>
          <w:sz w:val="24"/>
          <w:szCs w:val="24"/>
          <w:lang w:val="cs-CZ"/>
        </w:rPr>
      </w:pPr>
      <w:r w:rsidRPr="00775E84">
        <w:rPr>
          <w:rFonts w:cstheme="minorHAnsi"/>
          <w:sz w:val="24"/>
          <w:szCs w:val="24"/>
          <w:lang w:val="cs-CZ"/>
        </w:rPr>
        <w:t>x =</w:t>
      </w:r>
      <w:r w:rsidR="00C965D3" w:rsidRPr="00775E84">
        <w:rPr>
          <w:rFonts w:cstheme="minorHAnsi"/>
          <w:sz w:val="24"/>
          <w:szCs w:val="24"/>
          <w:lang w:val="cs-CZ"/>
        </w:rPr>
        <w:t xml:space="preserve"> počet dní od </w:t>
      </w:r>
      <w:r w:rsidR="00405CA2">
        <w:rPr>
          <w:rFonts w:cstheme="minorHAnsi"/>
          <w:sz w:val="24"/>
          <w:szCs w:val="24"/>
          <w:lang w:val="cs-CZ"/>
        </w:rPr>
        <w:t xml:space="preserve">data, kdy byla podpora </w:t>
      </w:r>
      <w:r w:rsidR="00D71CE2">
        <w:rPr>
          <w:rFonts w:cstheme="minorHAnsi"/>
          <w:sz w:val="24"/>
          <w:szCs w:val="24"/>
          <w:lang w:val="cs-CZ"/>
        </w:rPr>
        <w:t xml:space="preserve">poprvé </w:t>
      </w:r>
      <w:r w:rsidR="00405CA2">
        <w:rPr>
          <w:rFonts w:cstheme="minorHAnsi"/>
          <w:sz w:val="24"/>
          <w:szCs w:val="24"/>
          <w:lang w:val="cs-CZ"/>
        </w:rPr>
        <w:t xml:space="preserve">dána </w:t>
      </w:r>
      <w:r w:rsidR="002513F6">
        <w:rPr>
          <w:rFonts w:cstheme="minorHAnsi"/>
          <w:sz w:val="24"/>
          <w:szCs w:val="24"/>
          <w:lang w:val="cs-CZ"/>
        </w:rPr>
        <w:t xml:space="preserve">příjemci </w:t>
      </w:r>
      <w:r w:rsidR="00405CA2">
        <w:rPr>
          <w:rFonts w:cstheme="minorHAnsi"/>
          <w:sz w:val="24"/>
          <w:szCs w:val="24"/>
          <w:lang w:val="cs-CZ"/>
        </w:rPr>
        <w:t xml:space="preserve">k dispozici, </w:t>
      </w:r>
      <w:r w:rsidR="00C965D3" w:rsidRPr="00775E84">
        <w:rPr>
          <w:rFonts w:cstheme="minorHAnsi"/>
          <w:sz w:val="24"/>
          <w:szCs w:val="24"/>
          <w:lang w:val="cs-CZ"/>
        </w:rPr>
        <w:t>do vrácení podpory včetně,</w:t>
      </w:r>
    </w:p>
    <w:p w14:paraId="55516982" w14:textId="77777777" w:rsidR="00EA45D5" w:rsidRPr="00775E84" w:rsidRDefault="00AF4884" w:rsidP="00AF4884">
      <w:pPr>
        <w:spacing w:after="120"/>
        <w:ind w:firstLine="709"/>
        <w:rPr>
          <w:rFonts w:cstheme="minorHAnsi"/>
          <w:sz w:val="24"/>
          <w:szCs w:val="24"/>
          <w:lang w:val="cs-CZ"/>
        </w:rPr>
      </w:pPr>
      <w:r w:rsidRPr="00775E84">
        <w:rPr>
          <w:rFonts w:cstheme="minorHAnsi"/>
          <w:sz w:val="24"/>
          <w:szCs w:val="24"/>
          <w:lang w:val="cs-CZ"/>
        </w:rPr>
        <w:t>y</w:t>
      </w:r>
      <w:r w:rsidR="00C965D3" w:rsidRPr="00775E84">
        <w:rPr>
          <w:rFonts w:cstheme="minorHAnsi"/>
          <w:sz w:val="24"/>
          <w:szCs w:val="24"/>
          <w:lang w:val="cs-CZ"/>
        </w:rPr>
        <w:t xml:space="preserve"> = počet dní v roce (365 nebo 366 dní)</w:t>
      </w:r>
      <w:r w:rsidR="00566096" w:rsidRPr="00775E84">
        <w:rPr>
          <w:rFonts w:cstheme="minorHAnsi"/>
          <w:sz w:val="24"/>
          <w:szCs w:val="24"/>
          <w:lang w:val="cs-CZ"/>
        </w:rPr>
        <w:t>.</w:t>
      </w:r>
    </w:p>
    <w:p w14:paraId="2F497220" w14:textId="77777777" w:rsidR="00EA45D5" w:rsidRPr="00775E84" w:rsidRDefault="00EA45D5">
      <w:pPr>
        <w:rPr>
          <w:rFonts w:cstheme="minorHAnsi"/>
          <w:sz w:val="24"/>
          <w:szCs w:val="24"/>
          <w:lang w:val="cs-CZ"/>
        </w:rPr>
      </w:pPr>
      <w:r w:rsidRPr="00775E84">
        <w:rPr>
          <w:rFonts w:cstheme="minorHAnsi"/>
          <w:sz w:val="24"/>
          <w:szCs w:val="24"/>
          <w:lang w:val="cs-CZ"/>
        </w:rPr>
        <w:br w:type="page"/>
      </w:r>
    </w:p>
    <w:p w14:paraId="2FABFD8F" w14:textId="77777777" w:rsidR="00EA45D5" w:rsidRPr="00405CA2" w:rsidRDefault="00EA45D5" w:rsidP="00EA45D5">
      <w:pPr>
        <w:pStyle w:val="Nadpis1"/>
        <w:rPr>
          <w:b/>
          <w:bCs/>
          <w:sz w:val="32"/>
          <w:szCs w:val="32"/>
          <w:lang w:val="cs-CZ"/>
        </w:rPr>
      </w:pPr>
      <w:bookmarkStart w:id="21" w:name="_Toc202430948"/>
      <w:r w:rsidRPr="00775E84">
        <w:rPr>
          <w:b/>
          <w:bCs/>
          <w:sz w:val="32"/>
          <w:szCs w:val="32"/>
          <w:lang w:val="cs-CZ"/>
        </w:rPr>
        <w:lastRenderedPageBreak/>
        <w:t>5. PŘÍKLAD VÝPOČTU</w:t>
      </w:r>
      <w:bookmarkEnd w:id="21"/>
      <w:r w:rsidRPr="00775E84">
        <w:rPr>
          <w:b/>
          <w:bCs/>
          <w:sz w:val="32"/>
          <w:szCs w:val="32"/>
          <w:lang w:val="cs-CZ"/>
        </w:rPr>
        <w:t xml:space="preserve"> </w:t>
      </w:r>
    </w:p>
    <w:p w14:paraId="742B18CF" w14:textId="77777777" w:rsidR="00566096" w:rsidRPr="00405CA2" w:rsidRDefault="00EA45D5" w:rsidP="00EA45D5">
      <w:pPr>
        <w:spacing w:after="120"/>
        <w:rPr>
          <w:rFonts w:cstheme="minorHAnsi"/>
          <w:sz w:val="24"/>
          <w:szCs w:val="24"/>
          <w:lang w:val="cs-CZ"/>
        </w:rPr>
      </w:pPr>
      <w:r w:rsidRPr="00090792">
        <w:rPr>
          <w:rFonts w:cstheme="minorHAnsi"/>
          <w:b/>
          <w:bCs/>
          <w:noProof/>
          <w:sz w:val="32"/>
          <w:szCs w:val="32"/>
          <w:lang w:val="cs-CZ" w:eastAsia="cs-CZ"/>
        </w:rPr>
        <mc:AlternateContent>
          <mc:Choice Requires="wps">
            <w:drawing>
              <wp:anchor distT="45720" distB="45720" distL="114300" distR="114300" simplePos="0" relativeHeight="251658246" behindDoc="0" locked="0" layoutInCell="1" allowOverlap="1" wp14:anchorId="06D3BAB5" wp14:editId="03AE7784">
                <wp:simplePos x="0" y="0"/>
                <wp:positionH relativeFrom="margin">
                  <wp:align>left</wp:align>
                </wp:positionH>
                <wp:positionV relativeFrom="paragraph">
                  <wp:posOffset>305435</wp:posOffset>
                </wp:positionV>
                <wp:extent cx="5954395" cy="1404620"/>
                <wp:effectExtent l="0" t="0" r="27305" b="1905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1404620"/>
                        </a:xfrm>
                        <a:prstGeom prst="rect">
                          <a:avLst/>
                        </a:prstGeom>
                        <a:solidFill>
                          <a:schemeClr val="accent5">
                            <a:lumMod val="20000"/>
                            <a:lumOff val="80000"/>
                          </a:schemeClr>
                        </a:solidFill>
                        <a:ln w="9525">
                          <a:solidFill>
                            <a:srgbClr val="000000"/>
                          </a:solidFill>
                          <a:miter lim="800000"/>
                          <a:headEnd/>
                          <a:tailEnd/>
                        </a:ln>
                      </wps:spPr>
                      <wps:txbx>
                        <w:txbxContent>
                          <w:p w14:paraId="11241787" w14:textId="77777777" w:rsidR="00FC72E2" w:rsidRPr="00AB452F" w:rsidRDefault="00FC72E2" w:rsidP="00405CA2">
                            <w:pPr>
                              <w:jc w:val="both"/>
                              <w:rPr>
                                <w:b/>
                                <w:bCs/>
                                <w:i/>
                                <w:iCs/>
                                <w:sz w:val="24"/>
                                <w:szCs w:val="24"/>
                              </w:rPr>
                            </w:pPr>
                            <w:proofErr w:type="spellStart"/>
                            <w:r w:rsidRPr="00AB452F">
                              <w:rPr>
                                <w:b/>
                                <w:bCs/>
                                <w:i/>
                                <w:iCs/>
                                <w:sz w:val="24"/>
                                <w:szCs w:val="24"/>
                              </w:rPr>
                              <w:t>Příjemci</w:t>
                            </w:r>
                            <w:proofErr w:type="spellEnd"/>
                            <w:r w:rsidRPr="00AB452F">
                              <w:rPr>
                                <w:b/>
                                <w:bCs/>
                                <w:i/>
                                <w:iCs/>
                                <w:sz w:val="24"/>
                                <w:szCs w:val="24"/>
                              </w:rPr>
                              <w:t xml:space="preserve"> </w:t>
                            </w:r>
                            <w:proofErr w:type="spellStart"/>
                            <w:r w:rsidRPr="00405CA2">
                              <w:rPr>
                                <w:b/>
                                <w:bCs/>
                                <w:i/>
                                <w:iCs/>
                                <w:sz w:val="24"/>
                                <w:szCs w:val="24"/>
                              </w:rPr>
                              <w:t>byla</w:t>
                            </w:r>
                            <w:proofErr w:type="spellEnd"/>
                            <w:r w:rsidRPr="00405CA2">
                              <w:rPr>
                                <w:b/>
                                <w:bCs/>
                                <w:i/>
                                <w:iCs/>
                                <w:sz w:val="24"/>
                                <w:szCs w:val="24"/>
                              </w:rPr>
                              <w:t xml:space="preserve"> </w:t>
                            </w:r>
                            <w:proofErr w:type="spellStart"/>
                            <w:r w:rsidRPr="00405CA2">
                              <w:rPr>
                                <w:b/>
                                <w:bCs/>
                                <w:i/>
                                <w:iCs/>
                                <w:sz w:val="24"/>
                                <w:szCs w:val="24"/>
                              </w:rPr>
                              <w:t>poskytnuta</w:t>
                            </w:r>
                            <w:proofErr w:type="spellEnd"/>
                            <w:r w:rsidRPr="00AB452F">
                              <w:rPr>
                                <w:b/>
                                <w:bCs/>
                                <w:i/>
                                <w:iCs/>
                                <w:sz w:val="24"/>
                                <w:szCs w:val="24"/>
                              </w:rPr>
                              <w:t xml:space="preserve"> </w:t>
                            </w:r>
                            <w:proofErr w:type="spellStart"/>
                            <w:r w:rsidRPr="00AB452F">
                              <w:rPr>
                                <w:b/>
                                <w:bCs/>
                                <w:i/>
                                <w:iCs/>
                                <w:sz w:val="24"/>
                                <w:szCs w:val="24"/>
                              </w:rPr>
                              <w:t>přímá</w:t>
                            </w:r>
                            <w:proofErr w:type="spellEnd"/>
                            <w:r w:rsidRPr="00AB452F">
                              <w:rPr>
                                <w:b/>
                                <w:bCs/>
                                <w:i/>
                                <w:iCs/>
                                <w:sz w:val="24"/>
                                <w:szCs w:val="24"/>
                              </w:rPr>
                              <w:t xml:space="preserve"> </w:t>
                            </w:r>
                            <w:proofErr w:type="spellStart"/>
                            <w:r w:rsidRPr="00AB452F">
                              <w:rPr>
                                <w:b/>
                                <w:bCs/>
                                <w:i/>
                                <w:iCs/>
                                <w:sz w:val="24"/>
                                <w:szCs w:val="24"/>
                              </w:rPr>
                              <w:t>dotace</w:t>
                            </w:r>
                            <w:proofErr w:type="spellEnd"/>
                            <w:r w:rsidRPr="00AB452F">
                              <w:rPr>
                                <w:b/>
                                <w:bCs/>
                                <w:i/>
                                <w:iCs/>
                                <w:sz w:val="24"/>
                                <w:szCs w:val="24"/>
                              </w:rPr>
                              <w:t xml:space="preserve"> </w:t>
                            </w:r>
                            <w:proofErr w:type="spellStart"/>
                            <w:r w:rsidRPr="00AB452F">
                              <w:rPr>
                                <w:b/>
                                <w:bCs/>
                                <w:i/>
                                <w:iCs/>
                                <w:sz w:val="24"/>
                                <w:szCs w:val="24"/>
                              </w:rPr>
                              <w:t>ve</w:t>
                            </w:r>
                            <w:proofErr w:type="spellEnd"/>
                            <w:r w:rsidRPr="00AB452F">
                              <w:rPr>
                                <w:b/>
                                <w:bCs/>
                                <w:i/>
                                <w:iCs/>
                                <w:sz w:val="24"/>
                                <w:szCs w:val="24"/>
                              </w:rPr>
                              <w:t xml:space="preserve"> </w:t>
                            </w:r>
                            <w:proofErr w:type="spellStart"/>
                            <w:r w:rsidRPr="00AB452F">
                              <w:rPr>
                                <w:b/>
                                <w:bCs/>
                                <w:i/>
                                <w:iCs/>
                                <w:sz w:val="24"/>
                                <w:szCs w:val="24"/>
                              </w:rPr>
                              <w:t>výši</w:t>
                            </w:r>
                            <w:proofErr w:type="spellEnd"/>
                            <w:r w:rsidRPr="00AB452F">
                              <w:rPr>
                                <w:b/>
                                <w:bCs/>
                                <w:i/>
                                <w:iCs/>
                                <w:sz w:val="24"/>
                                <w:szCs w:val="24"/>
                              </w:rPr>
                              <w:t xml:space="preserve"> 426 300 </w:t>
                            </w:r>
                            <w:proofErr w:type="spellStart"/>
                            <w:r w:rsidRPr="00AB452F">
                              <w:rPr>
                                <w:b/>
                                <w:bCs/>
                                <w:i/>
                                <w:iCs/>
                                <w:sz w:val="24"/>
                                <w:szCs w:val="24"/>
                              </w:rPr>
                              <w:t>Kč</w:t>
                            </w:r>
                            <w:proofErr w:type="spellEnd"/>
                            <w:r w:rsidRPr="00AB452F">
                              <w:rPr>
                                <w:b/>
                                <w:bCs/>
                                <w:i/>
                                <w:iCs/>
                                <w:sz w:val="24"/>
                                <w:szCs w:val="24"/>
                              </w:rPr>
                              <w:t xml:space="preserve"> </w:t>
                            </w:r>
                            <w:proofErr w:type="spellStart"/>
                            <w:r w:rsidRPr="00AB452F">
                              <w:rPr>
                                <w:b/>
                                <w:bCs/>
                                <w:i/>
                                <w:iCs/>
                                <w:sz w:val="24"/>
                                <w:szCs w:val="24"/>
                              </w:rPr>
                              <w:t>dne</w:t>
                            </w:r>
                            <w:proofErr w:type="spellEnd"/>
                            <w:r w:rsidRPr="00AB452F">
                              <w:rPr>
                                <w:b/>
                                <w:bCs/>
                                <w:i/>
                                <w:iCs/>
                                <w:sz w:val="24"/>
                                <w:szCs w:val="24"/>
                              </w:rPr>
                              <w:t xml:space="preserve"> </w:t>
                            </w:r>
                            <w:r w:rsidR="00405CA2">
                              <w:rPr>
                                <w:b/>
                                <w:bCs/>
                                <w:i/>
                                <w:iCs/>
                                <w:sz w:val="24"/>
                                <w:szCs w:val="24"/>
                              </w:rPr>
                              <w:t>7</w:t>
                            </w:r>
                            <w:r w:rsidRPr="00AB452F">
                              <w:rPr>
                                <w:b/>
                                <w:bCs/>
                                <w:i/>
                                <w:iCs/>
                                <w:sz w:val="24"/>
                                <w:szCs w:val="24"/>
                              </w:rPr>
                              <w:t xml:space="preserve">. </w:t>
                            </w:r>
                            <w:r w:rsidR="00405CA2" w:rsidRPr="008A4D63">
                              <w:rPr>
                                <w:b/>
                                <w:bCs/>
                                <w:i/>
                                <w:iCs/>
                                <w:sz w:val="24"/>
                                <w:szCs w:val="24"/>
                                <w:lang w:val="de-DE"/>
                              </w:rPr>
                              <w:t>4</w:t>
                            </w:r>
                            <w:r w:rsidRPr="008A4D63">
                              <w:rPr>
                                <w:b/>
                                <w:bCs/>
                                <w:i/>
                                <w:iCs/>
                                <w:sz w:val="24"/>
                                <w:szCs w:val="24"/>
                                <w:lang w:val="de-DE"/>
                              </w:rPr>
                              <w:t>. 20</w:t>
                            </w:r>
                            <w:r w:rsidR="00F902CC" w:rsidRPr="008A4D63">
                              <w:rPr>
                                <w:b/>
                                <w:bCs/>
                                <w:i/>
                                <w:iCs/>
                                <w:sz w:val="24"/>
                                <w:szCs w:val="24"/>
                                <w:lang w:val="de-DE"/>
                              </w:rPr>
                              <w:t>2</w:t>
                            </w:r>
                            <w:r w:rsidR="00C5164D" w:rsidRPr="008A4D63">
                              <w:rPr>
                                <w:b/>
                                <w:bCs/>
                                <w:i/>
                                <w:iCs/>
                                <w:sz w:val="24"/>
                                <w:szCs w:val="24"/>
                                <w:lang w:val="de-DE"/>
                              </w:rPr>
                              <w:t>1</w:t>
                            </w:r>
                            <w:r w:rsidRPr="008A4D63">
                              <w:rPr>
                                <w:b/>
                                <w:bCs/>
                                <w:i/>
                                <w:iCs/>
                                <w:sz w:val="24"/>
                                <w:szCs w:val="24"/>
                                <w:lang w:val="de-DE"/>
                              </w:rPr>
                              <w:t xml:space="preserve">, </w:t>
                            </w:r>
                            <w:proofErr w:type="spellStart"/>
                            <w:r w:rsidRPr="008A4D63">
                              <w:rPr>
                                <w:b/>
                                <w:bCs/>
                                <w:i/>
                                <w:iCs/>
                                <w:sz w:val="24"/>
                                <w:szCs w:val="24"/>
                                <w:lang w:val="de-DE"/>
                              </w:rPr>
                              <w:t>kterou</w:t>
                            </w:r>
                            <w:proofErr w:type="spellEnd"/>
                            <w:r w:rsidRPr="008A4D63">
                              <w:rPr>
                                <w:b/>
                                <w:bCs/>
                                <w:i/>
                                <w:iCs/>
                                <w:sz w:val="24"/>
                                <w:szCs w:val="24"/>
                                <w:lang w:val="de-DE"/>
                              </w:rPr>
                              <w:t xml:space="preserve"> </w:t>
                            </w:r>
                            <w:proofErr w:type="spellStart"/>
                            <w:r w:rsidRPr="008A4D63">
                              <w:rPr>
                                <w:b/>
                                <w:bCs/>
                                <w:i/>
                                <w:iCs/>
                                <w:sz w:val="24"/>
                                <w:szCs w:val="24"/>
                                <w:lang w:val="de-DE"/>
                              </w:rPr>
                              <w:t>mu</w:t>
                            </w:r>
                            <w:proofErr w:type="spellEnd"/>
                            <w:r w:rsidRPr="008A4D63">
                              <w:rPr>
                                <w:b/>
                                <w:bCs/>
                                <w:i/>
                                <w:iCs/>
                                <w:sz w:val="24"/>
                                <w:szCs w:val="24"/>
                                <w:lang w:val="de-DE"/>
                              </w:rPr>
                              <w:t xml:space="preserve"> </w:t>
                            </w:r>
                            <w:proofErr w:type="spellStart"/>
                            <w:r w:rsidRPr="008A4D63">
                              <w:rPr>
                                <w:b/>
                                <w:bCs/>
                                <w:i/>
                                <w:iCs/>
                                <w:sz w:val="24"/>
                                <w:szCs w:val="24"/>
                                <w:lang w:val="de-DE"/>
                              </w:rPr>
                              <w:t>poskytovatel</w:t>
                            </w:r>
                            <w:proofErr w:type="spellEnd"/>
                            <w:r w:rsidRPr="008A4D63">
                              <w:rPr>
                                <w:b/>
                                <w:bCs/>
                                <w:i/>
                                <w:iCs/>
                                <w:sz w:val="24"/>
                                <w:szCs w:val="24"/>
                                <w:lang w:val="de-DE"/>
                              </w:rPr>
                              <w:t xml:space="preserve"> </w:t>
                            </w:r>
                            <w:proofErr w:type="spellStart"/>
                            <w:r w:rsidR="00405CA2" w:rsidRPr="008A4D63">
                              <w:rPr>
                                <w:b/>
                                <w:bCs/>
                                <w:i/>
                                <w:iCs/>
                                <w:sz w:val="24"/>
                                <w:szCs w:val="24"/>
                                <w:lang w:val="de-DE"/>
                              </w:rPr>
                              <w:t>vyplatil</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dne</w:t>
                            </w:r>
                            <w:proofErr w:type="spellEnd"/>
                            <w:r w:rsidR="00405CA2" w:rsidRPr="008A4D63">
                              <w:rPr>
                                <w:b/>
                                <w:bCs/>
                                <w:i/>
                                <w:iCs/>
                                <w:sz w:val="24"/>
                                <w:szCs w:val="24"/>
                                <w:lang w:val="de-DE"/>
                              </w:rPr>
                              <w:t xml:space="preserve"> 4. 12. 20</w:t>
                            </w:r>
                            <w:r w:rsidR="00F902CC" w:rsidRPr="008A4D63">
                              <w:rPr>
                                <w:b/>
                                <w:bCs/>
                                <w:i/>
                                <w:iCs/>
                                <w:sz w:val="24"/>
                                <w:szCs w:val="24"/>
                                <w:lang w:val="de-DE"/>
                              </w:rPr>
                              <w:t>2</w:t>
                            </w:r>
                            <w:r w:rsidR="00C5164D" w:rsidRPr="008A4D63">
                              <w:rPr>
                                <w:b/>
                                <w:bCs/>
                                <w:i/>
                                <w:iCs/>
                                <w:sz w:val="24"/>
                                <w:szCs w:val="24"/>
                                <w:lang w:val="de-DE"/>
                              </w:rPr>
                              <w:t>1</w:t>
                            </w:r>
                            <w:r w:rsidR="00405CA2" w:rsidRPr="008A4D63">
                              <w:rPr>
                                <w:b/>
                                <w:bCs/>
                                <w:i/>
                                <w:iCs/>
                                <w:sz w:val="24"/>
                                <w:szCs w:val="24"/>
                                <w:lang w:val="de-DE"/>
                              </w:rPr>
                              <w:t xml:space="preserve">. </w:t>
                            </w:r>
                            <w:r w:rsidR="00F902CC" w:rsidRPr="008A4D63">
                              <w:rPr>
                                <w:b/>
                                <w:bCs/>
                                <w:i/>
                                <w:iCs/>
                                <w:sz w:val="24"/>
                                <w:szCs w:val="24"/>
                                <w:lang w:val="de-DE"/>
                              </w:rPr>
                              <w:t xml:space="preserve">Na </w:t>
                            </w:r>
                            <w:proofErr w:type="spellStart"/>
                            <w:r w:rsidR="00F902CC" w:rsidRPr="008A4D63">
                              <w:rPr>
                                <w:b/>
                                <w:bCs/>
                                <w:i/>
                                <w:iCs/>
                                <w:sz w:val="24"/>
                                <w:szCs w:val="24"/>
                                <w:lang w:val="de-DE"/>
                              </w:rPr>
                              <w:t>základě</w:t>
                            </w:r>
                            <w:proofErr w:type="spellEnd"/>
                            <w:r w:rsidR="00F902CC" w:rsidRPr="008A4D63">
                              <w:rPr>
                                <w:b/>
                                <w:bCs/>
                                <w:i/>
                                <w:iCs/>
                                <w:sz w:val="24"/>
                                <w:szCs w:val="24"/>
                                <w:lang w:val="de-DE"/>
                              </w:rPr>
                              <w:t xml:space="preserve"> ex </w:t>
                            </w:r>
                            <w:proofErr w:type="spellStart"/>
                            <w:r w:rsidR="00F902CC" w:rsidRPr="008A4D63">
                              <w:rPr>
                                <w:b/>
                                <w:bCs/>
                                <w:i/>
                                <w:iCs/>
                                <w:sz w:val="24"/>
                                <w:szCs w:val="24"/>
                                <w:lang w:val="de-DE"/>
                              </w:rPr>
                              <w:t>post</w:t>
                            </w:r>
                            <w:proofErr w:type="spellEnd"/>
                            <w:r w:rsidR="00F902CC" w:rsidRPr="008A4D63">
                              <w:rPr>
                                <w:b/>
                                <w:bCs/>
                                <w:i/>
                                <w:iCs/>
                                <w:sz w:val="24"/>
                                <w:szCs w:val="24"/>
                                <w:lang w:val="de-DE"/>
                              </w:rPr>
                              <w:t xml:space="preserve"> </w:t>
                            </w:r>
                            <w:proofErr w:type="spellStart"/>
                            <w:r w:rsidR="00F902CC" w:rsidRPr="008A4D63">
                              <w:rPr>
                                <w:b/>
                                <w:bCs/>
                                <w:i/>
                                <w:iCs/>
                                <w:sz w:val="24"/>
                                <w:szCs w:val="24"/>
                                <w:lang w:val="de-DE"/>
                              </w:rPr>
                              <w:t>kontroly</w:t>
                            </w:r>
                            <w:proofErr w:type="spellEnd"/>
                            <w:r w:rsidR="00F902CC" w:rsidRPr="008A4D63">
                              <w:rPr>
                                <w:b/>
                                <w:bCs/>
                                <w:i/>
                                <w:iCs/>
                                <w:sz w:val="24"/>
                                <w:szCs w:val="24"/>
                                <w:lang w:val="de-DE"/>
                              </w:rPr>
                              <w:t xml:space="preserve"> </w:t>
                            </w:r>
                            <w:proofErr w:type="spellStart"/>
                            <w:r w:rsidR="00405CA2" w:rsidRPr="008A4D63">
                              <w:rPr>
                                <w:b/>
                                <w:bCs/>
                                <w:i/>
                                <w:iCs/>
                                <w:sz w:val="24"/>
                                <w:szCs w:val="24"/>
                                <w:lang w:val="de-DE"/>
                              </w:rPr>
                              <w:t>poskytovatel</w:t>
                            </w:r>
                            <w:proofErr w:type="spellEnd"/>
                            <w:r w:rsidR="00405CA2" w:rsidRPr="008A4D63">
                              <w:rPr>
                                <w:b/>
                                <w:bCs/>
                                <w:i/>
                                <w:iCs/>
                                <w:sz w:val="24"/>
                                <w:szCs w:val="24"/>
                                <w:lang w:val="de-DE"/>
                              </w:rPr>
                              <w:t xml:space="preserve"> </w:t>
                            </w:r>
                            <w:proofErr w:type="spellStart"/>
                            <w:r w:rsidR="00F902CC" w:rsidRPr="008A4D63">
                              <w:rPr>
                                <w:b/>
                                <w:bCs/>
                                <w:i/>
                                <w:iCs/>
                                <w:sz w:val="24"/>
                                <w:szCs w:val="24"/>
                                <w:lang w:val="de-DE"/>
                              </w:rPr>
                              <w:t>následně</w:t>
                            </w:r>
                            <w:proofErr w:type="spellEnd"/>
                            <w:r w:rsidR="00F902CC" w:rsidRPr="008A4D63">
                              <w:rPr>
                                <w:b/>
                                <w:bCs/>
                                <w:i/>
                                <w:iCs/>
                                <w:sz w:val="24"/>
                                <w:szCs w:val="24"/>
                                <w:lang w:val="de-DE"/>
                              </w:rPr>
                              <w:t xml:space="preserve"> </w:t>
                            </w:r>
                            <w:proofErr w:type="spellStart"/>
                            <w:r w:rsidR="00405CA2" w:rsidRPr="008A4D63">
                              <w:rPr>
                                <w:b/>
                                <w:bCs/>
                                <w:i/>
                                <w:iCs/>
                                <w:sz w:val="24"/>
                                <w:szCs w:val="24"/>
                                <w:lang w:val="de-DE"/>
                              </w:rPr>
                              <w:t>zjistil</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že</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byla</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podpora</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poskytnuta</w:t>
                            </w:r>
                            <w:proofErr w:type="spellEnd"/>
                            <w:r w:rsidR="00405CA2" w:rsidRPr="008A4D63">
                              <w:rPr>
                                <w:b/>
                                <w:bCs/>
                                <w:i/>
                                <w:iCs/>
                                <w:sz w:val="24"/>
                                <w:szCs w:val="24"/>
                                <w:lang w:val="de-DE"/>
                              </w:rPr>
                              <w:t xml:space="preserve"> v </w:t>
                            </w:r>
                            <w:proofErr w:type="spellStart"/>
                            <w:r w:rsidR="00405CA2" w:rsidRPr="008A4D63">
                              <w:rPr>
                                <w:b/>
                                <w:bCs/>
                                <w:i/>
                                <w:iCs/>
                                <w:sz w:val="24"/>
                                <w:szCs w:val="24"/>
                                <w:lang w:val="de-DE"/>
                              </w:rPr>
                              <w:t>rozporu</w:t>
                            </w:r>
                            <w:proofErr w:type="spellEnd"/>
                            <w:r w:rsidR="00405CA2" w:rsidRPr="008A4D63">
                              <w:rPr>
                                <w:b/>
                                <w:bCs/>
                                <w:i/>
                                <w:iCs/>
                                <w:sz w:val="24"/>
                                <w:szCs w:val="24"/>
                                <w:lang w:val="de-DE"/>
                              </w:rPr>
                              <w:t xml:space="preserve"> s GBER, </w:t>
                            </w:r>
                            <w:proofErr w:type="spellStart"/>
                            <w:r w:rsidRPr="008A4D63">
                              <w:rPr>
                                <w:b/>
                                <w:bCs/>
                                <w:i/>
                                <w:iCs/>
                                <w:sz w:val="24"/>
                                <w:szCs w:val="24"/>
                                <w:lang w:val="de-DE"/>
                              </w:rPr>
                              <w:t>nařídil</w:t>
                            </w:r>
                            <w:proofErr w:type="spellEnd"/>
                            <w:r w:rsidRPr="008A4D63">
                              <w:rPr>
                                <w:b/>
                                <w:bCs/>
                                <w:i/>
                                <w:iCs/>
                                <w:sz w:val="24"/>
                                <w:szCs w:val="24"/>
                                <w:lang w:val="de-DE"/>
                              </w:rPr>
                              <w:t xml:space="preserve"> </w:t>
                            </w:r>
                            <w:proofErr w:type="spellStart"/>
                            <w:r w:rsidR="00405CA2" w:rsidRPr="008A4D63">
                              <w:rPr>
                                <w:b/>
                                <w:bCs/>
                                <w:i/>
                                <w:iCs/>
                                <w:sz w:val="24"/>
                                <w:szCs w:val="24"/>
                                <w:lang w:val="de-DE"/>
                              </w:rPr>
                              <w:t>ji</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příjemci</w:t>
                            </w:r>
                            <w:proofErr w:type="spellEnd"/>
                            <w:r w:rsidR="00405CA2" w:rsidRPr="008A4D63">
                              <w:rPr>
                                <w:b/>
                                <w:bCs/>
                                <w:i/>
                                <w:iCs/>
                                <w:sz w:val="24"/>
                                <w:szCs w:val="24"/>
                                <w:lang w:val="de-DE"/>
                              </w:rPr>
                              <w:t xml:space="preserve"> </w:t>
                            </w:r>
                            <w:proofErr w:type="spellStart"/>
                            <w:r w:rsidRPr="008A4D63">
                              <w:rPr>
                                <w:b/>
                                <w:bCs/>
                                <w:i/>
                                <w:iCs/>
                                <w:sz w:val="24"/>
                                <w:szCs w:val="24"/>
                                <w:lang w:val="de-DE"/>
                              </w:rPr>
                              <w:t>vrátit</w:t>
                            </w:r>
                            <w:proofErr w:type="spellEnd"/>
                            <w:r w:rsidRPr="008A4D63">
                              <w:rPr>
                                <w:b/>
                                <w:bCs/>
                                <w:i/>
                                <w:iCs/>
                                <w:sz w:val="24"/>
                                <w:szCs w:val="24"/>
                                <w:lang w:val="de-DE"/>
                              </w:rPr>
                              <w:t xml:space="preserve"> </w:t>
                            </w:r>
                            <w:proofErr w:type="spellStart"/>
                            <w:r w:rsidR="00405CA2" w:rsidRPr="008A4D63">
                              <w:rPr>
                                <w:b/>
                                <w:bCs/>
                                <w:i/>
                                <w:iCs/>
                                <w:sz w:val="24"/>
                                <w:szCs w:val="24"/>
                                <w:lang w:val="de-DE"/>
                              </w:rPr>
                              <w:t>ke</w:t>
                            </w:r>
                            <w:proofErr w:type="spellEnd"/>
                            <w:r w:rsidR="00405CA2" w:rsidRPr="008A4D63">
                              <w:rPr>
                                <w:b/>
                                <w:bCs/>
                                <w:i/>
                                <w:iCs/>
                                <w:sz w:val="24"/>
                                <w:szCs w:val="24"/>
                                <w:lang w:val="de-DE"/>
                              </w:rPr>
                              <w:t xml:space="preserve"> </w:t>
                            </w:r>
                            <w:proofErr w:type="spellStart"/>
                            <w:r w:rsidRPr="008A4D63">
                              <w:rPr>
                                <w:b/>
                                <w:bCs/>
                                <w:i/>
                                <w:iCs/>
                                <w:sz w:val="24"/>
                                <w:szCs w:val="24"/>
                                <w:lang w:val="de-DE"/>
                              </w:rPr>
                              <w:t>dn</w:t>
                            </w:r>
                            <w:r w:rsidR="00405CA2" w:rsidRPr="008A4D63">
                              <w:rPr>
                                <w:b/>
                                <w:bCs/>
                                <w:i/>
                                <w:iCs/>
                                <w:sz w:val="24"/>
                                <w:szCs w:val="24"/>
                                <w:lang w:val="de-DE"/>
                              </w:rPr>
                              <w:t>i</w:t>
                            </w:r>
                            <w:proofErr w:type="spellEnd"/>
                            <w:r w:rsidRPr="008A4D63">
                              <w:rPr>
                                <w:b/>
                                <w:bCs/>
                                <w:i/>
                                <w:iCs/>
                                <w:sz w:val="24"/>
                                <w:szCs w:val="24"/>
                                <w:lang w:val="de-DE"/>
                              </w:rPr>
                              <w:t xml:space="preserve"> 16. </w:t>
                            </w:r>
                            <w:r w:rsidRPr="00AB452F">
                              <w:rPr>
                                <w:b/>
                                <w:bCs/>
                                <w:i/>
                                <w:iCs/>
                                <w:sz w:val="24"/>
                                <w:szCs w:val="24"/>
                              </w:rPr>
                              <w:t xml:space="preserve">3. 2024, a to </w:t>
                            </w:r>
                            <w:proofErr w:type="spellStart"/>
                            <w:r w:rsidRPr="00AB452F">
                              <w:rPr>
                                <w:b/>
                                <w:bCs/>
                                <w:i/>
                                <w:iCs/>
                                <w:sz w:val="24"/>
                                <w:szCs w:val="24"/>
                              </w:rPr>
                              <w:t>včetně</w:t>
                            </w:r>
                            <w:proofErr w:type="spellEnd"/>
                            <w:r w:rsidRPr="00AB452F">
                              <w:rPr>
                                <w:b/>
                                <w:bCs/>
                                <w:i/>
                                <w:iCs/>
                                <w:sz w:val="24"/>
                                <w:szCs w:val="24"/>
                              </w:rPr>
                              <w:t xml:space="preserve"> </w:t>
                            </w:r>
                            <w:proofErr w:type="spellStart"/>
                            <w:r w:rsidRPr="00AB452F">
                              <w:rPr>
                                <w:b/>
                                <w:bCs/>
                                <w:i/>
                                <w:iCs/>
                                <w:sz w:val="24"/>
                                <w:szCs w:val="24"/>
                              </w:rPr>
                              <w:t>úroků</w:t>
                            </w:r>
                            <w:proofErr w:type="spellEnd"/>
                            <w:r w:rsidRPr="00AB452F">
                              <w:rPr>
                                <w:b/>
                                <w:bCs/>
                                <w:i/>
                                <w:iCs/>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D3BAB5" id="_x0000_s1031" type="#_x0000_t202" style="position:absolute;margin-left:0;margin-top:24.05pt;width:468.85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" fillcolor="#daeef3 [664]">
                <v:textbox style="mso-fit-shape-to-text:t">
                  <w:txbxContent>
                    <w:p w14:paraId="11241787" w14:textId="77777777" w:rsidR="00FC72E2" w:rsidRPr="00AB452F" w:rsidRDefault="00FC72E2" w:rsidP="00405CA2">
                      <w:pPr>
                        <w:jc w:val="both"/>
                        <w:rPr>
                          <w:b/>
                          <w:bCs/>
                          <w:i/>
                          <w:iCs/>
                          <w:sz w:val="24"/>
                          <w:szCs w:val="24"/>
                        </w:rPr>
                      </w:pPr>
                      <w:proofErr w:type="spellStart"/>
                      <w:r w:rsidRPr="00AB452F">
                        <w:rPr>
                          <w:b/>
                          <w:bCs/>
                          <w:i/>
                          <w:iCs/>
                          <w:sz w:val="24"/>
                          <w:szCs w:val="24"/>
                        </w:rPr>
                        <w:t>Příjemci</w:t>
                      </w:r>
                      <w:proofErr w:type="spellEnd"/>
                      <w:r w:rsidRPr="00AB452F">
                        <w:rPr>
                          <w:b/>
                          <w:bCs/>
                          <w:i/>
                          <w:iCs/>
                          <w:sz w:val="24"/>
                          <w:szCs w:val="24"/>
                        </w:rPr>
                        <w:t xml:space="preserve"> </w:t>
                      </w:r>
                      <w:proofErr w:type="spellStart"/>
                      <w:r w:rsidRPr="00405CA2">
                        <w:rPr>
                          <w:b/>
                          <w:bCs/>
                          <w:i/>
                          <w:iCs/>
                          <w:sz w:val="24"/>
                          <w:szCs w:val="24"/>
                        </w:rPr>
                        <w:t>byla</w:t>
                      </w:r>
                      <w:proofErr w:type="spellEnd"/>
                      <w:r w:rsidRPr="00405CA2">
                        <w:rPr>
                          <w:b/>
                          <w:bCs/>
                          <w:i/>
                          <w:iCs/>
                          <w:sz w:val="24"/>
                          <w:szCs w:val="24"/>
                        </w:rPr>
                        <w:t xml:space="preserve"> </w:t>
                      </w:r>
                      <w:proofErr w:type="spellStart"/>
                      <w:r w:rsidRPr="00405CA2">
                        <w:rPr>
                          <w:b/>
                          <w:bCs/>
                          <w:i/>
                          <w:iCs/>
                          <w:sz w:val="24"/>
                          <w:szCs w:val="24"/>
                        </w:rPr>
                        <w:t>poskytnuta</w:t>
                      </w:r>
                      <w:proofErr w:type="spellEnd"/>
                      <w:r w:rsidRPr="00AB452F">
                        <w:rPr>
                          <w:b/>
                          <w:bCs/>
                          <w:i/>
                          <w:iCs/>
                          <w:sz w:val="24"/>
                          <w:szCs w:val="24"/>
                        </w:rPr>
                        <w:t xml:space="preserve"> </w:t>
                      </w:r>
                      <w:proofErr w:type="spellStart"/>
                      <w:r w:rsidRPr="00AB452F">
                        <w:rPr>
                          <w:b/>
                          <w:bCs/>
                          <w:i/>
                          <w:iCs/>
                          <w:sz w:val="24"/>
                          <w:szCs w:val="24"/>
                        </w:rPr>
                        <w:t>přímá</w:t>
                      </w:r>
                      <w:proofErr w:type="spellEnd"/>
                      <w:r w:rsidRPr="00AB452F">
                        <w:rPr>
                          <w:b/>
                          <w:bCs/>
                          <w:i/>
                          <w:iCs/>
                          <w:sz w:val="24"/>
                          <w:szCs w:val="24"/>
                        </w:rPr>
                        <w:t xml:space="preserve"> </w:t>
                      </w:r>
                      <w:proofErr w:type="spellStart"/>
                      <w:r w:rsidRPr="00AB452F">
                        <w:rPr>
                          <w:b/>
                          <w:bCs/>
                          <w:i/>
                          <w:iCs/>
                          <w:sz w:val="24"/>
                          <w:szCs w:val="24"/>
                        </w:rPr>
                        <w:t>dotace</w:t>
                      </w:r>
                      <w:proofErr w:type="spellEnd"/>
                      <w:r w:rsidRPr="00AB452F">
                        <w:rPr>
                          <w:b/>
                          <w:bCs/>
                          <w:i/>
                          <w:iCs/>
                          <w:sz w:val="24"/>
                          <w:szCs w:val="24"/>
                        </w:rPr>
                        <w:t xml:space="preserve"> </w:t>
                      </w:r>
                      <w:proofErr w:type="spellStart"/>
                      <w:r w:rsidRPr="00AB452F">
                        <w:rPr>
                          <w:b/>
                          <w:bCs/>
                          <w:i/>
                          <w:iCs/>
                          <w:sz w:val="24"/>
                          <w:szCs w:val="24"/>
                        </w:rPr>
                        <w:t>ve</w:t>
                      </w:r>
                      <w:proofErr w:type="spellEnd"/>
                      <w:r w:rsidRPr="00AB452F">
                        <w:rPr>
                          <w:b/>
                          <w:bCs/>
                          <w:i/>
                          <w:iCs/>
                          <w:sz w:val="24"/>
                          <w:szCs w:val="24"/>
                        </w:rPr>
                        <w:t xml:space="preserve"> </w:t>
                      </w:r>
                      <w:proofErr w:type="spellStart"/>
                      <w:r w:rsidRPr="00AB452F">
                        <w:rPr>
                          <w:b/>
                          <w:bCs/>
                          <w:i/>
                          <w:iCs/>
                          <w:sz w:val="24"/>
                          <w:szCs w:val="24"/>
                        </w:rPr>
                        <w:t>výši</w:t>
                      </w:r>
                      <w:proofErr w:type="spellEnd"/>
                      <w:r w:rsidRPr="00AB452F">
                        <w:rPr>
                          <w:b/>
                          <w:bCs/>
                          <w:i/>
                          <w:iCs/>
                          <w:sz w:val="24"/>
                          <w:szCs w:val="24"/>
                        </w:rPr>
                        <w:t xml:space="preserve"> 426 300 </w:t>
                      </w:r>
                      <w:proofErr w:type="spellStart"/>
                      <w:r w:rsidRPr="00AB452F">
                        <w:rPr>
                          <w:b/>
                          <w:bCs/>
                          <w:i/>
                          <w:iCs/>
                          <w:sz w:val="24"/>
                          <w:szCs w:val="24"/>
                        </w:rPr>
                        <w:t>Kč</w:t>
                      </w:r>
                      <w:proofErr w:type="spellEnd"/>
                      <w:r w:rsidRPr="00AB452F">
                        <w:rPr>
                          <w:b/>
                          <w:bCs/>
                          <w:i/>
                          <w:iCs/>
                          <w:sz w:val="24"/>
                          <w:szCs w:val="24"/>
                        </w:rPr>
                        <w:t xml:space="preserve"> </w:t>
                      </w:r>
                      <w:proofErr w:type="spellStart"/>
                      <w:r w:rsidRPr="00AB452F">
                        <w:rPr>
                          <w:b/>
                          <w:bCs/>
                          <w:i/>
                          <w:iCs/>
                          <w:sz w:val="24"/>
                          <w:szCs w:val="24"/>
                        </w:rPr>
                        <w:t>dne</w:t>
                      </w:r>
                      <w:proofErr w:type="spellEnd"/>
                      <w:r w:rsidRPr="00AB452F">
                        <w:rPr>
                          <w:b/>
                          <w:bCs/>
                          <w:i/>
                          <w:iCs/>
                          <w:sz w:val="24"/>
                          <w:szCs w:val="24"/>
                        </w:rPr>
                        <w:t xml:space="preserve"> </w:t>
                      </w:r>
                      <w:r w:rsidR="00405CA2">
                        <w:rPr>
                          <w:b/>
                          <w:bCs/>
                          <w:i/>
                          <w:iCs/>
                          <w:sz w:val="24"/>
                          <w:szCs w:val="24"/>
                        </w:rPr>
                        <w:t>7</w:t>
                      </w:r>
                      <w:r w:rsidRPr="00AB452F">
                        <w:rPr>
                          <w:b/>
                          <w:bCs/>
                          <w:i/>
                          <w:iCs/>
                          <w:sz w:val="24"/>
                          <w:szCs w:val="24"/>
                        </w:rPr>
                        <w:t xml:space="preserve">. </w:t>
                      </w:r>
                      <w:r w:rsidR="00405CA2" w:rsidRPr="008A4D63">
                        <w:rPr>
                          <w:b/>
                          <w:bCs/>
                          <w:i/>
                          <w:iCs/>
                          <w:sz w:val="24"/>
                          <w:szCs w:val="24"/>
                          <w:lang w:val="de-DE"/>
                        </w:rPr>
                        <w:t>4</w:t>
                      </w:r>
                      <w:r w:rsidRPr="008A4D63">
                        <w:rPr>
                          <w:b/>
                          <w:bCs/>
                          <w:i/>
                          <w:iCs/>
                          <w:sz w:val="24"/>
                          <w:szCs w:val="24"/>
                          <w:lang w:val="de-DE"/>
                        </w:rPr>
                        <w:t>. 20</w:t>
                      </w:r>
                      <w:r w:rsidR="00F902CC" w:rsidRPr="008A4D63">
                        <w:rPr>
                          <w:b/>
                          <w:bCs/>
                          <w:i/>
                          <w:iCs/>
                          <w:sz w:val="24"/>
                          <w:szCs w:val="24"/>
                          <w:lang w:val="de-DE"/>
                        </w:rPr>
                        <w:t>2</w:t>
                      </w:r>
                      <w:r w:rsidR="00C5164D" w:rsidRPr="008A4D63">
                        <w:rPr>
                          <w:b/>
                          <w:bCs/>
                          <w:i/>
                          <w:iCs/>
                          <w:sz w:val="24"/>
                          <w:szCs w:val="24"/>
                          <w:lang w:val="de-DE"/>
                        </w:rPr>
                        <w:t>1</w:t>
                      </w:r>
                      <w:r w:rsidRPr="008A4D63">
                        <w:rPr>
                          <w:b/>
                          <w:bCs/>
                          <w:i/>
                          <w:iCs/>
                          <w:sz w:val="24"/>
                          <w:szCs w:val="24"/>
                          <w:lang w:val="de-DE"/>
                        </w:rPr>
                        <w:t xml:space="preserve">, </w:t>
                      </w:r>
                      <w:proofErr w:type="spellStart"/>
                      <w:r w:rsidRPr="008A4D63">
                        <w:rPr>
                          <w:b/>
                          <w:bCs/>
                          <w:i/>
                          <w:iCs/>
                          <w:sz w:val="24"/>
                          <w:szCs w:val="24"/>
                          <w:lang w:val="de-DE"/>
                        </w:rPr>
                        <w:t>kterou</w:t>
                      </w:r>
                      <w:proofErr w:type="spellEnd"/>
                      <w:r w:rsidRPr="008A4D63">
                        <w:rPr>
                          <w:b/>
                          <w:bCs/>
                          <w:i/>
                          <w:iCs/>
                          <w:sz w:val="24"/>
                          <w:szCs w:val="24"/>
                          <w:lang w:val="de-DE"/>
                        </w:rPr>
                        <w:t xml:space="preserve"> </w:t>
                      </w:r>
                      <w:proofErr w:type="spellStart"/>
                      <w:r w:rsidRPr="008A4D63">
                        <w:rPr>
                          <w:b/>
                          <w:bCs/>
                          <w:i/>
                          <w:iCs/>
                          <w:sz w:val="24"/>
                          <w:szCs w:val="24"/>
                          <w:lang w:val="de-DE"/>
                        </w:rPr>
                        <w:t>mu</w:t>
                      </w:r>
                      <w:proofErr w:type="spellEnd"/>
                      <w:r w:rsidRPr="008A4D63">
                        <w:rPr>
                          <w:b/>
                          <w:bCs/>
                          <w:i/>
                          <w:iCs/>
                          <w:sz w:val="24"/>
                          <w:szCs w:val="24"/>
                          <w:lang w:val="de-DE"/>
                        </w:rPr>
                        <w:t xml:space="preserve"> </w:t>
                      </w:r>
                      <w:proofErr w:type="spellStart"/>
                      <w:r w:rsidRPr="008A4D63">
                        <w:rPr>
                          <w:b/>
                          <w:bCs/>
                          <w:i/>
                          <w:iCs/>
                          <w:sz w:val="24"/>
                          <w:szCs w:val="24"/>
                          <w:lang w:val="de-DE"/>
                        </w:rPr>
                        <w:t>poskytovatel</w:t>
                      </w:r>
                      <w:proofErr w:type="spellEnd"/>
                      <w:r w:rsidRPr="008A4D63">
                        <w:rPr>
                          <w:b/>
                          <w:bCs/>
                          <w:i/>
                          <w:iCs/>
                          <w:sz w:val="24"/>
                          <w:szCs w:val="24"/>
                          <w:lang w:val="de-DE"/>
                        </w:rPr>
                        <w:t xml:space="preserve"> </w:t>
                      </w:r>
                      <w:proofErr w:type="spellStart"/>
                      <w:r w:rsidR="00405CA2" w:rsidRPr="008A4D63">
                        <w:rPr>
                          <w:b/>
                          <w:bCs/>
                          <w:i/>
                          <w:iCs/>
                          <w:sz w:val="24"/>
                          <w:szCs w:val="24"/>
                          <w:lang w:val="de-DE"/>
                        </w:rPr>
                        <w:t>vyplatil</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dne</w:t>
                      </w:r>
                      <w:proofErr w:type="spellEnd"/>
                      <w:r w:rsidR="00405CA2" w:rsidRPr="008A4D63">
                        <w:rPr>
                          <w:b/>
                          <w:bCs/>
                          <w:i/>
                          <w:iCs/>
                          <w:sz w:val="24"/>
                          <w:szCs w:val="24"/>
                          <w:lang w:val="de-DE"/>
                        </w:rPr>
                        <w:t xml:space="preserve"> 4. 12. 20</w:t>
                      </w:r>
                      <w:r w:rsidR="00F902CC" w:rsidRPr="008A4D63">
                        <w:rPr>
                          <w:b/>
                          <w:bCs/>
                          <w:i/>
                          <w:iCs/>
                          <w:sz w:val="24"/>
                          <w:szCs w:val="24"/>
                          <w:lang w:val="de-DE"/>
                        </w:rPr>
                        <w:t>2</w:t>
                      </w:r>
                      <w:r w:rsidR="00C5164D" w:rsidRPr="008A4D63">
                        <w:rPr>
                          <w:b/>
                          <w:bCs/>
                          <w:i/>
                          <w:iCs/>
                          <w:sz w:val="24"/>
                          <w:szCs w:val="24"/>
                          <w:lang w:val="de-DE"/>
                        </w:rPr>
                        <w:t>1</w:t>
                      </w:r>
                      <w:r w:rsidR="00405CA2" w:rsidRPr="008A4D63">
                        <w:rPr>
                          <w:b/>
                          <w:bCs/>
                          <w:i/>
                          <w:iCs/>
                          <w:sz w:val="24"/>
                          <w:szCs w:val="24"/>
                          <w:lang w:val="de-DE"/>
                        </w:rPr>
                        <w:t xml:space="preserve">. </w:t>
                      </w:r>
                      <w:r w:rsidR="00F902CC" w:rsidRPr="008A4D63">
                        <w:rPr>
                          <w:b/>
                          <w:bCs/>
                          <w:i/>
                          <w:iCs/>
                          <w:sz w:val="24"/>
                          <w:szCs w:val="24"/>
                          <w:lang w:val="de-DE"/>
                        </w:rPr>
                        <w:t xml:space="preserve">Na </w:t>
                      </w:r>
                      <w:proofErr w:type="spellStart"/>
                      <w:r w:rsidR="00F902CC" w:rsidRPr="008A4D63">
                        <w:rPr>
                          <w:b/>
                          <w:bCs/>
                          <w:i/>
                          <w:iCs/>
                          <w:sz w:val="24"/>
                          <w:szCs w:val="24"/>
                          <w:lang w:val="de-DE"/>
                        </w:rPr>
                        <w:t>základě</w:t>
                      </w:r>
                      <w:proofErr w:type="spellEnd"/>
                      <w:r w:rsidR="00F902CC" w:rsidRPr="008A4D63">
                        <w:rPr>
                          <w:b/>
                          <w:bCs/>
                          <w:i/>
                          <w:iCs/>
                          <w:sz w:val="24"/>
                          <w:szCs w:val="24"/>
                          <w:lang w:val="de-DE"/>
                        </w:rPr>
                        <w:t xml:space="preserve"> ex </w:t>
                      </w:r>
                      <w:proofErr w:type="spellStart"/>
                      <w:r w:rsidR="00F902CC" w:rsidRPr="008A4D63">
                        <w:rPr>
                          <w:b/>
                          <w:bCs/>
                          <w:i/>
                          <w:iCs/>
                          <w:sz w:val="24"/>
                          <w:szCs w:val="24"/>
                          <w:lang w:val="de-DE"/>
                        </w:rPr>
                        <w:t>post</w:t>
                      </w:r>
                      <w:proofErr w:type="spellEnd"/>
                      <w:r w:rsidR="00F902CC" w:rsidRPr="008A4D63">
                        <w:rPr>
                          <w:b/>
                          <w:bCs/>
                          <w:i/>
                          <w:iCs/>
                          <w:sz w:val="24"/>
                          <w:szCs w:val="24"/>
                          <w:lang w:val="de-DE"/>
                        </w:rPr>
                        <w:t xml:space="preserve"> </w:t>
                      </w:r>
                      <w:proofErr w:type="spellStart"/>
                      <w:r w:rsidR="00F902CC" w:rsidRPr="008A4D63">
                        <w:rPr>
                          <w:b/>
                          <w:bCs/>
                          <w:i/>
                          <w:iCs/>
                          <w:sz w:val="24"/>
                          <w:szCs w:val="24"/>
                          <w:lang w:val="de-DE"/>
                        </w:rPr>
                        <w:t>kontroly</w:t>
                      </w:r>
                      <w:proofErr w:type="spellEnd"/>
                      <w:r w:rsidR="00F902CC" w:rsidRPr="008A4D63">
                        <w:rPr>
                          <w:b/>
                          <w:bCs/>
                          <w:i/>
                          <w:iCs/>
                          <w:sz w:val="24"/>
                          <w:szCs w:val="24"/>
                          <w:lang w:val="de-DE"/>
                        </w:rPr>
                        <w:t xml:space="preserve"> </w:t>
                      </w:r>
                      <w:proofErr w:type="spellStart"/>
                      <w:r w:rsidR="00405CA2" w:rsidRPr="008A4D63">
                        <w:rPr>
                          <w:b/>
                          <w:bCs/>
                          <w:i/>
                          <w:iCs/>
                          <w:sz w:val="24"/>
                          <w:szCs w:val="24"/>
                          <w:lang w:val="de-DE"/>
                        </w:rPr>
                        <w:t>poskytovatel</w:t>
                      </w:r>
                      <w:proofErr w:type="spellEnd"/>
                      <w:r w:rsidR="00405CA2" w:rsidRPr="008A4D63">
                        <w:rPr>
                          <w:b/>
                          <w:bCs/>
                          <w:i/>
                          <w:iCs/>
                          <w:sz w:val="24"/>
                          <w:szCs w:val="24"/>
                          <w:lang w:val="de-DE"/>
                        </w:rPr>
                        <w:t xml:space="preserve"> </w:t>
                      </w:r>
                      <w:proofErr w:type="spellStart"/>
                      <w:r w:rsidR="00F902CC" w:rsidRPr="008A4D63">
                        <w:rPr>
                          <w:b/>
                          <w:bCs/>
                          <w:i/>
                          <w:iCs/>
                          <w:sz w:val="24"/>
                          <w:szCs w:val="24"/>
                          <w:lang w:val="de-DE"/>
                        </w:rPr>
                        <w:t>následně</w:t>
                      </w:r>
                      <w:proofErr w:type="spellEnd"/>
                      <w:r w:rsidR="00F902CC" w:rsidRPr="008A4D63">
                        <w:rPr>
                          <w:b/>
                          <w:bCs/>
                          <w:i/>
                          <w:iCs/>
                          <w:sz w:val="24"/>
                          <w:szCs w:val="24"/>
                          <w:lang w:val="de-DE"/>
                        </w:rPr>
                        <w:t xml:space="preserve"> </w:t>
                      </w:r>
                      <w:proofErr w:type="spellStart"/>
                      <w:r w:rsidR="00405CA2" w:rsidRPr="008A4D63">
                        <w:rPr>
                          <w:b/>
                          <w:bCs/>
                          <w:i/>
                          <w:iCs/>
                          <w:sz w:val="24"/>
                          <w:szCs w:val="24"/>
                          <w:lang w:val="de-DE"/>
                        </w:rPr>
                        <w:t>zjistil</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že</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byla</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podpora</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poskytnuta</w:t>
                      </w:r>
                      <w:proofErr w:type="spellEnd"/>
                      <w:r w:rsidR="00405CA2" w:rsidRPr="008A4D63">
                        <w:rPr>
                          <w:b/>
                          <w:bCs/>
                          <w:i/>
                          <w:iCs/>
                          <w:sz w:val="24"/>
                          <w:szCs w:val="24"/>
                          <w:lang w:val="de-DE"/>
                        </w:rPr>
                        <w:t xml:space="preserve"> v </w:t>
                      </w:r>
                      <w:proofErr w:type="spellStart"/>
                      <w:r w:rsidR="00405CA2" w:rsidRPr="008A4D63">
                        <w:rPr>
                          <w:b/>
                          <w:bCs/>
                          <w:i/>
                          <w:iCs/>
                          <w:sz w:val="24"/>
                          <w:szCs w:val="24"/>
                          <w:lang w:val="de-DE"/>
                        </w:rPr>
                        <w:t>rozporu</w:t>
                      </w:r>
                      <w:proofErr w:type="spellEnd"/>
                      <w:r w:rsidR="00405CA2" w:rsidRPr="008A4D63">
                        <w:rPr>
                          <w:b/>
                          <w:bCs/>
                          <w:i/>
                          <w:iCs/>
                          <w:sz w:val="24"/>
                          <w:szCs w:val="24"/>
                          <w:lang w:val="de-DE"/>
                        </w:rPr>
                        <w:t xml:space="preserve"> s GBER, </w:t>
                      </w:r>
                      <w:proofErr w:type="spellStart"/>
                      <w:r w:rsidRPr="008A4D63">
                        <w:rPr>
                          <w:b/>
                          <w:bCs/>
                          <w:i/>
                          <w:iCs/>
                          <w:sz w:val="24"/>
                          <w:szCs w:val="24"/>
                          <w:lang w:val="de-DE"/>
                        </w:rPr>
                        <w:t>nařídil</w:t>
                      </w:r>
                      <w:proofErr w:type="spellEnd"/>
                      <w:r w:rsidRPr="008A4D63">
                        <w:rPr>
                          <w:b/>
                          <w:bCs/>
                          <w:i/>
                          <w:iCs/>
                          <w:sz w:val="24"/>
                          <w:szCs w:val="24"/>
                          <w:lang w:val="de-DE"/>
                        </w:rPr>
                        <w:t xml:space="preserve"> </w:t>
                      </w:r>
                      <w:proofErr w:type="spellStart"/>
                      <w:r w:rsidR="00405CA2" w:rsidRPr="008A4D63">
                        <w:rPr>
                          <w:b/>
                          <w:bCs/>
                          <w:i/>
                          <w:iCs/>
                          <w:sz w:val="24"/>
                          <w:szCs w:val="24"/>
                          <w:lang w:val="de-DE"/>
                        </w:rPr>
                        <w:t>ji</w:t>
                      </w:r>
                      <w:proofErr w:type="spellEnd"/>
                      <w:r w:rsidR="00405CA2" w:rsidRPr="008A4D63">
                        <w:rPr>
                          <w:b/>
                          <w:bCs/>
                          <w:i/>
                          <w:iCs/>
                          <w:sz w:val="24"/>
                          <w:szCs w:val="24"/>
                          <w:lang w:val="de-DE"/>
                        </w:rPr>
                        <w:t xml:space="preserve"> </w:t>
                      </w:r>
                      <w:proofErr w:type="spellStart"/>
                      <w:r w:rsidR="00405CA2" w:rsidRPr="008A4D63">
                        <w:rPr>
                          <w:b/>
                          <w:bCs/>
                          <w:i/>
                          <w:iCs/>
                          <w:sz w:val="24"/>
                          <w:szCs w:val="24"/>
                          <w:lang w:val="de-DE"/>
                        </w:rPr>
                        <w:t>příjemci</w:t>
                      </w:r>
                      <w:proofErr w:type="spellEnd"/>
                      <w:r w:rsidR="00405CA2" w:rsidRPr="008A4D63">
                        <w:rPr>
                          <w:b/>
                          <w:bCs/>
                          <w:i/>
                          <w:iCs/>
                          <w:sz w:val="24"/>
                          <w:szCs w:val="24"/>
                          <w:lang w:val="de-DE"/>
                        </w:rPr>
                        <w:t xml:space="preserve"> </w:t>
                      </w:r>
                      <w:proofErr w:type="spellStart"/>
                      <w:r w:rsidRPr="008A4D63">
                        <w:rPr>
                          <w:b/>
                          <w:bCs/>
                          <w:i/>
                          <w:iCs/>
                          <w:sz w:val="24"/>
                          <w:szCs w:val="24"/>
                          <w:lang w:val="de-DE"/>
                        </w:rPr>
                        <w:t>vrátit</w:t>
                      </w:r>
                      <w:proofErr w:type="spellEnd"/>
                      <w:r w:rsidRPr="008A4D63">
                        <w:rPr>
                          <w:b/>
                          <w:bCs/>
                          <w:i/>
                          <w:iCs/>
                          <w:sz w:val="24"/>
                          <w:szCs w:val="24"/>
                          <w:lang w:val="de-DE"/>
                        </w:rPr>
                        <w:t xml:space="preserve"> </w:t>
                      </w:r>
                      <w:proofErr w:type="spellStart"/>
                      <w:r w:rsidR="00405CA2" w:rsidRPr="008A4D63">
                        <w:rPr>
                          <w:b/>
                          <w:bCs/>
                          <w:i/>
                          <w:iCs/>
                          <w:sz w:val="24"/>
                          <w:szCs w:val="24"/>
                          <w:lang w:val="de-DE"/>
                        </w:rPr>
                        <w:t>ke</w:t>
                      </w:r>
                      <w:proofErr w:type="spellEnd"/>
                      <w:r w:rsidR="00405CA2" w:rsidRPr="008A4D63">
                        <w:rPr>
                          <w:b/>
                          <w:bCs/>
                          <w:i/>
                          <w:iCs/>
                          <w:sz w:val="24"/>
                          <w:szCs w:val="24"/>
                          <w:lang w:val="de-DE"/>
                        </w:rPr>
                        <w:t xml:space="preserve"> </w:t>
                      </w:r>
                      <w:proofErr w:type="spellStart"/>
                      <w:r w:rsidRPr="008A4D63">
                        <w:rPr>
                          <w:b/>
                          <w:bCs/>
                          <w:i/>
                          <w:iCs/>
                          <w:sz w:val="24"/>
                          <w:szCs w:val="24"/>
                          <w:lang w:val="de-DE"/>
                        </w:rPr>
                        <w:t>dn</w:t>
                      </w:r>
                      <w:r w:rsidR="00405CA2" w:rsidRPr="008A4D63">
                        <w:rPr>
                          <w:b/>
                          <w:bCs/>
                          <w:i/>
                          <w:iCs/>
                          <w:sz w:val="24"/>
                          <w:szCs w:val="24"/>
                          <w:lang w:val="de-DE"/>
                        </w:rPr>
                        <w:t>i</w:t>
                      </w:r>
                      <w:proofErr w:type="spellEnd"/>
                      <w:r w:rsidRPr="008A4D63">
                        <w:rPr>
                          <w:b/>
                          <w:bCs/>
                          <w:i/>
                          <w:iCs/>
                          <w:sz w:val="24"/>
                          <w:szCs w:val="24"/>
                          <w:lang w:val="de-DE"/>
                        </w:rPr>
                        <w:t xml:space="preserve"> 16. </w:t>
                      </w:r>
                      <w:r w:rsidRPr="00AB452F">
                        <w:rPr>
                          <w:b/>
                          <w:bCs/>
                          <w:i/>
                          <w:iCs/>
                          <w:sz w:val="24"/>
                          <w:szCs w:val="24"/>
                        </w:rPr>
                        <w:t xml:space="preserve">3. 2024, a to </w:t>
                      </w:r>
                      <w:proofErr w:type="spellStart"/>
                      <w:r w:rsidRPr="00AB452F">
                        <w:rPr>
                          <w:b/>
                          <w:bCs/>
                          <w:i/>
                          <w:iCs/>
                          <w:sz w:val="24"/>
                          <w:szCs w:val="24"/>
                        </w:rPr>
                        <w:t>včetně</w:t>
                      </w:r>
                      <w:proofErr w:type="spellEnd"/>
                      <w:r w:rsidRPr="00AB452F">
                        <w:rPr>
                          <w:b/>
                          <w:bCs/>
                          <w:i/>
                          <w:iCs/>
                          <w:sz w:val="24"/>
                          <w:szCs w:val="24"/>
                        </w:rPr>
                        <w:t xml:space="preserve"> </w:t>
                      </w:r>
                      <w:proofErr w:type="spellStart"/>
                      <w:r w:rsidRPr="00AB452F">
                        <w:rPr>
                          <w:b/>
                          <w:bCs/>
                          <w:i/>
                          <w:iCs/>
                          <w:sz w:val="24"/>
                          <w:szCs w:val="24"/>
                        </w:rPr>
                        <w:t>úroků</w:t>
                      </w:r>
                      <w:proofErr w:type="spellEnd"/>
                      <w:r w:rsidRPr="00AB452F">
                        <w:rPr>
                          <w:b/>
                          <w:bCs/>
                          <w:i/>
                          <w:iCs/>
                          <w:sz w:val="24"/>
                          <w:szCs w:val="24"/>
                        </w:rPr>
                        <w:t>.</w:t>
                      </w:r>
                    </w:p>
                  </w:txbxContent>
                </v:textbox>
                <w10:wrap type="square" anchorx="margin"/>
              </v:shape>
            </w:pict>
          </mc:Fallback>
        </mc:AlternateContent>
      </w:r>
    </w:p>
    <w:p w14:paraId="3463B071" w14:textId="77777777" w:rsidR="00EA45D5" w:rsidRPr="00405CA2" w:rsidRDefault="00EA45D5" w:rsidP="00F47A2F">
      <w:pPr>
        <w:spacing w:after="0"/>
        <w:rPr>
          <w:rFonts w:cstheme="minorHAnsi"/>
          <w:i/>
          <w:iCs/>
          <w:sz w:val="24"/>
          <w:szCs w:val="24"/>
          <w:lang w:val="cs-CZ"/>
        </w:rPr>
      </w:pPr>
    </w:p>
    <w:p w14:paraId="6F74A09C" w14:textId="77777777" w:rsidR="00405CA2" w:rsidRDefault="00E9148F" w:rsidP="00405CA2">
      <w:pPr>
        <w:spacing w:before="0" w:after="0" w:line="360" w:lineRule="auto"/>
        <w:rPr>
          <w:rFonts w:cstheme="minorHAnsi"/>
          <w:i/>
          <w:iCs/>
          <w:sz w:val="24"/>
          <w:szCs w:val="24"/>
          <w:lang w:val="cs-CZ"/>
        </w:rPr>
      </w:pPr>
      <w:r w:rsidRPr="00405CA2">
        <w:rPr>
          <w:rFonts w:cstheme="minorHAnsi"/>
          <w:i/>
          <w:iCs/>
          <w:sz w:val="24"/>
          <w:szCs w:val="24"/>
          <w:lang w:val="cs-CZ"/>
        </w:rPr>
        <w:t>D</w:t>
      </w:r>
      <w:r w:rsidR="00B75687" w:rsidRPr="00405CA2">
        <w:rPr>
          <w:rFonts w:cstheme="minorHAnsi"/>
          <w:i/>
          <w:iCs/>
          <w:sz w:val="24"/>
          <w:szCs w:val="24"/>
          <w:lang w:val="cs-CZ"/>
        </w:rPr>
        <w:t>atum</w:t>
      </w:r>
      <w:r w:rsidRPr="00405CA2">
        <w:rPr>
          <w:rFonts w:cstheme="minorHAnsi"/>
          <w:i/>
          <w:iCs/>
          <w:sz w:val="24"/>
          <w:szCs w:val="24"/>
          <w:lang w:val="cs-CZ"/>
        </w:rPr>
        <w:t xml:space="preserve"> p</w:t>
      </w:r>
      <w:r w:rsidR="00F47A2F" w:rsidRPr="00405CA2">
        <w:rPr>
          <w:rFonts w:cstheme="minorHAnsi"/>
          <w:i/>
          <w:iCs/>
          <w:sz w:val="24"/>
          <w:szCs w:val="24"/>
          <w:lang w:val="cs-CZ"/>
        </w:rPr>
        <w:t xml:space="preserve">oskytnutí: </w:t>
      </w:r>
      <w:r w:rsidR="00F47A2F" w:rsidRPr="00405CA2">
        <w:rPr>
          <w:rFonts w:cstheme="minorHAnsi"/>
          <w:i/>
          <w:iCs/>
          <w:sz w:val="24"/>
          <w:szCs w:val="24"/>
          <w:lang w:val="cs-CZ"/>
        </w:rPr>
        <w:tab/>
      </w:r>
      <w:r w:rsidR="00405CA2" w:rsidRPr="00384A72">
        <w:rPr>
          <w:rFonts w:cstheme="minorHAnsi"/>
          <w:b/>
          <w:bCs/>
          <w:i/>
          <w:iCs/>
          <w:sz w:val="24"/>
          <w:szCs w:val="24"/>
          <w:lang w:val="cs-CZ"/>
        </w:rPr>
        <w:t>7. 4. 20</w:t>
      </w:r>
      <w:r w:rsidR="00F902CC" w:rsidRPr="00384A72">
        <w:rPr>
          <w:rFonts w:cstheme="minorHAnsi"/>
          <w:b/>
          <w:bCs/>
          <w:i/>
          <w:iCs/>
          <w:sz w:val="24"/>
          <w:szCs w:val="24"/>
          <w:lang w:val="cs-CZ"/>
        </w:rPr>
        <w:t>2</w:t>
      </w:r>
      <w:r w:rsidR="00C5164D" w:rsidRPr="00384A72">
        <w:rPr>
          <w:rFonts w:cstheme="minorHAnsi"/>
          <w:b/>
          <w:bCs/>
          <w:i/>
          <w:iCs/>
          <w:sz w:val="24"/>
          <w:szCs w:val="24"/>
          <w:lang w:val="cs-CZ"/>
        </w:rPr>
        <w:t>1</w:t>
      </w:r>
      <w:r w:rsidR="00AB452F" w:rsidRPr="00405CA2">
        <w:rPr>
          <w:rFonts w:cstheme="minorHAnsi"/>
          <w:i/>
          <w:iCs/>
          <w:sz w:val="24"/>
          <w:szCs w:val="24"/>
          <w:lang w:val="cs-CZ"/>
        </w:rPr>
        <w:tab/>
      </w:r>
      <w:r w:rsidR="00AB452F" w:rsidRPr="00405CA2">
        <w:rPr>
          <w:rFonts w:cstheme="minorHAnsi"/>
          <w:i/>
          <w:iCs/>
          <w:sz w:val="24"/>
          <w:szCs w:val="24"/>
          <w:lang w:val="cs-CZ"/>
        </w:rPr>
        <w:tab/>
      </w:r>
    </w:p>
    <w:p w14:paraId="68427E66" w14:textId="77777777" w:rsidR="00405CA2" w:rsidRDefault="00405CA2" w:rsidP="00405CA2">
      <w:pPr>
        <w:spacing w:before="0" w:after="0" w:line="360" w:lineRule="auto"/>
        <w:rPr>
          <w:rFonts w:cstheme="minorHAnsi"/>
          <w:i/>
          <w:iCs/>
          <w:sz w:val="24"/>
          <w:szCs w:val="24"/>
          <w:lang w:val="cs-CZ"/>
        </w:rPr>
      </w:pPr>
      <w:r>
        <w:rPr>
          <w:rFonts w:cstheme="minorHAnsi"/>
          <w:i/>
          <w:iCs/>
          <w:sz w:val="24"/>
          <w:szCs w:val="24"/>
          <w:lang w:val="cs-CZ"/>
        </w:rPr>
        <w:t>Datum vyplacení:</w:t>
      </w:r>
      <w:r>
        <w:rPr>
          <w:rFonts w:cstheme="minorHAnsi"/>
          <w:i/>
          <w:iCs/>
          <w:sz w:val="24"/>
          <w:szCs w:val="24"/>
          <w:lang w:val="cs-CZ"/>
        </w:rPr>
        <w:tab/>
      </w:r>
      <w:r w:rsidR="00342884" w:rsidRPr="00405CA2">
        <w:rPr>
          <w:rFonts w:cstheme="minorHAnsi"/>
          <w:b/>
          <w:bCs/>
          <w:i/>
          <w:iCs/>
          <w:sz w:val="24"/>
          <w:szCs w:val="24"/>
          <w:lang w:val="cs-CZ"/>
        </w:rPr>
        <w:t>4</w:t>
      </w:r>
      <w:r w:rsidR="00F47A2F" w:rsidRPr="00405CA2">
        <w:rPr>
          <w:rFonts w:cstheme="minorHAnsi"/>
          <w:b/>
          <w:bCs/>
          <w:i/>
          <w:iCs/>
          <w:sz w:val="24"/>
          <w:szCs w:val="24"/>
          <w:lang w:val="cs-CZ"/>
        </w:rPr>
        <w:t>. 12. 20</w:t>
      </w:r>
      <w:r w:rsidR="00F902CC">
        <w:rPr>
          <w:rFonts w:cstheme="minorHAnsi"/>
          <w:b/>
          <w:bCs/>
          <w:i/>
          <w:iCs/>
          <w:sz w:val="24"/>
          <w:szCs w:val="24"/>
          <w:lang w:val="cs-CZ"/>
        </w:rPr>
        <w:t>2</w:t>
      </w:r>
      <w:r w:rsidR="00C5164D">
        <w:rPr>
          <w:rFonts w:cstheme="minorHAnsi"/>
          <w:b/>
          <w:bCs/>
          <w:i/>
          <w:iCs/>
          <w:sz w:val="24"/>
          <w:szCs w:val="24"/>
          <w:lang w:val="cs-CZ"/>
        </w:rPr>
        <w:t>1</w:t>
      </w:r>
      <w:r w:rsidR="00F47A2F" w:rsidRPr="00405CA2">
        <w:rPr>
          <w:rFonts w:cstheme="minorHAnsi"/>
          <w:i/>
          <w:iCs/>
          <w:sz w:val="24"/>
          <w:szCs w:val="24"/>
          <w:lang w:val="cs-CZ"/>
        </w:rPr>
        <w:br/>
      </w:r>
      <w:r w:rsidR="00E9148F" w:rsidRPr="00405CA2">
        <w:rPr>
          <w:rFonts w:cstheme="minorHAnsi"/>
          <w:i/>
          <w:iCs/>
          <w:sz w:val="24"/>
          <w:szCs w:val="24"/>
          <w:lang w:val="cs-CZ"/>
        </w:rPr>
        <w:t>Datum n</w:t>
      </w:r>
      <w:r w:rsidR="00F47A2F" w:rsidRPr="00405CA2">
        <w:rPr>
          <w:rFonts w:cstheme="minorHAnsi"/>
          <w:i/>
          <w:iCs/>
          <w:sz w:val="24"/>
          <w:szCs w:val="24"/>
          <w:lang w:val="cs-CZ"/>
        </w:rPr>
        <w:t xml:space="preserve">avrácení: </w:t>
      </w:r>
      <w:r w:rsidR="00F47A2F" w:rsidRPr="00405CA2">
        <w:rPr>
          <w:rFonts w:cstheme="minorHAnsi"/>
          <w:i/>
          <w:iCs/>
          <w:sz w:val="24"/>
          <w:szCs w:val="24"/>
          <w:lang w:val="cs-CZ"/>
        </w:rPr>
        <w:tab/>
      </w:r>
      <w:r w:rsidR="00F47A2F" w:rsidRPr="00405CA2">
        <w:rPr>
          <w:rFonts w:cstheme="minorHAnsi"/>
          <w:b/>
          <w:bCs/>
          <w:i/>
          <w:iCs/>
          <w:sz w:val="24"/>
          <w:szCs w:val="24"/>
          <w:lang w:val="cs-CZ"/>
        </w:rPr>
        <w:t>1</w:t>
      </w:r>
      <w:r w:rsidR="00342884" w:rsidRPr="00405CA2">
        <w:rPr>
          <w:rFonts w:cstheme="minorHAnsi"/>
          <w:b/>
          <w:bCs/>
          <w:i/>
          <w:iCs/>
          <w:sz w:val="24"/>
          <w:szCs w:val="24"/>
          <w:lang w:val="cs-CZ"/>
        </w:rPr>
        <w:t>6</w:t>
      </w:r>
      <w:r w:rsidR="00F47A2F" w:rsidRPr="00405CA2">
        <w:rPr>
          <w:rFonts w:cstheme="minorHAnsi"/>
          <w:b/>
          <w:bCs/>
          <w:i/>
          <w:iCs/>
          <w:sz w:val="24"/>
          <w:szCs w:val="24"/>
          <w:lang w:val="cs-CZ"/>
        </w:rPr>
        <w:t xml:space="preserve">. </w:t>
      </w:r>
      <w:r w:rsidR="00342884" w:rsidRPr="00405CA2">
        <w:rPr>
          <w:rFonts w:cstheme="minorHAnsi"/>
          <w:b/>
          <w:bCs/>
          <w:i/>
          <w:iCs/>
          <w:sz w:val="24"/>
          <w:szCs w:val="24"/>
          <w:lang w:val="cs-CZ"/>
        </w:rPr>
        <w:t>3</w:t>
      </w:r>
      <w:r w:rsidR="00F47A2F" w:rsidRPr="00405CA2">
        <w:rPr>
          <w:rFonts w:cstheme="minorHAnsi"/>
          <w:b/>
          <w:bCs/>
          <w:i/>
          <w:iCs/>
          <w:sz w:val="24"/>
          <w:szCs w:val="24"/>
          <w:lang w:val="cs-CZ"/>
        </w:rPr>
        <w:t>. 202</w:t>
      </w:r>
      <w:r w:rsidR="00342884" w:rsidRPr="00405CA2">
        <w:rPr>
          <w:rFonts w:cstheme="minorHAnsi"/>
          <w:b/>
          <w:bCs/>
          <w:i/>
          <w:iCs/>
          <w:sz w:val="24"/>
          <w:szCs w:val="24"/>
          <w:lang w:val="cs-CZ"/>
        </w:rPr>
        <w:t>4</w:t>
      </w:r>
    </w:p>
    <w:p w14:paraId="59F80777" w14:textId="77777777" w:rsidR="00405CA2" w:rsidRPr="00405CA2" w:rsidRDefault="00405CA2" w:rsidP="00521D5B">
      <w:pPr>
        <w:spacing w:after="240" w:line="360" w:lineRule="auto"/>
        <w:rPr>
          <w:rFonts w:cstheme="minorHAnsi"/>
          <w:i/>
          <w:iCs/>
          <w:sz w:val="24"/>
          <w:szCs w:val="24"/>
          <w:lang w:val="cs-CZ"/>
        </w:rPr>
      </w:pPr>
      <w:r w:rsidRPr="00405CA2">
        <w:rPr>
          <w:rFonts w:cstheme="minorHAnsi"/>
          <w:i/>
          <w:iCs/>
          <w:sz w:val="24"/>
          <w:szCs w:val="24"/>
          <w:lang w:val="cs-CZ"/>
        </w:rPr>
        <w:t xml:space="preserve">Nominální výše </w:t>
      </w:r>
      <w:r>
        <w:rPr>
          <w:rFonts w:cstheme="minorHAnsi"/>
          <w:i/>
          <w:iCs/>
          <w:sz w:val="24"/>
          <w:szCs w:val="24"/>
          <w:lang w:val="cs-CZ"/>
        </w:rPr>
        <w:t>vyplacené</w:t>
      </w:r>
      <w:r w:rsidRPr="00405CA2">
        <w:rPr>
          <w:rFonts w:cstheme="minorHAnsi"/>
          <w:i/>
          <w:iCs/>
          <w:sz w:val="24"/>
          <w:szCs w:val="24"/>
          <w:lang w:val="cs-CZ"/>
        </w:rPr>
        <w:t xml:space="preserve"> podpory: </w:t>
      </w:r>
      <w:r w:rsidRPr="00405CA2">
        <w:rPr>
          <w:rFonts w:cstheme="minorHAnsi"/>
          <w:i/>
          <w:iCs/>
          <w:sz w:val="24"/>
          <w:szCs w:val="24"/>
          <w:lang w:val="cs-CZ"/>
        </w:rPr>
        <w:tab/>
      </w:r>
      <w:r w:rsidRPr="00405CA2">
        <w:rPr>
          <w:rFonts w:cstheme="minorHAnsi"/>
          <w:b/>
          <w:bCs/>
          <w:i/>
          <w:iCs/>
          <w:sz w:val="24"/>
          <w:szCs w:val="24"/>
          <w:lang w:val="cs-CZ"/>
        </w:rPr>
        <w:t>426 300 Kč</w:t>
      </w:r>
    </w:p>
    <w:p w14:paraId="1B43361A" w14:textId="77777777" w:rsidR="00F47A2F" w:rsidRPr="00090792" w:rsidRDefault="00F47A2F" w:rsidP="00E9148F">
      <w:pPr>
        <w:jc w:val="both"/>
        <w:rPr>
          <w:rFonts w:cstheme="minorHAnsi"/>
          <w:b/>
          <w:bCs/>
          <w:sz w:val="24"/>
          <w:szCs w:val="24"/>
          <w:lang w:val="cs-CZ"/>
        </w:rPr>
      </w:pPr>
      <w:r w:rsidRPr="00405CA2">
        <w:rPr>
          <w:rFonts w:cstheme="minorHAnsi"/>
          <w:sz w:val="24"/>
          <w:szCs w:val="24"/>
          <w:lang w:val="cs-CZ"/>
        </w:rPr>
        <w:t xml:space="preserve">Úroková sazba </w:t>
      </w:r>
      <w:r w:rsidR="00FC4146">
        <w:rPr>
          <w:rFonts w:cstheme="minorHAnsi"/>
          <w:sz w:val="24"/>
          <w:szCs w:val="24"/>
          <w:lang w:val="cs-CZ"/>
        </w:rPr>
        <w:t xml:space="preserve">v případě přímé dotace </w:t>
      </w:r>
      <w:r w:rsidRPr="00405CA2">
        <w:rPr>
          <w:rFonts w:cstheme="minorHAnsi"/>
          <w:sz w:val="24"/>
          <w:szCs w:val="24"/>
          <w:lang w:val="cs-CZ"/>
        </w:rPr>
        <w:t>se stanoví k</w:t>
      </w:r>
      <w:r w:rsidR="000F0FF6" w:rsidRPr="00405CA2">
        <w:rPr>
          <w:rFonts w:cstheme="minorHAnsi"/>
          <w:sz w:val="24"/>
          <w:szCs w:val="24"/>
          <w:lang w:val="cs-CZ"/>
        </w:rPr>
        <w:t>e</w:t>
      </w:r>
      <w:r w:rsidRPr="00405CA2">
        <w:rPr>
          <w:rFonts w:cstheme="minorHAnsi"/>
          <w:sz w:val="24"/>
          <w:szCs w:val="24"/>
          <w:lang w:val="cs-CZ"/>
        </w:rPr>
        <w:t> d</w:t>
      </w:r>
      <w:r w:rsidR="000F0FF6" w:rsidRPr="00405CA2">
        <w:rPr>
          <w:rFonts w:cstheme="minorHAnsi"/>
          <w:sz w:val="24"/>
          <w:szCs w:val="24"/>
          <w:lang w:val="cs-CZ"/>
        </w:rPr>
        <w:t>ni</w:t>
      </w:r>
      <w:r w:rsidR="00405CA2">
        <w:rPr>
          <w:rFonts w:cstheme="minorHAnsi"/>
          <w:sz w:val="24"/>
          <w:szCs w:val="24"/>
          <w:lang w:val="cs-CZ"/>
        </w:rPr>
        <w:t xml:space="preserve">, kdy byla </w:t>
      </w:r>
      <w:r w:rsidRPr="00405CA2">
        <w:rPr>
          <w:rFonts w:cstheme="minorHAnsi"/>
          <w:sz w:val="24"/>
          <w:szCs w:val="24"/>
          <w:lang w:val="cs-CZ"/>
        </w:rPr>
        <w:t>protiprávní podpor</w:t>
      </w:r>
      <w:r w:rsidR="00405CA2">
        <w:rPr>
          <w:rFonts w:cstheme="minorHAnsi"/>
          <w:sz w:val="24"/>
          <w:szCs w:val="24"/>
          <w:lang w:val="cs-CZ"/>
        </w:rPr>
        <w:t>a poprvé dána příjemci k dispozici a mohl s ní nakládat</w:t>
      </w:r>
      <w:r w:rsidR="00FC4146">
        <w:rPr>
          <w:rFonts w:cstheme="minorHAnsi"/>
          <w:sz w:val="24"/>
          <w:szCs w:val="24"/>
          <w:lang w:val="cs-CZ"/>
        </w:rPr>
        <w:t xml:space="preserve">, v tomto případě </w:t>
      </w:r>
      <w:r w:rsidR="00553134">
        <w:rPr>
          <w:rFonts w:cstheme="minorHAnsi"/>
          <w:sz w:val="24"/>
          <w:szCs w:val="24"/>
          <w:lang w:val="cs-CZ"/>
        </w:rPr>
        <w:t xml:space="preserve">to je </w:t>
      </w:r>
      <w:r w:rsidR="00FC4146">
        <w:rPr>
          <w:rFonts w:cstheme="minorHAnsi"/>
          <w:sz w:val="24"/>
          <w:szCs w:val="24"/>
          <w:lang w:val="cs-CZ"/>
        </w:rPr>
        <w:t xml:space="preserve">k datu </w:t>
      </w:r>
      <w:r w:rsidR="00405CA2">
        <w:rPr>
          <w:rFonts w:cstheme="minorHAnsi"/>
          <w:sz w:val="24"/>
          <w:szCs w:val="24"/>
          <w:lang w:val="cs-CZ"/>
        </w:rPr>
        <w:t>vyplacení podpory.</w:t>
      </w:r>
      <w:r w:rsidRPr="00405CA2">
        <w:rPr>
          <w:rFonts w:cstheme="minorHAnsi"/>
          <w:sz w:val="24"/>
          <w:szCs w:val="24"/>
          <w:lang w:val="cs-CZ"/>
        </w:rPr>
        <w:t xml:space="preserve"> </w:t>
      </w:r>
      <w:r w:rsidR="00405CA2">
        <w:rPr>
          <w:rFonts w:cstheme="minorHAnsi"/>
          <w:sz w:val="24"/>
          <w:szCs w:val="24"/>
          <w:lang w:val="cs-CZ"/>
        </w:rPr>
        <w:t>P</w:t>
      </w:r>
      <w:r w:rsidRPr="00405CA2">
        <w:rPr>
          <w:rFonts w:cstheme="minorHAnsi"/>
          <w:sz w:val="24"/>
          <w:szCs w:val="24"/>
          <w:lang w:val="cs-CZ"/>
        </w:rPr>
        <w:t xml:space="preserve">rotože je období </w:t>
      </w:r>
      <w:r w:rsidR="00D16A6A" w:rsidRPr="00405CA2">
        <w:rPr>
          <w:rFonts w:cstheme="minorHAnsi"/>
          <w:sz w:val="24"/>
          <w:szCs w:val="24"/>
          <w:lang w:val="cs-CZ"/>
        </w:rPr>
        <w:t xml:space="preserve">od </w:t>
      </w:r>
      <w:r w:rsidR="00405CA2">
        <w:rPr>
          <w:rFonts w:cstheme="minorHAnsi"/>
          <w:sz w:val="24"/>
          <w:szCs w:val="24"/>
          <w:lang w:val="cs-CZ"/>
        </w:rPr>
        <w:t xml:space="preserve">této doby </w:t>
      </w:r>
      <w:r w:rsidR="00D16A6A" w:rsidRPr="00405CA2">
        <w:rPr>
          <w:rFonts w:cstheme="minorHAnsi"/>
          <w:sz w:val="24"/>
          <w:szCs w:val="24"/>
          <w:lang w:val="cs-CZ"/>
        </w:rPr>
        <w:t xml:space="preserve">do </w:t>
      </w:r>
      <w:r w:rsidR="00A757E3">
        <w:rPr>
          <w:rFonts w:cstheme="minorHAnsi"/>
          <w:sz w:val="24"/>
          <w:szCs w:val="24"/>
          <w:lang w:val="cs-CZ"/>
        </w:rPr>
        <w:t>skutečného</w:t>
      </w:r>
      <w:r w:rsidR="00405CA2">
        <w:rPr>
          <w:rFonts w:cstheme="minorHAnsi"/>
          <w:sz w:val="24"/>
          <w:szCs w:val="24"/>
          <w:lang w:val="cs-CZ"/>
        </w:rPr>
        <w:t xml:space="preserve"> na</w:t>
      </w:r>
      <w:r w:rsidR="00D16A6A" w:rsidRPr="00405CA2">
        <w:rPr>
          <w:rFonts w:cstheme="minorHAnsi"/>
          <w:sz w:val="24"/>
          <w:szCs w:val="24"/>
          <w:lang w:val="cs-CZ"/>
        </w:rPr>
        <w:t xml:space="preserve">vrácení </w:t>
      </w:r>
      <w:r w:rsidRPr="00405CA2">
        <w:rPr>
          <w:rFonts w:cstheme="minorHAnsi"/>
          <w:sz w:val="24"/>
          <w:szCs w:val="24"/>
          <w:lang w:val="cs-CZ"/>
        </w:rPr>
        <w:t xml:space="preserve">delší než </w:t>
      </w:r>
      <w:r w:rsidR="00E9148F" w:rsidRPr="00405CA2">
        <w:rPr>
          <w:rFonts w:cstheme="minorHAnsi"/>
          <w:sz w:val="24"/>
          <w:szCs w:val="24"/>
          <w:lang w:val="cs-CZ"/>
        </w:rPr>
        <w:t>jeden</w:t>
      </w:r>
      <w:r w:rsidRPr="00405CA2">
        <w:rPr>
          <w:rFonts w:cstheme="minorHAnsi"/>
          <w:sz w:val="24"/>
          <w:szCs w:val="24"/>
          <w:lang w:val="cs-CZ"/>
        </w:rPr>
        <w:t xml:space="preserve"> rok (</w:t>
      </w:r>
      <w:r w:rsidR="00775C99">
        <w:rPr>
          <w:rFonts w:cstheme="minorHAnsi"/>
          <w:sz w:val="24"/>
          <w:szCs w:val="24"/>
          <w:lang w:val="cs-CZ"/>
        </w:rPr>
        <w:t>2 roky</w:t>
      </w:r>
      <w:r w:rsidRPr="00405CA2">
        <w:rPr>
          <w:rFonts w:cstheme="minorHAnsi"/>
          <w:sz w:val="24"/>
          <w:szCs w:val="24"/>
          <w:lang w:val="cs-CZ"/>
        </w:rPr>
        <w:t xml:space="preserve"> a 1</w:t>
      </w:r>
      <w:r w:rsidR="00AF4884" w:rsidRPr="00405CA2">
        <w:rPr>
          <w:rFonts w:cstheme="minorHAnsi"/>
          <w:sz w:val="24"/>
          <w:szCs w:val="24"/>
          <w:lang w:val="cs-CZ"/>
        </w:rPr>
        <w:t>04</w:t>
      </w:r>
      <w:r w:rsidRPr="00405CA2">
        <w:rPr>
          <w:rFonts w:cstheme="minorHAnsi"/>
          <w:sz w:val="24"/>
          <w:szCs w:val="24"/>
          <w:lang w:val="cs-CZ"/>
        </w:rPr>
        <w:t xml:space="preserve"> dní), musí být </w:t>
      </w:r>
      <w:r w:rsidR="00C5164D">
        <w:rPr>
          <w:rFonts w:cstheme="minorHAnsi"/>
          <w:sz w:val="24"/>
          <w:szCs w:val="24"/>
          <w:lang w:val="cs-CZ"/>
        </w:rPr>
        <w:t xml:space="preserve">úroková </w:t>
      </w:r>
      <w:r w:rsidRPr="00405CA2">
        <w:rPr>
          <w:rFonts w:cstheme="minorHAnsi"/>
          <w:sz w:val="24"/>
          <w:szCs w:val="24"/>
          <w:lang w:val="cs-CZ"/>
        </w:rPr>
        <w:t>sazba přepočítána k</w:t>
      </w:r>
      <w:r w:rsidR="79C2442D" w:rsidRPr="00405CA2">
        <w:rPr>
          <w:rFonts w:cstheme="minorHAnsi"/>
          <w:sz w:val="24"/>
          <w:szCs w:val="24"/>
          <w:lang w:val="cs-CZ"/>
        </w:rPr>
        <w:t xml:space="preserve"> </w:t>
      </w:r>
      <w:r w:rsidR="00AF4884" w:rsidRPr="00405CA2">
        <w:rPr>
          <w:rFonts w:cstheme="minorHAnsi"/>
          <w:sz w:val="24"/>
          <w:szCs w:val="24"/>
          <w:lang w:val="cs-CZ"/>
        </w:rPr>
        <w:t>4</w:t>
      </w:r>
      <w:r w:rsidR="79C2442D" w:rsidRPr="00405CA2">
        <w:rPr>
          <w:rFonts w:cstheme="minorHAnsi"/>
          <w:sz w:val="24"/>
          <w:szCs w:val="24"/>
          <w:lang w:val="cs-CZ"/>
        </w:rPr>
        <w:t xml:space="preserve">. </w:t>
      </w:r>
      <w:r w:rsidR="79C2442D" w:rsidRPr="00090792">
        <w:rPr>
          <w:rFonts w:cstheme="minorHAnsi"/>
          <w:sz w:val="24"/>
          <w:szCs w:val="24"/>
          <w:lang w:val="cs-CZ"/>
        </w:rPr>
        <w:t>12.</w:t>
      </w:r>
      <w:r w:rsidRPr="00090792">
        <w:rPr>
          <w:rFonts w:cstheme="minorHAnsi"/>
          <w:sz w:val="24"/>
          <w:szCs w:val="24"/>
          <w:lang w:val="cs-CZ"/>
        </w:rPr>
        <w:t xml:space="preserve"> každé</w:t>
      </w:r>
      <w:r w:rsidR="16F31775" w:rsidRPr="00090792">
        <w:rPr>
          <w:rFonts w:cstheme="minorHAnsi"/>
          <w:sz w:val="24"/>
          <w:szCs w:val="24"/>
          <w:lang w:val="cs-CZ"/>
        </w:rPr>
        <w:t>ho</w:t>
      </w:r>
      <w:r w:rsidRPr="00090792">
        <w:rPr>
          <w:rFonts w:cstheme="minorHAnsi"/>
          <w:sz w:val="24"/>
          <w:szCs w:val="24"/>
          <w:lang w:val="cs-CZ"/>
        </w:rPr>
        <w:t> započaté</w:t>
      </w:r>
      <w:r w:rsidR="7810031B" w:rsidRPr="00090792">
        <w:rPr>
          <w:rFonts w:cstheme="minorHAnsi"/>
          <w:sz w:val="24"/>
          <w:szCs w:val="24"/>
          <w:lang w:val="cs-CZ"/>
        </w:rPr>
        <w:t>ho</w:t>
      </w:r>
      <w:r w:rsidRPr="00090792">
        <w:rPr>
          <w:rFonts w:cstheme="minorHAnsi"/>
          <w:sz w:val="24"/>
          <w:szCs w:val="24"/>
          <w:lang w:val="cs-CZ"/>
        </w:rPr>
        <w:t xml:space="preserve"> roku.</w:t>
      </w:r>
      <w:r w:rsidR="00A664BC" w:rsidRPr="00090792">
        <w:rPr>
          <w:rFonts w:cstheme="minorHAnsi"/>
          <w:b/>
          <w:bCs/>
          <w:sz w:val="24"/>
          <w:szCs w:val="24"/>
          <w:lang w:val="cs-CZ"/>
        </w:rPr>
        <w:t xml:space="preserve"> </w:t>
      </w:r>
    </w:p>
    <w:bookmarkStart w:id="22" w:name="_MON_1806220849"/>
    <w:bookmarkEnd w:id="22"/>
    <w:p w14:paraId="7C7F3D10" w14:textId="508B4A93" w:rsidR="008E3148" w:rsidRPr="00090792" w:rsidRDefault="00900643" w:rsidP="00A610AE">
      <w:pPr>
        <w:spacing w:after="0"/>
        <w:rPr>
          <w:b/>
          <w:bCs/>
          <w:lang w:val="cs-CZ"/>
        </w:rPr>
      </w:pPr>
      <w:r>
        <w:rPr>
          <w:b/>
          <w:bCs/>
          <w:lang w:val="cs-CZ"/>
        </w:rPr>
        <w:object w:dxaOrig="10161" w:dyaOrig="2150" w14:anchorId="572BB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9pt;height:99pt" o:ole="">
            <v:imagedata r:id="rId21" o:title=""/>
          </v:shape>
          <o:OLEObject Type="Embed" ProgID="Excel.Sheet.12" ShapeID="_x0000_i1025" DrawAspect="Content" ObjectID="_1823673637" r:id="rId22"/>
        </w:object>
      </w:r>
    </w:p>
    <w:p w14:paraId="385682CD" w14:textId="2CEC4C15" w:rsidR="00A610AE" w:rsidRPr="00090792" w:rsidRDefault="00A610AE" w:rsidP="00F47A2F">
      <w:pPr>
        <w:rPr>
          <w:i/>
          <w:iCs/>
          <w:lang w:val="cs-CZ"/>
        </w:rPr>
      </w:pPr>
      <w:r w:rsidRPr="00090792">
        <w:rPr>
          <w:i/>
          <w:iCs/>
          <w:lang w:val="cs-CZ"/>
        </w:rPr>
        <w:t>Pozn.: Tabulka je vložena v </w:t>
      </w:r>
      <w:r w:rsidR="009B3B8E">
        <w:rPr>
          <w:i/>
          <w:iCs/>
          <w:lang w:val="cs-CZ"/>
        </w:rPr>
        <w:t>E</w:t>
      </w:r>
      <w:r w:rsidRPr="00090792">
        <w:rPr>
          <w:i/>
          <w:iCs/>
          <w:lang w:val="cs-CZ"/>
        </w:rPr>
        <w:t>xcelu, je možné ji rozkliknout a podívat se na výpočet podrobněji.</w:t>
      </w:r>
    </w:p>
    <w:p w14:paraId="3E6F487B" w14:textId="4954F0B9" w:rsidR="00550DB7" w:rsidRDefault="00110E38" w:rsidP="00AF4884">
      <w:pPr>
        <w:jc w:val="both"/>
        <w:rPr>
          <w:b/>
          <w:bCs/>
          <w:sz w:val="24"/>
          <w:szCs w:val="24"/>
          <w:lang w:val="cs-CZ"/>
        </w:rPr>
      </w:pPr>
      <w:r w:rsidRPr="00090792">
        <w:rPr>
          <w:b/>
          <w:bCs/>
          <w:sz w:val="24"/>
          <w:szCs w:val="24"/>
          <w:lang w:val="cs-CZ"/>
        </w:rPr>
        <w:t>Částka, kterou musí příjemce vrátit</w:t>
      </w:r>
      <w:r w:rsidRPr="00090792">
        <w:rPr>
          <w:sz w:val="24"/>
          <w:szCs w:val="24"/>
          <w:lang w:val="cs-CZ"/>
        </w:rPr>
        <w:t xml:space="preserve"> poskytovateli, zahrnující </w:t>
      </w:r>
      <w:r w:rsidR="00F902CC">
        <w:rPr>
          <w:sz w:val="24"/>
          <w:szCs w:val="24"/>
          <w:lang w:val="cs-CZ"/>
        </w:rPr>
        <w:t>obdrženou</w:t>
      </w:r>
      <w:r w:rsidR="00F902CC" w:rsidRPr="00090792">
        <w:rPr>
          <w:sz w:val="24"/>
          <w:szCs w:val="24"/>
          <w:lang w:val="cs-CZ"/>
        </w:rPr>
        <w:t xml:space="preserve"> </w:t>
      </w:r>
      <w:r w:rsidRPr="00090792">
        <w:rPr>
          <w:sz w:val="24"/>
          <w:szCs w:val="24"/>
          <w:lang w:val="cs-CZ"/>
        </w:rPr>
        <w:t>podporu (</w:t>
      </w:r>
      <w:r w:rsidR="00AF4884" w:rsidRPr="00090792">
        <w:rPr>
          <w:sz w:val="24"/>
          <w:szCs w:val="24"/>
          <w:lang w:val="cs-CZ"/>
        </w:rPr>
        <w:t>426</w:t>
      </w:r>
      <w:r w:rsidR="008E3148">
        <w:rPr>
          <w:sz w:val="24"/>
          <w:szCs w:val="24"/>
          <w:lang w:val="cs-CZ"/>
        </w:rPr>
        <w:t> </w:t>
      </w:r>
      <w:r w:rsidR="00AF4884" w:rsidRPr="00090792">
        <w:rPr>
          <w:sz w:val="24"/>
          <w:szCs w:val="24"/>
          <w:lang w:val="cs-CZ"/>
        </w:rPr>
        <w:t>300</w:t>
      </w:r>
      <w:r w:rsidRPr="00090792">
        <w:rPr>
          <w:sz w:val="24"/>
          <w:szCs w:val="24"/>
          <w:lang w:val="cs-CZ"/>
        </w:rPr>
        <w:t xml:space="preserve"> Kč) a</w:t>
      </w:r>
      <w:r w:rsidR="00F902CC">
        <w:rPr>
          <w:sz w:val="24"/>
          <w:szCs w:val="24"/>
          <w:lang w:val="cs-CZ"/>
        </w:rPr>
        <w:t> </w:t>
      </w:r>
      <w:r w:rsidRPr="00090792">
        <w:rPr>
          <w:sz w:val="24"/>
          <w:szCs w:val="24"/>
          <w:lang w:val="cs-CZ"/>
        </w:rPr>
        <w:t>úroky (</w:t>
      </w:r>
      <w:r w:rsidR="008E3148">
        <w:rPr>
          <w:sz w:val="24"/>
          <w:szCs w:val="24"/>
          <w:lang w:val="cs-CZ"/>
        </w:rPr>
        <w:t xml:space="preserve">57 919,82 </w:t>
      </w:r>
      <w:r w:rsidRPr="00090792">
        <w:rPr>
          <w:sz w:val="24"/>
          <w:szCs w:val="24"/>
          <w:lang w:val="cs-CZ"/>
        </w:rPr>
        <w:t>Kč),</w:t>
      </w:r>
      <w:r w:rsidRPr="00090792">
        <w:rPr>
          <w:b/>
          <w:bCs/>
          <w:sz w:val="24"/>
          <w:szCs w:val="24"/>
          <w:lang w:val="cs-CZ"/>
        </w:rPr>
        <w:t xml:space="preserve"> činí </w:t>
      </w:r>
      <w:r w:rsidR="008E3148">
        <w:rPr>
          <w:b/>
          <w:bCs/>
          <w:sz w:val="24"/>
          <w:szCs w:val="24"/>
          <w:lang w:val="cs-CZ"/>
        </w:rPr>
        <w:t>484 219</w:t>
      </w:r>
      <w:r w:rsidRPr="00090792">
        <w:rPr>
          <w:b/>
          <w:bCs/>
          <w:sz w:val="24"/>
          <w:szCs w:val="24"/>
          <w:lang w:val="cs-CZ"/>
        </w:rPr>
        <w:t>,</w:t>
      </w:r>
      <w:r w:rsidR="008E3148">
        <w:rPr>
          <w:b/>
          <w:bCs/>
          <w:sz w:val="24"/>
          <w:szCs w:val="24"/>
          <w:lang w:val="cs-CZ"/>
        </w:rPr>
        <w:t>8</w:t>
      </w:r>
      <w:r w:rsidR="00AF4884" w:rsidRPr="00090792">
        <w:rPr>
          <w:b/>
          <w:bCs/>
          <w:sz w:val="24"/>
          <w:szCs w:val="24"/>
          <w:lang w:val="cs-CZ"/>
        </w:rPr>
        <w:t>2</w:t>
      </w:r>
      <w:r w:rsidRPr="00090792">
        <w:rPr>
          <w:b/>
          <w:bCs/>
          <w:sz w:val="24"/>
          <w:szCs w:val="24"/>
          <w:lang w:val="cs-CZ"/>
        </w:rPr>
        <w:t xml:space="preserve"> Kč.</w:t>
      </w:r>
      <w:bookmarkStart w:id="23" w:name="_Toc448847543"/>
    </w:p>
    <w:p w14:paraId="75BC6BED" w14:textId="77777777" w:rsidR="007B3155" w:rsidRDefault="007B3155" w:rsidP="007B3155">
      <w:pPr>
        <w:spacing w:after="160" w:line="259" w:lineRule="auto"/>
        <w:jc w:val="both"/>
        <w:rPr>
          <w:rFonts w:cstheme="minorHAnsi"/>
          <w:b/>
          <w:bCs/>
          <w:sz w:val="24"/>
          <w:szCs w:val="24"/>
          <w:lang w:val="cs-CZ"/>
        </w:rPr>
      </w:pPr>
    </w:p>
    <w:p w14:paraId="68FFE42C" w14:textId="6C467B2A" w:rsidR="00550DB7" w:rsidRPr="003B6490" w:rsidRDefault="007B3155" w:rsidP="003B6490">
      <w:pPr>
        <w:spacing w:after="160" w:line="259" w:lineRule="auto"/>
        <w:jc w:val="both"/>
        <w:rPr>
          <w:rFonts w:cstheme="minorHAnsi"/>
          <w:b/>
          <w:bCs/>
          <w:i/>
          <w:iCs/>
          <w:sz w:val="24"/>
          <w:szCs w:val="24"/>
          <w:lang w:val="cs-CZ"/>
        </w:rPr>
      </w:pPr>
      <w:r w:rsidRPr="003B6490">
        <w:rPr>
          <w:rFonts w:cstheme="minorHAnsi"/>
          <w:b/>
          <w:bCs/>
          <w:i/>
          <w:iCs/>
          <w:sz w:val="24"/>
          <w:szCs w:val="24"/>
          <w:lang w:val="cs-CZ"/>
        </w:rPr>
        <w:t>PŘÍKLAD v</w:t>
      </w:r>
      <w:r w:rsidR="00550DB7" w:rsidRPr="003B6490">
        <w:rPr>
          <w:rFonts w:cstheme="minorHAnsi"/>
          <w:b/>
          <w:bCs/>
          <w:i/>
          <w:iCs/>
          <w:sz w:val="24"/>
          <w:szCs w:val="24"/>
          <w:lang w:val="cs-CZ"/>
        </w:rPr>
        <w:t>yhledání úrokové sazby pro období od 4. 12. 2023 do 16. 3. 2024</w:t>
      </w:r>
      <w:r w:rsidR="00D0379F">
        <w:rPr>
          <w:rFonts w:cstheme="minorHAnsi"/>
          <w:b/>
          <w:bCs/>
          <w:i/>
          <w:iCs/>
          <w:sz w:val="24"/>
          <w:szCs w:val="24"/>
          <w:lang w:val="cs-CZ"/>
        </w:rPr>
        <w:t>:</w:t>
      </w:r>
    </w:p>
    <w:p w14:paraId="3BE14E24" w14:textId="05981333" w:rsidR="00550DB7" w:rsidRDefault="007B3155" w:rsidP="007B3155">
      <w:pPr>
        <w:spacing w:after="160" w:line="259" w:lineRule="auto"/>
        <w:jc w:val="both"/>
        <w:rPr>
          <w:rFonts w:cstheme="minorHAnsi"/>
          <w:sz w:val="24"/>
          <w:szCs w:val="24"/>
          <w:lang w:val="cs-CZ"/>
        </w:rPr>
      </w:pPr>
      <w:r>
        <w:rPr>
          <w:rFonts w:cstheme="minorHAnsi"/>
          <w:sz w:val="24"/>
          <w:szCs w:val="24"/>
          <w:lang w:val="cs-CZ"/>
        </w:rPr>
        <w:t xml:space="preserve">Na </w:t>
      </w:r>
      <w:hyperlink r:id="rId23" w:history="1">
        <w:r w:rsidRPr="007B3155">
          <w:rPr>
            <w:rStyle w:val="Hypertextovodkaz"/>
            <w:rFonts w:cstheme="minorHAnsi"/>
            <w:sz w:val="24"/>
            <w:szCs w:val="24"/>
            <w:lang w:val="cs-CZ"/>
          </w:rPr>
          <w:t>webové stránce EK</w:t>
        </w:r>
      </w:hyperlink>
      <w:r>
        <w:rPr>
          <w:rFonts w:cstheme="minorHAnsi"/>
          <w:sz w:val="24"/>
          <w:szCs w:val="24"/>
          <w:lang w:val="cs-CZ"/>
        </w:rPr>
        <w:t xml:space="preserve"> v</w:t>
      </w:r>
      <w:r w:rsidR="00550DB7">
        <w:rPr>
          <w:rFonts w:cstheme="minorHAnsi"/>
          <w:sz w:val="24"/>
          <w:szCs w:val="24"/>
          <w:lang w:val="cs-CZ"/>
        </w:rPr>
        <w:t> dokumentu „</w:t>
      </w:r>
      <w:hyperlink r:id="rId24" w:history="1">
        <w:r w:rsidR="00550DB7" w:rsidRPr="00F917B6">
          <w:rPr>
            <w:rStyle w:val="Hypertextovodkaz"/>
            <w:rFonts w:cstheme="minorHAnsi"/>
            <w:sz w:val="24"/>
            <w:szCs w:val="24"/>
            <w:lang w:val="cs-CZ"/>
          </w:rPr>
          <w:t xml:space="preserve">Base </w:t>
        </w:r>
        <w:proofErr w:type="spellStart"/>
        <w:r w:rsidR="00550DB7" w:rsidRPr="00F917B6">
          <w:rPr>
            <w:rStyle w:val="Hypertextovodkaz"/>
            <w:rFonts w:cstheme="minorHAnsi"/>
            <w:sz w:val="24"/>
            <w:szCs w:val="24"/>
            <w:lang w:val="cs-CZ"/>
          </w:rPr>
          <w:t>rates</w:t>
        </w:r>
        <w:proofErr w:type="spellEnd"/>
        <w:r w:rsidR="00550DB7" w:rsidRPr="00F917B6">
          <w:rPr>
            <w:rStyle w:val="Hypertextovodkaz"/>
            <w:rFonts w:cstheme="minorHAnsi"/>
            <w:sz w:val="24"/>
            <w:szCs w:val="24"/>
            <w:lang w:val="cs-CZ"/>
          </w:rPr>
          <w:t xml:space="preserve"> </w:t>
        </w:r>
        <w:proofErr w:type="spellStart"/>
        <w:r w:rsidR="00550DB7" w:rsidRPr="00F917B6">
          <w:rPr>
            <w:rStyle w:val="Hypertextovodkaz"/>
            <w:rFonts w:cstheme="minorHAnsi"/>
            <w:sz w:val="24"/>
            <w:szCs w:val="24"/>
            <w:lang w:val="cs-CZ"/>
          </w:rPr>
          <w:t>for</w:t>
        </w:r>
        <w:proofErr w:type="spellEnd"/>
        <w:r w:rsidR="00550DB7" w:rsidRPr="00F917B6">
          <w:rPr>
            <w:rStyle w:val="Hypertextovodkaz"/>
            <w:rFonts w:cstheme="minorHAnsi"/>
            <w:sz w:val="24"/>
            <w:szCs w:val="24"/>
            <w:lang w:val="cs-CZ"/>
          </w:rPr>
          <w:t xml:space="preserve"> </w:t>
        </w:r>
        <w:proofErr w:type="spellStart"/>
        <w:r w:rsidR="00550DB7" w:rsidRPr="00F917B6">
          <w:rPr>
            <w:rStyle w:val="Hypertextovodkaz"/>
            <w:rFonts w:cstheme="minorHAnsi"/>
            <w:sz w:val="24"/>
            <w:szCs w:val="24"/>
            <w:lang w:val="cs-CZ"/>
          </w:rPr>
          <w:t>the</w:t>
        </w:r>
        <w:proofErr w:type="spellEnd"/>
        <w:r w:rsidR="00550DB7" w:rsidRPr="00F917B6">
          <w:rPr>
            <w:rStyle w:val="Hypertextovodkaz"/>
            <w:rFonts w:cstheme="minorHAnsi"/>
            <w:sz w:val="24"/>
            <w:szCs w:val="24"/>
            <w:lang w:val="cs-CZ"/>
          </w:rPr>
          <w:t xml:space="preserve"> 27 </w:t>
        </w:r>
        <w:proofErr w:type="spellStart"/>
        <w:r w:rsidR="00550DB7" w:rsidRPr="00F917B6">
          <w:rPr>
            <w:rStyle w:val="Hypertextovodkaz"/>
            <w:rFonts w:cstheme="minorHAnsi"/>
            <w:sz w:val="24"/>
            <w:szCs w:val="24"/>
            <w:lang w:val="cs-CZ"/>
          </w:rPr>
          <w:t>Member</w:t>
        </w:r>
        <w:proofErr w:type="spellEnd"/>
        <w:r w:rsidR="00550DB7" w:rsidRPr="00F917B6">
          <w:rPr>
            <w:rStyle w:val="Hypertextovodkaz"/>
            <w:rFonts w:cstheme="minorHAnsi"/>
            <w:sz w:val="24"/>
            <w:szCs w:val="24"/>
            <w:lang w:val="cs-CZ"/>
          </w:rPr>
          <w:t xml:space="preserve"> </w:t>
        </w:r>
        <w:proofErr w:type="spellStart"/>
        <w:r w:rsidR="00550DB7" w:rsidRPr="00F917B6">
          <w:rPr>
            <w:rStyle w:val="Hypertextovodkaz"/>
            <w:rFonts w:cstheme="minorHAnsi"/>
            <w:sz w:val="24"/>
            <w:szCs w:val="24"/>
            <w:lang w:val="cs-CZ"/>
          </w:rPr>
          <w:t>States</w:t>
        </w:r>
        <w:proofErr w:type="spellEnd"/>
        <w:r w:rsidR="00550DB7" w:rsidRPr="00F917B6">
          <w:rPr>
            <w:rStyle w:val="Hypertextovodkaz"/>
            <w:rFonts w:cstheme="minorHAnsi"/>
            <w:sz w:val="24"/>
            <w:szCs w:val="24"/>
            <w:lang w:val="cs-CZ"/>
          </w:rPr>
          <w:t xml:space="preserve"> and </w:t>
        </w:r>
        <w:proofErr w:type="spellStart"/>
        <w:r w:rsidR="00550DB7" w:rsidRPr="00F917B6">
          <w:rPr>
            <w:rStyle w:val="Hypertextovodkaz"/>
            <w:rFonts w:cstheme="minorHAnsi"/>
            <w:sz w:val="24"/>
            <w:szCs w:val="24"/>
            <w:lang w:val="cs-CZ"/>
          </w:rPr>
          <w:t>the</w:t>
        </w:r>
        <w:proofErr w:type="spellEnd"/>
        <w:r w:rsidR="00550DB7" w:rsidRPr="00F917B6">
          <w:rPr>
            <w:rStyle w:val="Hypertextovodkaz"/>
            <w:rFonts w:cstheme="minorHAnsi"/>
            <w:sz w:val="24"/>
            <w:szCs w:val="24"/>
            <w:lang w:val="cs-CZ"/>
          </w:rPr>
          <w:t xml:space="preserve"> UK: PDF / XLSX table </w:t>
        </w:r>
        <w:proofErr w:type="spellStart"/>
        <w:r w:rsidR="00550DB7" w:rsidRPr="00F917B6">
          <w:rPr>
            <w:rStyle w:val="Hypertextovodkaz"/>
            <w:rFonts w:cstheme="minorHAnsi"/>
            <w:sz w:val="24"/>
            <w:szCs w:val="24"/>
            <w:lang w:val="cs-CZ"/>
          </w:rPr>
          <w:t>starting</w:t>
        </w:r>
        <w:proofErr w:type="spellEnd"/>
        <w:r w:rsidR="00550DB7" w:rsidRPr="00F917B6">
          <w:rPr>
            <w:rStyle w:val="Hypertextovodkaz"/>
            <w:rFonts w:cstheme="minorHAnsi"/>
            <w:sz w:val="24"/>
            <w:szCs w:val="24"/>
            <w:lang w:val="cs-CZ"/>
          </w:rPr>
          <w:t xml:space="preserve"> on 01.01.2023, </w:t>
        </w:r>
        <w:proofErr w:type="spellStart"/>
        <w:r w:rsidR="00550DB7" w:rsidRPr="00F917B6">
          <w:rPr>
            <w:rStyle w:val="Hypertextovodkaz"/>
            <w:rFonts w:cstheme="minorHAnsi"/>
            <w:sz w:val="24"/>
            <w:szCs w:val="24"/>
            <w:lang w:val="cs-CZ"/>
          </w:rPr>
          <w:t>date</w:t>
        </w:r>
        <w:proofErr w:type="spellEnd"/>
        <w:r w:rsidR="00550DB7" w:rsidRPr="00F917B6">
          <w:rPr>
            <w:rStyle w:val="Hypertextovodkaz"/>
            <w:rFonts w:cstheme="minorHAnsi"/>
            <w:sz w:val="24"/>
            <w:szCs w:val="24"/>
            <w:lang w:val="cs-CZ"/>
          </w:rPr>
          <w:t xml:space="preserve"> </w:t>
        </w:r>
        <w:proofErr w:type="spellStart"/>
        <w:r w:rsidR="00550DB7" w:rsidRPr="00F917B6">
          <w:rPr>
            <w:rStyle w:val="Hypertextovodkaz"/>
            <w:rFonts w:cstheme="minorHAnsi"/>
            <w:sz w:val="24"/>
            <w:szCs w:val="24"/>
            <w:lang w:val="cs-CZ"/>
          </w:rPr>
          <w:t>of</w:t>
        </w:r>
        <w:proofErr w:type="spellEnd"/>
        <w:r w:rsidR="00550DB7" w:rsidRPr="00F917B6">
          <w:rPr>
            <w:rStyle w:val="Hypertextovodkaz"/>
            <w:rFonts w:cstheme="minorHAnsi"/>
            <w:sz w:val="24"/>
            <w:szCs w:val="24"/>
            <w:lang w:val="cs-CZ"/>
          </w:rPr>
          <w:t xml:space="preserve"> </w:t>
        </w:r>
        <w:proofErr w:type="spellStart"/>
        <w:r w:rsidR="00550DB7" w:rsidRPr="00F917B6">
          <w:rPr>
            <w:rStyle w:val="Hypertextovodkaz"/>
            <w:rFonts w:cstheme="minorHAnsi"/>
            <w:sz w:val="24"/>
            <w:szCs w:val="24"/>
            <w:lang w:val="cs-CZ"/>
          </w:rPr>
          <w:t>Croatia</w:t>
        </w:r>
        <w:proofErr w:type="spellEnd"/>
        <w:r w:rsidR="00550DB7" w:rsidRPr="00F917B6">
          <w:rPr>
            <w:rStyle w:val="Hypertextovodkaz"/>
            <w:rFonts w:cstheme="minorHAnsi"/>
            <w:sz w:val="24"/>
            <w:szCs w:val="24"/>
            <w:lang w:val="cs-CZ"/>
          </w:rPr>
          <w:t xml:space="preserve"> </w:t>
        </w:r>
        <w:proofErr w:type="spellStart"/>
        <w:r w:rsidR="00550DB7" w:rsidRPr="00F917B6">
          <w:rPr>
            <w:rStyle w:val="Hypertextovodkaz"/>
            <w:rFonts w:cstheme="minorHAnsi"/>
            <w:sz w:val="24"/>
            <w:szCs w:val="24"/>
            <w:lang w:val="cs-CZ"/>
          </w:rPr>
          <w:t>joining</w:t>
        </w:r>
        <w:proofErr w:type="spellEnd"/>
        <w:r w:rsidR="00550DB7" w:rsidRPr="00F917B6">
          <w:rPr>
            <w:rStyle w:val="Hypertextovodkaz"/>
            <w:rFonts w:cstheme="minorHAnsi"/>
            <w:sz w:val="24"/>
            <w:szCs w:val="24"/>
            <w:lang w:val="cs-CZ"/>
          </w:rPr>
          <w:t xml:space="preserve"> </w:t>
        </w:r>
        <w:proofErr w:type="spellStart"/>
        <w:r w:rsidR="00550DB7" w:rsidRPr="00F917B6">
          <w:rPr>
            <w:rStyle w:val="Hypertextovodkaz"/>
            <w:rFonts w:cstheme="minorHAnsi"/>
            <w:sz w:val="24"/>
            <w:szCs w:val="24"/>
            <w:lang w:val="cs-CZ"/>
          </w:rPr>
          <w:t>the</w:t>
        </w:r>
        <w:proofErr w:type="spellEnd"/>
        <w:r w:rsidR="00550DB7" w:rsidRPr="00F917B6">
          <w:rPr>
            <w:rStyle w:val="Hypertextovodkaz"/>
            <w:rFonts w:cstheme="minorHAnsi"/>
            <w:sz w:val="24"/>
            <w:szCs w:val="24"/>
            <w:lang w:val="cs-CZ"/>
          </w:rPr>
          <w:t xml:space="preserve"> Euro </w:t>
        </w:r>
        <w:proofErr w:type="spellStart"/>
        <w:r w:rsidR="00550DB7" w:rsidRPr="00F917B6">
          <w:rPr>
            <w:rStyle w:val="Hypertextovodkaz"/>
            <w:rFonts w:cstheme="minorHAnsi"/>
            <w:sz w:val="24"/>
            <w:szCs w:val="24"/>
            <w:lang w:val="cs-CZ"/>
          </w:rPr>
          <w:t>zone</w:t>
        </w:r>
        <w:proofErr w:type="spellEnd"/>
      </w:hyperlink>
      <w:r w:rsidR="00550DB7">
        <w:rPr>
          <w:rFonts w:cstheme="minorHAnsi"/>
          <w:sz w:val="24"/>
          <w:szCs w:val="24"/>
          <w:lang w:val="cs-CZ"/>
        </w:rPr>
        <w:t>“ v tabulce Základní sazby k 1.</w:t>
      </w:r>
      <w:r>
        <w:rPr>
          <w:rFonts w:cstheme="minorHAnsi"/>
          <w:sz w:val="24"/>
          <w:szCs w:val="24"/>
          <w:lang w:val="cs-CZ"/>
        </w:rPr>
        <w:t> </w:t>
      </w:r>
      <w:r w:rsidR="00550DB7">
        <w:rPr>
          <w:rFonts w:cstheme="minorHAnsi"/>
          <w:sz w:val="24"/>
          <w:szCs w:val="24"/>
          <w:lang w:val="cs-CZ"/>
        </w:rPr>
        <w:t>9.</w:t>
      </w:r>
      <w:r>
        <w:rPr>
          <w:rFonts w:cstheme="minorHAnsi"/>
          <w:sz w:val="24"/>
          <w:szCs w:val="24"/>
          <w:lang w:val="cs-CZ"/>
        </w:rPr>
        <w:t> </w:t>
      </w:r>
      <w:r w:rsidR="00550DB7">
        <w:rPr>
          <w:rFonts w:cstheme="minorHAnsi"/>
          <w:sz w:val="24"/>
          <w:szCs w:val="24"/>
          <w:lang w:val="cs-CZ"/>
        </w:rPr>
        <w:t>2025 (</w:t>
      </w:r>
      <w:r w:rsidR="00550DB7" w:rsidRPr="00BC682A">
        <w:rPr>
          <w:rFonts w:cstheme="minorHAnsi"/>
          <w:i/>
          <w:iCs/>
          <w:sz w:val="24"/>
          <w:szCs w:val="24"/>
          <w:lang w:val="cs-CZ"/>
        </w:rPr>
        <w:t xml:space="preserve">Base </w:t>
      </w:r>
      <w:proofErr w:type="spellStart"/>
      <w:r w:rsidR="00550DB7" w:rsidRPr="00BC682A">
        <w:rPr>
          <w:rFonts w:cstheme="minorHAnsi"/>
          <w:i/>
          <w:iCs/>
          <w:sz w:val="24"/>
          <w:szCs w:val="24"/>
          <w:lang w:val="cs-CZ"/>
        </w:rPr>
        <w:t>rates</w:t>
      </w:r>
      <w:proofErr w:type="spellEnd"/>
      <w:r w:rsidR="00550DB7" w:rsidRPr="00BC682A">
        <w:rPr>
          <w:rFonts w:cstheme="minorHAnsi"/>
          <w:i/>
          <w:iCs/>
          <w:sz w:val="24"/>
          <w:szCs w:val="24"/>
          <w:lang w:val="cs-CZ"/>
        </w:rPr>
        <w:t xml:space="preserve"> as </w:t>
      </w:r>
      <w:proofErr w:type="spellStart"/>
      <w:r w:rsidR="00550DB7" w:rsidRPr="00BC682A">
        <w:rPr>
          <w:rFonts w:cstheme="minorHAnsi"/>
          <w:i/>
          <w:iCs/>
          <w:sz w:val="24"/>
          <w:szCs w:val="24"/>
          <w:lang w:val="cs-CZ"/>
        </w:rPr>
        <w:t>of</w:t>
      </w:r>
      <w:proofErr w:type="spellEnd"/>
      <w:r w:rsidR="00550DB7" w:rsidRPr="00BC682A">
        <w:rPr>
          <w:rFonts w:cstheme="minorHAnsi"/>
          <w:i/>
          <w:iCs/>
          <w:sz w:val="24"/>
          <w:szCs w:val="24"/>
          <w:lang w:val="cs-CZ"/>
        </w:rPr>
        <w:t xml:space="preserve"> 1.9.2025</w:t>
      </w:r>
      <w:r w:rsidR="00550DB7">
        <w:rPr>
          <w:rFonts w:cstheme="minorHAnsi"/>
          <w:sz w:val="24"/>
          <w:szCs w:val="24"/>
          <w:lang w:val="cs-CZ"/>
        </w:rPr>
        <w:t>) se vyhledá poslední datum zveřejněné úrokové sazby, které je nejblíže předcházejícímu datu 4.</w:t>
      </w:r>
      <w:r>
        <w:rPr>
          <w:rFonts w:cstheme="minorHAnsi"/>
          <w:sz w:val="24"/>
          <w:szCs w:val="24"/>
          <w:lang w:val="cs-CZ"/>
        </w:rPr>
        <w:t xml:space="preserve"> </w:t>
      </w:r>
      <w:r w:rsidR="00550DB7">
        <w:rPr>
          <w:rFonts w:cstheme="minorHAnsi"/>
          <w:sz w:val="24"/>
          <w:szCs w:val="24"/>
          <w:lang w:val="cs-CZ"/>
        </w:rPr>
        <w:t>12.</w:t>
      </w:r>
      <w:r>
        <w:rPr>
          <w:rFonts w:cstheme="minorHAnsi"/>
          <w:sz w:val="24"/>
          <w:szCs w:val="24"/>
          <w:lang w:val="cs-CZ"/>
        </w:rPr>
        <w:t xml:space="preserve"> </w:t>
      </w:r>
      <w:r w:rsidR="00550DB7">
        <w:rPr>
          <w:rFonts w:cstheme="minorHAnsi"/>
          <w:sz w:val="24"/>
          <w:szCs w:val="24"/>
          <w:lang w:val="cs-CZ"/>
        </w:rPr>
        <w:t xml:space="preserve">2023 (ne pozdější). </w:t>
      </w:r>
      <w:r w:rsidR="006E037C">
        <w:rPr>
          <w:rFonts w:cstheme="minorHAnsi"/>
          <w:sz w:val="24"/>
          <w:szCs w:val="24"/>
          <w:lang w:val="cs-CZ"/>
        </w:rPr>
        <w:t xml:space="preserve">V tomto případě je to sazba </w:t>
      </w:r>
      <w:r w:rsidR="006E037C">
        <w:rPr>
          <w:rFonts w:cstheme="minorHAnsi"/>
          <w:sz w:val="24"/>
          <w:szCs w:val="24"/>
          <w:lang w:val="cs-CZ"/>
        </w:rPr>
        <w:lastRenderedPageBreak/>
        <w:t>k 1.</w:t>
      </w:r>
      <w:r w:rsidR="00D0379F">
        <w:rPr>
          <w:rFonts w:cstheme="minorHAnsi"/>
          <w:sz w:val="24"/>
          <w:szCs w:val="24"/>
          <w:lang w:val="cs-CZ"/>
        </w:rPr>
        <w:t> </w:t>
      </w:r>
      <w:r w:rsidR="006E037C">
        <w:rPr>
          <w:rFonts w:cstheme="minorHAnsi"/>
          <w:sz w:val="24"/>
          <w:szCs w:val="24"/>
          <w:lang w:val="cs-CZ"/>
        </w:rPr>
        <w:t xml:space="preserve">11. 2023. </w:t>
      </w:r>
      <w:r w:rsidR="00550DB7">
        <w:rPr>
          <w:rFonts w:cstheme="minorHAnsi"/>
          <w:sz w:val="24"/>
          <w:szCs w:val="24"/>
          <w:lang w:val="cs-CZ"/>
        </w:rPr>
        <w:t xml:space="preserve">Vyhledá se sloupec dotčeného členského státu. Úroková sazba je na průniku řádku a sloupce – viz </w:t>
      </w:r>
      <w:r w:rsidR="00D0379F">
        <w:rPr>
          <w:rFonts w:cstheme="minorHAnsi"/>
          <w:sz w:val="24"/>
          <w:szCs w:val="24"/>
          <w:lang w:val="cs-CZ"/>
        </w:rPr>
        <w:t>obrázek</w:t>
      </w:r>
      <w:r w:rsidR="00550DB7">
        <w:rPr>
          <w:rFonts w:cstheme="minorHAnsi"/>
          <w:sz w:val="24"/>
          <w:szCs w:val="24"/>
          <w:lang w:val="cs-CZ"/>
        </w:rPr>
        <w:t xml:space="preserve"> níže.</w:t>
      </w:r>
    </w:p>
    <w:p w14:paraId="0A875ED7" w14:textId="489C12A5" w:rsidR="00D256BB" w:rsidRPr="00090792" w:rsidRDefault="006E037C" w:rsidP="00550DB7">
      <w:pPr>
        <w:jc w:val="both"/>
        <w:rPr>
          <w:rStyle w:val="Nadpis1Char"/>
          <w:rFonts w:ascii="Calibri" w:eastAsia="Calibri" w:hAnsi="Calibri"/>
          <w:b/>
          <w:bCs/>
          <w:lang w:val="cs-CZ"/>
        </w:rPr>
      </w:pPr>
      <w:r w:rsidRPr="00DB633E">
        <w:rPr>
          <w:rFonts w:cstheme="minorHAnsi"/>
          <w:noProof/>
          <w:sz w:val="24"/>
          <w:szCs w:val="24"/>
          <w:lang w:val="cs-CZ"/>
        </w:rPr>
        <w:drawing>
          <wp:inline distT="0" distB="0" distL="0" distR="0" wp14:anchorId="3A8FC007" wp14:editId="69B01BBD">
            <wp:extent cx="5917996" cy="2516643"/>
            <wp:effectExtent l="19050" t="19050" r="26035" b="17145"/>
            <wp:docPr id="1526656618" name="Obrázek 1" descr="Obsah obrázku snímek obrazovky, řada/pruh, text,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05382" name="Obrázek 1" descr="Obsah obrázku snímek obrazovky, řada/pruh, text, číslo&#10;&#10;Obsah generovaný pomocí AI může být nesprávný."/>
                    <pic:cNvPicPr/>
                  </pic:nvPicPr>
                  <pic:blipFill rotWithShape="1">
                    <a:blip r:embed="rId25"/>
                    <a:srcRect l="613" r="37170" b="28814"/>
                    <a:stretch>
                      <a:fillRect/>
                    </a:stretch>
                  </pic:blipFill>
                  <pic:spPr bwMode="auto">
                    <a:xfrm>
                      <a:off x="0" y="0"/>
                      <a:ext cx="5935400" cy="25240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595BEA" w:rsidRPr="00090792">
        <w:rPr>
          <w:rStyle w:val="Nadpis1Char"/>
          <w:rFonts w:ascii="Calibri" w:eastAsia="Calibri" w:hAnsi="Calibri"/>
          <w:sz w:val="24"/>
          <w:szCs w:val="24"/>
          <w:lang w:val="cs-CZ"/>
        </w:rPr>
        <w:br w:type="page"/>
      </w:r>
    </w:p>
    <w:p w14:paraId="064E15A2" w14:textId="77777777" w:rsidR="001D6D05" w:rsidRPr="00090792" w:rsidRDefault="00AB452F" w:rsidP="007877C1">
      <w:pPr>
        <w:pStyle w:val="Nadpis1"/>
        <w:rPr>
          <w:rStyle w:val="Nadpis1Char"/>
          <w:b/>
          <w:bCs/>
          <w:caps/>
          <w:sz w:val="32"/>
          <w:szCs w:val="32"/>
          <w:shd w:val="clear" w:color="auto" w:fill="auto"/>
          <w:lang w:val="cs-CZ"/>
        </w:rPr>
      </w:pPr>
      <w:bookmarkStart w:id="24" w:name="_Toc202430949"/>
      <w:r w:rsidRPr="00090792">
        <w:rPr>
          <w:rStyle w:val="Nadpis1Char"/>
          <w:b/>
          <w:bCs/>
          <w:caps/>
          <w:sz w:val="32"/>
          <w:szCs w:val="32"/>
          <w:shd w:val="clear" w:color="auto" w:fill="auto"/>
          <w:lang w:val="cs-CZ"/>
        </w:rPr>
        <w:lastRenderedPageBreak/>
        <w:t>6</w:t>
      </w:r>
      <w:r w:rsidR="001D6D05" w:rsidRPr="00090792">
        <w:rPr>
          <w:rStyle w:val="Nadpis1Char"/>
          <w:b/>
          <w:bCs/>
          <w:caps/>
          <w:sz w:val="32"/>
          <w:szCs w:val="32"/>
          <w:shd w:val="clear" w:color="auto" w:fill="auto"/>
          <w:lang w:val="cs-CZ"/>
        </w:rPr>
        <w:t>. DALŠÍ DŮLEŽITÉ INFORMACE</w:t>
      </w:r>
      <w:bookmarkEnd w:id="24"/>
    </w:p>
    <w:p w14:paraId="7CA08BD0" w14:textId="77777777" w:rsidR="0022228B" w:rsidRPr="00090792" w:rsidRDefault="0022228B" w:rsidP="00EA182C">
      <w:pPr>
        <w:spacing w:line="240" w:lineRule="auto"/>
        <w:jc w:val="both"/>
        <w:rPr>
          <w:b/>
          <w:i/>
          <w:sz w:val="24"/>
          <w:szCs w:val="24"/>
          <w:lang w:val="cs-CZ"/>
        </w:rPr>
      </w:pPr>
    </w:p>
    <w:p w14:paraId="3620B1F5" w14:textId="77777777" w:rsidR="00EA182C" w:rsidRPr="00090792" w:rsidRDefault="00EA182C" w:rsidP="00EA182C">
      <w:pPr>
        <w:spacing w:line="240" w:lineRule="auto"/>
        <w:jc w:val="both"/>
        <w:rPr>
          <w:b/>
          <w:i/>
          <w:sz w:val="24"/>
          <w:szCs w:val="24"/>
          <w:lang w:val="cs-CZ"/>
        </w:rPr>
      </w:pPr>
      <w:r w:rsidRPr="00090792">
        <w:rPr>
          <w:b/>
          <w:i/>
          <w:sz w:val="24"/>
          <w:szCs w:val="24"/>
          <w:lang w:val="cs-CZ"/>
        </w:rPr>
        <w:t>Helpdesk</w:t>
      </w:r>
    </w:p>
    <w:p w14:paraId="1F57E689" w14:textId="77777777" w:rsidR="00EA182C" w:rsidRPr="00090792" w:rsidRDefault="00EA182C" w:rsidP="00EA182C">
      <w:pPr>
        <w:jc w:val="both"/>
        <w:rPr>
          <w:sz w:val="24"/>
          <w:szCs w:val="24"/>
          <w:lang w:val="cs-CZ"/>
        </w:rPr>
      </w:pPr>
      <w:r w:rsidRPr="00090792">
        <w:rPr>
          <w:sz w:val="24"/>
          <w:szCs w:val="24"/>
          <w:lang w:val="cs-CZ"/>
        </w:rPr>
        <w:t xml:space="preserve">V případě potřeby konzultace postupu při navracení veřejné podpory vč. úroků je možné kontaktovat </w:t>
      </w:r>
      <w:r w:rsidR="00A968E6" w:rsidRPr="00090792">
        <w:rPr>
          <w:sz w:val="24"/>
          <w:szCs w:val="24"/>
          <w:lang w:val="cs-CZ"/>
        </w:rPr>
        <w:t xml:space="preserve">příslušné </w:t>
      </w:r>
      <w:r w:rsidRPr="00090792">
        <w:rPr>
          <w:sz w:val="24"/>
          <w:szCs w:val="24"/>
          <w:lang w:val="cs-CZ"/>
        </w:rPr>
        <w:t>koordinační orgány.</w:t>
      </w:r>
    </w:p>
    <w:p w14:paraId="0A33EA24" w14:textId="77777777" w:rsidR="00EA182C" w:rsidRPr="00090792" w:rsidRDefault="00EA182C" w:rsidP="00057119">
      <w:pPr>
        <w:numPr>
          <w:ilvl w:val="0"/>
          <w:numId w:val="2"/>
        </w:numPr>
        <w:contextualSpacing/>
        <w:jc w:val="both"/>
        <w:rPr>
          <w:rFonts w:cs="Arial"/>
          <w:sz w:val="24"/>
          <w:szCs w:val="24"/>
          <w:lang w:val="cs-CZ"/>
        </w:rPr>
      </w:pPr>
      <w:r w:rsidRPr="00090792">
        <w:rPr>
          <w:b/>
          <w:sz w:val="24"/>
          <w:szCs w:val="24"/>
          <w:lang w:val="cs-CZ"/>
        </w:rPr>
        <w:t>Úřad pro ochranu hospodářské soutěže</w:t>
      </w:r>
      <w:r w:rsidRPr="00090792">
        <w:rPr>
          <w:sz w:val="24"/>
          <w:szCs w:val="24"/>
          <w:lang w:val="cs-CZ"/>
        </w:rPr>
        <w:t xml:space="preserve"> je možné kontaktovat</w:t>
      </w:r>
      <w:r w:rsidR="00E9148F" w:rsidRPr="00090792">
        <w:rPr>
          <w:sz w:val="24"/>
          <w:szCs w:val="24"/>
          <w:lang w:val="cs-CZ"/>
        </w:rPr>
        <w:t xml:space="preserve"> na</w:t>
      </w:r>
      <w:r w:rsidRPr="00090792">
        <w:rPr>
          <w:sz w:val="24"/>
          <w:szCs w:val="24"/>
          <w:lang w:val="cs-CZ"/>
        </w:rPr>
        <w:t xml:space="preserve"> </w:t>
      </w:r>
      <w:proofErr w:type="spellStart"/>
      <w:r w:rsidRPr="00090792">
        <w:rPr>
          <w:color w:val="0000FF"/>
          <w:sz w:val="24"/>
          <w:szCs w:val="24"/>
          <w:u w:val="single"/>
          <w:lang w:val="cs-CZ"/>
        </w:rPr>
        <w:t>posta</w:t>
      </w:r>
      <w:proofErr w:type="spellEnd"/>
      <w:r w:rsidRPr="00090792">
        <w:rPr>
          <w:rFonts w:cs="Arial"/>
          <w:color w:val="0000FF"/>
          <w:sz w:val="24"/>
          <w:szCs w:val="24"/>
          <w:u w:val="single"/>
          <w:lang w:val="cs-CZ"/>
        </w:rPr>
        <w:t>(</w:t>
      </w:r>
      <w:proofErr w:type="spellStart"/>
      <w:r w:rsidRPr="00090792">
        <w:rPr>
          <w:rFonts w:cs="Arial"/>
          <w:color w:val="0000FF"/>
          <w:sz w:val="24"/>
          <w:szCs w:val="24"/>
          <w:u w:val="single"/>
          <w:lang w:val="cs-CZ"/>
        </w:rPr>
        <w:t>zavinac</w:t>
      </w:r>
      <w:proofErr w:type="spellEnd"/>
      <w:r w:rsidRPr="00090792">
        <w:rPr>
          <w:rFonts w:cs="Arial"/>
          <w:color w:val="0000FF"/>
          <w:sz w:val="24"/>
          <w:szCs w:val="24"/>
          <w:u w:val="single"/>
          <w:lang w:val="cs-CZ"/>
        </w:rPr>
        <w:t>)uohs.gov.cz</w:t>
      </w:r>
      <w:r w:rsidRPr="00090792">
        <w:rPr>
          <w:rFonts w:cs="Arial"/>
          <w:sz w:val="24"/>
          <w:szCs w:val="24"/>
          <w:lang w:val="cs-CZ"/>
        </w:rPr>
        <w:t>.</w:t>
      </w:r>
    </w:p>
    <w:p w14:paraId="04AA2ECA" w14:textId="77777777" w:rsidR="00365248" w:rsidRPr="00090792" w:rsidRDefault="00365248" w:rsidP="00CB588B">
      <w:pPr>
        <w:ind w:left="720"/>
        <w:contextualSpacing/>
        <w:jc w:val="both"/>
        <w:rPr>
          <w:rFonts w:cs="Arial"/>
          <w:sz w:val="24"/>
          <w:szCs w:val="24"/>
          <w:lang w:val="cs-CZ"/>
        </w:rPr>
      </w:pPr>
    </w:p>
    <w:p w14:paraId="0FD1A858" w14:textId="77777777" w:rsidR="00EA182C" w:rsidRDefault="00EA182C" w:rsidP="00057119">
      <w:pPr>
        <w:numPr>
          <w:ilvl w:val="0"/>
          <w:numId w:val="2"/>
        </w:numPr>
        <w:spacing w:after="0" w:line="240" w:lineRule="auto"/>
        <w:contextualSpacing/>
        <w:rPr>
          <w:sz w:val="24"/>
          <w:szCs w:val="24"/>
          <w:lang w:val="cs-CZ"/>
        </w:rPr>
      </w:pPr>
      <w:r w:rsidRPr="00090792">
        <w:rPr>
          <w:b/>
          <w:sz w:val="24"/>
          <w:szCs w:val="24"/>
          <w:lang w:val="cs-CZ"/>
        </w:rPr>
        <w:t>Ministerstvo zemědělství</w:t>
      </w:r>
      <w:r w:rsidRPr="00090792">
        <w:rPr>
          <w:sz w:val="24"/>
          <w:szCs w:val="24"/>
          <w:lang w:val="cs-CZ"/>
        </w:rPr>
        <w:t xml:space="preserve"> je možné kontaktovat </w:t>
      </w:r>
      <w:r w:rsidR="00E9148F" w:rsidRPr="00090792">
        <w:rPr>
          <w:sz w:val="24"/>
          <w:szCs w:val="24"/>
          <w:lang w:val="cs-CZ"/>
        </w:rPr>
        <w:t xml:space="preserve">na </w:t>
      </w:r>
      <w:proofErr w:type="spellStart"/>
      <w:r w:rsidR="00E9148F" w:rsidRPr="00090792">
        <w:rPr>
          <w:color w:val="0000FF"/>
          <w:sz w:val="24"/>
          <w:szCs w:val="24"/>
          <w:u w:val="single"/>
          <w:lang w:val="cs-CZ"/>
        </w:rPr>
        <w:t>statni.podpora</w:t>
      </w:r>
      <w:proofErr w:type="spellEnd"/>
      <w:r w:rsidR="00E9148F" w:rsidRPr="00090792">
        <w:rPr>
          <w:color w:val="0000FF"/>
          <w:sz w:val="24"/>
          <w:szCs w:val="24"/>
          <w:u w:val="single"/>
          <w:lang w:val="cs-CZ"/>
        </w:rPr>
        <w:t>(</w:t>
      </w:r>
      <w:proofErr w:type="spellStart"/>
      <w:r w:rsidR="00E9148F" w:rsidRPr="00090792">
        <w:rPr>
          <w:color w:val="0000FF"/>
          <w:sz w:val="24"/>
          <w:szCs w:val="24"/>
          <w:u w:val="single"/>
          <w:lang w:val="cs-CZ"/>
        </w:rPr>
        <w:t>zavinac</w:t>
      </w:r>
      <w:proofErr w:type="spellEnd"/>
      <w:r w:rsidR="00E9148F" w:rsidRPr="00090792">
        <w:rPr>
          <w:color w:val="0000FF"/>
          <w:sz w:val="24"/>
          <w:szCs w:val="24"/>
          <w:u w:val="single"/>
          <w:lang w:val="cs-CZ"/>
        </w:rPr>
        <w:t>)mze.gov.cz</w:t>
      </w:r>
      <w:r w:rsidR="00E9148F" w:rsidRPr="00090792">
        <w:rPr>
          <w:sz w:val="24"/>
          <w:szCs w:val="24"/>
          <w:lang w:val="cs-CZ"/>
        </w:rPr>
        <w:t>.</w:t>
      </w:r>
    </w:p>
    <w:p w14:paraId="7933EAD8" w14:textId="77777777" w:rsidR="001944DC" w:rsidRDefault="001944DC" w:rsidP="001944DC">
      <w:pPr>
        <w:pStyle w:val="Odstavecseseznamem"/>
        <w:rPr>
          <w:sz w:val="24"/>
          <w:szCs w:val="24"/>
          <w:lang w:val="cs-CZ"/>
        </w:rPr>
      </w:pPr>
    </w:p>
    <w:p w14:paraId="57C5471F" w14:textId="77777777" w:rsidR="00BA0860" w:rsidRDefault="001944DC" w:rsidP="001944DC">
      <w:pPr>
        <w:spacing w:after="0" w:line="240" w:lineRule="auto"/>
        <w:contextualSpacing/>
        <w:jc w:val="both"/>
        <w:rPr>
          <w:sz w:val="24"/>
          <w:szCs w:val="24"/>
          <w:lang w:val="cs-CZ"/>
        </w:rPr>
      </w:pPr>
      <w:r>
        <w:rPr>
          <w:sz w:val="24"/>
          <w:szCs w:val="24"/>
          <w:lang w:val="cs-CZ"/>
        </w:rPr>
        <w:br w:type="page"/>
      </w:r>
    </w:p>
    <w:p w14:paraId="46464468" w14:textId="77777777" w:rsidR="00BA0860" w:rsidRPr="008A4D63" w:rsidRDefault="00BA0860" w:rsidP="00BA0860">
      <w:pPr>
        <w:pStyle w:val="Nadpis1"/>
        <w:rPr>
          <w:rStyle w:val="Nadpis1Char"/>
          <w:b/>
          <w:bCs/>
          <w:sz w:val="32"/>
          <w:szCs w:val="32"/>
          <w:shd w:val="clear" w:color="auto" w:fill="auto"/>
          <w:lang w:val="cs-CZ"/>
        </w:rPr>
      </w:pPr>
      <w:bookmarkStart w:id="25" w:name="_7._PŘÍLOHA"/>
      <w:bookmarkStart w:id="26" w:name="_Toc202430950"/>
      <w:bookmarkEnd w:id="25"/>
      <w:r>
        <w:rPr>
          <w:rStyle w:val="Nadpis1Char"/>
          <w:b/>
          <w:bCs/>
          <w:caps/>
          <w:sz w:val="32"/>
          <w:szCs w:val="32"/>
          <w:shd w:val="clear" w:color="auto" w:fill="auto"/>
          <w:lang w:val="cs-CZ"/>
        </w:rPr>
        <w:lastRenderedPageBreak/>
        <w:t>7. PŘÍLOHA</w:t>
      </w:r>
      <w:bookmarkEnd w:id="26"/>
    </w:p>
    <w:p w14:paraId="10BB22F3" w14:textId="77777777" w:rsidR="001944DC" w:rsidRPr="008A4D63" w:rsidRDefault="00443CA9" w:rsidP="001944DC">
      <w:pPr>
        <w:spacing w:after="0" w:line="240" w:lineRule="auto"/>
        <w:contextualSpacing/>
        <w:jc w:val="both"/>
        <w:rPr>
          <w:rFonts w:cstheme="minorHAnsi"/>
          <w:b/>
          <w:bCs/>
          <w:sz w:val="24"/>
          <w:szCs w:val="24"/>
          <w:lang w:val="cs-CZ"/>
        </w:rPr>
      </w:pPr>
      <w:r>
        <w:rPr>
          <w:rFonts w:cstheme="minorHAnsi"/>
          <w:b/>
          <w:bCs/>
          <w:sz w:val="24"/>
          <w:szCs w:val="24"/>
          <w:lang w:val="cs-CZ"/>
        </w:rPr>
        <w:t>N</w:t>
      </w:r>
      <w:r w:rsidR="001944DC" w:rsidRPr="00443CA9">
        <w:rPr>
          <w:rFonts w:cstheme="minorHAnsi"/>
          <w:b/>
          <w:bCs/>
          <w:sz w:val="24"/>
          <w:szCs w:val="24"/>
          <w:lang w:val="cs-CZ"/>
        </w:rPr>
        <w:t xml:space="preserve">ařízení Komise </w:t>
      </w:r>
      <w:r w:rsidR="001944DC" w:rsidRPr="008A4D63">
        <w:rPr>
          <w:rFonts w:cstheme="minorHAnsi"/>
          <w:b/>
          <w:bCs/>
          <w:sz w:val="24"/>
          <w:szCs w:val="24"/>
          <w:lang w:val="cs-CZ"/>
        </w:rPr>
        <w:t>(ES) č. 794/2004 ze dne 21. dubna 2004, kterým se provádí nařízení Rady (EU) 2015/1589, kterým se stanoví prováděcí pravidla k článku 108 Smlouvy o fungování Evropské unie</w:t>
      </w:r>
    </w:p>
    <w:p w14:paraId="76387D98" w14:textId="77777777" w:rsidR="001944DC" w:rsidRPr="008A4D63" w:rsidRDefault="001944DC" w:rsidP="001944DC">
      <w:pPr>
        <w:spacing w:before="0" w:after="0"/>
        <w:jc w:val="center"/>
        <w:rPr>
          <w:rFonts w:cstheme="minorHAnsi"/>
          <w:sz w:val="24"/>
          <w:szCs w:val="24"/>
          <w:lang w:val="cs-CZ"/>
        </w:rPr>
      </w:pPr>
    </w:p>
    <w:p w14:paraId="70372EB2" w14:textId="77777777" w:rsidR="001944DC" w:rsidRPr="008A4D63" w:rsidRDefault="001944DC" w:rsidP="001944DC">
      <w:pPr>
        <w:spacing w:before="0" w:after="0"/>
        <w:jc w:val="center"/>
        <w:rPr>
          <w:rFonts w:cstheme="minorHAnsi"/>
          <w:sz w:val="24"/>
          <w:szCs w:val="24"/>
          <w:lang w:val="cs-CZ"/>
        </w:rPr>
      </w:pPr>
      <w:r w:rsidRPr="008A4D63">
        <w:rPr>
          <w:rFonts w:cstheme="minorHAnsi"/>
          <w:sz w:val="24"/>
          <w:szCs w:val="24"/>
          <w:lang w:val="cs-CZ"/>
        </w:rPr>
        <w:t>KAPITOLA V</w:t>
      </w:r>
    </w:p>
    <w:p w14:paraId="100753E2" w14:textId="77777777" w:rsidR="001944DC" w:rsidRPr="008A4D63" w:rsidRDefault="001944DC" w:rsidP="001944DC">
      <w:pPr>
        <w:spacing w:before="0" w:after="0"/>
        <w:jc w:val="center"/>
        <w:rPr>
          <w:rFonts w:cstheme="minorHAnsi"/>
          <w:sz w:val="24"/>
          <w:szCs w:val="24"/>
          <w:lang w:val="cs-CZ"/>
        </w:rPr>
      </w:pPr>
      <w:r w:rsidRPr="008A4D63">
        <w:rPr>
          <w:rFonts w:cstheme="minorHAnsi"/>
          <w:b/>
          <w:bCs/>
          <w:sz w:val="24"/>
          <w:szCs w:val="24"/>
          <w:lang w:val="cs-CZ"/>
        </w:rPr>
        <w:t>ÚROKOVÁ SAZBA PRO NAVRÁCENÍ PROTIPRÁVNÍ PODPORY</w:t>
      </w:r>
    </w:p>
    <w:p w14:paraId="0429CA44" w14:textId="77777777" w:rsidR="001944DC" w:rsidRPr="008A4D63" w:rsidRDefault="001944DC" w:rsidP="001944DC">
      <w:pPr>
        <w:spacing w:before="0" w:after="0"/>
        <w:jc w:val="center"/>
        <w:rPr>
          <w:rFonts w:cstheme="minorHAnsi"/>
          <w:i/>
          <w:iCs/>
          <w:sz w:val="24"/>
          <w:szCs w:val="24"/>
          <w:lang w:val="cs-CZ"/>
        </w:rPr>
      </w:pPr>
    </w:p>
    <w:p w14:paraId="524138EA" w14:textId="77777777" w:rsidR="001944DC" w:rsidRPr="008A4D63" w:rsidRDefault="001944DC" w:rsidP="001944DC">
      <w:pPr>
        <w:spacing w:before="0" w:after="0"/>
        <w:jc w:val="center"/>
        <w:rPr>
          <w:rFonts w:cstheme="minorHAnsi"/>
          <w:sz w:val="24"/>
          <w:szCs w:val="24"/>
          <w:lang w:val="cs-CZ"/>
        </w:rPr>
      </w:pPr>
      <w:r w:rsidRPr="008A4D63">
        <w:rPr>
          <w:rFonts w:cstheme="minorHAnsi"/>
          <w:i/>
          <w:iCs/>
          <w:sz w:val="24"/>
          <w:szCs w:val="24"/>
          <w:lang w:val="cs-CZ"/>
        </w:rPr>
        <w:t>Článek 9</w:t>
      </w:r>
    </w:p>
    <w:p w14:paraId="2B315B46" w14:textId="77777777" w:rsidR="001944DC" w:rsidRPr="008A4D63" w:rsidRDefault="001944DC" w:rsidP="00BA0860">
      <w:pPr>
        <w:spacing w:before="0" w:after="120"/>
        <w:jc w:val="center"/>
        <w:rPr>
          <w:rFonts w:cstheme="minorHAnsi"/>
          <w:sz w:val="24"/>
          <w:szCs w:val="24"/>
          <w:lang w:val="cs-CZ"/>
        </w:rPr>
      </w:pPr>
      <w:r w:rsidRPr="008A4D63">
        <w:rPr>
          <w:rFonts w:cstheme="minorHAnsi"/>
          <w:b/>
          <w:bCs/>
          <w:sz w:val="24"/>
          <w:szCs w:val="24"/>
          <w:lang w:val="cs-CZ"/>
        </w:rPr>
        <w:t>Způsob stanovení úrokové sazby</w:t>
      </w:r>
    </w:p>
    <w:p w14:paraId="1F876659" w14:textId="062920F8" w:rsidR="001944DC" w:rsidRPr="008A4D63" w:rsidRDefault="001944DC" w:rsidP="00BA0860">
      <w:pPr>
        <w:spacing w:before="0" w:after="120"/>
        <w:jc w:val="both"/>
        <w:rPr>
          <w:rFonts w:cstheme="minorHAnsi"/>
          <w:sz w:val="24"/>
          <w:szCs w:val="24"/>
          <w:lang w:val="cs-CZ"/>
        </w:rPr>
      </w:pPr>
      <w:r w:rsidRPr="008A4D63">
        <w:rPr>
          <w:rFonts w:cstheme="minorHAnsi"/>
          <w:sz w:val="24"/>
          <w:szCs w:val="24"/>
          <w:lang w:val="cs-CZ"/>
        </w:rPr>
        <w:t xml:space="preserve">1. </w:t>
      </w:r>
      <w:bookmarkStart w:id="27" w:name="_Hlk193379986"/>
      <w:r w:rsidRPr="008A4D63">
        <w:rPr>
          <w:rFonts w:cstheme="minorHAnsi"/>
          <w:sz w:val="24"/>
          <w:szCs w:val="24"/>
          <w:lang w:val="cs-CZ"/>
        </w:rPr>
        <w:t xml:space="preserve">Není-li zvláštním rozhodnutím stanoveno jinak, úroková sazba, která má být použita pro navrácení státní podpory poskytnuté v rozporu s čl. </w:t>
      </w:r>
      <w:r w:rsidR="003056C7">
        <w:rPr>
          <w:rFonts w:cstheme="minorHAnsi"/>
          <w:sz w:val="24"/>
          <w:szCs w:val="24"/>
          <w:lang w:val="cs-CZ"/>
        </w:rPr>
        <w:t>108</w:t>
      </w:r>
      <w:r w:rsidRPr="008A4D63">
        <w:rPr>
          <w:rFonts w:cstheme="minorHAnsi"/>
          <w:sz w:val="24"/>
          <w:szCs w:val="24"/>
          <w:lang w:val="cs-CZ"/>
        </w:rPr>
        <w:t xml:space="preserve"> odst. 3 Smlouvy, je roční procentní sazba, kterou Komise předem stanoví pro každý kalendářní rok. </w:t>
      </w:r>
    </w:p>
    <w:p w14:paraId="286E169C" w14:textId="77777777" w:rsidR="001944DC" w:rsidRPr="008A4D63" w:rsidRDefault="001944DC" w:rsidP="00BA0860">
      <w:pPr>
        <w:spacing w:before="0" w:after="120"/>
        <w:jc w:val="both"/>
        <w:rPr>
          <w:rFonts w:cstheme="minorHAnsi"/>
          <w:sz w:val="24"/>
          <w:szCs w:val="24"/>
          <w:lang w:val="cs-CZ"/>
        </w:rPr>
      </w:pPr>
      <w:r w:rsidRPr="008A4D63">
        <w:rPr>
          <w:rFonts w:cstheme="minorHAnsi"/>
          <w:sz w:val="24"/>
          <w:szCs w:val="24"/>
          <w:lang w:val="cs-CZ"/>
        </w:rPr>
        <w:t xml:space="preserve">2. Úroková sazba se vypočítá připočtením 100 základních bodů k roční sazbě obvyklé na peněžním trhu. </w:t>
      </w:r>
      <w:bookmarkEnd w:id="27"/>
      <w:r w:rsidRPr="008A4D63">
        <w:rPr>
          <w:rFonts w:cstheme="minorHAnsi"/>
          <w:sz w:val="24"/>
          <w:szCs w:val="24"/>
          <w:lang w:val="cs-CZ"/>
        </w:rPr>
        <w:t xml:space="preserve">Nejsou-li tyto sazby k dispozici, použije se tříměsíční sazba obvyklá na peněžním trhu nebo v případě, že neexistuje, výnos ze státních obligací. </w:t>
      </w:r>
    </w:p>
    <w:p w14:paraId="226633F1" w14:textId="77777777" w:rsidR="001944DC" w:rsidRPr="008A4D63" w:rsidRDefault="001944DC" w:rsidP="00BA0860">
      <w:pPr>
        <w:spacing w:before="0" w:after="120"/>
        <w:jc w:val="both"/>
        <w:rPr>
          <w:rFonts w:cstheme="minorHAnsi"/>
          <w:sz w:val="24"/>
          <w:szCs w:val="24"/>
          <w:lang w:val="cs-CZ"/>
        </w:rPr>
      </w:pPr>
      <w:r w:rsidRPr="008A4D63">
        <w:rPr>
          <w:rFonts w:cstheme="minorHAnsi"/>
          <w:sz w:val="24"/>
          <w:szCs w:val="24"/>
          <w:lang w:val="cs-CZ"/>
        </w:rPr>
        <w:t>3. V případě, že nejsou k dispozici spolehlivé údaje o peněžním trhu nebo výnosech ze státních obligací či rovnocenné údaje nebo za výjimečných okolností může Komise v úzké spolupráci s</w:t>
      </w:r>
      <w:r w:rsidR="003926A4" w:rsidRPr="008A4D63">
        <w:rPr>
          <w:rFonts w:cstheme="minorHAnsi"/>
          <w:sz w:val="24"/>
          <w:szCs w:val="24"/>
          <w:lang w:val="cs-CZ"/>
        </w:rPr>
        <w:t> </w:t>
      </w:r>
      <w:r w:rsidRPr="008A4D63">
        <w:rPr>
          <w:rFonts w:cstheme="minorHAnsi"/>
          <w:sz w:val="24"/>
          <w:szCs w:val="24"/>
          <w:lang w:val="cs-CZ"/>
        </w:rPr>
        <w:t xml:space="preserve">dotčeným členským státem či dotčenými členskými státy stanovit úrokovou sazbu pro navrácení státní podpory na základě jiné metody nebo na základě informací, které má k dispozici. </w:t>
      </w:r>
    </w:p>
    <w:p w14:paraId="61F59B4B" w14:textId="77777777" w:rsidR="001944DC" w:rsidRPr="00B34F55" w:rsidRDefault="001944DC" w:rsidP="00BA0860">
      <w:pPr>
        <w:spacing w:before="0" w:after="120"/>
        <w:jc w:val="both"/>
        <w:rPr>
          <w:rFonts w:cstheme="minorHAnsi"/>
          <w:sz w:val="24"/>
          <w:szCs w:val="24"/>
          <w:lang w:val="cs-CZ"/>
        </w:rPr>
      </w:pPr>
      <w:r w:rsidRPr="00B34F55">
        <w:rPr>
          <w:rFonts w:cstheme="minorHAnsi"/>
          <w:sz w:val="24"/>
          <w:szCs w:val="24"/>
          <w:lang w:val="cs-CZ"/>
        </w:rPr>
        <w:t xml:space="preserve">4. Sazba pro navrácení podpory se bude revidovat jednou ročně. Základní sazba se vypočítá na základě roční sazby obvyklé na peněžním trhu zaznamenané v září, říjnu a listopadu daného roku. Takto vypočítaná sazba se bude používat v průběhu celého následujícího roku. </w:t>
      </w:r>
    </w:p>
    <w:p w14:paraId="41C56766" w14:textId="77777777" w:rsidR="001944DC" w:rsidRPr="00B34F55" w:rsidRDefault="001944DC" w:rsidP="00BA0860">
      <w:pPr>
        <w:spacing w:before="0" w:after="120"/>
        <w:jc w:val="both"/>
        <w:rPr>
          <w:rFonts w:cstheme="minorHAnsi"/>
          <w:b/>
          <w:bCs/>
          <w:sz w:val="24"/>
          <w:szCs w:val="24"/>
          <w:lang w:val="cs-CZ"/>
        </w:rPr>
      </w:pPr>
      <w:r w:rsidRPr="00B34F55">
        <w:rPr>
          <w:rFonts w:cstheme="minorHAnsi"/>
          <w:sz w:val="24"/>
          <w:szCs w:val="24"/>
          <w:lang w:val="cs-CZ"/>
        </w:rPr>
        <w:t>5. Kromě toho bude v zájmu zohlednění významných a náhlých změn provedena aktualizace pokaždé, když se průměrná sazba vypočítaná za předchozí tři měsíce odchýlí od platné sazby o</w:t>
      </w:r>
      <w:r w:rsidR="003926A4" w:rsidRPr="00B34F55">
        <w:rPr>
          <w:rFonts w:cstheme="minorHAnsi"/>
          <w:sz w:val="24"/>
          <w:szCs w:val="24"/>
          <w:lang w:val="cs-CZ"/>
        </w:rPr>
        <w:t> </w:t>
      </w:r>
      <w:r w:rsidRPr="00B34F55">
        <w:rPr>
          <w:rFonts w:cstheme="minorHAnsi"/>
          <w:sz w:val="24"/>
          <w:szCs w:val="24"/>
          <w:lang w:val="cs-CZ"/>
        </w:rPr>
        <w:t xml:space="preserve">více než 15 %. Tato nová sazba začne platit prvním dnem druhého měsíce po měsíci rozhodném pro výpočet. </w:t>
      </w:r>
    </w:p>
    <w:p w14:paraId="4D1C91CA" w14:textId="77777777" w:rsidR="001944DC" w:rsidRPr="00B34F55" w:rsidRDefault="001944DC" w:rsidP="001944DC">
      <w:pPr>
        <w:spacing w:before="0" w:after="0"/>
        <w:jc w:val="center"/>
        <w:rPr>
          <w:rFonts w:cstheme="minorHAnsi"/>
          <w:i/>
          <w:iCs/>
          <w:sz w:val="24"/>
          <w:szCs w:val="24"/>
          <w:lang w:val="cs-CZ"/>
        </w:rPr>
      </w:pPr>
    </w:p>
    <w:p w14:paraId="5C11D523" w14:textId="77777777" w:rsidR="001944DC" w:rsidRPr="00B34F55" w:rsidRDefault="001944DC" w:rsidP="00BA0860">
      <w:pPr>
        <w:spacing w:before="0" w:after="0"/>
        <w:jc w:val="center"/>
        <w:rPr>
          <w:rFonts w:cstheme="minorHAnsi"/>
          <w:sz w:val="24"/>
          <w:szCs w:val="24"/>
          <w:lang w:val="cs-CZ"/>
        </w:rPr>
      </w:pPr>
      <w:r w:rsidRPr="00B34F55">
        <w:rPr>
          <w:rFonts w:cstheme="minorHAnsi"/>
          <w:i/>
          <w:iCs/>
          <w:sz w:val="24"/>
          <w:szCs w:val="24"/>
          <w:lang w:val="cs-CZ"/>
        </w:rPr>
        <w:t>Článek 10</w:t>
      </w:r>
    </w:p>
    <w:p w14:paraId="332A88FD" w14:textId="77777777" w:rsidR="001944DC" w:rsidRPr="00B34F55" w:rsidRDefault="001944DC" w:rsidP="00BA0860">
      <w:pPr>
        <w:spacing w:before="0" w:after="120"/>
        <w:jc w:val="center"/>
        <w:rPr>
          <w:rFonts w:cstheme="minorHAnsi"/>
          <w:sz w:val="24"/>
          <w:szCs w:val="24"/>
          <w:lang w:val="cs-CZ"/>
        </w:rPr>
      </w:pPr>
      <w:r w:rsidRPr="00B34F55">
        <w:rPr>
          <w:rFonts w:cstheme="minorHAnsi"/>
          <w:b/>
          <w:bCs/>
          <w:sz w:val="24"/>
          <w:szCs w:val="24"/>
          <w:lang w:val="cs-CZ"/>
        </w:rPr>
        <w:t>Zveřejnění</w:t>
      </w:r>
    </w:p>
    <w:p w14:paraId="01D6339F" w14:textId="77777777" w:rsidR="001944DC" w:rsidRPr="00B34F55" w:rsidRDefault="001944DC" w:rsidP="00BA0860">
      <w:pPr>
        <w:spacing w:before="0" w:after="120"/>
        <w:jc w:val="both"/>
        <w:rPr>
          <w:rFonts w:cstheme="minorHAnsi"/>
          <w:sz w:val="24"/>
          <w:szCs w:val="24"/>
          <w:lang w:val="cs-CZ"/>
        </w:rPr>
      </w:pPr>
      <w:r w:rsidRPr="00B34F55">
        <w:rPr>
          <w:rFonts w:cstheme="minorHAnsi"/>
          <w:sz w:val="24"/>
          <w:szCs w:val="24"/>
          <w:lang w:val="cs-CZ"/>
        </w:rPr>
        <w:t>Komise zveřejní aktuální a příslušné historické úrokové sazby pro navrácení státních podpor v</w:t>
      </w:r>
      <w:r w:rsidR="003926A4" w:rsidRPr="00B34F55">
        <w:rPr>
          <w:rFonts w:cstheme="minorHAnsi"/>
          <w:sz w:val="24"/>
          <w:szCs w:val="24"/>
          <w:lang w:val="cs-CZ"/>
        </w:rPr>
        <w:t> </w:t>
      </w:r>
      <w:r w:rsidRPr="00B34F55">
        <w:rPr>
          <w:rFonts w:cstheme="minorHAnsi"/>
          <w:i/>
          <w:iCs/>
          <w:sz w:val="24"/>
          <w:szCs w:val="24"/>
          <w:lang w:val="cs-CZ"/>
        </w:rPr>
        <w:t xml:space="preserve">Úředním věstníku Evropské unie </w:t>
      </w:r>
      <w:r w:rsidRPr="00B34F55">
        <w:rPr>
          <w:rFonts w:cstheme="minorHAnsi"/>
          <w:sz w:val="24"/>
          <w:szCs w:val="24"/>
          <w:lang w:val="cs-CZ"/>
        </w:rPr>
        <w:t xml:space="preserve">a pro informaci na internetu. </w:t>
      </w:r>
    </w:p>
    <w:p w14:paraId="118708D9" w14:textId="77777777" w:rsidR="001944DC" w:rsidRPr="00B34F55" w:rsidRDefault="001944DC" w:rsidP="001944DC">
      <w:pPr>
        <w:spacing w:before="0" w:after="0"/>
        <w:jc w:val="center"/>
        <w:rPr>
          <w:rFonts w:cstheme="minorHAnsi"/>
          <w:i/>
          <w:iCs/>
          <w:sz w:val="24"/>
          <w:szCs w:val="24"/>
          <w:lang w:val="cs-CZ"/>
        </w:rPr>
      </w:pPr>
    </w:p>
    <w:p w14:paraId="046B1526" w14:textId="77777777" w:rsidR="003926A4" w:rsidRPr="00B34F55" w:rsidRDefault="003926A4" w:rsidP="00BA0860">
      <w:pPr>
        <w:spacing w:before="0" w:after="0"/>
        <w:jc w:val="center"/>
        <w:rPr>
          <w:rFonts w:cstheme="minorHAnsi"/>
          <w:i/>
          <w:iCs/>
          <w:sz w:val="24"/>
          <w:szCs w:val="24"/>
          <w:lang w:val="cs-CZ"/>
        </w:rPr>
      </w:pPr>
    </w:p>
    <w:p w14:paraId="1B1712A5" w14:textId="77777777" w:rsidR="001944DC" w:rsidRPr="00B34F55" w:rsidRDefault="001944DC" w:rsidP="00BA0860">
      <w:pPr>
        <w:spacing w:before="0" w:after="0"/>
        <w:jc w:val="center"/>
        <w:rPr>
          <w:rFonts w:cstheme="minorHAnsi"/>
          <w:sz w:val="24"/>
          <w:szCs w:val="24"/>
          <w:lang w:val="cs-CZ"/>
        </w:rPr>
      </w:pPr>
      <w:r w:rsidRPr="00B34F55">
        <w:rPr>
          <w:rFonts w:cstheme="minorHAnsi"/>
          <w:i/>
          <w:iCs/>
          <w:sz w:val="24"/>
          <w:szCs w:val="24"/>
          <w:lang w:val="cs-CZ"/>
        </w:rPr>
        <w:lastRenderedPageBreak/>
        <w:t>Článek 11</w:t>
      </w:r>
    </w:p>
    <w:p w14:paraId="5F33147D" w14:textId="77777777" w:rsidR="001944DC" w:rsidRPr="00B34F55" w:rsidRDefault="001944DC" w:rsidP="00BA0860">
      <w:pPr>
        <w:spacing w:before="0" w:after="120"/>
        <w:jc w:val="center"/>
        <w:rPr>
          <w:rFonts w:cstheme="minorHAnsi"/>
          <w:sz w:val="24"/>
          <w:szCs w:val="24"/>
          <w:lang w:val="cs-CZ"/>
        </w:rPr>
      </w:pPr>
      <w:r w:rsidRPr="00B34F55">
        <w:rPr>
          <w:rFonts w:cstheme="minorHAnsi"/>
          <w:b/>
          <w:bCs/>
          <w:sz w:val="24"/>
          <w:szCs w:val="24"/>
          <w:lang w:val="cs-CZ"/>
        </w:rPr>
        <w:t>Metoda pro uplatnění úroku</w:t>
      </w:r>
    </w:p>
    <w:p w14:paraId="45A5E35D" w14:textId="77777777" w:rsidR="001944DC" w:rsidRPr="00B34F55" w:rsidRDefault="001944DC" w:rsidP="00BA0860">
      <w:pPr>
        <w:spacing w:before="0" w:after="120"/>
        <w:jc w:val="both"/>
        <w:rPr>
          <w:rFonts w:cstheme="minorHAnsi"/>
          <w:sz w:val="24"/>
          <w:szCs w:val="24"/>
          <w:lang w:val="cs-CZ"/>
        </w:rPr>
      </w:pPr>
      <w:r w:rsidRPr="00B34F55">
        <w:rPr>
          <w:rFonts w:cstheme="minorHAnsi"/>
          <w:sz w:val="24"/>
          <w:szCs w:val="24"/>
          <w:lang w:val="cs-CZ"/>
        </w:rPr>
        <w:t xml:space="preserve">1. Úroková sazba, která se má použít, je sazba použitelná v den, kdy byla protiprávní podpora poprvé dána k dispozici příjemci. </w:t>
      </w:r>
    </w:p>
    <w:p w14:paraId="08104C77" w14:textId="77777777" w:rsidR="001944DC" w:rsidRPr="00B34F55" w:rsidRDefault="001944DC" w:rsidP="00BA0860">
      <w:pPr>
        <w:spacing w:before="0" w:after="120"/>
        <w:jc w:val="both"/>
        <w:rPr>
          <w:rFonts w:cstheme="minorHAnsi"/>
          <w:sz w:val="24"/>
          <w:szCs w:val="24"/>
          <w:lang w:val="cs-CZ"/>
        </w:rPr>
      </w:pPr>
      <w:r w:rsidRPr="00B34F55">
        <w:rPr>
          <w:rFonts w:cstheme="minorHAnsi"/>
          <w:sz w:val="24"/>
          <w:szCs w:val="24"/>
          <w:lang w:val="cs-CZ"/>
        </w:rPr>
        <w:t xml:space="preserve">2. Úroková sazba se uplatňuje jako složený úrok až do data navrácení podpory. Úroky narostlé v předcházejícím roce jsou v každém následujícím roce úročeny. </w:t>
      </w:r>
    </w:p>
    <w:p w14:paraId="7452375C" w14:textId="77777777" w:rsidR="001944DC" w:rsidRPr="00443CA9" w:rsidRDefault="001944DC" w:rsidP="00BA0860">
      <w:pPr>
        <w:spacing w:before="0" w:after="120"/>
        <w:jc w:val="both"/>
        <w:rPr>
          <w:sz w:val="24"/>
          <w:szCs w:val="24"/>
          <w:lang w:val="cs-CZ"/>
        </w:rPr>
      </w:pPr>
      <w:r w:rsidRPr="00B34F55">
        <w:rPr>
          <w:rFonts w:cstheme="minorHAnsi"/>
          <w:sz w:val="24"/>
          <w:szCs w:val="24"/>
          <w:lang w:val="cs-CZ"/>
        </w:rPr>
        <w:t>3. Úroková sazba podle odstavce 1 se použije po celé období až do data vrácení podpory. Pokud však mezi dnem, kdy byla protiprávní podpora poprvé dána k dispozici příjemci, a dnem navrácení podpory uplynul více než jeden rok, přepočítá se úroková sazba každý rok, přičemž základem je sazba, která je platná v době přepočtu.</w:t>
      </w:r>
      <w:bookmarkEnd w:id="23"/>
    </w:p>
    <w:sectPr w:rsidR="001944DC" w:rsidRPr="00443CA9" w:rsidSect="00FD2C7F">
      <w:footerReference w:type="default" r:id="rId26"/>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3FBD" w14:textId="77777777" w:rsidR="001B4FBC" w:rsidRDefault="001B4FBC" w:rsidP="00B7670E">
      <w:pPr>
        <w:spacing w:after="0" w:line="240" w:lineRule="auto"/>
      </w:pPr>
      <w:r>
        <w:separator/>
      </w:r>
    </w:p>
  </w:endnote>
  <w:endnote w:type="continuationSeparator" w:id="0">
    <w:p w14:paraId="74315210" w14:textId="77777777" w:rsidR="001B4FBC" w:rsidRDefault="001B4FBC" w:rsidP="00B7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9368"/>
      <w:docPartObj>
        <w:docPartGallery w:val="Page Numbers (Bottom of Page)"/>
        <w:docPartUnique/>
      </w:docPartObj>
    </w:sdtPr>
    <w:sdtEndPr/>
    <w:sdtContent>
      <w:p w14:paraId="4493C3B1" w14:textId="77777777" w:rsidR="00CA767D" w:rsidRDefault="00CA767D">
        <w:pPr>
          <w:pStyle w:val="Zpat"/>
          <w:jc w:val="center"/>
        </w:pPr>
        <w:r>
          <w:fldChar w:fldCharType="begin"/>
        </w:r>
        <w:r>
          <w:instrText>PAGE   \* MERGEFORMAT</w:instrText>
        </w:r>
        <w:r>
          <w:fldChar w:fldCharType="separate"/>
        </w:r>
        <w:r w:rsidR="004C61C7">
          <w:rPr>
            <w:noProof/>
          </w:rPr>
          <w:t>14</w:t>
        </w:r>
        <w:r>
          <w:fldChar w:fldCharType="end"/>
        </w:r>
      </w:p>
    </w:sdtContent>
  </w:sdt>
  <w:p w14:paraId="73C73856" w14:textId="77777777" w:rsidR="00CA767D" w:rsidRPr="00F832A0" w:rsidRDefault="00CA767D" w:rsidP="00F832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A508" w14:textId="77777777" w:rsidR="001B4FBC" w:rsidRDefault="001B4FBC" w:rsidP="00B7670E">
      <w:pPr>
        <w:spacing w:after="0" w:line="240" w:lineRule="auto"/>
      </w:pPr>
      <w:r>
        <w:separator/>
      </w:r>
    </w:p>
  </w:footnote>
  <w:footnote w:type="continuationSeparator" w:id="0">
    <w:p w14:paraId="100A485C" w14:textId="77777777" w:rsidR="001B4FBC" w:rsidRDefault="001B4FBC" w:rsidP="00B7670E">
      <w:pPr>
        <w:spacing w:after="0" w:line="240" w:lineRule="auto"/>
      </w:pPr>
      <w:r>
        <w:continuationSeparator/>
      </w:r>
    </w:p>
  </w:footnote>
  <w:footnote w:id="1">
    <w:p w14:paraId="139C324B" w14:textId="77777777" w:rsidR="00BA6B51" w:rsidRPr="00957D12" w:rsidRDefault="00BA6B51" w:rsidP="00957D12">
      <w:pPr>
        <w:pStyle w:val="Bezmezer"/>
        <w:jc w:val="both"/>
        <w:rPr>
          <w:sz w:val="18"/>
          <w:szCs w:val="18"/>
        </w:rPr>
      </w:pPr>
      <w:r w:rsidRPr="00957D12">
        <w:rPr>
          <w:rStyle w:val="Znakapoznpodarou"/>
          <w:sz w:val="18"/>
          <w:szCs w:val="18"/>
        </w:rPr>
        <w:footnoteRef/>
      </w:r>
      <w:r w:rsidRPr="00957D12">
        <w:rPr>
          <w:sz w:val="18"/>
          <w:szCs w:val="18"/>
        </w:rPr>
        <w:t xml:space="preserve"> </w:t>
      </w:r>
      <w:proofErr w:type="spellStart"/>
      <w:r w:rsidRPr="00957D12">
        <w:rPr>
          <w:sz w:val="18"/>
          <w:szCs w:val="18"/>
        </w:rPr>
        <w:t>Nařízení</w:t>
      </w:r>
      <w:proofErr w:type="spellEnd"/>
      <w:r w:rsidRPr="00957D12">
        <w:rPr>
          <w:sz w:val="18"/>
          <w:szCs w:val="18"/>
        </w:rPr>
        <w:t xml:space="preserve"> Rady (EU) 2015/1589 ze dne 13. července 2015, kterým se stanoví prováděcí pravidla k článku 108 Smlouvy o fungování Evropské unie: </w:t>
      </w:r>
      <w:hyperlink r:id="rId1" w:history="1">
        <w:r w:rsidRPr="00957D12">
          <w:rPr>
            <w:rStyle w:val="Hypertextovodkaz"/>
            <w:sz w:val="18"/>
            <w:szCs w:val="18"/>
          </w:rPr>
          <w:t>https://eur-lex.europa.eu/legal-content/CS/TXT/PDF/?uri=CELEX:32015R1589&amp;from=EN</w:t>
        </w:r>
      </w:hyperlink>
      <w:r w:rsidRPr="00957D12">
        <w:rPr>
          <w:sz w:val="18"/>
          <w:szCs w:val="18"/>
        </w:rPr>
        <w:t>.</w:t>
      </w:r>
    </w:p>
  </w:footnote>
  <w:footnote w:id="2">
    <w:p w14:paraId="6A4218C5" w14:textId="77777777" w:rsidR="00033855" w:rsidRPr="00686C9A" w:rsidRDefault="00033855" w:rsidP="00957D12">
      <w:pPr>
        <w:pStyle w:val="Bezmezer"/>
        <w:jc w:val="both"/>
        <w:rPr>
          <w:sz w:val="18"/>
          <w:szCs w:val="18"/>
        </w:rPr>
      </w:pPr>
      <w:r w:rsidRPr="00957D12">
        <w:rPr>
          <w:rStyle w:val="Znakapoznpodarou"/>
          <w:sz w:val="18"/>
          <w:szCs w:val="18"/>
        </w:rPr>
        <w:footnoteRef/>
      </w:r>
      <w:r w:rsidRPr="00957D12">
        <w:rPr>
          <w:sz w:val="18"/>
          <w:szCs w:val="18"/>
        </w:rPr>
        <w:t xml:space="preserve"> Odst. 92 rozsudku Soudního dvora EU ve věci EESTI PAGAR (C-349/17).</w:t>
      </w:r>
    </w:p>
  </w:footnote>
  <w:footnote w:id="3">
    <w:p w14:paraId="04BD403F" w14:textId="77777777" w:rsidR="00C40B13" w:rsidRPr="00BD1977" w:rsidRDefault="00C40B13" w:rsidP="00C40B13">
      <w:pPr>
        <w:pStyle w:val="Textpoznpodarou"/>
        <w:spacing w:before="0" w:after="120" w:line="240" w:lineRule="auto"/>
        <w:jc w:val="both"/>
        <w:rPr>
          <w:sz w:val="18"/>
          <w:szCs w:val="18"/>
          <w:lang w:val="cs-CZ"/>
        </w:rPr>
      </w:pPr>
      <w:r w:rsidRPr="003B6490">
        <w:rPr>
          <w:rStyle w:val="Znakapoznpodarou"/>
          <w:sz w:val="18"/>
          <w:szCs w:val="18"/>
        </w:rPr>
        <w:footnoteRef/>
      </w:r>
      <w:r w:rsidRPr="003B6490">
        <w:rPr>
          <w:sz w:val="18"/>
          <w:szCs w:val="18"/>
        </w:rPr>
        <w:t xml:space="preserve"> </w:t>
      </w:r>
      <w:r w:rsidRPr="00BD1977">
        <w:rPr>
          <w:sz w:val="18"/>
          <w:szCs w:val="18"/>
        </w:rPr>
        <w:t>V čl</w:t>
      </w:r>
      <w:r w:rsidR="00062BBB" w:rsidRPr="00BD1977">
        <w:rPr>
          <w:sz w:val="18"/>
          <w:szCs w:val="18"/>
        </w:rPr>
        <w:t>.</w:t>
      </w:r>
      <w:r w:rsidRPr="00BD1977">
        <w:rPr>
          <w:sz w:val="18"/>
          <w:szCs w:val="18"/>
        </w:rPr>
        <w:t xml:space="preserve"> 16 odst. 2 nařízení Rady (EU) 2015/1589 ze dne 13. července 2015, kterým se stanoví prováděcí pravidla k článku 108 Smlouvy o fungování Evropské unie se uvádí, že: </w:t>
      </w:r>
      <w:r w:rsidRPr="00BD1977">
        <w:rPr>
          <w:bCs/>
          <w:sz w:val="18"/>
          <w:szCs w:val="18"/>
        </w:rPr>
        <w:t>„</w:t>
      </w:r>
      <w:r w:rsidRPr="00BD1977">
        <w:rPr>
          <w:bCs/>
          <w:i/>
          <w:iCs/>
          <w:sz w:val="18"/>
          <w:szCs w:val="18"/>
        </w:rPr>
        <w:t>úroky jsou splatné od data, kdy byla protiprávní podpora k dispozici příjemci, do data jejího navrácení.</w:t>
      </w:r>
      <w:r w:rsidRPr="00BD1977">
        <w:rPr>
          <w:bCs/>
          <w:sz w:val="18"/>
          <w:szCs w:val="18"/>
        </w:rPr>
        <w:t>“ Rovněž ve sdělení Komise o navracení protiprávních a neslučitelných státních podpor (2019/C 247/01) se v bodě 16 uvádí, že „</w:t>
      </w:r>
      <w:r w:rsidRPr="00BD1977">
        <w:rPr>
          <w:bCs/>
          <w:i/>
          <w:iCs/>
          <w:sz w:val="18"/>
          <w:szCs w:val="18"/>
        </w:rPr>
        <w:t>uhrazením úroků splatných při navrácení ztrácí příjemce podpory finanční výhodu vyplývající z bezplatného poskytnutí dotyčné podpory, a to ode dne, kdy byla příjemci dána k dispozici, do dne jejího navrácení.</w:t>
      </w:r>
      <w:r w:rsidRPr="00BD1977">
        <w:rPr>
          <w:bCs/>
          <w:sz w:val="18"/>
          <w:szCs w:val="18"/>
        </w:rPr>
        <w:t>”</w:t>
      </w:r>
      <w:r w:rsidRPr="00BD1977">
        <w:rPr>
          <w:sz w:val="18"/>
          <w:szCs w:val="18"/>
          <w:lang w:val="cs-CZ"/>
        </w:rPr>
        <w:t xml:space="preserve"> </w:t>
      </w:r>
    </w:p>
    <w:p w14:paraId="6B565BF8" w14:textId="77777777" w:rsidR="00C40B13" w:rsidRPr="00BD1977" w:rsidRDefault="00C40B13" w:rsidP="00C40B13">
      <w:pPr>
        <w:pStyle w:val="Textpoznpodarou"/>
        <w:spacing w:before="0" w:after="120" w:line="240" w:lineRule="auto"/>
        <w:jc w:val="both"/>
        <w:rPr>
          <w:sz w:val="18"/>
          <w:szCs w:val="18"/>
          <w:lang w:val="cs-CZ"/>
        </w:rPr>
      </w:pPr>
      <w:r w:rsidRPr="00BD1977">
        <w:rPr>
          <w:sz w:val="18"/>
          <w:szCs w:val="18"/>
          <w:lang w:val="cs-CZ"/>
        </w:rPr>
        <w:t xml:space="preserve">Viz též např. </w:t>
      </w:r>
      <w:hyperlink r:id="rId2" w:history="1">
        <w:r w:rsidRPr="00BD1977">
          <w:rPr>
            <w:rStyle w:val="Hypertextovodkaz"/>
            <w:sz w:val="18"/>
            <w:szCs w:val="18"/>
            <w:lang w:val="cs-CZ"/>
          </w:rPr>
          <w:t>rozhodnutí Komise k SA.50837</w:t>
        </w:r>
      </w:hyperlink>
      <w:r w:rsidRPr="00BD1977">
        <w:rPr>
          <w:sz w:val="18"/>
          <w:szCs w:val="18"/>
          <w:lang w:val="cs-CZ"/>
        </w:rPr>
        <w:t>, kde se v bodě 201</w:t>
      </w:r>
      <w:r w:rsidRPr="003B6490">
        <w:rPr>
          <w:sz w:val="18"/>
          <w:szCs w:val="18"/>
          <w:lang w:val="cs-CZ"/>
        </w:rPr>
        <w:t xml:space="preserve"> uvádí, že: </w:t>
      </w:r>
      <w:r w:rsidRPr="003B6490">
        <w:rPr>
          <w:bCs/>
          <w:sz w:val="18"/>
          <w:szCs w:val="18"/>
          <w:lang w:val="cs-CZ"/>
        </w:rPr>
        <w:t>„</w:t>
      </w:r>
      <w:r w:rsidRPr="00BD1977">
        <w:rPr>
          <w:i/>
          <w:iCs/>
          <w:sz w:val="18"/>
          <w:szCs w:val="18"/>
          <w:lang w:val="cs-CZ"/>
        </w:rPr>
        <w:t>Navrácení se vztahuje na období od data, kdy byla podpora dána k dispozici příjemci, až do jejího skutečného navrácení. Částka, která má být navrácena, zahrnuje úroky až do jejího skutečného navrácení.</w:t>
      </w:r>
      <w:r w:rsidRPr="00BD1977">
        <w:rPr>
          <w:sz w:val="18"/>
          <w:szCs w:val="18"/>
          <w:lang w:val="cs-CZ"/>
        </w:rPr>
        <w:t>“</w:t>
      </w:r>
    </w:p>
  </w:footnote>
  <w:footnote w:id="4">
    <w:p w14:paraId="6B1323F0" w14:textId="39EE2309" w:rsidR="00F7723B" w:rsidRPr="003B6490" w:rsidRDefault="00F7723B" w:rsidP="00C40B13">
      <w:pPr>
        <w:pStyle w:val="Textpoznpodarou"/>
        <w:spacing w:before="0" w:after="120" w:line="240" w:lineRule="auto"/>
        <w:jc w:val="both"/>
        <w:rPr>
          <w:sz w:val="18"/>
          <w:szCs w:val="18"/>
          <w:lang w:val="cs-CZ"/>
        </w:rPr>
      </w:pPr>
      <w:r w:rsidRPr="003B6490">
        <w:rPr>
          <w:rStyle w:val="Znakapoznpodarou"/>
          <w:sz w:val="18"/>
          <w:szCs w:val="18"/>
        </w:rPr>
        <w:footnoteRef/>
      </w:r>
      <w:r w:rsidRPr="003B6490">
        <w:rPr>
          <w:sz w:val="18"/>
          <w:szCs w:val="18"/>
          <w:lang w:val="cs-CZ"/>
        </w:rPr>
        <w:t xml:space="preserve"> </w:t>
      </w:r>
      <w:r w:rsidRPr="00BD1977">
        <w:rPr>
          <w:sz w:val="18"/>
          <w:szCs w:val="18"/>
          <w:lang w:val="cs-CZ"/>
        </w:rPr>
        <w:t xml:space="preserve">Viz např. </w:t>
      </w:r>
      <w:hyperlink r:id="rId3" w:history="1">
        <w:r w:rsidRPr="00BD1977">
          <w:rPr>
            <w:rStyle w:val="Hypertextovodkaz"/>
            <w:sz w:val="18"/>
            <w:szCs w:val="18"/>
            <w:lang w:val="cs-CZ"/>
          </w:rPr>
          <w:t>rozhodnutí Komise k SA.50837</w:t>
        </w:r>
      </w:hyperlink>
      <w:r w:rsidRPr="00BD1977">
        <w:rPr>
          <w:sz w:val="18"/>
          <w:szCs w:val="18"/>
          <w:lang w:val="cs-CZ"/>
        </w:rPr>
        <w:t xml:space="preserve">, kde se v bodě 222 uvádí, že: </w:t>
      </w:r>
      <w:r w:rsidRPr="00BD1977">
        <w:rPr>
          <w:bCs/>
          <w:sz w:val="18"/>
          <w:szCs w:val="18"/>
          <w:lang w:val="cs-CZ"/>
        </w:rPr>
        <w:t>„</w:t>
      </w:r>
      <w:r w:rsidRPr="00BD1977">
        <w:rPr>
          <w:bCs/>
          <w:i/>
          <w:iCs/>
          <w:sz w:val="18"/>
          <w:szCs w:val="18"/>
          <w:lang w:val="cs-CZ"/>
        </w:rPr>
        <w:t>Komise proto dospěla k závěru, že české orgány jsou povinny přijmout veškerá vhodná opatření k navrácení již vyplacené podpory velkým podnikům s cílem obnovit hospodářskou situaci, v níž by se příjemci nacházeli, pokud by protiprávní a neslučitelná podpora nebyla poskytnuta.</w:t>
      </w:r>
      <w:r w:rsidRPr="00BD1977">
        <w:rPr>
          <w:sz w:val="18"/>
          <w:szCs w:val="18"/>
          <w:lang w:val="cs-CZ"/>
        </w:rPr>
        <w:t>“</w:t>
      </w:r>
    </w:p>
  </w:footnote>
  <w:footnote w:id="5">
    <w:p w14:paraId="5856AF4A" w14:textId="77777777" w:rsidR="00856627" w:rsidRPr="00BD1977" w:rsidRDefault="00856627" w:rsidP="00C40B13">
      <w:pPr>
        <w:pStyle w:val="Bezmezer"/>
        <w:spacing w:before="0" w:after="120"/>
        <w:jc w:val="both"/>
        <w:rPr>
          <w:sz w:val="18"/>
          <w:szCs w:val="18"/>
          <w:lang w:val="cs-CZ"/>
        </w:rPr>
      </w:pPr>
      <w:r w:rsidRPr="00BD1977">
        <w:rPr>
          <w:rStyle w:val="Znakapoznpodarou"/>
          <w:sz w:val="18"/>
          <w:szCs w:val="18"/>
        </w:rPr>
        <w:footnoteRef/>
      </w:r>
      <w:r w:rsidRPr="003B6490">
        <w:rPr>
          <w:sz w:val="18"/>
          <w:szCs w:val="18"/>
          <w:lang w:val="cs-CZ"/>
        </w:rPr>
        <w:t xml:space="preserve"> </w:t>
      </w:r>
      <w:r w:rsidRPr="00BD1977">
        <w:rPr>
          <w:sz w:val="18"/>
          <w:szCs w:val="18"/>
          <w:lang w:val="cs-CZ"/>
        </w:rPr>
        <w:t>Nařízení Komise (EU) č. 651/2014 ze dne 17. června 2014, kterým se v souladu s články 107 a 108 Smlouvy prohlašují určité kategorie podpory za slučitelné s vnitřním trhem, čl. 2 bod 28).</w:t>
      </w:r>
    </w:p>
  </w:footnote>
  <w:footnote w:id="6">
    <w:p w14:paraId="108F8287" w14:textId="0E3EAA86" w:rsidR="00936B04" w:rsidRPr="00C05220" w:rsidRDefault="00936B04" w:rsidP="00C05220">
      <w:pPr>
        <w:pStyle w:val="Textpoznpodarou"/>
        <w:jc w:val="both"/>
        <w:rPr>
          <w:sz w:val="18"/>
          <w:szCs w:val="18"/>
          <w:lang w:val="cs-CZ"/>
        </w:rPr>
      </w:pPr>
      <w:r w:rsidRPr="003B6490">
        <w:rPr>
          <w:rStyle w:val="Znakapoznpodarou"/>
          <w:sz w:val="18"/>
          <w:szCs w:val="18"/>
        </w:rPr>
        <w:footnoteRef/>
      </w:r>
      <w:r w:rsidRPr="003B6490">
        <w:rPr>
          <w:sz w:val="18"/>
          <w:szCs w:val="18"/>
          <w:lang w:val="cs-CZ"/>
        </w:rPr>
        <w:t xml:space="preserve"> </w:t>
      </w:r>
      <w:r w:rsidR="00516090" w:rsidRPr="00FF7B89">
        <w:rPr>
          <w:sz w:val="18"/>
          <w:szCs w:val="18"/>
          <w:lang w:val="cs-CZ"/>
        </w:rPr>
        <w:t xml:space="preserve">Např. </w:t>
      </w:r>
      <w:r w:rsidR="00BD1977" w:rsidRPr="003B6490">
        <w:rPr>
          <w:sz w:val="18"/>
          <w:szCs w:val="18"/>
          <w:lang w:val="cs-CZ"/>
        </w:rPr>
        <w:t xml:space="preserve">podle §14n odst. 2 </w:t>
      </w:r>
      <w:r w:rsidRPr="00FF7B89">
        <w:rPr>
          <w:sz w:val="18"/>
          <w:szCs w:val="18"/>
          <w:lang w:val="cs-CZ"/>
        </w:rPr>
        <w:t>zákona</w:t>
      </w:r>
      <w:r w:rsidR="00C05220" w:rsidRPr="00FF7B89">
        <w:rPr>
          <w:sz w:val="18"/>
          <w:szCs w:val="18"/>
          <w:lang w:val="cs-CZ"/>
        </w:rPr>
        <w:t xml:space="preserve"> </w:t>
      </w:r>
      <w:r w:rsidRPr="00FF7B89">
        <w:rPr>
          <w:sz w:val="18"/>
          <w:szCs w:val="18"/>
          <w:lang w:val="cs-CZ"/>
        </w:rPr>
        <w:t>č.</w:t>
      </w:r>
      <w:r w:rsidR="00C05220" w:rsidRPr="00FF7B89">
        <w:rPr>
          <w:sz w:val="18"/>
          <w:szCs w:val="18"/>
          <w:lang w:val="cs-CZ"/>
        </w:rPr>
        <w:t xml:space="preserve"> </w:t>
      </w:r>
      <w:r w:rsidRPr="00FF7B89">
        <w:rPr>
          <w:sz w:val="18"/>
          <w:szCs w:val="18"/>
          <w:lang w:val="cs-CZ"/>
        </w:rPr>
        <w:t>218/2000</w:t>
      </w:r>
      <w:r w:rsidR="0017412C" w:rsidRPr="003B6490">
        <w:rPr>
          <w:sz w:val="18"/>
          <w:szCs w:val="18"/>
          <w:lang w:val="cs-CZ"/>
        </w:rPr>
        <w:t> </w:t>
      </w:r>
      <w:r w:rsidRPr="00FF7B89">
        <w:rPr>
          <w:sz w:val="18"/>
          <w:szCs w:val="18"/>
          <w:lang w:val="cs-CZ"/>
        </w:rPr>
        <w:t>Sb.</w:t>
      </w:r>
      <w:r w:rsidR="00C05220" w:rsidRPr="00FF7B89">
        <w:rPr>
          <w:sz w:val="18"/>
          <w:szCs w:val="18"/>
          <w:lang w:val="cs-CZ"/>
        </w:rPr>
        <w:t xml:space="preserve"> </w:t>
      </w:r>
      <w:r w:rsidRPr="00FF7B89">
        <w:rPr>
          <w:sz w:val="18"/>
          <w:szCs w:val="18"/>
          <w:lang w:val="cs-CZ"/>
        </w:rPr>
        <w:t>(rozpočtová</w:t>
      </w:r>
      <w:r w:rsidR="00C05220" w:rsidRPr="00FF7B89">
        <w:rPr>
          <w:sz w:val="18"/>
          <w:szCs w:val="18"/>
          <w:lang w:val="cs-CZ"/>
        </w:rPr>
        <w:t xml:space="preserve"> </w:t>
      </w:r>
      <w:r w:rsidRPr="00FF7B89">
        <w:rPr>
          <w:sz w:val="18"/>
          <w:szCs w:val="18"/>
          <w:lang w:val="cs-CZ"/>
        </w:rPr>
        <w:t>pravidla)</w:t>
      </w:r>
      <w:r w:rsidR="00BD1977" w:rsidRPr="003B6490">
        <w:rPr>
          <w:sz w:val="18"/>
          <w:szCs w:val="18"/>
          <w:lang w:val="cs-CZ"/>
        </w:rPr>
        <w:t xml:space="preserve"> pro rozhodnutí vydaná dle tohoto zákona </w:t>
      </w:r>
      <w:r w:rsidRPr="00FF7B89">
        <w:rPr>
          <w:sz w:val="18"/>
          <w:szCs w:val="18"/>
          <w:lang w:val="cs-CZ"/>
        </w:rPr>
        <w:t>platí,</w:t>
      </w:r>
      <w:r w:rsidR="00C05220" w:rsidRPr="00FF7B89">
        <w:rPr>
          <w:sz w:val="18"/>
          <w:szCs w:val="18"/>
          <w:lang w:val="cs-CZ"/>
        </w:rPr>
        <w:t xml:space="preserve"> </w:t>
      </w:r>
      <w:r w:rsidRPr="00FF7B89">
        <w:rPr>
          <w:sz w:val="18"/>
          <w:szCs w:val="18"/>
          <w:lang w:val="cs-CZ"/>
        </w:rPr>
        <w:t>že</w:t>
      </w:r>
      <w:r w:rsidR="00BD1977" w:rsidRPr="003B6490">
        <w:rPr>
          <w:sz w:val="18"/>
          <w:szCs w:val="18"/>
          <w:lang w:val="cs-CZ"/>
        </w:rPr>
        <w:t xml:space="preserve"> za d</w:t>
      </w:r>
      <w:r w:rsidRPr="003B6490">
        <w:rPr>
          <w:sz w:val="18"/>
          <w:szCs w:val="18"/>
          <w:lang w:val="cs-CZ"/>
        </w:rPr>
        <w:t>en</w:t>
      </w:r>
      <w:r w:rsidR="00C05220" w:rsidRPr="003B6490">
        <w:rPr>
          <w:sz w:val="18"/>
          <w:szCs w:val="18"/>
          <w:lang w:val="cs-CZ"/>
        </w:rPr>
        <w:t xml:space="preserve"> </w:t>
      </w:r>
      <w:r w:rsidRPr="003B6490">
        <w:rPr>
          <w:sz w:val="18"/>
          <w:szCs w:val="18"/>
          <w:lang w:val="cs-CZ"/>
        </w:rPr>
        <w:t>vydání</w:t>
      </w:r>
      <w:r w:rsidR="00C05220" w:rsidRPr="003B6490">
        <w:rPr>
          <w:sz w:val="18"/>
          <w:szCs w:val="18"/>
          <w:lang w:val="cs-CZ"/>
        </w:rPr>
        <w:t xml:space="preserve"> </w:t>
      </w:r>
      <w:r w:rsidRPr="003B6490">
        <w:rPr>
          <w:sz w:val="18"/>
          <w:szCs w:val="18"/>
          <w:lang w:val="cs-CZ"/>
        </w:rPr>
        <w:t>rozhodnutí</w:t>
      </w:r>
      <w:r w:rsidR="00C05220" w:rsidRPr="003B6490">
        <w:rPr>
          <w:sz w:val="18"/>
          <w:szCs w:val="18"/>
          <w:lang w:val="cs-CZ"/>
        </w:rPr>
        <w:t xml:space="preserve"> </w:t>
      </w:r>
      <w:r w:rsidRPr="003B6490">
        <w:rPr>
          <w:sz w:val="18"/>
          <w:szCs w:val="18"/>
          <w:lang w:val="cs-CZ"/>
        </w:rPr>
        <w:t>o</w:t>
      </w:r>
      <w:r w:rsidR="00C05220" w:rsidRPr="003B6490">
        <w:rPr>
          <w:sz w:val="18"/>
          <w:szCs w:val="18"/>
          <w:lang w:val="cs-CZ"/>
        </w:rPr>
        <w:t xml:space="preserve"> </w:t>
      </w:r>
      <w:r w:rsidRPr="003B6490">
        <w:rPr>
          <w:sz w:val="18"/>
          <w:szCs w:val="18"/>
          <w:lang w:val="cs-CZ"/>
        </w:rPr>
        <w:t>poskytnutí</w:t>
      </w:r>
      <w:r w:rsidR="00C05220" w:rsidRPr="003B6490">
        <w:rPr>
          <w:sz w:val="18"/>
          <w:szCs w:val="18"/>
          <w:lang w:val="cs-CZ"/>
        </w:rPr>
        <w:t xml:space="preserve"> </w:t>
      </w:r>
      <w:r w:rsidRPr="003B6490">
        <w:rPr>
          <w:sz w:val="18"/>
          <w:szCs w:val="18"/>
          <w:lang w:val="cs-CZ"/>
        </w:rPr>
        <w:t>dotace</w:t>
      </w:r>
      <w:r w:rsidR="00C05220" w:rsidRPr="003B6490">
        <w:rPr>
          <w:sz w:val="18"/>
          <w:szCs w:val="18"/>
          <w:lang w:val="cs-CZ"/>
        </w:rPr>
        <w:t xml:space="preserve"> </w:t>
      </w:r>
      <w:r w:rsidRPr="003B6490">
        <w:rPr>
          <w:sz w:val="18"/>
          <w:szCs w:val="18"/>
          <w:lang w:val="cs-CZ"/>
        </w:rPr>
        <w:t>nebo</w:t>
      </w:r>
      <w:r w:rsidR="00C05220" w:rsidRPr="003B6490">
        <w:rPr>
          <w:sz w:val="18"/>
          <w:szCs w:val="18"/>
          <w:lang w:val="cs-CZ"/>
        </w:rPr>
        <w:t xml:space="preserve"> </w:t>
      </w:r>
      <w:r w:rsidRPr="003B6490">
        <w:rPr>
          <w:sz w:val="18"/>
          <w:szCs w:val="18"/>
          <w:lang w:val="cs-CZ"/>
        </w:rPr>
        <w:t>návratné</w:t>
      </w:r>
      <w:r w:rsidR="00C05220" w:rsidRPr="003B6490">
        <w:rPr>
          <w:sz w:val="18"/>
          <w:szCs w:val="18"/>
          <w:lang w:val="cs-CZ"/>
        </w:rPr>
        <w:t xml:space="preserve"> </w:t>
      </w:r>
      <w:r w:rsidRPr="003B6490">
        <w:rPr>
          <w:sz w:val="18"/>
          <w:szCs w:val="18"/>
          <w:lang w:val="cs-CZ"/>
        </w:rPr>
        <w:t>finanční</w:t>
      </w:r>
      <w:r w:rsidR="00C05220" w:rsidRPr="003B6490">
        <w:rPr>
          <w:sz w:val="18"/>
          <w:szCs w:val="18"/>
          <w:lang w:val="cs-CZ"/>
        </w:rPr>
        <w:t xml:space="preserve"> </w:t>
      </w:r>
      <w:r w:rsidRPr="003B6490">
        <w:rPr>
          <w:sz w:val="18"/>
          <w:szCs w:val="18"/>
          <w:lang w:val="cs-CZ"/>
        </w:rPr>
        <w:t>výpomoci</w:t>
      </w:r>
      <w:r w:rsidR="00C05220" w:rsidRPr="003B6490">
        <w:rPr>
          <w:sz w:val="18"/>
          <w:szCs w:val="18"/>
          <w:lang w:val="cs-CZ"/>
        </w:rPr>
        <w:t xml:space="preserve"> </w:t>
      </w:r>
      <w:r w:rsidRPr="003B6490">
        <w:rPr>
          <w:sz w:val="18"/>
          <w:szCs w:val="18"/>
          <w:lang w:val="cs-CZ"/>
        </w:rPr>
        <w:t>je</w:t>
      </w:r>
      <w:r w:rsidR="00C05220" w:rsidRPr="003B6490">
        <w:rPr>
          <w:sz w:val="18"/>
          <w:szCs w:val="18"/>
          <w:lang w:val="cs-CZ"/>
        </w:rPr>
        <w:t xml:space="preserve"> </w:t>
      </w:r>
      <w:r w:rsidRPr="003B6490">
        <w:rPr>
          <w:sz w:val="18"/>
          <w:szCs w:val="18"/>
          <w:lang w:val="cs-CZ"/>
        </w:rPr>
        <w:t>považován</w:t>
      </w:r>
      <w:r w:rsidR="00C05220" w:rsidRPr="003B6490">
        <w:rPr>
          <w:sz w:val="18"/>
          <w:szCs w:val="18"/>
          <w:lang w:val="cs-CZ"/>
        </w:rPr>
        <w:t xml:space="preserve"> </w:t>
      </w:r>
      <w:r w:rsidRPr="003B6490">
        <w:rPr>
          <w:sz w:val="18"/>
          <w:szCs w:val="18"/>
          <w:lang w:val="cs-CZ"/>
        </w:rPr>
        <w:t>den</w:t>
      </w:r>
      <w:r w:rsidR="00C05220" w:rsidRPr="003B6490">
        <w:rPr>
          <w:sz w:val="18"/>
          <w:szCs w:val="18"/>
          <w:lang w:val="cs-CZ"/>
        </w:rPr>
        <w:t xml:space="preserve"> </w:t>
      </w:r>
      <w:r w:rsidRPr="003B6490">
        <w:rPr>
          <w:sz w:val="18"/>
          <w:szCs w:val="18"/>
          <w:lang w:val="cs-CZ"/>
        </w:rPr>
        <w:t>poskytnutí</w:t>
      </w:r>
      <w:r w:rsidR="00C05220" w:rsidRPr="003B6490">
        <w:rPr>
          <w:sz w:val="18"/>
          <w:szCs w:val="18"/>
          <w:lang w:val="cs-CZ"/>
        </w:rPr>
        <w:t xml:space="preserve"> </w:t>
      </w:r>
      <w:r w:rsidRPr="003B6490">
        <w:rPr>
          <w:sz w:val="18"/>
          <w:szCs w:val="18"/>
          <w:lang w:val="cs-CZ"/>
        </w:rPr>
        <w:t>veřejné</w:t>
      </w:r>
      <w:r w:rsidR="00C05220" w:rsidRPr="003B6490">
        <w:rPr>
          <w:sz w:val="18"/>
          <w:szCs w:val="18"/>
          <w:lang w:val="cs-CZ"/>
        </w:rPr>
        <w:t xml:space="preserve"> </w:t>
      </w:r>
      <w:r w:rsidRPr="003B6490">
        <w:rPr>
          <w:sz w:val="18"/>
          <w:szCs w:val="18"/>
          <w:lang w:val="cs-CZ"/>
        </w:rPr>
        <w:t>podpory</w:t>
      </w:r>
      <w:r w:rsidR="00C05220" w:rsidRPr="003B6490">
        <w:rPr>
          <w:sz w:val="18"/>
          <w:szCs w:val="18"/>
          <w:lang w:val="cs-CZ"/>
        </w:rPr>
        <w:t xml:space="preserve"> </w:t>
      </w:r>
      <w:r w:rsidRPr="003B6490">
        <w:rPr>
          <w:sz w:val="18"/>
          <w:szCs w:val="18"/>
          <w:lang w:val="cs-CZ"/>
        </w:rPr>
        <w:t>nebo</w:t>
      </w:r>
      <w:r w:rsidR="00C05220" w:rsidRPr="003B6490">
        <w:rPr>
          <w:sz w:val="18"/>
          <w:szCs w:val="18"/>
          <w:lang w:val="cs-CZ"/>
        </w:rPr>
        <w:t xml:space="preserve"> </w:t>
      </w:r>
      <w:r w:rsidRPr="003B6490">
        <w:rPr>
          <w:sz w:val="18"/>
          <w:szCs w:val="18"/>
          <w:lang w:val="cs-CZ"/>
        </w:rPr>
        <w:t>podpory</w:t>
      </w:r>
      <w:r w:rsidR="00C05220" w:rsidRPr="003B6490">
        <w:rPr>
          <w:sz w:val="18"/>
          <w:szCs w:val="18"/>
          <w:lang w:val="cs-CZ"/>
        </w:rPr>
        <w:t xml:space="preserve"> </w:t>
      </w:r>
      <w:r w:rsidRPr="003B6490">
        <w:rPr>
          <w:sz w:val="18"/>
          <w:szCs w:val="18"/>
          <w:lang w:val="cs-CZ"/>
        </w:rPr>
        <w:t>malého</w:t>
      </w:r>
      <w:r w:rsidR="00C05220" w:rsidRPr="003B6490">
        <w:rPr>
          <w:sz w:val="18"/>
          <w:szCs w:val="18"/>
          <w:lang w:val="cs-CZ"/>
        </w:rPr>
        <w:t xml:space="preserve"> </w:t>
      </w:r>
      <w:r w:rsidRPr="003B6490">
        <w:rPr>
          <w:sz w:val="18"/>
          <w:szCs w:val="18"/>
          <w:lang w:val="cs-CZ"/>
        </w:rPr>
        <w:t>rozsahu.</w:t>
      </w:r>
      <w:r w:rsidR="00C05220" w:rsidRPr="00FF7B89">
        <w:rPr>
          <w:sz w:val="18"/>
          <w:szCs w:val="18"/>
          <w:lang w:val="cs-CZ"/>
        </w:rPr>
        <w:t xml:space="preserve"> </w:t>
      </w:r>
      <w:r w:rsidRPr="00FF7B89">
        <w:rPr>
          <w:sz w:val="18"/>
          <w:szCs w:val="18"/>
          <w:lang w:val="cs-CZ"/>
        </w:rPr>
        <w:t>Rozpočtová</w:t>
      </w:r>
      <w:r w:rsidR="00C05220" w:rsidRPr="00FF7B89">
        <w:rPr>
          <w:sz w:val="18"/>
          <w:szCs w:val="18"/>
          <w:lang w:val="cs-CZ"/>
        </w:rPr>
        <w:t xml:space="preserve"> </w:t>
      </w:r>
      <w:r w:rsidRPr="00FF7B89">
        <w:rPr>
          <w:sz w:val="18"/>
          <w:szCs w:val="18"/>
          <w:lang w:val="cs-CZ"/>
        </w:rPr>
        <w:t>pravidla</w:t>
      </w:r>
      <w:r w:rsidR="00C05220" w:rsidRPr="00FF7B89">
        <w:rPr>
          <w:sz w:val="18"/>
          <w:szCs w:val="18"/>
          <w:lang w:val="cs-CZ"/>
        </w:rPr>
        <w:t xml:space="preserve"> </w:t>
      </w:r>
      <w:r w:rsidRPr="00FF7B89">
        <w:rPr>
          <w:sz w:val="18"/>
          <w:szCs w:val="18"/>
          <w:lang w:val="cs-CZ"/>
        </w:rPr>
        <w:t>nevylučují</w:t>
      </w:r>
      <w:r w:rsidR="00C05220" w:rsidRPr="00FF7B89">
        <w:rPr>
          <w:sz w:val="18"/>
          <w:szCs w:val="18"/>
          <w:lang w:val="cs-CZ"/>
        </w:rPr>
        <w:t xml:space="preserve"> </w:t>
      </w:r>
      <w:r w:rsidRPr="00FF7B89">
        <w:rPr>
          <w:sz w:val="18"/>
          <w:szCs w:val="18"/>
          <w:lang w:val="cs-CZ"/>
        </w:rPr>
        <w:t>použití</w:t>
      </w:r>
      <w:r w:rsidR="00C05220" w:rsidRPr="00FF7B89">
        <w:rPr>
          <w:sz w:val="18"/>
          <w:szCs w:val="18"/>
          <w:lang w:val="cs-CZ"/>
        </w:rPr>
        <w:t xml:space="preserve"> </w:t>
      </w:r>
      <w:r w:rsidRPr="00FF7B89">
        <w:rPr>
          <w:sz w:val="18"/>
          <w:szCs w:val="18"/>
          <w:lang w:val="cs-CZ"/>
        </w:rPr>
        <w:t>správního</w:t>
      </w:r>
      <w:r w:rsidR="00C05220" w:rsidRPr="00FF7B89">
        <w:rPr>
          <w:sz w:val="18"/>
          <w:szCs w:val="18"/>
          <w:lang w:val="cs-CZ"/>
        </w:rPr>
        <w:t xml:space="preserve"> </w:t>
      </w:r>
      <w:r w:rsidRPr="00FF7B89">
        <w:rPr>
          <w:sz w:val="18"/>
          <w:szCs w:val="18"/>
          <w:lang w:val="cs-CZ"/>
        </w:rPr>
        <w:t>řádu,</w:t>
      </w:r>
      <w:r w:rsidR="00C05220" w:rsidRPr="00FF7B89">
        <w:rPr>
          <w:sz w:val="18"/>
          <w:szCs w:val="18"/>
          <w:lang w:val="cs-CZ"/>
        </w:rPr>
        <w:t xml:space="preserve"> </w:t>
      </w:r>
      <w:r w:rsidRPr="00FF7B89">
        <w:rPr>
          <w:sz w:val="18"/>
          <w:szCs w:val="18"/>
          <w:lang w:val="cs-CZ"/>
        </w:rPr>
        <w:t>proto</w:t>
      </w:r>
      <w:r w:rsidR="00C05220" w:rsidRPr="00FF7B89">
        <w:rPr>
          <w:sz w:val="18"/>
          <w:szCs w:val="18"/>
          <w:lang w:val="cs-CZ"/>
        </w:rPr>
        <w:t xml:space="preserve"> </w:t>
      </w:r>
      <w:r w:rsidRPr="00FF7B89">
        <w:rPr>
          <w:sz w:val="18"/>
          <w:szCs w:val="18"/>
          <w:lang w:val="cs-CZ"/>
        </w:rPr>
        <w:t>je</w:t>
      </w:r>
      <w:r w:rsidR="00C05220" w:rsidRPr="00FF7B89">
        <w:rPr>
          <w:sz w:val="18"/>
          <w:szCs w:val="18"/>
          <w:lang w:val="cs-CZ"/>
        </w:rPr>
        <w:t xml:space="preserve"> </w:t>
      </w:r>
      <w:r w:rsidRPr="00FF7B89">
        <w:rPr>
          <w:sz w:val="18"/>
          <w:szCs w:val="18"/>
          <w:lang w:val="cs-CZ"/>
        </w:rPr>
        <w:t>nutné</w:t>
      </w:r>
      <w:r w:rsidR="00C05220" w:rsidRPr="00FF7B89">
        <w:rPr>
          <w:sz w:val="18"/>
          <w:szCs w:val="18"/>
          <w:lang w:val="cs-CZ"/>
        </w:rPr>
        <w:t xml:space="preserve"> </w:t>
      </w:r>
      <w:r w:rsidRPr="00FF7B89">
        <w:rPr>
          <w:sz w:val="18"/>
          <w:szCs w:val="18"/>
          <w:lang w:val="cs-CZ"/>
        </w:rPr>
        <w:t>za</w:t>
      </w:r>
      <w:r w:rsidR="00C05220" w:rsidRPr="00FF7B89">
        <w:rPr>
          <w:sz w:val="18"/>
          <w:szCs w:val="18"/>
          <w:lang w:val="cs-CZ"/>
        </w:rPr>
        <w:t xml:space="preserve"> </w:t>
      </w:r>
      <w:r w:rsidRPr="00FF7B89">
        <w:rPr>
          <w:sz w:val="18"/>
          <w:szCs w:val="18"/>
          <w:lang w:val="cs-CZ"/>
        </w:rPr>
        <w:t>den</w:t>
      </w:r>
      <w:r w:rsidR="00C05220" w:rsidRPr="00FF7B89">
        <w:rPr>
          <w:sz w:val="18"/>
          <w:szCs w:val="18"/>
          <w:lang w:val="cs-CZ"/>
        </w:rPr>
        <w:t xml:space="preserve"> </w:t>
      </w:r>
      <w:r w:rsidRPr="00FF7B89">
        <w:rPr>
          <w:sz w:val="18"/>
          <w:szCs w:val="18"/>
          <w:lang w:val="cs-CZ"/>
        </w:rPr>
        <w:t>poskytnutí</w:t>
      </w:r>
      <w:r w:rsidR="00C05220" w:rsidRPr="00FF7B89">
        <w:rPr>
          <w:sz w:val="18"/>
          <w:szCs w:val="18"/>
          <w:lang w:val="cs-CZ"/>
        </w:rPr>
        <w:t xml:space="preserve"> </w:t>
      </w:r>
      <w:r w:rsidRPr="00FF7B89">
        <w:rPr>
          <w:sz w:val="18"/>
          <w:szCs w:val="18"/>
          <w:lang w:val="cs-CZ"/>
        </w:rPr>
        <w:t>podpory</w:t>
      </w:r>
      <w:r w:rsidR="00C05220" w:rsidRPr="00FF7B89">
        <w:rPr>
          <w:sz w:val="18"/>
          <w:szCs w:val="18"/>
          <w:lang w:val="cs-CZ"/>
        </w:rPr>
        <w:t xml:space="preserve"> </w:t>
      </w:r>
      <w:r w:rsidRPr="00FF7B89">
        <w:rPr>
          <w:sz w:val="18"/>
          <w:szCs w:val="18"/>
          <w:lang w:val="cs-CZ"/>
        </w:rPr>
        <w:t>považovat</w:t>
      </w:r>
      <w:r w:rsidR="00C05220" w:rsidRPr="00FF7B89">
        <w:rPr>
          <w:sz w:val="18"/>
          <w:szCs w:val="18"/>
          <w:lang w:val="cs-CZ"/>
        </w:rPr>
        <w:t xml:space="preserve"> </w:t>
      </w:r>
      <w:r w:rsidRPr="00FF7B89">
        <w:rPr>
          <w:sz w:val="18"/>
          <w:szCs w:val="18"/>
          <w:lang w:val="cs-CZ"/>
        </w:rPr>
        <w:t>nikoliv</w:t>
      </w:r>
      <w:r w:rsidR="00C05220" w:rsidRPr="00FF7B89">
        <w:rPr>
          <w:sz w:val="18"/>
          <w:szCs w:val="18"/>
          <w:lang w:val="cs-CZ"/>
        </w:rPr>
        <w:t xml:space="preserve"> </w:t>
      </w:r>
      <w:r w:rsidRPr="00FF7B89">
        <w:rPr>
          <w:sz w:val="18"/>
          <w:szCs w:val="18"/>
          <w:lang w:val="cs-CZ"/>
        </w:rPr>
        <w:t>den</w:t>
      </w:r>
      <w:r w:rsidR="00C05220" w:rsidRPr="00FF7B89">
        <w:rPr>
          <w:sz w:val="18"/>
          <w:szCs w:val="18"/>
          <w:lang w:val="cs-CZ"/>
        </w:rPr>
        <w:t xml:space="preserve"> </w:t>
      </w:r>
      <w:r w:rsidRPr="00FF7B89">
        <w:rPr>
          <w:sz w:val="18"/>
          <w:szCs w:val="18"/>
          <w:lang w:val="cs-CZ"/>
        </w:rPr>
        <w:t>podpisu</w:t>
      </w:r>
      <w:r w:rsidR="00C05220" w:rsidRPr="00FF7B89">
        <w:rPr>
          <w:sz w:val="18"/>
          <w:szCs w:val="18"/>
          <w:lang w:val="cs-CZ"/>
        </w:rPr>
        <w:t xml:space="preserve"> </w:t>
      </w:r>
      <w:r w:rsidRPr="00FF7B89">
        <w:rPr>
          <w:sz w:val="18"/>
          <w:szCs w:val="18"/>
          <w:lang w:val="cs-CZ"/>
        </w:rPr>
        <w:t>či</w:t>
      </w:r>
      <w:r w:rsidR="00C05220" w:rsidRPr="00FF7B89">
        <w:rPr>
          <w:sz w:val="18"/>
          <w:szCs w:val="18"/>
          <w:lang w:val="cs-CZ"/>
        </w:rPr>
        <w:t xml:space="preserve"> </w:t>
      </w:r>
      <w:r w:rsidRPr="00FF7B89">
        <w:rPr>
          <w:sz w:val="18"/>
          <w:szCs w:val="18"/>
          <w:lang w:val="cs-CZ"/>
        </w:rPr>
        <w:t>jakékoliv</w:t>
      </w:r>
      <w:r w:rsidR="00C05220" w:rsidRPr="00FF7B89">
        <w:rPr>
          <w:sz w:val="18"/>
          <w:szCs w:val="18"/>
          <w:lang w:val="cs-CZ"/>
        </w:rPr>
        <w:t xml:space="preserve"> </w:t>
      </w:r>
      <w:r w:rsidRPr="00FF7B89">
        <w:rPr>
          <w:sz w:val="18"/>
          <w:szCs w:val="18"/>
          <w:lang w:val="cs-CZ"/>
        </w:rPr>
        <w:t>jiné</w:t>
      </w:r>
      <w:r w:rsidR="00C05220" w:rsidRPr="00FF7B89">
        <w:rPr>
          <w:sz w:val="18"/>
          <w:szCs w:val="18"/>
          <w:lang w:val="cs-CZ"/>
        </w:rPr>
        <w:t xml:space="preserve"> </w:t>
      </w:r>
      <w:r w:rsidRPr="00FF7B89">
        <w:rPr>
          <w:sz w:val="18"/>
          <w:szCs w:val="18"/>
          <w:lang w:val="cs-CZ"/>
        </w:rPr>
        <w:t>datum,</w:t>
      </w:r>
      <w:r w:rsidR="00C05220" w:rsidRPr="00FF7B89">
        <w:rPr>
          <w:sz w:val="18"/>
          <w:szCs w:val="18"/>
          <w:lang w:val="cs-CZ"/>
        </w:rPr>
        <w:t xml:space="preserve"> </w:t>
      </w:r>
      <w:r w:rsidRPr="00FF7B89">
        <w:rPr>
          <w:sz w:val="18"/>
          <w:szCs w:val="18"/>
          <w:lang w:val="cs-CZ"/>
        </w:rPr>
        <w:t>ale</w:t>
      </w:r>
      <w:r w:rsidR="00C05220" w:rsidRPr="00FF7B89">
        <w:rPr>
          <w:sz w:val="18"/>
          <w:szCs w:val="18"/>
          <w:lang w:val="cs-CZ"/>
        </w:rPr>
        <w:t xml:space="preserve"> </w:t>
      </w:r>
      <w:r w:rsidRPr="00FF7B89">
        <w:rPr>
          <w:b/>
          <w:bCs/>
          <w:sz w:val="18"/>
          <w:szCs w:val="18"/>
          <w:lang w:val="cs-CZ"/>
        </w:rPr>
        <w:t>den</w:t>
      </w:r>
      <w:r w:rsidR="00C05220" w:rsidRPr="00FF7B89">
        <w:rPr>
          <w:b/>
          <w:bCs/>
          <w:sz w:val="18"/>
          <w:szCs w:val="18"/>
          <w:lang w:val="cs-CZ"/>
        </w:rPr>
        <w:t xml:space="preserve"> </w:t>
      </w:r>
      <w:r w:rsidRPr="00FF7B89">
        <w:rPr>
          <w:b/>
          <w:bCs/>
          <w:sz w:val="18"/>
          <w:szCs w:val="18"/>
          <w:lang w:val="cs-CZ"/>
        </w:rPr>
        <w:t>vydání</w:t>
      </w:r>
      <w:r w:rsidR="00C05220" w:rsidRPr="00FF7B89">
        <w:rPr>
          <w:b/>
          <w:bCs/>
          <w:sz w:val="18"/>
          <w:szCs w:val="18"/>
          <w:lang w:val="cs-CZ"/>
        </w:rPr>
        <w:t xml:space="preserve"> </w:t>
      </w:r>
      <w:r w:rsidRPr="00FF7B89">
        <w:rPr>
          <w:b/>
          <w:bCs/>
          <w:sz w:val="18"/>
          <w:szCs w:val="18"/>
          <w:lang w:val="cs-CZ"/>
        </w:rPr>
        <w:t>rozhodnutí</w:t>
      </w:r>
      <w:r w:rsidR="00C05220" w:rsidRPr="00FF7B89">
        <w:rPr>
          <w:b/>
          <w:bCs/>
          <w:sz w:val="18"/>
          <w:szCs w:val="18"/>
          <w:lang w:val="cs-CZ"/>
        </w:rPr>
        <w:t xml:space="preserve"> </w:t>
      </w:r>
      <w:r w:rsidRPr="00FF7B89">
        <w:rPr>
          <w:b/>
          <w:bCs/>
          <w:sz w:val="18"/>
          <w:szCs w:val="18"/>
          <w:lang w:val="cs-CZ"/>
        </w:rPr>
        <w:t>ve</w:t>
      </w:r>
      <w:r w:rsidR="00C05220" w:rsidRPr="00FF7B89">
        <w:rPr>
          <w:b/>
          <w:bCs/>
          <w:sz w:val="18"/>
          <w:szCs w:val="18"/>
          <w:lang w:val="cs-CZ"/>
        </w:rPr>
        <w:t xml:space="preserve"> </w:t>
      </w:r>
      <w:r w:rsidRPr="00FF7B89">
        <w:rPr>
          <w:b/>
          <w:bCs/>
          <w:sz w:val="18"/>
          <w:szCs w:val="18"/>
          <w:lang w:val="cs-CZ"/>
        </w:rPr>
        <w:t>smyslu</w:t>
      </w:r>
      <w:r w:rsidR="00C05220" w:rsidRPr="00FF7B89">
        <w:rPr>
          <w:b/>
          <w:bCs/>
          <w:sz w:val="18"/>
          <w:szCs w:val="18"/>
          <w:lang w:val="cs-CZ"/>
        </w:rPr>
        <w:t xml:space="preserve"> </w:t>
      </w:r>
      <w:r w:rsidRPr="00FF7B89">
        <w:rPr>
          <w:b/>
          <w:bCs/>
          <w:sz w:val="18"/>
          <w:szCs w:val="18"/>
          <w:lang w:val="cs-CZ"/>
        </w:rPr>
        <w:t>§</w:t>
      </w:r>
      <w:r w:rsidR="00C05220" w:rsidRPr="00FF7B89">
        <w:rPr>
          <w:b/>
          <w:bCs/>
          <w:sz w:val="18"/>
          <w:szCs w:val="18"/>
          <w:lang w:val="cs-CZ"/>
        </w:rPr>
        <w:t xml:space="preserve"> </w:t>
      </w:r>
      <w:r w:rsidRPr="00FF7B89">
        <w:rPr>
          <w:b/>
          <w:bCs/>
          <w:sz w:val="18"/>
          <w:szCs w:val="18"/>
          <w:lang w:val="cs-CZ"/>
        </w:rPr>
        <w:t>71</w:t>
      </w:r>
      <w:r w:rsidR="00C05220" w:rsidRPr="00FF7B89">
        <w:rPr>
          <w:b/>
          <w:bCs/>
          <w:sz w:val="18"/>
          <w:szCs w:val="18"/>
          <w:lang w:val="cs-CZ"/>
        </w:rPr>
        <w:t xml:space="preserve"> </w:t>
      </w:r>
      <w:r w:rsidRPr="00FF7B89">
        <w:rPr>
          <w:b/>
          <w:bCs/>
          <w:sz w:val="18"/>
          <w:szCs w:val="18"/>
          <w:lang w:val="cs-CZ"/>
        </w:rPr>
        <w:t>odst.</w:t>
      </w:r>
      <w:r w:rsidR="00C05220" w:rsidRPr="00FF7B89">
        <w:rPr>
          <w:b/>
          <w:bCs/>
          <w:sz w:val="18"/>
          <w:szCs w:val="18"/>
          <w:lang w:val="cs-CZ"/>
        </w:rPr>
        <w:t xml:space="preserve"> </w:t>
      </w:r>
      <w:r w:rsidRPr="00FF7B89">
        <w:rPr>
          <w:b/>
          <w:bCs/>
          <w:sz w:val="18"/>
          <w:szCs w:val="18"/>
          <w:lang w:val="cs-CZ"/>
        </w:rPr>
        <w:t>2)</w:t>
      </w:r>
      <w:r w:rsidR="00C05220" w:rsidRPr="00FF7B89">
        <w:rPr>
          <w:b/>
          <w:bCs/>
          <w:sz w:val="18"/>
          <w:szCs w:val="18"/>
          <w:lang w:val="cs-CZ"/>
        </w:rPr>
        <w:t xml:space="preserve"> </w:t>
      </w:r>
      <w:r w:rsidRPr="00FF7B89">
        <w:rPr>
          <w:b/>
          <w:bCs/>
          <w:sz w:val="18"/>
          <w:szCs w:val="18"/>
          <w:lang w:val="cs-CZ"/>
        </w:rPr>
        <w:t>písm.</w:t>
      </w:r>
      <w:r w:rsidR="00C05220" w:rsidRPr="00FF7B89">
        <w:rPr>
          <w:b/>
          <w:bCs/>
          <w:sz w:val="18"/>
          <w:szCs w:val="18"/>
          <w:lang w:val="cs-CZ"/>
        </w:rPr>
        <w:t xml:space="preserve"> </w:t>
      </w:r>
      <w:r w:rsidRPr="00FF7B89">
        <w:rPr>
          <w:b/>
          <w:bCs/>
          <w:sz w:val="18"/>
          <w:szCs w:val="18"/>
          <w:lang w:val="cs-CZ"/>
        </w:rPr>
        <w:t>a)</w:t>
      </w:r>
      <w:r w:rsidR="00C05220" w:rsidRPr="00FF7B89">
        <w:rPr>
          <w:b/>
          <w:bCs/>
          <w:sz w:val="18"/>
          <w:szCs w:val="18"/>
          <w:lang w:val="cs-CZ"/>
        </w:rPr>
        <w:t xml:space="preserve"> </w:t>
      </w:r>
      <w:r w:rsidRPr="00FF7B89">
        <w:rPr>
          <w:b/>
          <w:bCs/>
          <w:sz w:val="18"/>
          <w:szCs w:val="18"/>
          <w:lang w:val="cs-CZ"/>
        </w:rPr>
        <w:t>správního</w:t>
      </w:r>
      <w:r w:rsidR="00C05220" w:rsidRPr="00FF7B89">
        <w:rPr>
          <w:b/>
          <w:bCs/>
          <w:sz w:val="18"/>
          <w:szCs w:val="18"/>
          <w:lang w:val="cs-CZ"/>
        </w:rPr>
        <w:t xml:space="preserve"> </w:t>
      </w:r>
      <w:r w:rsidRPr="00FF7B89">
        <w:rPr>
          <w:b/>
          <w:bCs/>
          <w:sz w:val="18"/>
          <w:szCs w:val="18"/>
          <w:lang w:val="cs-CZ"/>
        </w:rPr>
        <w:t>řádu</w:t>
      </w:r>
      <w:r w:rsidR="00BD1977" w:rsidRPr="003B6490">
        <w:rPr>
          <w:sz w:val="18"/>
          <w:szCs w:val="18"/>
          <w:lang w:val="cs-CZ"/>
        </w:rPr>
        <w:t>.</w:t>
      </w:r>
      <w:r w:rsidR="00C05220" w:rsidRPr="00FF7B89">
        <w:rPr>
          <w:b/>
          <w:bCs/>
          <w:sz w:val="18"/>
          <w:szCs w:val="18"/>
          <w:lang w:val="cs-CZ"/>
        </w:rPr>
        <w:t xml:space="preserve"> </w:t>
      </w:r>
      <w:r w:rsidR="00BD1977" w:rsidRPr="003B6490">
        <w:rPr>
          <w:sz w:val="18"/>
          <w:szCs w:val="18"/>
          <w:lang w:val="cs-CZ"/>
        </w:rPr>
        <w:t>V</w:t>
      </w:r>
      <w:r w:rsidRPr="00FF7B89">
        <w:rPr>
          <w:sz w:val="18"/>
          <w:szCs w:val="18"/>
          <w:lang w:val="cs-CZ"/>
        </w:rPr>
        <w:t>ydáním</w:t>
      </w:r>
      <w:r w:rsidR="00C05220" w:rsidRPr="00FF7B89">
        <w:rPr>
          <w:sz w:val="18"/>
          <w:szCs w:val="18"/>
          <w:lang w:val="cs-CZ"/>
        </w:rPr>
        <w:t xml:space="preserve"> </w:t>
      </w:r>
      <w:r w:rsidRPr="00FF7B89">
        <w:rPr>
          <w:sz w:val="18"/>
          <w:szCs w:val="18"/>
          <w:lang w:val="cs-CZ"/>
        </w:rPr>
        <w:t>rozhodnutí</w:t>
      </w:r>
      <w:r w:rsidR="00C05220" w:rsidRPr="00FF7B89">
        <w:rPr>
          <w:sz w:val="18"/>
          <w:szCs w:val="18"/>
          <w:lang w:val="cs-CZ"/>
        </w:rPr>
        <w:t xml:space="preserve"> </w:t>
      </w:r>
      <w:r w:rsidR="00BD1977" w:rsidRPr="003B6490">
        <w:rPr>
          <w:sz w:val="18"/>
          <w:szCs w:val="18"/>
          <w:lang w:val="cs-CZ"/>
        </w:rPr>
        <w:t xml:space="preserve">se </w:t>
      </w:r>
      <w:r w:rsidRPr="00FF7B89">
        <w:rPr>
          <w:sz w:val="18"/>
          <w:szCs w:val="18"/>
          <w:lang w:val="cs-CZ"/>
        </w:rPr>
        <w:t>rozumí</w:t>
      </w:r>
      <w:r w:rsidR="00C05220" w:rsidRPr="00FF7B89">
        <w:rPr>
          <w:sz w:val="18"/>
          <w:szCs w:val="18"/>
          <w:lang w:val="cs-CZ"/>
        </w:rPr>
        <w:t xml:space="preserve"> </w:t>
      </w:r>
      <w:r w:rsidRPr="00FF7B89">
        <w:rPr>
          <w:i/>
          <w:iCs/>
          <w:sz w:val="18"/>
          <w:szCs w:val="18"/>
          <w:lang w:val="cs-CZ"/>
        </w:rPr>
        <w:t>„předání</w:t>
      </w:r>
      <w:r w:rsidR="00C05220" w:rsidRPr="00FF7B89">
        <w:rPr>
          <w:i/>
          <w:iCs/>
          <w:sz w:val="18"/>
          <w:szCs w:val="18"/>
          <w:lang w:val="cs-CZ"/>
        </w:rPr>
        <w:t xml:space="preserve"> </w:t>
      </w:r>
      <w:r w:rsidRPr="00FF7B89">
        <w:rPr>
          <w:i/>
          <w:iCs/>
          <w:sz w:val="18"/>
          <w:szCs w:val="18"/>
          <w:lang w:val="cs-CZ"/>
        </w:rPr>
        <w:t>stejnopisu</w:t>
      </w:r>
      <w:r w:rsidR="00C05220" w:rsidRPr="00FF7B89">
        <w:rPr>
          <w:i/>
          <w:iCs/>
          <w:sz w:val="18"/>
          <w:szCs w:val="18"/>
          <w:lang w:val="cs-CZ"/>
        </w:rPr>
        <w:t xml:space="preserve"> </w:t>
      </w:r>
      <w:r w:rsidRPr="00FF7B89">
        <w:rPr>
          <w:i/>
          <w:iCs/>
          <w:sz w:val="18"/>
          <w:szCs w:val="18"/>
          <w:lang w:val="cs-CZ"/>
        </w:rPr>
        <w:t>písemného</w:t>
      </w:r>
      <w:r w:rsidR="00C05220" w:rsidRPr="00FF7B89">
        <w:rPr>
          <w:i/>
          <w:iCs/>
          <w:sz w:val="18"/>
          <w:szCs w:val="18"/>
          <w:lang w:val="cs-CZ"/>
        </w:rPr>
        <w:t xml:space="preserve"> </w:t>
      </w:r>
      <w:r w:rsidRPr="00FF7B89">
        <w:rPr>
          <w:i/>
          <w:iCs/>
          <w:sz w:val="18"/>
          <w:szCs w:val="18"/>
          <w:lang w:val="cs-CZ"/>
        </w:rPr>
        <w:t>vyhotovení</w:t>
      </w:r>
      <w:r w:rsidR="00C05220" w:rsidRPr="00FF7B89">
        <w:rPr>
          <w:i/>
          <w:iCs/>
          <w:sz w:val="18"/>
          <w:szCs w:val="18"/>
          <w:lang w:val="cs-CZ"/>
        </w:rPr>
        <w:t xml:space="preserve"> </w:t>
      </w:r>
      <w:r w:rsidRPr="00FF7B89">
        <w:rPr>
          <w:i/>
          <w:iCs/>
          <w:sz w:val="18"/>
          <w:szCs w:val="18"/>
          <w:lang w:val="cs-CZ"/>
        </w:rPr>
        <w:t>rozhodnutí</w:t>
      </w:r>
      <w:r w:rsidR="00C05220" w:rsidRPr="00FF7B89">
        <w:rPr>
          <w:i/>
          <w:iCs/>
          <w:sz w:val="18"/>
          <w:szCs w:val="18"/>
          <w:lang w:val="cs-CZ"/>
        </w:rPr>
        <w:t xml:space="preserve"> </w:t>
      </w:r>
      <w:r w:rsidRPr="00FF7B89">
        <w:rPr>
          <w:i/>
          <w:iCs/>
          <w:sz w:val="18"/>
          <w:szCs w:val="18"/>
          <w:lang w:val="cs-CZ"/>
        </w:rPr>
        <w:t>k</w:t>
      </w:r>
      <w:r w:rsidR="00C05220" w:rsidRPr="00FF7B89">
        <w:rPr>
          <w:i/>
          <w:iCs/>
          <w:sz w:val="18"/>
          <w:szCs w:val="18"/>
          <w:lang w:val="cs-CZ"/>
        </w:rPr>
        <w:t> </w:t>
      </w:r>
      <w:r w:rsidRPr="00FF7B89">
        <w:rPr>
          <w:i/>
          <w:iCs/>
          <w:sz w:val="18"/>
          <w:szCs w:val="18"/>
          <w:lang w:val="cs-CZ"/>
        </w:rPr>
        <w:t>doručení</w:t>
      </w:r>
      <w:r w:rsidR="00C05220" w:rsidRPr="00FF7B89">
        <w:rPr>
          <w:i/>
          <w:iCs/>
          <w:sz w:val="18"/>
          <w:szCs w:val="18"/>
          <w:lang w:val="cs-CZ"/>
        </w:rPr>
        <w:t xml:space="preserve"> </w:t>
      </w:r>
      <w:r w:rsidRPr="00FF7B89">
        <w:rPr>
          <w:i/>
          <w:iCs/>
          <w:sz w:val="18"/>
          <w:szCs w:val="18"/>
          <w:lang w:val="cs-CZ"/>
        </w:rPr>
        <w:t>podle</w:t>
      </w:r>
      <w:r w:rsidR="00C05220" w:rsidRPr="00FF7B89">
        <w:rPr>
          <w:i/>
          <w:iCs/>
          <w:sz w:val="18"/>
          <w:szCs w:val="18"/>
          <w:lang w:val="cs-CZ"/>
        </w:rPr>
        <w:t xml:space="preserve"> </w:t>
      </w:r>
      <w:r w:rsidRPr="00FF7B89">
        <w:rPr>
          <w:i/>
          <w:iCs/>
          <w:sz w:val="18"/>
          <w:szCs w:val="18"/>
          <w:lang w:val="cs-CZ"/>
        </w:rPr>
        <w:t>§</w:t>
      </w:r>
      <w:r w:rsidR="00C05220" w:rsidRPr="00FF7B89">
        <w:rPr>
          <w:i/>
          <w:iCs/>
          <w:sz w:val="18"/>
          <w:szCs w:val="18"/>
          <w:lang w:val="cs-CZ"/>
        </w:rPr>
        <w:t xml:space="preserve"> </w:t>
      </w:r>
      <w:r w:rsidRPr="00FF7B89">
        <w:rPr>
          <w:i/>
          <w:iCs/>
          <w:sz w:val="18"/>
          <w:szCs w:val="18"/>
          <w:lang w:val="cs-CZ"/>
        </w:rPr>
        <w:t>19,</w:t>
      </w:r>
      <w:r w:rsidR="00C05220" w:rsidRPr="00FF7B89">
        <w:rPr>
          <w:i/>
          <w:iCs/>
          <w:sz w:val="18"/>
          <w:szCs w:val="18"/>
          <w:lang w:val="cs-CZ"/>
        </w:rPr>
        <w:t xml:space="preserve"> </w:t>
      </w:r>
      <w:r w:rsidRPr="00FF7B89">
        <w:rPr>
          <w:i/>
          <w:iCs/>
          <w:sz w:val="18"/>
          <w:szCs w:val="18"/>
          <w:lang w:val="cs-CZ"/>
        </w:rPr>
        <w:t>po</w:t>
      </w:r>
      <w:r w:rsidR="00C05220" w:rsidRPr="00FF7B89">
        <w:rPr>
          <w:i/>
          <w:iCs/>
          <w:sz w:val="18"/>
          <w:szCs w:val="18"/>
          <w:lang w:val="cs-CZ"/>
        </w:rPr>
        <w:t xml:space="preserve"> </w:t>
      </w:r>
      <w:r w:rsidRPr="00FF7B89">
        <w:rPr>
          <w:i/>
          <w:iCs/>
          <w:sz w:val="18"/>
          <w:szCs w:val="18"/>
          <w:lang w:val="cs-CZ"/>
        </w:rPr>
        <w:t>případě</w:t>
      </w:r>
      <w:r w:rsidR="00C05220" w:rsidRPr="00FF7B89">
        <w:rPr>
          <w:i/>
          <w:iCs/>
          <w:sz w:val="18"/>
          <w:szCs w:val="18"/>
          <w:lang w:val="cs-CZ"/>
        </w:rPr>
        <w:t xml:space="preserve"> </w:t>
      </w:r>
      <w:r w:rsidRPr="00FF7B89">
        <w:rPr>
          <w:i/>
          <w:iCs/>
          <w:sz w:val="18"/>
          <w:szCs w:val="18"/>
          <w:lang w:val="cs-CZ"/>
        </w:rPr>
        <w:t>jiný</w:t>
      </w:r>
      <w:r w:rsidR="00C05220" w:rsidRPr="00FF7B89">
        <w:rPr>
          <w:i/>
          <w:iCs/>
          <w:sz w:val="18"/>
          <w:szCs w:val="18"/>
          <w:lang w:val="cs-CZ"/>
        </w:rPr>
        <w:t xml:space="preserve"> </w:t>
      </w:r>
      <w:r w:rsidRPr="00FF7B89">
        <w:rPr>
          <w:i/>
          <w:iCs/>
          <w:sz w:val="18"/>
          <w:szCs w:val="18"/>
          <w:lang w:val="cs-CZ"/>
        </w:rPr>
        <w:t>úkon</w:t>
      </w:r>
      <w:r w:rsidR="00C05220" w:rsidRPr="00FF7B89">
        <w:rPr>
          <w:i/>
          <w:iCs/>
          <w:sz w:val="18"/>
          <w:szCs w:val="18"/>
          <w:lang w:val="cs-CZ"/>
        </w:rPr>
        <w:t xml:space="preserve"> </w:t>
      </w:r>
      <w:r w:rsidRPr="003B6490">
        <w:rPr>
          <w:i/>
          <w:iCs/>
          <w:sz w:val="18"/>
          <w:szCs w:val="18"/>
          <w:lang w:val="cs-CZ"/>
        </w:rPr>
        <w:t>k</w:t>
      </w:r>
      <w:r w:rsidR="00C05220" w:rsidRPr="003B6490">
        <w:rPr>
          <w:i/>
          <w:iCs/>
          <w:sz w:val="18"/>
          <w:szCs w:val="18"/>
          <w:lang w:val="cs-CZ"/>
        </w:rPr>
        <w:t> </w:t>
      </w:r>
      <w:r w:rsidRPr="003B6490">
        <w:rPr>
          <w:i/>
          <w:iCs/>
          <w:sz w:val="18"/>
          <w:szCs w:val="18"/>
          <w:lang w:val="cs-CZ"/>
        </w:rPr>
        <w:t>jeho</w:t>
      </w:r>
      <w:r w:rsidR="00C05220" w:rsidRPr="00FF7B89">
        <w:rPr>
          <w:sz w:val="18"/>
          <w:szCs w:val="18"/>
          <w:lang w:val="cs-CZ"/>
        </w:rPr>
        <w:t xml:space="preserve"> </w:t>
      </w:r>
      <w:r w:rsidRPr="00FF7B89">
        <w:rPr>
          <w:i/>
          <w:iCs/>
          <w:sz w:val="18"/>
          <w:szCs w:val="18"/>
          <w:lang w:val="cs-CZ"/>
        </w:rPr>
        <w:t>doručení,</w:t>
      </w:r>
      <w:r w:rsidR="00C05220" w:rsidRPr="00FF7B89">
        <w:rPr>
          <w:i/>
          <w:iCs/>
          <w:sz w:val="18"/>
          <w:szCs w:val="18"/>
          <w:lang w:val="cs-CZ"/>
        </w:rPr>
        <w:t xml:space="preserve"> </w:t>
      </w:r>
      <w:r w:rsidRPr="00FF7B89">
        <w:rPr>
          <w:i/>
          <w:iCs/>
          <w:sz w:val="18"/>
          <w:szCs w:val="18"/>
          <w:lang w:val="cs-CZ"/>
        </w:rPr>
        <w:t>provádí-li</w:t>
      </w:r>
      <w:r w:rsidR="00C05220" w:rsidRPr="00FF7B89">
        <w:rPr>
          <w:i/>
          <w:iCs/>
          <w:sz w:val="18"/>
          <w:szCs w:val="18"/>
          <w:lang w:val="cs-CZ"/>
        </w:rPr>
        <w:t xml:space="preserve"> </w:t>
      </w:r>
      <w:r w:rsidRPr="00FF7B89">
        <w:rPr>
          <w:i/>
          <w:iCs/>
          <w:sz w:val="18"/>
          <w:szCs w:val="18"/>
          <w:lang w:val="cs-CZ"/>
        </w:rPr>
        <w:t>je</w:t>
      </w:r>
      <w:r w:rsidR="00C05220" w:rsidRPr="00FF7B89">
        <w:rPr>
          <w:i/>
          <w:iCs/>
          <w:sz w:val="18"/>
          <w:szCs w:val="18"/>
          <w:lang w:val="cs-CZ"/>
        </w:rPr>
        <w:t xml:space="preserve"> </w:t>
      </w:r>
      <w:r w:rsidRPr="00FF7B89">
        <w:rPr>
          <w:i/>
          <w:iCs/>
          <w:sz w:val="18"/>
          <w:szCs w:val="18"/>
          <w:lang w:val="cs-CZ"/>
        </w:rPr>
        <w:t>správní</w:t>
      </w:r>
      <w:r w:rsidR="00C05220" w:rsidRPr="00FF7B89">
        <w:rPr>
          <w:i/>
          <w:iCs/>
          <w:sz w:val="18"/>
          <w:szCs w:val="18"/>
          <w:lang w:val="cs-CZ"/>
        </w:rPr>
        <w:t xml:space="preserve"> </w:t>
      </w:r>
      <w:r w:rsidRPr="00FF7B89">
        <w:rPr>
          <w:i/>
          <w:iCs/>
          <w:sz w:val="18"/>
          <w:szCs w:val="18"/>
          <w:lang w:val="cs-CZ"/>
        </w:rPr>
        <w:t>orgá</w:t>
      </w:r>
      <w:r w:rsidR="00C05220" w:rsidRPr="00FF7B89">
        <w:rPr>
          <w:i/>
          <w:iCs/>
          <w:sz w:val="18"/>
          <w:szCs w:val="18"/>
          <w:lang w:val="cs-CZ"/>
        </w:rPr>
        <w:t xml:space="preserve">n </w:t>
      </w:r>
      <w:r w:rsidRPr="00FF7B89">
        <w:rPr>
          <w:i/>
          <w:iCs/>
          <w:sz w:val="18"/>
          <w:szCs w:val="18"/>
          <w:lang w:val="cs-CZ"/>
        </w:rPr>
        <w:t>sám;</w:t>
      </w:r>
      <w:r w:rsidR="00C05220" w:rsidRPr="00FF7B89">
        <w:rPr>
          <w:i/>
          <w:iCs/>
          <w:sz w:val="18"/>
          <w:szCs w:val="18"/>
          <w:lang w:val="cs-CZ"/>
        </w:rPr>
        <w:t xml:space="preserve"> </w:t>
      </w:r>
      <w:r w:rsidRPr="00FF7B89">
        <w:rPr>
          <w:i/>
          <w:iCs/>
          <w:sz w:val="18"/>
          <w:szCs w:val="18"/>
          <w:lang w:val="cs-CZ"/>
        </w:rPr>
        <w:t>na</w:t>
      </w:r>
      <w:r w:rsidR="00C05220" w:rsidRPr="00FF7B89">
        <w:rPr>
          <w:i/>
          <w:iCs/>
          <w:sz w:val="18"/>
          <w:szCs w:val="18"/>
          <w:lang w:val="cs-CZ"/>
        </w:rPr>
        <w:t xml:space="preserve"> </w:t>
      </w:r>
      <w:r w:rsidRPr="00FF7B89">
        <w:rPr>
          <w:i/>
          <w:iCs/>
          <w:sz w:val="18"/>
          <w:szCs w:val="18"/>
          <w:lang w:val="cs-CZ"/>
        </w:rPr>
        <w:t>písemnosti</w:t>
      </w:r>
      <w:r w:rsidR="00C05220" w:rsidRPr="00FF7B89">
        <w:rPr>
          <w:i/>
          <w:iCs/>
          <w:sz w:val="18"/>
          <w:szCs w:val="18"/>
          <w:lang w:val="cs-CZ"/>
        </w:rPr>
        <w:t xml:space="preserve"> </w:t>
      </w:r>
      <w:r w:rsidRPr="00FF7B89">
        <w:rPr>
          <w:i/>
          <w:iCs/>
          <w:sz w:val="18"/>
          <w:szCs w:val="18"/>
          <w:lang w:val="cs-CZ"/>
        </w:rPr>
        <w:t>nebo</w:t>
      </w:r>
      <w:r w:rsidR="00C05220" w:rsidRPr="00FF7B89">
        <w:rPr>
          <w:i/>
          <w:iCs/>
          <w:sz w:val="18"/>
          <w:szCs w:val="18"/>
          <w:lang w:val="cs-CZ"/>
        </w:rPr>
        <w:t xml:space="preserve"> </w:t>
      </w:r>
      <w:r w:rsidRPr="00FF7B89">
        <w:rPr>
          <w:i/>
          <w:iCs/>
          <w:sz w:val="18"/>
          <w:szCs w:val="18"/>
          <w:lang w:val="cs-CZ"/>
        </w:rPr>
        <w:t>poštovní</w:t>
      </w:r>
      <w:r w:rsidR="00C05220" w:rsidRPr="00FF7B89">
        <w:rPr>
          <w:i/>
          <w:iCs/>
          <w:sz w:val="18"/>
          <w:szCs w:val="18"/>
          <w:lang w:val="cs-CZ"/>
        </w:rPr>
        <w:t xml:space="preserve"> </w:t>
      </w:r>
      <w:r w:rsidRPr="00FF7B89">
        <w:rPr>
          <w:i/>
          <w:iCs/>
          <w:sz w:val="18"/>
          <w:szCs w:val="18"/>
          <w:lang w:val="cs-CZ"/>
        </w:rPr>
        <w:t>zásilce</w:t>
      </w:r>
      <w:r w:rsidR="00C05220" w:rsidRPr="00FF7B89">
        <w:rPr>
          <w:i/>
          <w:iCs/>
          <w:sz w:val="18"/>
          <w:szCs w:val="18"/>
          <w:lang w:val="cs-CZ"/>
        </w:rPr>
        <w:t xml:space="preserve"> </w:t>
      </w:r>
      <w:r w:rsidRPr="00FF7B89">
        <w:rPr>
          <w:i/>
          <w:iCs/>
          <w:sz w:val="18"/>
          <w:szCs w:val="18"/>
          <w:lang w:val="cs-CZ"/>
        </w:rPr>
        <w:t>se</w:t>
      </w:r>
      <w:r w:rsidR="00C05220" w:rsidRPr="00FF7B89">
        <w:rPr>
          <w:i/>
          <w:iCs/>
          <w:sz w:val="18"/>
          <w:szCs w:val="18"/>
          <w:lang w:val="cs-CZ"/>
        </w:rPr>
        <w:t xml:space="preserve"> </w:t>
      </w:r>
      <w:r w:rsidRPr="00FF7B89">
        <w:rPr>
          <w:i/>
          <w:iCs/>
          <w:sz w:val="18"/>
          <w:szCs w:val="18"/>
          <w:lang w:val="cs-CZ"/>
        </w:rPr>
        <w:t>tato</w:t>
      </w:r>
      <w:r w:rsidR="00C05220" w:rsidRPr="00FF7B89">
        <w:rPr>
          <w:i/>
          <w:iCs/>
          <w:sz w:val="18"/>
          <w:szCs w:val="18"/>
          <w:lang w:val="cs-CZ"/>
        </w:rPr>
        <w:t xml:space="preserve"> </w:t>
      </w:r>
      <w:r w:rsidRPr="00FF7B89">
        <w:rPr>
          <w:i/>
          <w:iCs/>
          <w:sz w:val="18"/>
          <w:szCs w:val="18"/>
          <w:lang w:val="cs-CZ"/>
        </w:rPr>
        <w:t>skutečnost</w:t>
      </w:r>
      <w:r w:rsidR="00C05220" w:rsidRPr="00FF7B89">
        <w:rPr>
          <w:i/>
          <w:iCs/>
          <w:sz w:val="18"/>
          <w:szCs w:val="18"/>
          <w:lang w:val="cs-CZ"/>
        </w:rPr>
        <w:t xml:space="preserve"> </w:t>
      </w:r>
      <w:r w:rsidRPr="00FF7B89">
        <w:rPr>
          <w:i/>
          <w:iCs/>
          <w:sz w:val="18"/>
          <w:szCs w:val="18"/>
          <w:lang w:val="cs-CZ"/>
        </w:rPr>
        <w:t>vyznačí</w:t>
      </w:r>
      <w:r w:rsidR="00C05220" w:rsidRPr="00FF7B89">
        <w:rPr>
          <w:i/>
          <w:iCs/>
          <w:sz w:val="18"/>
          <w:szCs w:val="18"/>
          <w:lang w:val="cs-CZ"/>
        </w:rPr>
        <w:t xml:space="preserve"> </w:t>
      </w:r>
      <w:r w:rsidRPr="00FF7B89">
        <w:rPr>
          <w:i/>
          <w:iCs/>
          <w:sz w:val="18"/>
          <w:szCs w:val="18"/>
          <w:lang w:val="cs-CZ"/>
        </w:rPr>
        <w:t>slovy:</w:t>
      </w:r>
      <w:r w:rsidR="00C05220" w:rsidRPr="00FF7B89">
        <w:rPr>
          <w:i/>
          <w:iCs/>
          <w:sz w:val="18"/>
          <w:szCs w:val="18"/>
          <w:lang w:val="cs-CZ"/>
        </w:rPr>
        <w:t xml:space="preserve"> </w:t>
      </w:r>
      <w:r w:rsidRPr="00FF7B89">
        <w:rPr>
          <w:b/>
          <w:bCs/>
          <w:i/>
          <w:iCs/>
          <w:sz w:val="18"/>
          <w:szCs w:val="18"/>
          <w:lang w:val="cs-CZ"/>
        </w:rPr>
        <w:t>„Vypraveno</w:t>
      </w:r>
      <w:r w:rsidR="00C05220" w:rsidRPr="00FF7B89">
        <w:rPr>
          <w:b/>
          <w:bCs/>
          <w:i/>
          <w:iCs/>
          <w:sz w:val="18"/>
          <w:szCs w:val="18"/>
          <w:lang w:val="cs-CZ"/>
        </w:rPr>
        <w:t xml:space="preserve"> </w:t>
      </w:r>
      <w:r w:rsidRPr="00FF7B89">
        <w:rPr>
          <w:b/>
          <w:bCs/>
          <w:i/>
          <w:iCs/>
          <w:sz w:val="18"/>
          <w:szCs w:val="18"/>
          <w:lang w:val="cs-CZ"/>
        </w:rPr>
        <w:t>dne:".</w:t>
      </w:r>
    </w:p>
  </w:footnote>
  <w:footnote w:id="7">
    <w:p w14:paraId="6C8F23F2" w14:textId="77777777" w:rsidR="00CA767D" w:rsidRPr="00090792" w:rsidRDefault="00CA767D" w:rsidP="00C40B13">
      <w:pPr>
        <w:pStyle w:val="Bezmezer"/>
        <w:spacing w:before="0" w:after="120"/>
        <w:jc w:val="both"/>
        <w:rPr>
          <w:sz w:val="18"/>
          <w:szCs w:val="18"/>
          <w:lang w:val="cs-CZ"/>
        </w:rPr>
      </w:pPr>
      <w:r w:rsidRPr="00686C9A">
        <w:rPr>
          <w:rStyle w:val="Znakapoznpodarou"/>
          <w:sz w:val="18"/>
          <w:szCs w:val="18"/>
        </w:rPr>
        <w:footnoteRef/>
      </w:r>
      <w:r w:rsidRPr="00090792">
        <w:rPr>
          <w:sz w:val="18"/>
          <w:szCs w:val="18"/>
          <w:lang w:val="cs-CZ"/>
        </w:rPr>
        <w:t xml:space="preserve"> Nařízení Komise (EU) č. 651/2014 ze dne 17. června 2014, kterým se v souladu s články 107 a 108 Smlouvy prohlašují určité kategorie podpory za slučitelné s vnitřním trhem, čl. 2 bod 14).</w:t>
      </w:r>
    </w:p>
  </w:footnote>
  <w:footnote w:id="8">
    <w:p w14:paraId="4A62EFE0" w14:textId="77777777" w:rsidR="00CA767D" w:rsidRPr="00090792" w:rsidRDefault="00CA767D" w:rsidP="00C40B13">
      <w:pPr>
        <w:pStyle w:val="Bezmezer"/>
        <w:rPr>
          <w:sz w:val="18"/>
          <w:szCs w:val="18"/>
          <w:lang w:val="cs-CZ"/>
        </w:rPr>
      </w:pPr>
      <w:r w:rsidRPr="00686C9A">
        <w:rPr>
          <w:rStyle w:val="Znakapoznpodarou"/>
          <w:sz w:val="18"/>
          <w:szCs w:val="18"/>
        </w:rPr>
        <w:footnoteRef/>
      </w:r>
      <w:r w:rsidRPr="00090792">
        <w:rPr>
          <w:sz w:val="18"/>
          <w:szCs w:val="18"/>
          <w:lang w:val="cs-CZ"/>
        </w:rPr>
        <w:t xml:space="preserve"> Zákon č. 215/2004 Sb.</w:t>
      </w:r>
      <w:r w:rsidR="0061413A" w:rsidRPr="00090792">
        <w:rPr>
          <w:sz w:val="18"/>
          <w:szCs w:val="18"/>
          <w:lang w:val="cs-CZ"/>
        </w:rPr>
        <w:t>,</w:t>
      </w:r>
      <w:r w:rsidRPr="00090792">
        <w:rPr>
          <w:sz w:val="18"/>
          <w:szCs w:val="18"/>
          <w:lang w:val="cs-CZ"/>
        </w:rPr>
        <w:t xml:space="preserve"> o úpravě některých vztahů v oblasti veřejné podpory a o změně zákona o podpoře výzkumu a vývoje, </w:t>
      </w:r>
      <w:r w:rsidR="0061413A" w:rsidRPr="00090792">
        <w:rPr>
          <w:sz w:val="18"/>
          <w:szCs w:val="18"/>
          <w:lang w:val="cs-CZ"/>
        </w:rPr>
        <w:t xml:space="preserve">ve znění pozdějších předpisů, </w:t>
      </w:r>
      <w:r w:rsidRPr="00090792">
        <w:rPr>
          <w:sz w:val="18"/>
          <w:szCs w:val="18"/>
          <w:lang w:val="cs-CZ"/>
        </w:rPr>
        <w:t>§ 2 písm. c).</w:t>
      </w:r>
    </w:p>
  </w:footnote>
  <w:footnote w:id="9">
    <w:p w14:paraId="5099530B" w14:textId="77777777" w:rsidR="005F6277" w:rsidRPr="005F6277" w:rsidRDefault="005F6277" w:rsidP="00C40B13">
      <w:pPr>
        <w:pStyle w:val="Textpoznpodarou"/>
        <w:spacing w:after="0" w:line="240" w:lineRule="auto"/>
        <w:jc w:val="both"/>
        <w:rPr>
          <w:sz w:val="18"/>
          <w:szCs w:val="18"/>
          <w:lang w:val="cs-CZ"/>
        </w:rPr>
      </w:pPr>
      <w:r>
        <w:rPr>
          <w:rStyle w:val="Znakapoznpodarou"/>
        </w:rPr>
        <w:footnoteRef/>
      </w:r>
      <w:r w:rsidRPr="00090792">
        <w:rPr>
          <w:lang w:val="cs-CZ"/>
        </w:rPr>
        <w:t xml:space="preserve"> </w:t>
      </w:r>
      <w:r w:rsidRPr="00090792">
        <w:rPr>
          <w:sz w:val="18"/>
          <w:szCs w:val="18"/>
          <w:lang w:val="cs-CZ"/>
        </w:rPr>
        <w:t xml:space="preserve">Článek 1 písm. f) </w:t>
      </w:r>
      <w:r w:rsidR="00090792">
        <w:rPr>
          <w:sz w:val="18"/>
          <w:szCs w:val="18"/>
          <w:lang w:val="cs-CZ"/>
        </w:rPr>
        <w:t>n</w:t>
      </w:r>
      <w:r w:rsidRPr="00090792">
        <w:rPr>
          <w:sz w:val="18"/>
          <w:szCs w:val="18"/>
          <w:lang w:val="cs-CZ"/>
        </w:rPr>
        <w:t xml:space="preserve">ařízení Rady (EU) 2015/1589 ze dne 13. </w:t>
      </w:r>
      <w:r w:rsidR="00090792">
        <w:rPr>
          <w:sz w:val="18"/>
          <w:szCs w:val="18"/>
          <w:lang w:val="cs-CZ"/>
        </w:rPr>
        <w:t>č</w:t>
      </w:r>
      <w:r w:rsidRPr="00090792">
        <w:rPr>
          <w:sz w:val="18"/>
          <w:szCs w:val="18"/>
          <w:lang w:val="cs-CZ"/>
        </w:rPr>
        <w:t>ervence 2015, kterým se stanoví</w:t>
      </w:r>
      <w:r w:rsidR="00DA0498">
        <w:rPr>
          <w:sz w:val="18"/>
          <w:szCs w:val="18"/>
          <w:lang w:val="cs-CZ"/>
        </w:rPr>
        <w:t xml:space="preserve"> </w:t>
      </w:r>
      <w:r w:rsidRPr="00090792">
        <w:rPr>
          <w:sz w:val="18"/>
          <w:szCs w:val="18"/>
          <w:lang w:val="cs-CZ"/>
        </w:rPr>
        <w:t>prováděcí pravidla k článku 108 Smlouvy o fungování Evropské unie.</w:t>
      </w:r>
    </w:p>
  </w:footnote>
  <w:footnote w:id="10">
    <w:p w14:paraId="2513B1B4" w14:textId="77777777" w:rsidR="00CA767D" w:rsidRPr="00090792" w:rsidRDefault="00CA767D" w:rsidP="00C40B13">
      <w:pPr>
        <w:pStyle w:val="Bezmezer"/>
        <w:rPr>
          <w:sz w:val="18"/>
          <w:szCs w:val="18"/>
          <w:lang w:val="cs-CZ"/>
        </w:rPr>
      </w:pPr>
      <w:r w:rsidRPr="00686C9A">
        <w:rPr>
          <w:rStyle w:val="Znakapoznpodarou"/>
          <w:sz w:val="18"/>
          <w:szCs w:val="18"/>
        </w:rPr>
        <w:footnoteRef/>
      </w:r>
      <w:r w:rsidRPr="00090792">
        <w:rPr>
          <w:sz w:val="18"/>
          <w:szCs w:val="18"/>
          <w:lang w:val="cs-CZ"/>
        </w:rPr>
        <w:t xml:space="preserve"> § 2 písm. e)</w:t>
      </w:r>
      <w:r w:rsidR="00B509F9">
        <w:rPr>
          <w:sz w:val="18"/>
          <w:szCs w:val="18"/>
          <w:lang w:val="cs-CZ"/>
        </w:rPr>
        <w:t xml:space="preserve"> </w:t>
      </w:r>
      <w:r w:rsidR="00B509F9" w:rsidRPr="00B509F9">
        <w:rPr>
          <w:sz w:val="18"/>
          <w:szCs w:val="18"/>
          <w:lang w:val="cs-CZ"/>
        </w:rPr>
        <w:t>zákona č. 215/2004 Sb</w:t>
      </w:r>
      <w:r w:rsidRPr="00090792">
        <w:rPr>
          <w:sz w:val="18"/>
          <w:szCs w:val="18"/>
          <w:lang w:val="cs-CZ"/>
        </w:rPr>
        <w:t>.</w:t>
      </w:r>
    </w:p>
  </w:footnote>
  <w:footnote w:id="11">
    <w:p w14:paraId="7F94FEA9" w14:textId="77777777" w:rsidR="00CA767D" w:rsidRPr="00090792" w:rsidRDefault="00CA767D" w:rsidP="00C40B13">
      <w:pPr>
        <w:pStyle w:val="Bezmezer"/>
        <w:rPr>
          <w:sz w:val="18"/>
          <w:szCs w:val="18"/>
          <w:lang w:val="cs-CZ"/>
        </w:rPr>
      </w:pPr>
      <w:r w:rsidRPr="00686C9A">
        <w:rPr>
          <w:rStyle w:val="Znakapoznpodarou"/>
          <w:sz w:val="18"/>
          <w:szCs w:val="18"/>
        </w:rPr>
        <w:footnoteRef/>
      </w:r>
      <w:r w:rsidRPr="00090792">
        <w:rPr>
          <w:sz w:val="18"/>
          <w:szCs w:val="18"/>
          <w:lang w:val="cs-CZ"/>
        </w:rPr>
        <w:t xml:space="preserve"> § 2 písm. </w:t>
      </w:r>
      <w:r w:rsidR="0061413A" w:rsidRPr="00090792">
        <w:rPr>
          <w:sz w:val="18"/>
          <w:szCs w:val="18"/>
          <w:lang w:val="cs-CZ"/>
        </w:rPr>
        <w:t>h</w:t>
      </w:r>
      <w:r w:rsidRPr="00090792">
        <w:rPr>
          <w:sz w:val="18"/>
          <w:szCs w:val="18"/>
          <w:lang w:val="cs-CZ"/>
        </w:rPr>
        <w:t>)</w:t>
      </w:r>
      <w:r w:rsidR="00B509F9">
        <w:rPr>
          <w:sz w:val="18"/>
          <w:szCs w:val="18"/>
          <w:lang w:val="cs-CZ"/>
        </w:rPr>
        <w:t xml:space="preserve"> </w:t>
      </w:r>
      <w:r w:rsidR="00B509F9" w:rsidRPr="00B509F9">
        <w:rPr>
          <w:sz w:val="18"/>
          <w:szCs w:val="18"/>
          <w:lang w:val="cs-CZ"/>
        </w:rPr>
        <w:t>zákona č. 215/2004 Sb</w:t>
      </w:r>
      <w:r w:rsidRPr="00090792">
        <w:rPr>
          <w:sz w:val="18"/>
          <w:szCs w:val="18"/>
          <w:lang w:val="cs-CZ"/>
        </w:rPr>
        <w:t>.</w:t>
      </w:r>
    </w:p>
  </w:footnote>
  <w:footnote w:id="12">
    <w:p w14:paraId="11FA830C" w14:textId="77777777" w:rsidR="00CA767D" w:rsidRPr="00090792" w:rsidRDefault="00CA767D" w:rsidP="00C40B13">
      <w:pPr>
        <w:pStyle w:val="Textpoznpodarou"/>
        <w:spacing w:after="60" w:line="240" w:lineRule="auto"/>
        <w:ind w:left="142" w:hanging="142"/>
        <w:jc w:val="both"/>
        <w:rPr>
          <w:sz w:val="18"/>
          <w:szCs w:val="18"/>
          <w:lang w:val="cs-CZ"/>
        </w:rPr>
      </w:pPr>
      <w:r w:rsidRPr="00090157">
        <w:rPr>
          <w:rStyle w:val="Znakapoznpodarou"/>
          <w:sz w:val="18"/>
          <w:szCs w:val="18"/>
        </w:rPr>
        <w:footnoteRef/>
      </w:r>
      <w:r w:rsidRPr="00090792">
        <w:rPr>
          <w:sz w:val="18"/>
          <w:szCs w:val="18"/>
          <w:lang w:val="cs-CZ"/>
        </w:rPr>
        <w:t xml:space="preserve"> </w:t>
      </w:r>
      <w:r w:rsidR="00090792">
        <w:rPr>
          <w:sz w:val="18"/>
          <w:szCs w:val="18"/>
          <w:lang w:val="cs-CZ"/>
        </w:rPr>
        <w:t>Článek 2 bod 15 n</w:t>
      </w:r>
      <w:r w:rsidRPr="00090792">
        <w:rPr>
          <w:sz w:val="18"/>
          <w:szCs w:val="18"/>
          <w:lang w:val="cs-CZ"/>
        </w:rPr>
        <w:t>ařízení Komise (EU) č. 651/2014 ze dne 17. června 2014, kterým se v souladu s články 107 a 108 Smlouvy prohlašují určité kategorie podpory za slučitelné s vnitřním trhem.</w:t>
      </w:r>
    </w:p>
  </w:footnote>
  <w:footnote w:id="13">
    <w:p w14:paraId="52821B54" w14:textId="6E209A28" w:rsidR="00060A5C" w:rsidRPr="00EA1EC6" w:rsidRDefault="00060A5C" w:rsidP="00C40B13">
      <w:pPr>
        <w:pStyle w:val="Textpoznpodarou"/>
        <w:spacing w:line="240" w:lineRule="auto"/>
        <w:rPr>
          <w:sz w:val="18"/>
          <w:szCs w:val="18"/>
          <w:lang w:val="cs-CZ"/>
        </w:rPr>
      </w:pPr>
      <w:r w:rsidRPr="00060A5C">
        <w:rPr>
          <w:rStyle w:val="Znakapoznpodarou"/>
          <w:sz w:val="18"/>
          <w:szCs w:val="18"/>
        </w:rPr>
        <w:footnoteRef/>
      </w:r>
      <w:r w:rsidRPr="00090792">
        <w:rPr>
          <w:sz w:val="18"/>
          <w:szCs w:val="18"/>
          <w:lang w:val="cs-CZ"/>
        </w:rPr>
        <w:t xml:space="preserve"> </w:t>
      </w:r>
      <w:r w:rsidR="00C17EFD" w:rsidRPr="00C17EFD">
        <w:rPr>
          <w:sz w:val="18"/>
          <w:szCs w:val="18"/>
          <w:lang w:val="cs-CZ"/>
        </w:rPr>
        <w:t>Úř</w:t>
      </w:r>
      <w:r w:rsidR="00C17EFD">
        <w:rPr>
          <w:sz w:val="18"/>
          <w:szCs w:val="18"/>
          <w:lang w:val="cs-CZ"/>
        </w:rPr>
        <w:t>.</w:t>
      </w:r>
      <w:r w:rsidR="00C17EFD" w:rsidRPr="00C17EFD">
        <w:rPr>
          <w:sz w:val="18"/>
          <w:szCs w:val="18"/>
          <w:lang w:val="cs-CZ"/>
        </w:rPr>
        <w:t xml:space="preserve"> věst</w:t>
      </w:r>
      <w:r w:rsidR="00C17EFD">
        <w:rPr>
          <w:sz w:val="18"/>
          <w:szCs w:val="18"/>
          <w:lang w:val="cs-CZ"/>
        </w:rPr>
        <w:t>.</w:t>
      </w:r>
      <w:r w:rsidR="00C17EFD" w:rsidRPr="00C17EFD">
        <w:rPr>
          <w:sz w:val="18"/>
          <w:szCs w:val="18"/>
          <w:lang w:val="cs-CZ"/>
        </w:rPr>
        <w:t xml:space="preserve"> C 14, 19. 1. 2008, s. 6</w:t>
      </w:r>
      <w:r w:rsidR="00C17EFD">
        <w:rPr>
          <w:sz w:val="18"/>
          <w:szCs w:val="18"/>
          <w:lang w:val="cs-CZ"/>
        </w:rPr>
        <w:t>, viz</w:t>
      </w:r>
      <w:r w:rsidR="00EA1EC6">
        <w:t xml:space="preserve"> </w:t>
      </w:r>
      <w:hyperlink r:id="rId4" w:history="1">
        <w:r w:rsidR="00EA1EC6" w:rsidRPr="00EA1EC6">
          <w:rPr>
            <w:rStyle w:val="Hypertextovodkaz"/>
            <w:sz w:val="18"/>
            <w:szCs w:val="18"/>
          </w:rPr>
          <w:t>EUR-Lex - 52008XC0119(01) - EN - EUR-Lex</w:t>
        </w:r>
      </w:hyperlink>
      <w:r w:rsidRPr="00EA1EC6">
        <w:rPr>
          <w:sz w:val="18"/>
          <w:szCs w:val="18"/>
          <w:lang w:val="cs-CZ"/>
        </w:rPr>
        <w:t>.</w:t>
      </w:r>
    </w:p>
  </w:footnote>
  <w:footnote w:id="14">
    <w:p w14:paraId="645F59A7" w14:textId="77777777" w:rsidR="00690B78" w:rsidRPr="008B4CAF" w:rsidRDefault="00690B78" w:rsidP="00BA051F">
      <w:pPr>
        <w:pStyle w:val="Bezmezer"/>
        <w:spacing w:before="0" w:after="100"/>
        <w:rPr>
          <w:sz w:val="18"/>
          <w:szCs w:val="18"/>
          <w:lang w:val="cs-CZ"/>
        </w:rPr>
      </w:pPr>
      <w:r>
        <w:rPr>
          <w:rStyle w:val="Znakapoznpodarou"/>
        </w:rPr>
        <w:footnoteRef/>
      </w:r>
      <w:r w:rsidRPr="008B4CAF">
        <w:rPr>
          <w:lang w:val="cs-CZ"/>
        </w:rPr>
        <w:t xml:space="preserve"> </w:t>
      </w:r>
      <w:r w:rsidRPr="008B4CAF">
        <w:rPr>
          <w:sz w:val="18"/>
          <w:szCs w:val="18"/>
          <w:lang w:val="cs-CZ"/>
        </w:rPr>
        <w:t>Rozsudek Soudního dvora ve věci EESTI PAGAR (C-349/17)</w:t>
      </w:r>
      <w:r w:rsidR="00CC7A52" w:rsidRPr="008B4CAF">
        <w:rPr>
          <w:sz w:val="18"/>
          <w:szCs w:val="18"/>
          <w:lang w:val="cs-CZ"/>
        </w:rPr>
        <w:t>.</w:t>
      </w:r>
    </w:p>
  </w:footnote>
  <w:footnote w:id="15">
    <w:p w14:paraId="38FF4A56" w14:textId="77777777" w:rsidR="00B2102C" w:rsidRPr="008B4CAF" w:rsidRDefault="00B2102C" w:rsidP="00BA051F">
      <w:pPr>
        <w:pStyle w:val="Bezmezer"/>
        <w:spacing w:before="0" w:after="100"/>
        <w:rPr>
          <w:sz w:val="18"/>
          <w:szCs w:val="18"/>
          <w:lang w:val="fr-FR"/>
        </w:rPr>
      </w:pPr>
      <w:r w:rsidRPr="00686C9A">
        <w:rPr>
          <w:rStyle w:val="Znakapoznpodarou"/>
          <w:sz w:val="18"/>
          <w:szCs w:val="18"/>
        </w:rPr>
        <w:footnoteRef/>
      </w:r>
      <w:r w:rsidRPr="008B4CAF">
        <w:rPr>
          <w:sz w:val="18"/>
          <w:szCs w:val="18"/>
          <w:lang w:val="fr-FR"/>
        </w:rPr>
        <w:t xml:space="preserve"> Viz rozsudek ze dne 12. února 2008, CELF a ministre de la Culture et de la Communication, C-199/06, EU:C:2008:79, bod 51)</w:t>
      </w:r>
      <w:r w:rsidR="00CC7A52" w:rsidRPr="008B4CAF">
        <w:rPr>
          <w:sz w:val="18"/>
          <w:szCs w:val="18"/>
          <w:lang w:val="fr-FR"/>
        </w:rPr>
        <w:t>.</w:t>
      </w:r>
    </w:p>
  </w:footnote>
  <w:footnote w:id="16">
    <w:p w14:paraId="34D3A9F2" w14:textId="77777777" w:rsidR="00D575DC" w:rsidRPr="00D575DC" w:rsidRDefault="00D575DC" w:rsidP="00BA051F">
      <w:pPr>
        <w:pStyle w:val="Textpoznpodarou"/>
        <w:spacing w:before="0" w:after="100" w:line="240" w:lineRule="auto"/>
        <w:jc w:val="both"/>
        <w:rPr>
          <w:sz w:val="18"/>
          <w:szCs w:val="18"/>
          <w:lang w:val="cs-CZ"/>
        </w:rPr>
      </w:pPr>
      <w:r>
        <w:rPr>
          <w:rStyle w:val="Znakapoznpodarou"/>
        </w:rPr>
        <w:footnoteRef/>
      </w:r>
      <w:r w:rsidRPr="008B4CAF">
        <w:rPr>
          <w:lang w:val="fr-FR"/>
        </w:rPr>
        <w:t xml:space="preserve"> </w:t>
      </w:r>
      <w:r w:rsidRPr="00D575DC">
        <w:rPr>
          <w:sz w:val="18"/>
          <w:szCs w:val="18"/>
          <w:lang w:val="cs-CZ"/>
        </w:rPr>
        <w:t>Například zákon č. 21/1992 Sb., o bankách, ve znění pozdějších předpisů, zákon č. 363/1999 Sb., o pojišťovnictví a o změně některých souvisejících zákonů (zákon o pojišťovnictví), ve znění pozdějších předpisů, zákon č. 87/1995 Sb., o spořitelních a</w:t>
      </w:r>
      <w:r w:rsidR="00BA051F">
        <w:rPr>
          <w:sz w:val="18"/>
          <w:szCs w:val="18"/>
          <w:lang w:val="cs-CZ"/>
        </w:rPr>
        <w:t> </w:t>
      </w:r>
      <w:r w:rsidRPr="00D575DC">
        <w:rPr>
          <w:sz w:val="18"/>
          <w:szCs w:val="18"/>
          <w:lang w:val="cs-CZ"/>
        </w:rPr>
        <w:t>úvěrních družstvech a některých opatřeních s tím souvisejících a o doplnění zákona České národní rady č. 586/1992 Sb., o daních z příjmů, ve znění pozdějších předpisů.</w:t>
      </w:r>
    </w:p>
  </w:footnote>
  <w:footnote w:id="17">
    <w:p w14:paraId="372B878D" w14:textId="77777777" w:rsidR="00595BEA" w:rsidRPr="00775E84" w:rsidRDefault="00595BEA" w:rsidP="00957D12">
      <w:pPr>
        <w:pStyle w:val="Textpoznpodarou"/>
        <w:jc w:val="both"/>
        <w:rPr>
          <w:lang w:val="cs-CZ"/>
        </w:rPr>
      </w:pPr>
      <w:r>
        <w:rPr>
          <w:rStyle w:val="Znakapoznpodarou"/>
        </w:rPr>
        <w:footnoteRef/>
      </w:r>
      <w:r w:rsidRPr="00775E84">
        <w:rPr>
          <w:lang w:val="cs-CZ"/>
        </w:rPr>
        <w:t xml:space="preserve"> </w:t>
      </w:r>
      <w:r w:rsidRPr="00775E84">
        <w:rPr>
          <w:sz w:val="18"/>
          <w:szCs w:val="18"/>
          <w:lang w:val="cs-CZ"/>
        </w:rPr>
        <w:t>Aktuální refereční sazby platné pro ČR jsou v pravidelných intervalech zvěřejňovány na webových stránchách Ú</w:t>
      </w:r>
      <w:r w:rsidR="00957D12" w:rsidRPr="00775E84">
        <w:rPr>
          <w:sz w:val="18"/>
          <w:szCs w:val="18"/>
          <w:lang w:val="cs-CZ"/>
        </w:rPr>
        <w:t>řadu pro ochranu hospodářské soutěže</w:t>
      </w:r>
      <w:r w:rsidRPr="00775E84">
        <w:rPr>
          <w:sz w:val="18"/>
          <w:szCs w:val="18"/>
          <w:lang w:val="cs-CZ"/>
        </w:rPr>
        <w:t xml:space="preserve"> v sekci </w:t>
      </w:r>
      <w:r w:rsidRPr="00775E84">
        <w:rPr>
          <w:i/>
          <w:iCs/>
          <w:sz w:val="18"/>
          <w:szCs w:val="18"/>
          <w:lang w:val="cs-CZ"/>
        </w:rPr>
        <w:t>Aktuality z veřejné podpory</w:t>
      </w:r>
      <w:r w:rsidRPr="00775E84">
        <w:rPr>
          <w:sz w:val="18"/>
          <w:szCs w:val="18"/>
          <w:lang w:val="cs-CZ"/>
        </w:rPr>
        <w:t xml:space="preserve">, viz </w:t>
      </w:r>
      <w:hyperlink r:id="rId5" w:history="1">
        <w:r w:rsidRPr="00775E84">
          <w:rPr>
            <w:rStyle w:val="Hypertextovodkaz"/>
            <w:sz w:val="18"/>
            <w:szCs w:val="18"/>
            <w:lang w:val="cs-CZ"/>
          </w:rPr>
          <w:t>https://uohs.gov.cz/cs/informacni-centrum/tiskove-zpravy/verejna-podpora.html</w:t>
        </w:r>
      </w:hyperlink>
      <w:r w:rsidRPr="00775E84">
        <w:rPr>
          <w:sz w:val="18"/>
          <w:szCs w:val="18"/>
          <w:lang w:val="cs-C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EE0"/>
    <w:multiLevelType w:val="multilevel"/>
    <w:tmpl w:val="69C2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35D97"/>
    <w:multiLevelType w:val="hybridMultilevel"/>
    <w:tmpl w:val="4FB42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DD3599"/>
    <w:multiLevelType w:val="multilevel"/>
    <w:tmpl w:val="18141246"/>
    <w:lvl w:ilvl="0">
      <w:start w:val="1"/>
      <w:numFmt w:val="decimal"/>
      <w:pStyle w:val="slovanseznam"/>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67D0AC2"/>
    <w:multiLevelType w:val="multilevel"/>
    <w:tmpl w:val="DBFE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57A48"/>
    <w:multiLevelType w:val="multilevel"/>
    <w:tmpl w:val="C99CF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1720D"/>
    <w:multiLevelType w:val="hybridMultilevel"/>
    <w:tmpl w:val="7AC2F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9467601">
    <w:abstractNumId w:val="2"/>
  </w:num>
  <w:num w:numId="2" w16cid:durableId="1900706339">
    <w:abstractNumId w:val="1"/>
  </w:num>
  <w:num w:numId="3" w16cid:durableId="990905759">
    <w:abstractNumId w:val="0"/>
  </w:num>
  <w:num w:numId="4" w16cid:durableId="379210094">
    <w:abstractNumId w:val="3"/>
  </w:num>
  <w:num w:numId="5" w16cid:durableId="842889293">
    <w:abstractNumId w:val="4"/>
  </w:num>
  <w:num w:numId="6" w16cid:durableId="739326092">
    <w:abstractNumId w:val="5"/>
  </w:num>
  <w:num w:numId="7" w16cid:durableId="19541728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26"/>
    <w:rsid w:val="00000A60"/>
    <w:rsid w:val="0000252D"/>
    <w:rsid w:val="0000416E"/>
    <w:rsid w:val="000049B7"/>
    <w:rsid w:val="00004FF5"/>
    <w:rsid w:val="00007140"/>
    <w:rsid w:val="000074BB"/>
    <w:rsid w:val="0001208F"/>
    <w:rsid w:val="000128C1"/>
    <w:rsid w:val="00012EB0"/>
    <w:rsid w:val="00013FB2"/>
    <w:rsid w:val="0001413E"/>
    <w:rsid w:val="000146AD"/>
    <w:rsid w:val="00014C68"/>
    <w:rsid w:val="00016165"/>
    <w:rsid w:val="00017677"/>
    <w:rsid w:val="00020FFE"/>
    <w:rsid w:val="00024087"/>
    <w:rsid w:val="0002507B"/>
    <w:rsid w:val="000252A4"/>
    <w:rsid w:val="000255D5"/>
    <w:rsid w:val="000258EA"/>
    <w:rsid w:val="0002594B"/>
    <w:rsid w:val="00025D7C"/>
    <w:rsid w:val="000275C9"/>
    <w:rsid w:val="0002769B"/>
    <w:rsid w:val="00033855"/>
    <w:rsid w:val="00035DD8"/>
    <w:rsid w:val="00035F36"/>
    <w:rsid w:val="00036A16"/>
    <w:rsid w:val="00037790"/>
    <w:rsid w:val="00037F46"/>
    <w:rsid w:val="00040DCD"/>
    <w:rsid w:val="00040EC9"/>
    <w:rsid w:val="00041A3C"/>
    <w:rsid w:val="00042059"/>
    <w:rsid w:val="00042916"/>
    <w:rsid w:val="00042C95"/>
    <w:rsid w:val="00043187"/>
    <w:rsid w:val="000445E7"/>
    <w:rsid w:val="00045B1A"/>
    <w:rsid w:val="00045F22"/>
    <w:rsid w:val="00047E26"/>
    <w:rsid w:val="000506AB"/>
    <w:rsid w:val="00050CE7"/>
    <w:rsid w:val="00051CF6"/>
    <w:rsid w:val="00057119"/>
    <w:rsid w:val="00057A13"/>
    <w:rsid w:val="00060A5C"/>
    <w:rsid w:val="0006139A"/>
    <w:rsid w:val="00062BBB"/>
    <w:rsid w:val="00064C16"/>
    <w:rsid w:val="00067448"/>
    <w:rsid w:val="00067D2B"/>
    <w:rsid w:val="0007099A"/>
    <w:rsid w:val="00070FB8"/>
    <w:rsid w:val="00071AD5"/>
    <w:rsid w:val="0007361F"/>
    <w:rsid w:val="00073C3B"/>
    <w:rsid w:val="000744A7"/>
    <w:rsid w:val="000748FE"/>
    <w:rsid w:val="00074AD8"/>
    <w:rsid w:val="00074EF4"/>
    <w:rsid w:val="00077BBA"/>
    <w:rsid w:val="00080DA8"/>
    <w:rsid w:val="00081790"/>
    <w:rsid w:val="0008217F"/>
    <w:rsid w:val="000829D8"/>
    <w:rsid w:val="00082DEF"/>
    <w:rsid w:val="00083854"/>
    <w:rsid w:val="00084F06"/>
    <w:rsid w:val="00086706"/>
    <w:rsid w:val="00090157"/>
    <w:rsid w:val="00090792"/>
    <w:rsid w:val="00092674"/>
    <w:rsid w:val="00093596"/>
    <w:rsid w:val="000950EC"/>
    <w:rsid w:val="00095D6F"/>
    <w:rsid w:val="000961C3"/>
    <w:rsid w:val="00096D50"/>
    <w:rsid w:val="000976E5"/>
    <w:rsid w:val="000A139B"/>
    <w:rsid w:val="000A2E20"/>
    <w:rsid w:val="000A73D0"/>
    <w:rsid w:val="000B14BE"/>
    <w:rsid w:val="000B2470"/>
    <w:rsid w:val="000B3651"/>
    <w:rsid w:val="000B39FE"/>
    <w:rsid w:val="000B478B"/>
    <w:rsid w:val="000B598A"/>
    <w:rsid w:val="000B616C"/>
    <w:rsid w:val="000B65CE"/>
    <w:rsid w:val="000B7350"/>
    <w:rsid w:val="000C01AC"/>
    <w:rsid w:val="000C2E04"/>
    <w:rsid w:val="000C32D0"/>
    <w:rsid w:val="000C33DA"/>
    <w:rsid w:val="000C39BB"/>
    <w:rsid w:val="000C714C"/>
    <w:rsid w:val="000D097A"/>
    <w:rsid w:val="000D3BEC"/>
    <w:rsid w:val="000D3E9B"/>
    <w:rsid w:val="000D5FF9"/>
    <w:rsid w:val="000D6913"/>
    <w:rsid w:val="000D6F7D"/>
    <w:rsid w:val="000D763F"/>
    <w:rsid w:val="000D7C0C"/>
    <w:rsid w:val="000E123E"/>
    <w:rsid w:val="000E4814"/>
    <w:rsid w:val="000E49F3"/>
    <w:rsid w:val="000E5CB7"/>
    <w:rsid w:val="000E6496"/>
    <w:rsid w:val="000E692A"/>
    <w:rsid w:val="000E77D1"/>
    <w:rsid w:val="000F0FF6"/>
    <w:rsid w:val="000F15B9"/>
    <w:rsid w:val="000F2F82"/>
    <w:rsid w:val="000F3961"/>
    <w:rsid w:val="000F53EC"/>
    <w:rsid w:val="000F7287"/>
    <w:rsid w:val="000F7597"/>
    <w:rsid w:val="000F77AB"/>
    <w:rsid w:val="000F7D91"/>
    <w:rsid w:val="00100B13"/>
    <w:rsid w:val="00102AD9"/>
    <w:rsid w:val="00102FEF"/>
    <w:rsid w:val="00103089"/>
    <w:rsid w:val="001034CC"/>
    <w:rsid w:val="00104B91"/>
    <w:rsid w:val="001053B4"/>
    <w:rsid w:val="00105BA7"/>
    <w:rsid w:val="00105D2E"/>
    <w:rsid w:val="00105F18"/>
    <w:rsid w:val="00107483"/>
    <w:rsid w:val="00107969"/>
    <w:rsid w:val="00107DD5"/>
    <w:rsid w:val="00110CA0"/>
    <w:rsid w:val="00110E38"/>
    <w:rsid w:val="00110E73"/>
    <w:rsid w:val="0011124C"/>
    <w:rsid w:val="00112110"/>
    <w:rsid w:val="00112158"/>
    <w:rsid w:val="00112B8D"/>
    <w:rsid w:val="0011377E"/>
    <w:rsid w:val="00115CE4"/>
    <w:rsid w:val="00116F39"/>
    <w:rsid w:val="00116FDA"/>
    <w:rsid w:val="00117AB5"/>
    <w:rsid w:val="00120A20"/>
    <w:rsid w:val="00122022"/>
    <w:rsid w:val="00124153"/>
    <w:rsid w:val="00124999"/>
    <w:rsid w:val="00124E4A"/>
    <w:rsid w:val="0012698F"/>
    <w:rsid w:val="001273C3"/>
    <w:rsid w:val="00130F2F"/>
    <w:rsid w:val="0013235F"/>
    <w:rsid w:val="00132868"/>
    <w:rsid w:val="00134856"/>
    <w:rsid w:val="001360E2"/>
    <w:rsid w:val="001371E4"/>
    <w:rsid w:val="00137A1D"/>
    <w:rsid w:val="00140C20"/>
    <w:rsid w:val="00141A09"/>
    <w:rsid w:val="0014406F"/>
    <w:rsid w:val="0014431F"/>
    <w:rsid w:val="00145234"/>
    <w:rsid w:val="001477A7"/>
    <w:rsid w:val="00147E36"/>
    <w:rsid w:val="00147F44"/>
    <w:rsid w:val="00150255"/>
    <w:rsid w:val="00150A96"/>
    <w:rsid w:val="00150FDD"/>
    <w:rsid w:val="0015148B"/>
    <w:rsid w:val="001529FF"/>
    <w:rsid w:val="00152D06"/>
    <w:rsid w:val="001538EE"/>
    <w:rsid w:val="00153E41"/>
    <w:rsid w:val="0015450F"/>
    <w:rsid w:val="001549BA"/>
    <w:rsid w:val="00154B83"/>
    <w:rsid w:val="001551B5"/>
    <w:rsid w:val="001555C1"/>
    <w:rsid w:val="00155CCB"/>
    <w:rsid w:val="00155F67"/>
    <w:rsid w:val="0016150E"/>
    <w:rsid w:val="00164929"/>
    <w:rsid w:val="001657BC"/>
    <w:rsid w:val="00166C10"/>
    <w:rsid w:val="0016724C"/>
    <w:rsid w:val="00167AB3"/>
    <w:rsid w:val="00167C63"/>
    <w:rsid w:val="00170440"/>
    <w:rsid w:val="001705E3"/>
    <w:rsid w:val="00170B9D"/>
    <w:rsid w:val="00173B5A"/>
    <w:rsid w:val="0017412C"/>
    <w:rsid w:val="001755E3"/>
    <w:rsid w:val="00177AEE"/>
    <w:rsid w:val="00181020"/>
    <w:rsid w:val="001813B8"/>
    <w:rsid w:val="001815B4"/>
    <w:rsid w:val="00182A5A"/>
    <w:rsid w:val="00183266"/>
    <w:rsid w:val="00184494"/>
    <w:rsid w:val="00184839"/>
    <w:rsid w:val="00185EF1"/>
    <w:rsid w:val="001878E3"/>
    <w:rsid w:val="00187928"/>
    <w:rsid w:val="00187CDD"/>
    <w:rsid w:val="0019010E"/>
    <w:rsid w:val="0019083D"/>
    <w:rsid w:val="001924AB"/>
    <w:rsid w:val="001929DB"/>
    <w:rsid w:val="00193034"/>
    <w:rsid w:val="00193C0B"/>
    <w:rsid w:val="001944DC"/>
    <w:rsid w:val="00194844"/>
    <w:rsid w:val="00195491"/>
    <w:rsid w:val="0019555D"/>
    <w:rsid w:val="001956FF"/>
    <w:rsid w:val="00195A9C"/>
    <w:rsid w:val="001962BB"/>
    <w:rsid w:val="00196E3D"/>
    <w:rsid w:val="00196EFC"/>
    <w:rsid w:val="00197917"/>
    <w:rsid w:val="001A0075"/>
    <w:rsid w:val="001A0427"/>
    <w:rsid w:val="001A0E2F"/>
    <w:rsid w:val="001A102A"/>
    <w:rsid w:val="001A290B"/>
    <w:rsid w:val="001A455D"/>
    <w:rsid w:val="001A493A"/>
    <w:rsid w:val="001A4BC9"/>
    <w:rsid w:val="001A55BE"/>
    <w:rsid w:val="001A6416"/>
    <w:rsid w:val="001A7318"/>
    <w:rsid w:val="001B01A5"/>
    <w:rsid w:val="001B0382"/>
    <w:rsid w:val="001B08C0"/>
    <w:rsid w:val="001B0B67"/>
    <w:rsid w:val="001B12C4"/>
    <w:rsid w:val="001B16E6"/>
    <w:rsid w:val="001B1E4B"/>
    <w:rsid w:val="001B284A"/>
    <w:rsid w:val="001B46A8"/>
    <w:rsid w:val="001B4FBC"/>
    <w:rsid w:val="001B55C3"/>
    <w:rsid w:val="001B6635"/>
    <w:rsid w:val="001B6E59"/>
    <w:rsid w:val="001C1BBA"/>
    <w:rsid w:val="001C21AB"/>
    <w:rsid w:val="001C2202"/>
    <w:rsid w:val="001C3025"/>
    <w:rsid w:val="001C471F"/>
    <w:rsid w:val="001C5884"/>
    <w:rsid w:val="001C6FF5"/>
    <w:rsid w:val="001C736D"/>
    <w:rsid w:val="001D02C9"/>
    <w:rsid w:val="001D0DBF"/>
    <w:rsid w:val="001D2511"/>
    <w:rsid w:val="001D34D0"/>
    <w:rsid w:val="001D3CC4"/>
    <w:rsid w:val="001D40EA"/>
    <w:rsid w:val="001D40FD"/>
    <w:rsid w:val="001D51F0"/>
    <w:rsid w:val="001D65F6"/>
    <w:rsid w:val="001D6BC6"/>
    <w:rsid w:val="001D6D05"/>
    <w:rsid w:val="001D6F2B"/>
    <w:rsid w:val="001D73C3"/>
    <w:rsid w:val="001D73C6"/>
    <w:rsid w:val="001E1E1A"/>
    <w:rsid w:val="001E5BED"/>
    <w:rsid w:val="001E6D92"/>
    <w:rsid w:val="001E758B"/>
    <w:rsid w:val="001F0D05"/>
    <w:rsid w:val="001F263F"/>
    <w:rsid w:val="001F2B9B"/>
    <w:rsid w:val="001F5B1B"/>
    <w:rsid w:val="001F5DDB"/>
    <w:rsid w:val="001F6CC4"/>
    <w:rsid w:val="001F7086"/>
    <w:rsid w:val="001F7A4B"/>
    <w:rsid w:val="0020078F"/>
    <w:rsid w:val="00203110"/>
    <w:rsid w:val="002040E4"/>
    <w:rsid w:val="00204796"/>
    <w:rsid w:val="00207880"/>
    <w:rsid w:val="0021021A"/>
    <w:rsid w:val="002111EE"/>
    <w:rsid w:val="00212CB0"/>
    <w:rsid w:val="00212ED5"/>
    <w:rsid w:val="0021335C"/>
    <w:rsid w:val="00213FB7"/>
    <w:rsid w:val="002140E0"/>
    <w:rsid w:val="00214AE0"/>
    <w:rsid w:val="00215005"/>
    <w:rsid w:val="00215A07"/>
    <w:rsid w:val="002161B5"/>
    <w:rsid w:val="00217931"/>
    <w:rsid w:val="00220B59"/>
    <w:rsid w:val="00220D70"/>
    <w:rsid w:val="00222121"/>
    <w:rsid w:val="002221BC"/>
    <w:rsid w:val="00222271"/>
    <w:rsid w:val="0022228B"/>
    <w:rsid w:val="00223A7F"/>
    <w:rsid w:val="00224373"/>
    <w:rsid w:val="00225A96"/>
    <w:rsid w:val="002264C8"/>
    <w:rsid w:val="00227382"/>
    <w:rsid w:val="00230C25"/>
    <w:rsid w:val="00231361"/>
    <w:rsid w:val="002315CD"/>
    <w:rsid w:val="002317A7"/>
    <w:rsid w:val="002327DE"/>
    <w:rsid w:val="00232E48"/>
    <w:rsid w:val="0023357B"/>
    <w:rsid w:val="002358A6"/>
    <w:rsid w:val="00235C69"/>
    <w:rsid w:val="00236D26"/>
    <w:rsid w:val="002436B5"/>
    <w:rsid w:val="00243C9B"/>
    <w:rsid w:val="00245B65"/>
    <w:rsid w:val="0024618D"/>
    <w:rsid w:val="00247222"/>
    <w:rsid w:val="00247970"/>
    <w:rsid w:val="0025106F"/>
    <w:rsid w:val="002513F6"/>
    <w:rsid w:val="002528B0"/>
    <w:rsid w:val="00252904"/>
    <w:rsid w:val="00252AFD"/>
    <w:rsid w:val="00253025"/>
    <w:rsid w:val="002531AE"/>
    <w:rsid w:val="00253AB5"/>
    <w:rsid w:val="0025579B"/>
    <w:rsid w:val="002577E3"/>
    <w:rsid w:val="00257879"/>
    <w:rsid w:val="00257D26"/>
    <w:rsid w:val="00257FF3"/>
    <w:rsid w:val="00260465"/>
    <w:rsid w:val="002607FF"/>
    <w:rsid w:val="00261646"/>
    <w:rsid w:val="002623A0"/>
    <w:rsid w:val="00262573"/>
    <w:rsid w:val="00262C59"/>
    <w:rsid w:val="0026424E"/>
    <w:rsid w:val="002643BA"/>
    <w:rsid w:val="0026440B"/>
    <w:rsid w:val="00265452"/>
    <w:rsid w:val="002657FB"/>
    <w:rsid w:val="00266CCC"/>
    <w:rsid w:val="002702E6"/>
    <w:rsid w:val="0027102E"/>
    <w:rsid w:val="0027113E"/>
    <w:rsid w:val="00271435"/>
    <w:rsid w:val="00274310"/>
    <w:rsid w:val="00275293"/>
    <w:rsid w:val="00275387"/>
    <w:rsid w:val="00276D4C"/>
    <w:rsid w:val="0028133B"/>
    <w:rsid w:val="00282838"/>
    <w:rsid w:val="00282C03"/>
    <w:rsid w:val="00282D75"/>
    <w:rsid w:val="00282DD1"/>
    <w:rsid w:val="00282ED3"/>
    <w:rsid w:val="00284D87"/>
    <w:rsid w:val="00285657"/>
    <w:rsid w:val="002871ED"/>
    <w:rsid w:val="002874E8"/>
    <w:rsid w:val="00287DBF"/>
    <w:rsid w:val="002903CD"/>
    <w:rsid w:val="0029309B"/>
    <w:rsid w:val="00294EBE"/>
    <w:rsid w:val="00295472"/>
    <w:rsid w:val="00295F8C"/>
    <w:rsid w:val="0029690A"/>
    <w:rsid w:val="00297CE9"/>
    <w:rsid w:val="002A1A67"/>
    <w:rsid w:val="002A31D8"/>
    <w:rsid w:val="002A37BA"/>
    <w:rsid w:val="002A415D"/>
    <w:rsid w:val="002A418B"/>
    <w:rsid w:val="002A4321"/>
    <w:rsid w:val="002A7EA8"/>
    <w:rsid w:val="002B00BA"/>
    <w:rsid w:val="002B0DD9"/>
    <w:rsid w:val="002B1ED9"/>
    <w:rsid w:val="002B25BA"/>
    <w:rsid w:val="002B270E"/>
    <w:rsid w:val="002B32D0"/>
    <w:rsid w:val="002B38ED"/>
    <w:rsid w:val="002B3B74"/>
    <w:rsid w:val="002B3C24"/>
    <w:rsid w:val="002B4629"/>
    <w:rsid w:val="002B5CAD"/>
    <w:rsid w:val="002B7C4F"/>
    <w:rsid w:val="002B7EEA"/>
    <w:rsid w:val="002C06EB"/>
    <w:rsid w:val="002C0C7E"/>
    <w:rsid w:val="002C3133"/>
    <w:rsid w:val="002C3B24"/>
    <w:rsid w:val="002C5FAC"/>
    <w:rsid w:val="002C701F"/>
    <w:rsid w:val="002C7406"/>
    <w:rsid w:val="002C7AB1"/>
    <w:rsid w:val="002D0B7E"/>
    <w:rsid w:val="002D1465"/>
    <w:rsid w:val="002D15A6"/>
    <w:rsid w:val="002D1CA5"/>
    <w:rsid w:val="002D21EB"/>
    <w:rsid w:val="002D2D2C"/>
    <w:rsid w:val="002D473E"/>
    <w:rsid w:val="002D627F"/>
    <w:rsid w:val="002D741C"/>
    <w:rsid w:val="002E0267"/>
    <w:rsid w:val="002E2695"/>
    <w:rsid w:val="002E3195"/>
    <w:rsid w:val="002E36F9"/>
    <w:rsid w:val="002E60C0"/>
    <w:rsid w:val="002E740D"/>
    <w:rsid w:val="002F1F0D"/>
    <w:rsid w:val="002F1FE8"/>
    <w:rsid w:val="002F21BE"/>
    <w:rsid w:val="002F30C2"/>
    <w:rsid w:val="002F3913"/>
    <w:rsid w:val="002F5AC8"/>
    <w:rsid w:val="002F62C2"/>
    <w:rsid w:val="002F6829"/>
    <w:rsid w:val="002F7C38"/>
    <w:rsid w:val="002F7C7C"/>
    <w:rsid w:val="002F7FA4"/>
    <w:rsid w:val="00300B61"/>
    <w:rsid w:val="003016CC"/>
    <w:rsid w:val="00301B6D"/>
    <w:rsid w:val="00302808"/>
    <w:rsid w:val="00303382"/>
    <w:rsid w:val="00304D91"/>
    <w:rsid w:val="00305665"/>
    <w:rsid w:val="003056C7"/>
    <w:rsid w:val="0030577D"/>
    <w:rsid w:val="003061B0"/>
    <w:rsid w:val="003067EF"/>
    <w:rsid w:val="003104AF"/>
    <w:rsid w:val="003107B3"/>
    <w:rsid w:val="003109E6"/>
    <w:rsid w:val="00310D5E"/>
    <w:rsid w:val="003155A2"/>
    <w:rsid w:val="00315886"/>
    <w:rsid w:val="00315E9C"/>
    <w:rsid w:val="003170DA"/>
    <w:rsid w:val="00321411"/>
    <w:rsid w:val="003215AA"/>
    <w:rsid w:val="00322571"/>
    <w:rsid w:val="00323FCC"/>
    <w:rsid w:val="003251B8"/>
    <w:rsid w:val="003252F9"/>
    <w:rsid w:val="00325390"/>
    <w:rsid w:val="00325CF8"/>
    <w:rsid w:val="00326B9B"/>
    <w:rsid w:val="00326ECD"/>
    <w:rsid w:val="00330B16"/>
    <w:rsid w:val="00331A25"/>
    <w:rsid w:val="00333667"/>
    <w:rsid w:val="003339C6"/>
    <w:rsid w:val="00334328"/>
    <w:rsid w:val="00336997"/>
    <w:rsid w:val="00337565"/>
    <w:rsid w:val="00340206"/>
    <w:rsid w:val="00342517"/>
    <w:rsid w:val="003427DE"/>
    <w:rsid w:val="00342884"/>
    <w:rsid w:val="00343296"/>
    <w:rsid w:val="003443A6"/>
    <w:rsid w:val="003475D5"/>
    <w:rsid w:val="00347AF9"/>
    <w:rsid w:val="003509C8"/>
    <w:rsid w:val="003512E3"/>
    <w:rsid w:val="003534D2"/>
    <w:rsid w:val="00354085"/>
    <w:rsid w:val="00354CC5"/>
    <w:rsid w:val="00355C51"/>
    <w:rsid w:val="00355EF2"/>
    <w:rsid w:val="00356B2D"/>
    <w:rsid w:val="00356FAC"/>
    <w:rsid w:val="00357635"/>
    <w:rsid w:val="00360391"/>
    <w:rsid w:val="00360868"/>
    <w:rsid w:val="00365248"/>
    <w:rsid w:val="00366B98"/>
    <w:rsid w:val="00367852"/>
    <w:rsid w:val="0037031F"/>
    <w:rsid w:val="0037210D"/>
    <w:rsid w:val="003722FD"/>
    <w:rsid w:val="00372521"/>
    <w:rsid w:val="00372B1F"/>
    <w:rsid w:val="003736AC"/>
    <w:rsid w:val="00373C56"/>
    <w:rsid w:val="00374BF3"/>
    <w:rsid w:val="00375F6F"/>
    <w:rsid w:val="003761A0"/>
    <w:rsid w:val="00376441"/>
    <w:rsid w:val="00382FE8"/>
    <w:rsid w:val="0038305B"/>
    <w:rsid w:val="0038399C"/>
    <w:rsid w:val="00383CA6"/>
    <w:rsid w:val="00384509"/>
    <w:rsid w:val="00384A72"/>
    <w:rsid w:val="00384EB8"/>
    <w:rsid w:val="003853FB"/>
    <w:rsid w:val="0038553C"/>
    <w:rsid w:val="00386543"/>
    <w:rsid w:val="003868ED"/>
    <w:rsid w:val="0039036D"/>
    <w:rsid w:val="00390EE7"/>
    <w:rsid w:val="00390F17"/>
    <w:rsid w:val="003926A4"/>
    <w:rsid w:val="00393F8B"/>
    <w:rsid w:val="00394564"/>
    <w:rsid w:val="00394B7D"/>
    <w:rsid w:val="0039653A"/>
    <w:rsid w:val="00397A7F"/>
    <w:rsid w:val="003A35F2"/>
    <w:rsid w:val="003A53E0"/>
    <w:rsid w:val="003A5791"/>
    <w:rsid w:val="003A7005"/>
    <w:rsid w:val="003A70E6"/>
    <w:rsid w:val="003A7A1F"/>
    <w:rsid w:val="003A7EE4"/>
    <w:rsid w:val="003B0CE3"/>
    <w:rsid w:val="003B1F96"/>
    <w:rsid w:val="003B288C"/>
    <w:rsid w:val="003B37A1"/>
    <w:rsid w:val="003B5AB0"/>
    <w:rsid w:val="003B6490"/>
    <w:rsid w:val="003B6E3A"/>
    <w:rsid w:val="003B785D"/>
    <w:rsid w:val="003C0BA7"/>
    <w:rsid w:val="003C0C3F"/>
    <w:rsid w:val="003C0D1E"/>
    <w:rsid w:val="003C160C"/>
    <w:rsid w:val="003C1E3D"/>
    <w:rsid w:val="003C22DA"/>
    <w:rsid w:val="003C2566"/>
    <w:rsid w:val="003C4D24"/>
    <w:rsid w:val="003C569E"/>
    <w:rsid w:val="003C592F"/>
    <w:rsid w:val="003D09AE"/>
    <w:rsid w:val="003D0BC3"/>
    <w:rsid w:val="003D0C78"/>
    <w:rsid w:val="003D0DE9"/>
    <w:rsid w:val="003D4FDA"/>
    <w:rsid w:val="003D57F0"/>
    <w:rsid w:val="003D5D1C"/>
    <w:rsid w:val="003E1447"/>
    <w:rsid w:val="003E1926"/>
    <w:rsid w:val="003E1FC7"/>
    <w:rsid w:val="003E33EB"/>
    <w:rsid w:val="003E33F4"/>
    <w:rsid w:val="003E4D3C"/>
    <w:rsid w:val="003E535B"/>
    <w:rsid w:val="003E64DA"/>
    <w:rsid w:val="003E73F7"/>
    <w:rsid w:val="003E7EFF"/>
    <w:rsid w:val="003F1F25"/>
    <w:rsid w:val="003F268F"/>
    <w:rsid w:val="003F30FD"/>
    <w:rsid w:val="003F454A"/>
    <w:rsid w:val="003F4588"/>
    <w:rsid w:val="003F45E7"/>
    <w:rsid w:val="003F4E38"/>
    <w:rsid w:val="003F76FB"/>
    <w:rsid w:val="003F7793"/>
    <w:rsid w:val="004009EA"/>
    <w:rsid w:val="0040183E"/>
    <w:rsid w:val="00401C8E"/>
    <w:rsid w:val="00402445"/>
    <w:rsid w:val="0040274F"/>
    <w:rsid w:val="00403195"/>
    <w:rsid w:val="004043CA"/>
    <w:rsid w:val="00404ED4"/>
    <w:rsid w:val="00405C11"/>
    <w:rsid w:val="00405CA2"/>
    <w:rsid w:val="004064F6"/>
    <w:rsid w:val="0040686B"/>
    <w:rsid w:val="00406C2E"/>
    <w:rsid w:val="00410FF4"/>
    <w:rsid w:val="00411275"/>
    <w:rsid w:val="004118DB"/>
    <w:rsid w:val="0041247A"/>
    <w:rsid w:val="004130B1"/>
    <w:rsid w:val="00413895"/>
    <w:rsid w:val="00413D83"/>
    <w:rsid w:val="004142D6"/>
    <w:rsid w:val="00414964"/>
    <w:rsid w:val="00414B81"/>
    <w:rsid w:val="00415CFE"/>
    <w:rsid w:val="004164C6"/>
    <w:rsid w:val="00416ECA"/>
    <w:rsid w:val="0042088A"/>
    <w:rsid w:val="00420EBD"/>
    <w:rsid w:val="00421412"/>
    <w:rsid w:val="004216BF"/>
    <w:rsid w:val="00422762"/>
    <w:rsid w:val="00422FCA"/>
    <w:rsid w:val="004231C6"/>
    <w:rsid w:val="004231EB"/>
    <w:rsid w:val="0042496D"/>
    <w:rsid w:val="00424C9B"/>
    <w:rsid w:val="00424D13"/>
    <w:rsid w:val="00425184"/>
    <w:rsid w:val="00425447"/>
    <w:rsid w:val="004259F3"/>
    <w:rsid w:val="00425AA6"/>
    <w:rsid w:val="00425D4C"/>
    <w:rsid w:val="00425E5E"/>
    <w:rsid w:val="004265F2"/>
    <w:rsid w:val="004266FD"/>
    <w:rsid w:val="00427F6D"/>
    <w:rsid w:val="0043188B"/>
    <w:rsid w:val="00432370"/>
    <w:rsid w:val="004324B3"/>
    <w:rsid w:val="004333A7"/>
    <w:rsid w:val="00435610"/>
    <w:rsid w:val="00435D67"/>
    <w:rsid w:val="00435F28"/>
    <w:rsid w:val="004360DB"/>
    <w:rsid w:val="004369B8"/>
    <w:rsid w:val="00436CF7"/>
    <w:rsid w:val="004402A8"/>
    <w:rsid w:val="00441568"/>
    <w:rsid w:val="00441EB4"/>
    <w:rsid w:val="00441FA7"/>
    <w:rsid w:val="0044286E"/>
    <w:rsid w:val="00442A9B"/>
    <w:rsid w:val="00443CA9"/>
    <w:rsid w:val="00446B62"/>
    <w:rsid w:val="00446C88"/>
    <w:rsid w:val="004470A0"/>
    <w:rsid w:val="004476A9"/>
    <w:rsid w:val="0045069A"/>
    <w:rsid w:val="0045127D"/>
    <w:rsid w:val="00451905"/>
    <w:rsid w:val="00452BC2"/>
    <w:rsid w:val="00453E17"/>
    <w:rsid w:val="004540E1"/>
    <w:rsid w:val="004541BD"/>
    <w:rsid w:val="00455359"/>
    <w:rsid w:val="00455B99"/>
    <w:rsid w:val="0045628F"/>
    <w:rsid w:val="0045681F"/>
    <w:rsid w:val="00457CD6"/>
    <w:rsid w:val="00460352"/>
    <w:rsid w:val="004615AE"/>
    <w:rsid w:val="00461F73"/>
    <w:rsid w:val="0046263D"/>
    <w:rsid w:val="0046349B"/>
    <w:rsid w:val="00464FA3"/>
    <w:rsid w:val="00466AD6"/>
    <w:rsid w:val="0047024B"/>
    <w:rsid w:val="00471131"/>
    <w:rsid w:val="00471908"/>
    <w:rsid w:val="004732F4"/>
    <w:rsid w:val="00474762"/>
    <w:rsid w:val="00474C6B"/>
    <w:rsid w:val="00474EBA"/>
    <w:rsid w:val="004758A5"/>
    <w:rsid w:val="00475989"/>
    <w:rsid w:val="00476F31"/>
    <w:rsid w:val="0047775C"/>
    <w:rsid w:val="00477CE2"/>
    <w:rsid w:val="0048028D"/>
    <w:rsid w:val="00480AB5"/>
    <w:rsid w:val="00480F33"/>
    <w:rsid w:val="00481E34"/>
    <w:rsid w:val="00484AF9"/>
    <w:rsid w:val="004854B4"/>
    <w:rsid w:val="004856E7"/>
    <w:rsid w:val="00486AFE"/>
    <w:rsid w:val="004871C2"/>
    <w:rsid w:val="0048798E"/>
    <w:rsid w:val="00490935"/>
    <w:rsid w:val="00490B3D"/>
    <w:rsid w:val="00490F47"/>
    <w:rsid w:val="004911AD"/>
    <w:rsid w:val="00491A26"/>
    <w:rsid w:val="00491BEB"/>
    <w:rsid w:val="00493F90"/>
    <w:rsid w:val="0049416E"/>
    <w:rsid w:val="00494A33"/>
    <w:rsid w:val="00496767"/>
    <w:rsid w:val="00497636"/>
    <w:rsid w:val="004A01DD"/>
    <w:rsid w:val="004A1558"/>
    <w:rsid w:val="004A1E15"/>
    <w:rsid w:val="004A2B8B"/>
    <w:rsid w:val="004A33C6"/>
    <w:rsid w:val="004A3B55"/>
    <w:rsid w:val="004A49CF"/>
    <w:rsid w:val="004A4AEC"/>
    <w:rsid w:val="004A618B"/>
    <w:rsid w:val="004A64F7"/>
    <w:rsid w:val="004A6F3E"/>
    <w:rsid w:val="004A7F5A"/>
    <w:rsid w:val="004B0EB0"/>
    <w:rsid w:val="004B2598"/>
    <w:rsid w:val="004B7915"/>
    <w:rsid w:val="004B7EB8"/>
    <w:rsid w:val="004C03FC"/>
    <w:rsid w:val="004C1EB6"/>
    <w:rsid w:val="004C2949"/>
    <w:rsid w:val="004C2B28"/>
    <w:rsid w:val="004C2C0E"/>
    <w:rsid w:val="004C3353"/>
    <w:rsid w:val="004C3FA4"/>
    <w:rsid w:val="004C4920"/>
    <w:rsid w:val="004C4DF1"/>
    <w:rsid w:val="004C56CC"/>
    <w:rsid w:val="004C61C7"/>
    <w:rsid w:val="004C63B8"/>
    <w:rsid w:val="004C6EB8"/>
    <w:rsid w:val="004C70A2"/>
    <w:rsid w:val="004D06B8"/>
    <w:rsid w:val="004D0EB1"/>
    <w:rsid w:val="004D1936"/>
    <w:rsid w:val="004D32D9"/>
    <w:rsid w:val="004D668A"/>
    <w:rsid w:val="004D6973"/>
    <w:rsid w:val="004D7999"/>
    <w:rsid w:val="004E0BDC"/>
    <w:rsid w:val="004E19D2"/>
    <w:rsid w:val="004E1EF2"/>
    <w:rsid w:val="004E2060"/>
    <w:rsid w:val="004E24DB"/>
    <w:rsid w:val="004E2C3F"/>
    <w:rsid w:val="004E33D8"/>
    <w:rsid w:val="004E4CE8"/>
    <w:rsid w:val="004E4D54"/>
    <w:rsid w:val="004E6167"/>
    <w:rsid w:val="004E7A00"/>
    <w:rsid w:val="004E7AE2"/>
    <w:rsid w:val="004F00FA"/>
    <w:rsid w:val="004F0DFB"/>
    <w:rsid w:val="004F102D"/>
    <w:rsid w:val="004F1CD0"/>
    <w:rsid w:val="004F2B63"/>
    <w:rsid w:val="004F3213"/>
    <w:rsid w:val="004F409C"/>
    <w:rsid w:val="004F41C3"/>
    <w:rsid w:val="00500632"/>
    <w:rsid w:val="0050326E"/>
    <w:rsid w:val="00503689"/>
    <w:rsid w:val="005046B4"/>
    <w:rsid w:val="005048AF"/>
    <w:rsid w:val="0050545F"/>
    <w:rsid w:val="0050616A"/>
    <w:rsid w:val="00506CB9"/>
    <w:rsid w:val="0050795B"/>
    <w:rsid w:val="00507A7B"/>
    <w:rsid w:val="00511939"/>
    <w:rsid w:val="005130D8"/>
    <w:rsid w:val="005138D7"/>
    <w:rsid w:val="00513CCF"/>
    <w:rsid w:val="00516090"/>
    <w:rsid w:val="0051769C"/>
    <w:rsid w:val="005176C6"/>
    <w:rsid w:val="00517DF7"/>
    <w:rsid w:val="00520712"/>
    <w:rsid w:val="005207DA"/>
    <w:rsid w:val="00521CB0"/>
    <w:rsid w:val="00521D5B"/>
    <w:rsid w:val="00522FED"/>
    <w:rsid w:val="0052340B"/>
    <w:rsid w:val="00523E7C"/>
    <w:rsid w:val="00525035"/>
    <w:rsid w:val="0052521B"/>
    <w:rsid w:val="005257A8"/>
    <w:rsid w:val="00525CE5"/>
    <w:rsid w:val="005265C2"/>
    <w:rsid w:val="00526703"/>
    <w:rsid w:val="00526759"/>
    <w:rsid w:val="00530AF7"/>
    <w:rsid w:val="00530D6E"/>
    <w:rsid w:val="00530F56"/>
    <w:rsid w:val="005310C7"/>
    <w:rsid w:val="00533007"/>
    <w:rsid w:val="00533110"/>
    <w:rsid w:val="005334C4"/>
    <w:rsid w:val="00533929"/>
    <w:rsid w:val="00534912"/>
    <w:rsid w:val="00534E87"/>
    <w:rsid w:val="00535C88"/>
    <w:rsid w:val="00537054"/>
    <w:rsid w:val="0053775E"/>
    <w:rsid w:val="00537901"/>
    <w:rsid w:val="0054047B"/>
    <w:rsid w:val="00540550"/>
    <w:rsid w:val="00542ED0"/>
    <w:rsid w:val="00543C1E"/>
    <w:rsid w:val="00543EAC"/>
    <w:rsid w:val="00546730"/>
    <w:rsid w:val="00547BA5"/>
    <w:rsid w:val="00550717"/>
    <w:rsid w:val="00550DB7"/>
    <w:rsid w:val="00551BC9"/>
    <w:rsid w:val="005523F8"/>
    <w:rsid w:val="00552E1B"/>
    <w:rsid w:val="00553134"/>
    <w:rsid w:val="00553307"/>
    <w:rsid w:val="00554DA0"/>
    <w:rsid w:val="00555384"/>
    <w:rsid w:val="005561F6"/>
    <w:rsid w:val="00556E90"/>
    <w:rsid w:val="005575BE"/>
    <w:rsid w:val="00557E95"/>
    <w:rsid w:val="00560574"/>
    <w:rsid w:val="00560F9D"/>
    <w:rsid w:val="00561D27"/>
    <w:rsid w:val="005643C3"/>
    <w:rsid w:val="00564A9C"/>
    <w:rsid w:val="00564D59"/>
    <w:rsid w:val="005650E9"/>
    <w:rsid w:val="00565917"/>
    <w:rsid w:val="00565B6D"/>
    <w:rsid w:val="00565D35"/>
    <w:rsid w:val="00566096"/>
    <w:rsid w:val="00566DAA"/>
    <w:rsid w:val="00567ED8"/>
    <w:rsid w:val="00571012"/>
    <w:rsid w:val="005713FA"/>
    <w:rsid w:val="00571DB7"/>
    <w:rsid w:val="00572E2F"/>
    <w:rsid w:val="00573023"/>
    <w:rsid w:val="0057398A"/>
    <w:rsid w:val="00573E83"/>
    <w:rsid w:val="005745F9"/>
    <w:rsid w:val="0057465C"/>
    <w:rsid w:val="00576BF1"/>
    <w:rsid w:val="00576DE1"/>
    <w:rsid w:val="0057750F"/>
    <w:rsid w:val="00577CDF"/>
    <w:rsid w:val="0058092A"/>
    <w:rsid w:val="00581566"/>
    <w:rsid w:val="00581FC2"/>
    <w:rsid w:val="00583C42"/>
    <w:rsid w:val="0058477E"/>
    <w:rsid w:val="00587CAD"/>
    <w:rsid w:val="00587D78"/>
    <w:rsid w:val="00590AB6"/>
    <w:rsid w:val="00590C15"/>
    <w:rsid w:val="005910A4"/>
    <w:rsid w:val="0059224D"/>
    <w:rsid w:val="00592429"/>
    <w:rsid w:val="00592E12"/>
    <w:rsid w:val="00594B26"/>
    <w:rsid w:val="00595BEA"/>
    <w:rsid w:val="00596C4A"/>
    <w:rsid w:val="00596ED9"/>
    <w:rsid w:val="00596F7F"/>
    <w:rsid w:val="005975BC"/>
    <w:rsid w:val="005979BC"/>
    <w:rsid w:val="005A1516"/>
    <w:rsid w:val="005A221E"/>
    <w:rsid w:val="005A2909"/>
    <w:rsid w:val="005A2FB8"/>
    <w:rsid w:val="005A52AD"/>
    <w:rsid w:val="005A548D"/>
    <w:rsid w:val="005A58EA"/>
    <w:rsid w:val="005B2ED7"/>
    <w:rsid w:val="005B4104"/>
    <w:rsid w:val="005B421F"/>
    <w:rsid w:val="005B7265"/>
    <w:rsid w:val="005B77AD"/>
    <w:rsid w:val="005B79DA"/>
    <w:rsid w:val="005C0C90"/>
    <w:rsid w:val="005C0F72"/>
    <w:rsid w:val="005C1D7A"/>
    <w:rsid w:val="005C257D"/>
    <w:rsid w:val="005C26A0"/>
    <w:rsid w:val="005C2F39"/>
    <w:rsid w:val="005C33A0"/>
    <w:rsid w:val="005C5DD1"/>
    <w:rsid w:val="005C6F12"/>
    <w:rsid w:val="005D125D"/>
    <w:rsid w:val="005D2EC9"/>
    <w:rsid w:val="005D3E17"/>
    <w:rsid w:val="005D6113"/>
    <w:rsid w:val="005D768D"/>
    <w:rsid w:val="005E0455"/>
    <w:rsid w:val="005E049E"/>
    <w:rsid w:val="005E07D2"/>
    <w:rsid w:val="005E2DE1"/>
    <w:rsid w:val="005E380B"/>
    <w:rsid w:val="005E6C45"/>
    <w:rsid w:val="005E6D41"/>
    <w:rsid w:val="005E7829"/>
    <w:rsid w:val="005E7A78"/>
    <w:rsid w:val="005F000F"/>
    <w:rsid w:val="005F0695"/>
    <w:rsid w:val="005F08B9"/>
    <w:rsid w:val="005F08C1"/>
    <w:rsid w:val="005F0F19"/>
    <w:rsid w:val="005F50A2"/>
    <w:rsid w:val="005F5C1E"/>
    <w:rsid w:val="005F6277"/>
    <w:rsid w:val="005F6F48"/>
    <w:rsid w:val="005F7057"/>
    <w:rsid w:val="005F7389"/>
    <w:rsid w:val="006018C0"/>
    <w:rsid w:val="00601D66"/>
    <w:rsid w:val="00601EC4"/>
    <w:rsid w:val="00602AFB"/>
    <w:rsid w:val="006035A4"/>
    <w:rsid w:val="00603786"/>
    <w:rsid w:val="0060435B"/>
    <w:rsid w:val="00606A1B"/>
    <w:rsid w:val="006074C4"/>
    <w:rsid w:val="006107C4"/>
    <w:rsid w:val="00612303"/>
    <w:rsid w:val="00613092"/>
    <w:rsid w:val="0061413A"/>
    <w:rsid w:val="006151C5"/>
    <w:rsid w:val="00615EC2"/>
    <w:rsid w:val="00615EE2"/>
    <w:rsid w:val="0061651B"/>
    <w:rsid w:val="00617085"/>
    <w:rsid w:val="00617523"/>
    <w:rsid w:val="006208B6"/>
    <w:rsid w:val="00622AFA"/>
    <w:rsid w:val="006236CE"/>
    <w:rsid w:val="006253CC"/>
    <w:rsid w:val="00627367"/>
    <w:rsid w:val="006310DF"/>
    <w:rsid w:val="00631220"/>
    <w:rsid w:val="00631CB7"/>
    <w:rsid w:val="00632C29"/>
    <w:rsid w:val="0063574E"/>
    <w:rsid w:val="00636449"/>
    <w:rsid w:val="00636596"/>
    <w:rsid w:val="0063724D"/>
    <w:rsid w:val="0063731A"/>
    <w:rsid w:val="00637577"/>
    <w:rsid w:val="006377A9"/>
    <w:rsid w:val="00637EAB"/>
    <w:rsid w:val="00637FFE"/>
    <w:rsid w:val="00641372"/>
    <w:rsid w:val="00642535"/>
    <w:rsid w:val="00642A4F"/>
    <w:rsid w:val="00643A45"/>
    <w:rsid w:val="00643D09"/>
    <w:rsid w:val="00643E2A"/>
    <w:rsid w:val="00644291"/>
    <w:rsid w:val="0064563A"/>
    <w:rsid w:val="00645F6A"/>
    <w:rsid w:val="00647128"/>
    <w:rsid w:val="00647574"/>
    <w:rsid w:val="00651589"/>
    <w:rsid w:val="0065281B"/>
    <w:rsid w:val="006528C2"/>
    <w:rsid w:val="00653567"/>
    <w:rsid w:val="00654952"/>
    <w:rsid w:val="00654BFF"/>
    <w:rsid w:val="0065502A"/>
    <w:rsid w:val="00656771"/>
    <w:rsid w:val="00657211"/>
    <w:rsid w:val="0065743E"/>
    <w:rsid w:val="00657E45"/>
    <w:rsid w:val="00660FC2"/>
    <w:rsid w:val="00661D3E"/>
    <w:rsid w:val="00661E8F"/>
    <w:rsid w:val="006625BB"/>
    <w:rsid w:val="006641A4"/>
    <w:rsid w:val="00666739"/>
    <w:rsid w:val="00666853"/>
    <w:rsid w:val="00666953"/>
    <w:rsid w:val="00670FC5"/>
    <w:rsid w:val="00672A3B"/>
    <w:rsid w:val="006737E5"/>
    <w:rsid w:val="00674E1B"/>
    <w:rsid w:val="006755DC"/>
    <w:rsid w:val="00675880"/>
    <w:rsid w:val="006764B8"/>
    <w:rsid w:val="00676E66"/>
    <w:rsid w:val="006800D4"/>
    <w:rsid w:val="00680126"/>
    <w:rsid w:val="00680D3C"/>
    <w:rsid w:val="00681FF3"/>
    <w:rsid w:val="0068219D"/>
    <w:rsid w:val="00682FA9"/>
    <w:rsid w:val="00683403"/>
    <w:rsid w:val="00683815"/>
    <w:rsid w:val="00683A55"/>
    <w:rsid w:val="00684638"/>
    <w:rsid w:val="00685384"/>
    <w:rsid w:val="006859F0"/>
    <w:rsid w:val="006861E8"/>
    <w:rsid w:val="00686AD7"/>
    <w:rsid w:val="00686C9A"/>
    <w:rsid w:val="00686D8E"/>
    <w:rsid w:val="00687779"/>
    <w:rsid w:val="006901DA"/>
    <w:rsid w:val="006906AD"/>
    <w:rsid w:val="00690B78"/>
    <w:rsid w:val="00691A03"/>
    <w:rsid w:val="00692E8B"/>
    <w:rsid w:val="00694FD2"/>
    <w:rsid w:val="006951B0"/>
    <w:rsid w:val="00695866"/>
    <w:rsid w:val="00695EF2"/>
    <w:rsid w:val="00696892"/>
    <w:rsid w:val="006973DC"/>
    <w:rsid w:val="006976F8"/>
    <w:rsid w:val="006A0963"/>
    <w:rsid w:val="006A0974"/>
    <w:rsid w:val="006A0F7D"/>
    <w:rsid w:val="006A1B3C"/>
    <w:rsid w:val="006A2865"/>
    <w:rsid w:val="006A2BB5"/>
    <w:rsid w:val="006A4D02"/>
    <w:rsid w:val="006A5D5F"/>
    <w:rsid w:val="006A686A"/>
    <w:rsid w:val="006A7F29"/>
    <w:rsid w:val="006B0935"/>
    <w:rsid w:val="006B0C1D"/>
    <w:rsid w:val="006B31D2"/>
    <w:rsid w:val="006B3974"/>
    <w:rsid w:val="006B4EE1"/>
    <w:rsid w:val="006B521B"/>
    <w:rsid w:val="006B6B8A"/>
    <w:rsid w:val="006B6DE6"/>
    <w:rsid w:val="006B6E1D"/>
    <w:rsid w:val="006B7E82"/>
    <w:rsid w:val="006C0544"/>
    <w:rsid w:val="006C1FC9"/>
    <w:rsid w:val="006C3E72"/>
    <w:rsid w:val="006C416A"/>
    <w:rsid w:val="006C506B"/>
    <w:rsid w:val="006C54D1"/>
    <w:rsid w:val="006C5682"/>
    <w:rsid w:val="006C577F"/>
    <w:rsid w:val="006C78AE"/>
    <w:rsid w:val="006D0368"/>
    <w:rsid w:val="006D1063"/>
    <w:rsid w:val="006D149E"/>
    <w:rsid w:val="006D15E5"/>
    <w:rsid w:val="006D1930"/>
    <w:rsid w:val="006D3EF3"/>
    <w:rsid w:val="006D4DF6"/>
    <w:rsid w:val="006D507B"/>
    <w:rsid w:val="006D52B9"/>
    <w:rsid w:val="006D539A"/>
    <w:rsid w:val="006D56D7"/>
    <w:rsid w:val="006D7D01"/>
    <w:rsid w:val="006E037C"/>
    <w:rsid w:val="006E1D09"/>
    <w:rsid w:val="006E1D59"/>
    <w:rsid w:val="006E22E4"/>
    <w:rsid w:val="006E3025"/>
    <w:rsid w:val="006E4112"/>
    <w:rsid w:val="006E7A70"/>
    <w:rsid w:val="006F07F6"/>
    <w:rsid w:val="006F0B7E"/>
    <w:rsid w:val="006F1DE6"/>
    <w:rsid w:val="006F21DE"/>
    <w:rsid w:val="006F24FE"/>
    <w:rsid w:val="006F5C49"/>
    <w:rsid w:val="006F7089"/>
    <w:rsid w:val="007009D7"/>
    <w:rsid w:val="00700AD9"/>
    <w:rsid w:val="00700D66"/>
    <w:rsid w:val="0070164F"/>
    <w:rsid w:val="00702D07"/>
    <w:rsid w:val="00703841"/>
    <w:rsid w:val="00704624"/>
    <w:rsid w:val="00705C59"/>
    <w:rsid w:val="00707767"/>
    <w:rsid w:val="0071118D"/>
    <w:rsid w:val="00712F7B"/>
    <w:rsid w:val="00713F6E"/>
    <w:rsid w:val="00714659"/>
    <w:rsid w:val="007147CF"/>
    <w:rsid w:val="00714B4D"/>
    <w:rsid w:val="00720FDD"/>
    <w:rsid w:val="00723876"/>
    <w:rsid w:val="00723BE5"/>
    <w:rsid w:val="00724CDD"/>
    <w:rsid w:val="00724E02"/>
    <w:rsid w:val="00724EDE"/>
    <w:rsid w:val="0072503E"/>
    <w:rsid w:val="00726BDC"/>
    <w:rsid w:val="00727696"/>
    <w:rsid w:val="00727760"/>
    <w:rsid w:val="0072797B"/>
    <w:rsid w:val="00727B83"/>
    <w:rsid w:val="00730348"/>
    <w:rsid w:val="00732B91"/>
    <w:rsid w:val="00732C19"/>
    <w:rsid w:val="00733872"/>
    <w:rsid w:val="0073454B"/>
    <w:rsid w:val="007345DE"/>
    <w:rsid w:val="00735873"/>
    <w:rsid w:val="00735E55"/>
    <w:rsid w:val="00736BC8"/>
    <w:rsid w:val="0074091B"/>
    <w:rsid w:val="0074119E"/>
    <w:rsid w:val="00742AA6"/>
    <w:rsid w:val="00742C81"/>
    <w:rsid w:val="00743F22"/>
    <w:rsid w:val="0074499A"/>
    <w:rsid w:val="00745828"/>
    <w:rsid w:val="00745BEB"/>
    <w:rsid w:val="00746D39"/>
    <w:rsid w:val="0075327D"/>
    <w:rsid w:val="00755781"/>
    <w:rsid w:val="0075618A"/>
    <w:rsid w:val="0075661C"/>
    <w:rsid w:val="007611BE"/>
    <w:rsid w:val="007613E1"/>
    <w:rsid w:val="007620E2"/>
    <w:rsid w:val="00762E4F"/>
    <w:rsid w:val="007657EE"/>
    <w:rsid w:val="00765F04"/>
    <w:rsid w:val="0076610C"/>
    <w:rsid w:val="00766298"/>
    <w:rsid w:val="00766A07"/>
    <w:rsid w:val="00766BDD"/>
    <w:rsid w:val="00767B7D"/>
    <w:rsid w:val="007710DF"/>
    <w:rsid w:val="0077175E"/>
    <w:rsid w:val="00773069"/>
    <w:rsid w:val="00773EEF"/>
    <w:rsid w:val="00774612"/>
    <w:rsid w:val="00774D6A"/>
    <w:rsid w:val="0077537A"/>
    <w:rsid w:val="00775C99"/>
    <w:rsid w:val="00775E84"/>
    <w:rsid w:val="00776609"/>
    <w:rsid w:val="007771F1"/>
    <w:rsid w:val="00777269"/>
    <w:rsid w:val="00777F9D"/>
    <w:rsid w:val="00781B44"/>
    <w:rsid w:val="00781BA7"/>
    <w:rsid w:val="0078281F"/>
    <w:rsid w:val="00783AA4"/>
    <w:rsid w:val="00786517"/>
    <w:rsid w:val="0078667F"/>
    <w:rsid w:val="007877C1"/>
    <w:rsid w:val="00790677"/>
    <w:rsid w:val="00791388"/>
    <w:rsid w:val="0079224A"/>
    <w:rsid w:val="007941AD"/>
    <w:rsid w:val="007945EE"/>
    <w:rsid w:val="00794954"/>
    <w:rsid w:val="00794AA4"/>
    <w:rsid w:val="00796EC3"/>
    <w:rsid w:val="00796EDE"/>
    <w:rsid w:val="007A0216"/>
    <w:rsid w:val="007A42A0"/>
    <w:rsid w:val="007A46C7"/>
    <w:rsid w:val="007A497F"/>
    <w:rsid w:val="007A5EA9"/>
    <w:rsid w:val="007A62CB"/>
    <w:rsid w:val="007B0976"/>
    <w:rsid w:val="007B10B0"/>
    <w:rsid w:val="007B11F0"/>
    <w:rsid w:val="007B1D12"/>
    <w:rsid w:val="007B3155"/>
    <w:rsid w:val="007B3313"/>
    <w:rsid w:val="007B3349"/>
    <w:rsid w:val="007C0D1C"/>
    <w:rsid w:val="007C130F"/>
    <w:rsid w:val="007C2B6A"/>
    <w:rsid w:val="007C2D99"/>
    <w:rsid w:val="007C54E2"/>
    <w:rsid w:val="007C6BA4"/>
    <w:rsid w:val="007D055B"/>
    <w:rsid w:val="007D08F3"/>
    <w:rsid w:val="007D0CCB"/>
    <w:rsid w:val="007D119C"/>
    <w:rsid w:val="007D1844"/>
    <w:rsid w:val="007D1A87"/>
    <w:rsid w:val="007D29AA"/>
    <w:rsid w:val="007D4504"/>
    <w:rsid w:val="007D4FC9"/>
    <w:rsid w:val="007D518D"/>
    <w:rsid w:val="007D5539"/>
    <w:rsid w:val="007D7742"/>
    <w:rsid w:val="007D7C0F"/>
    <w:rsid w:val="007E0040"/>
    <w:rsid w:val="007E0AC6"/>
    <w:rsid w:val="007E113E"/>
    <w:rsid w:val="007E267F"/>
    <w:rsid w:val="007E307C"/>
    <w:rsid w:val="007E7F91"/>
    <w:rsid w:val="007F041E"/>
    <w:rsid w:val="007F0456"/>
    <w:rsid w:val="007F1009"/>
    <w:rsid w:val="007F195A"/>
    <w:rsid w:val="007F1D69"/>
    <w:rsid w:val="007F2EE8"/>
    <w:rsid w:val="007F30BA"/>
    <w:rsid w:val="007F3FDA"/>
    <w:rsid w:val="007F5B6B"/>
    <w:rsid w:val="007F5BE4"/>
    <w:rsid w:val="007F5DDF"/>
    <w:rsid w:val="007F6CA9"/>
    <w:rsid w:val="007F7610"/>
    <w:rsid w:val="007F7CDE"/>
    <w:rsid w:val="0080041E"/>
    <w:rsid w:val="008006E5"/>
    <w:rsid w:val="0080121A"/>
    <w:rsid w:val="0080222E"/>
    <w:rsid w:val="008028F3"/>
    <w:rsid w:val="0080365D"/>
    <w:rsid w:val="00804218"/>
    <w:rsid w:val="00804664"/>
    <w:rsid w:val="00807E3D"/>
    <w:rsid w:val="0081189F"/>
    <w:rsid w:val="00811A47"/>
    <w:rsid w:val="00812184"/>
    <w:rsid w:val="008137D9"/>
    <w:rsid w:val="00813F06"/>
    <w:rsid w:val="00814502"/>
    <w:rsid w:val="00814864"/>
    <w:rsid w:val="008153F2"/>
    <w:rsid w:val="00815AFB"/>
    <w:rsid w:val="00816378"/>
    <w:rsid w:val="00816D52"/>
    <w:rsid w:val="00817B0F"/>
    <w:rsid w:val="008209AE"/>
    <w:rsid w:val="0082141F"/>
    <w:rsid w:val="00821DE7"/>
    <w:rsid w:val="00822BAD"/>
    <w:rsid w:val="00823890"/>
    <w:rsid w:val="00823A44"/>
    <w:rsid w:val="00823B14"/>
    <w:rsid w:val="00824A87"/>
    <w:rsid w:val="00824AFB"/>
    <w:rsid w:val="00825780"/>
    <w:rsid w:val="00826205"/>
    <w:rsid w:val="00827388"/>
    <w:rsid w:val="008274A7"/>
    <w:rsid w:val="00830B69"/>
    <w:rsid w:val="00830DA5"/>
    <w:rsid w:val="00831D75"/>
    <w:rsid w:val="008325B8"/>
    <w:rsid w:val="00832D0B"/>
    <w:rsid w:val="008336BE"/>
    <w:rsid w:val="0083381B"/>
    <w:rsid w:val="00833BDA"/>
    <w:rsid w:val="00833E64"/>
    <w:rsid w:val="00833EF8"/>
    <w:rsid w:val="00835608"/>
    <w:rsid w:val="00835C9F"/>
    <w:rsid w:val="008362BC"/>
    <w:rsid w:val="008377CB"/>
    <w:rsid w:val="00840174"/>
    <w:rsid w:val="00843C3F"/>
    <w:rsid w:val="0084518B"/>
    <w:rsid w:val="00845370"/>
    <w:rsid w:val="00845D34"/>
    <w:rsid w:val="008476FE"/>
    <w:rsid w:val="00850AC9"/>
    <w:rsid w:val="00851102"/>
    <w:rsid w:val="00852685"/>
    <w:rsid w:val="008539A0"/>
    <w:rsid w:val="008542CE"/>
    <w:rsid w:val="008563D1"/>
    <w:rsid w:val="00856627"/>
    <w:rsid w:val="00860549"/>
    <w:rsid w:val="008606D8"/>
    <w:rsid w:val="00860E20"/>
    <w:rsid w:val="00860F7E"/>
    <w:rsid w:val="008619A6"/>
    <w:rsid w:val="00862F72"/>
    <w:rsid w:val="008632B0"/>
    <w:rsid w:val="008635AD"/>
    <w:rsid w:val="008653D3"/>
    <w:rsid w:val="00865BBC"/>
    <w:rsid w:val="008660C2"/>
    <w:rsid w:val="00867885"/>
    <w:rsid w:val="00867BD6"/>
    <w:rsid w:val="00867BD8"/>
    <w:rsid w:val="0087166A"/>
    <w:rsid w:val="0087398F"/>
    <w:rsid w:val="00874B90"/>
    <w:rsid w:val="00875A08"/>
    <w:rsid w:val="0087749F"/>
    <w:rsid w:val="00877614"/>
    <w:rsid w:val="008779F3"/>
    <w:rsid w:val="00881461"/>
    <w:rsid w:val="0088148D"/>
    <w:rsid w:val="00881CC9"/>
    <w:rsid w:val="0088291F"/>
    <w:rsid w:val="00882930"/>
    <w:rsid w:val="00882C2B"/>
    <w:rsid w:val="008833BE"/>
    <w:rsid w:val="00884889"/>
    <w:rsid w:val="00884977"/>
    <w:rsid w:val="00887FF7"/>
    <w:rsid w:val="0089021E"/>
    <w:rsid w:val="008912E4"/>
    <w:rsid w:val="008913B6"/>
    <w:rsid w:val="0089168D"/>
    <w:rsid w:val="008917F9"/>
    <w:rsid w:val="008921DA"/>
    <w:rsid w:val="00892A14"/>
    <w:rsid w:val="00892A20"/>
    <w:rsid w:val="00893C41"/>
    <w:rsid w:val="00894041"/>
    <w:rsid w:val="00894D05"/>
    <w:rsid w:val="008959A8"/>
    <w:rsid w:val="00896266"/>
    <w:rsid w:val="008A0036"/>
    <w:rsid w:val="008A06F0"/>
    <w:rsid w:val="008A15B5"/>
    <w:rsid w:val="008A1ADB"/>
    <w:rsid w:val="008A22B2"/>
    <w:rsid w:val="008A4D63"/>
    <w:rsid w:val="008A5200"/>
    <w:rsid w:val="008A7182"/>
    <w:rsid w:val="008B039E"/>
    <w:rsid w:val="008B0A9B"/>
    <w:rsid w:val="008B2EE1"/>
    <w:rsid w:val="008B3563"/>
    <w:rsid w:val="008B3C7C"/>
    <w:rsid w:val="008B4CAF"/>
    <w:rsid w:val="008B6698"/>
    <w:rsid w:val="008B6FE2"/>
    <w:rsid w:val="008B76B4"/>
    <w:rsid w:val="008C0BE0"/>
    <w:rsid w:val="008C186D"/>
    <w:rsid w:val="008C1CFA"/>
    <w:rsid w:val="008C1F75"/>
    <w:rsid w:val="008C248B"/>
    <w:rsid w:val="008C463A"/>
    <w:rsid w:val="008C73D8"/>
    <w:rsid w:val="008C77BB"/>
    <w:rsid w:val="008D0035"/>
    <w:rsid w:val="008D0F4D"/>
    <w:rsid w:val="008D1079"/>
    <w:rsid w:val="008D127D"/>
    <w:rsid w:val="008D1BFA"/>
    <w:rsid w:val="008D1DF3"/>
    <w:rsid w:val="008D224B"/>
    <w:rsid w:val="008D2503"/>
    <w:rsid w:val="008D2B82"/>
    <w:rsid w:val="008D4CCE"/>
    <w:rsid w:val="008D6F03"/>
    <w:rsid w:val="008D754C"/>
    <w:rsid w:val="008D777A"/>
    <w:rsid w:val="008D7B3B"/>
    <w:rsid w:val="008E11F4"/>
    <w:rsid w:val="008E1A8A"/>
    <w:rsid w:val="008E206B"/>
    <w:rsid w:val="008E3148"/>
    <w:rsid w:val="008E6081"/>
    <w:rsid w:val="008E6A03"/>
    <w:rsid w:val="008E6ED7"/>
    <w:rsid w:val="008E77F4"/>
    <w:rsid w:val="008F1ACC"/>
    <w:rsid w:val="008F3D68"/>
    <w:rsid w:val="008F5007"/>
    <w:rsid w:val="008F64B5"/>
    <w:rsid w:val="008F6D90"/>
    <w:rsid w:val="008F710B"/>
    <w:rsid w:val="008F72D0"/>
    <w:rsid w:val="0090034F"/>
    <w:rsid w:val="00900643"/>
    <w:rsid w:val="00901954"/>
    <w:rsid w:val="00902478"/>
    <w:rsid w:val="0090308D"/>
    <w:rsid w:val="009035D3"/>
    <w:rsid w:val="00904E85"/>
    <w:rsid w:val="0090622B"/>
    <w:rsid w:val="0090717D"/>
    <w:rsid w:val="0090767F"/>
    <w:rsid w:val="00907683"/>
    <w:rsid w:val="009076D4"/>
    <w:rsid w:val="00907A0F"/>
    <w:rsid w:val="00907DD0"/>
    <w:rsid w:val="00910F05"/>
    <w:rsid w:val="00912307"/>
    <w:rsid w:val="00912548"/>
    <w:rsid w:val="0091268E"/>
    <w:rsid w:val="009138D5"/>
    <w:rsid w:val="00913CE6"/>
    <w:rsid w:val="009148B0"/>
    <w:rsid w:val="0091572D"/>
    <w:rsid w:val="00915A74"/>
    <w:rsid w:val="00915E58"/>
    <w:rsid w:val="009169AB"/>
    <w:rsid w:val="0092215F"/>
    <w:rsid w:val="0092360C"/>
    <w:rsid w:val="00924548"/>
    <w:rsid w:val="00924684"/>
    <w:rsid w:val="00924882"/>
    <w:rsid w:val="00924F8E"/>
    <w:rsid w:val="00925292"/>
    <w:rsid w:val="00925590"/>
    <w:rsid w:val="00925D1F"/>
    <w:rsid w:val="009260FA"/>
    <w:rsid w:val="00926BD0"/>
    <w:rsid w:val="00930814"/>
    <w:rsid w:val="00933B0A"/>
    <w:rsid w:val="0093571A"/>
    <w:rsid w:val="00935DE9"/>
    <w:rsid w:val="00935F7B"/>
    <w:rsid w:val="00936B04"/>
    <w:rsid w:val="00936E75"/>
    <w:rsid w:val="009372EA"/>
    <w:rsid w:val="00941112"/>
    <w:rsid w:val="00941BA2"/>
    <w:rsid w:val="00941C3D"/>
    <w:rsid w:val="009429F9"/>
    <w:rsid w:val="00942BE8"/>
    <w:rsid w:val="00944FF8"/>
    <w:rsid w:val="0094539A"/>
    <w:rsid w:val="00945E44"/>
    <w:rsid w:val="009460D0"/>
    <w:rsid w:val="009472F3"/>
    <w:rsid w:val="009474DD"/>
    <w:rsid w:val="00947B6A"/>
    <w:rsid w:val="00947BA5"/>
    <w:rsid w:val="00950460"/>
    <w:rsid w:val="009505D2"/>
    <w:rsid w:val="00950B32"/>
    <w:rsid w:val="00950B3C"/>
    <w:rsid w:val="00950EDA"/>
    <w:rsid w:val="0095109D"/>
    <w:rsid w:val="00952948"/>
    <w:rsid w:val="00954C42"/>
    <w:rsid w:val="0095501F"/>
    <w:rsid w:val="00955D5E"/>
    <w:rsid w:val="00955E2D"/>
    <w:rsid w:val="00955E47"/>
    <w:rsid w:val="00957764"/>
    <w:rsid w:val="00957D12"/>
    <w:rsid w:val="00964865"/>
    <w:rsid w:val="009649F0"/>
    <w:rsid w:val="009650BA"/>
    <w:rsid w:val="009673D2"/>
    <w:rsid w:val="00967BED"/>
    <w:rsid w:val="009710D8"/>
    <w:rsid w:val="009733D4"/>
    <w:rsid w:val="00974E85"/>
    <w:rsid w:val="00975190"/>
    <w:rsid w:val="0097695A"/>
    <w:rsid w:val="0097751A"/>
    <w:rsid w:val="009776F3"/>
    <w:rsid w:val="00981194"/>
    <w:rsid w:val="00982013"/>
    <w:rsid w:val="00982135"/>
    <w:rsid w:val="0098220C"/>
    <w:rsid w:val="009827A4"/>
    <w:rsid w:val="009852AC"/>
    <w:rsid w:val="00985C74"/>
    <w:rsid w:val="00986575"/>
    <w:rsid w:val="009875B4"/>
    <w:rsid w:val="0099290B"/>
    <w:rsid w:val="00992DA4"/>
    <w:rsid w:val="00992F11"/>
    <w:rsid w:val="00994A3B"/>
    <w:rsid w:val="00995604"/>
    <w:rsid w:val="009959BD"/>
    <w:rsid w:val="00995F53"/>
    <w:rsid w:val="009A04FF"/>
    <w:rsid w:val="009A171A"/>
    <w:rsid w:val="009A2DD1"/>
    <w:rsid w:val="009A477C"/>
    <w:rsid w:val="009A4EC2"/>
    <w:rsid w:val="009A71F1"/>
    <w:rsid w:val="009B019A"/>
    <w:rsid w:val="009B033D"/>
    <w:rsid w:val="009B06D8"/>
    <w:rsid w:val="009B07F2"/>
    <w:rsid w:val="009B0ABA"/>
    <w:rsid w:val="009B1FEE"/>
    <w:rsid w:val="009B2416"/>
    <w:rsid w:val="009B24CA"/>
    <w:rsid w:val="009B3B8E"/>
    <w:rsid w:val="009B3FAC"/>
    <w:rsid w:val="009B4DB8"/>
    <w:rsid w:val="009B5076"/>
    <w:rsid w:val="009B5CB1"/>
    <w:rsid w:val="009B61DD"/>
    <w:rsid w:val="009C0AAD"/>
    <w:rsid w:val="009C257E"/>
    <w:rsid w:val="009C3101"/>
    <w:rsid w:val="009C3169"/>
    <w:rsid w:val="009C4597"/>
    <w:rsid w:val="009C4910"/>
    <w:rsid w:val="009C6BB0"/>
    <w:rsid w:val="009C72BF"/>
    <w:rsid w:val="009C7934"/>
    <w:rsid w:val="009D0833"/>
    <w:rsid w:val="009D1019"/>
    <w:rsid w:val="009D1053"/>
    <w:rsid w:val="009D1104"/>
    <w:rsid w:val="009D1511"/>
    <w:rsid w:val="009D1DA5"/>
    <w:rsid w:val="009D220B"/>
    <w:rsid w:val="009D3C3F"/>
    <w:rsid w:val="009D508F"/>
    <w:rsid w:val="009D5B48"/>
    <w:rsid w:val="009D6CDE"/>
    <w:rsid w:val="009D741F"/>
    <w:rsid w:val="009E00A6"/>
    <w:rsid w:val="009E0555"/>
    <w:rsid w:val="009E1AE1"/>
    <w:rsid w:val="009E1F5E"/>
    <w:rsid w:val="009E27AD"/>
    <w:rsid w:val="009E2CEC"/>
    <w:rsid w:val="009E3A80"/>
    <w:rsid w:val="009E47C9"/>
    <w:rsid w:val="009E49B5"/>
    <w:rsid w:val="009E4EA1"/>
    <w:rsid w:val="009E4EF1"/>
    <w:rsid w:val="009E590E"/>
    <w:rsid w:val="009E61FF"/>
    <w:rsid w:val="009E63E5"/>
    <w:rsid w:val="009E6AEB"/>
    <w:rsid w:val="009E7335"/>
    <w:rsid w:val="009E7F7D"/>
    <w:rsid w:val="009F0726"/>
    <w:rsid w:val="009F1270"/>
    <w:rsid w:val="009F28DD"/>
    <w:rsid w:val="009F3597"/>
    <w:rsid w:val="009F3ACB"/>
    <w:rsid w:val="009F3B2D"/>
    <w:rsid w:val="009F51AB"/>
    <w:rsid w:val="009F5653"/>
    <w:rsid w:val="009F5AD4"/>
    <w:rsid w:val="009F5B1D"/>
    <w:rsid w:val="009F6120"/>
    <w:rsid w:val="009F63D0"/>
    <w:rsid w:val="009F6785"/>
    <w:rsid w:val="009F7373"/>
    <w:rsid w:val="00A00802"/>
    <w:rsid w:val="00A01C3E"/>
    <w:rsid w:val="00A02934"/>
    <w:rsid w:val="00A02E1D"/>
    <w:rsid w:val="00A032C0"/>
    <w:rsid w:val="00A03399"/>
    <w:rsid w:val="00A0354C"/>
    <w:rsid w:val="00A038C0"/>
    <w:rsid w:val="00A03C5A"/>
    <w:rsid w:val="00A04102"/>
    <w:rsid w:val="00A05256"/>
    <w:rsid w:val="00A05BE0"/>
    <w:rsid w:val="00A06AFC"/>
    <w:rsid w:val="00A06C7B"/>
    <w:rsid w:val="00A1323B"/>
    <w:rsid w:val="00A133A8"/>
    <w:rsid w:val="00A13EB2"/>
    <w:rsid w:val="00A14960"/>
    <w:rsid w:val="00A174B0"/>
    <w:rsid w:val="00A17554"/>
    <w:rsid w:val="00A17AA6"/>
    <w:rsid w:val="00A213C4"/>
    <w:rsid w:val="00A214CF"/>
    <w:rsid w:val="00A2153D"/>
    <w:rsid w:val="00A21A94"/>
    <w:rsid w:val="00A21B26"/>
    <w:rsid w:val="00A220FF"/>
    <w:rsid w:val="00A22280"/>
    <w:rsid w:val="00A23DE2"/>
    <w:rsid w:val="00A240CF"/>
    <w:rsid w:val="00A25036"/>
    <w:rsid w:val="00A25277"/>
    <w:rsid w:val="00A26977"/>
    <w:rsid w:val="00A26FA1"/>
    <w:rsid w:val="00A27EA7"/>
    <w:rsid w:val="00A30945"/>
    <w:rsid w:val="00A30F09"/>
    <w:rsid w:val="00A31DF2"/>
    <w:rsid w:val="00A31EBB"/>
    <w:rsid w:val="00A34918"/>
    <w:rsid w:val="00A34E32"/>
    <w:rsid w:val="00A352C7"/>
    <w:rsid w:val="00A3763D"/>
    <w:rsid w:val="00A37C1E"/>
    <w:rsid w:val="00A37EF4"/>
    <w:rsid w:val="00A40F06"/>
    <w:rsid w:val="00A41C79"/>
    <w:rsid w:val="00A422CA"/>
    <w:rsid w:val="00A42331"/>
    <w:rsid w:val="00A43413"/>
    <w:rsid w:val="00A43E96"/>
    <w:rsid w:val="00A43F4E"/>
    <w:rsid w:val="00A442FA"/>
    <w:rsid w:val="00A45695"/>
    <w:rsid w:val="00A46228"/>
    <w:rsid w:val="00A46EE3"/>
    <w:rsid w:val="00A47B06"/>
    <w:rsid w:val="00A47CDE"/>
    <w:rsid w:val="00A47D2A"/>
    <w:rsid w:val="00A53225"/>
    <w:rsid w:val="00A53BC1"/>
    <w:rsid w:val="00A53D31"/>
    <w:rsid w:val="00A546C9"/>
    <w:rsid w:val="00A55C8F"/>
    <w:rsid w:val="00A55F5C"/>
    <w:rsid w:val="00A5736A"/>
    <w:rsid w:val="00A60074"/>
    <w:rsid w:val="00A610AE"/>
    <w:rsid w:val="00A610DD"/>
    <w:rsid w:val="00A615D2"/>
    <w:rsid w:val="00A61CBB"/>
    <w:rsid w:val="00A628FC"/>
    <w:rsid w:val="00A63180"/>
    <w:rsid w:val="00A63291"/>
    <w:rsid w:val="00A639EF"/>
    <w:rsid w:val="00A63AE6"/>
    <w:rsid w:val="00A63EE6"/>
    <w:rsid w:val="00A6488E"/>
    <w:rsid w:val="00A664BC"/>
    <w:rsid w:val="00A67857"/>
    <w:rsid w:val="00A67D70"/>
    <w:rsid w:val="00A67FEB"/>
    <w:rsid w:val="00A70816"/>
    <w:rsid w:val="00A71C1B"/>
    <w:rsid w:val="00A71DB7"/>
    <w:rsid w:val="00A71F75"/>
    <w:rsid w:val="00A723FC"/>
    <w:rsid w:val="00A7273E"/>
    <w:rsid w:val="00A72FFF"/>
    <w:rsid w:val="00A730CC"/>
    <w:rsid w:val="00A74A93"/>
    <w:rsid w:val="00A757E3"/>
    <w:rsid w:val="00A758FE"/>
    <w:rsid w:val="00A76942"/>
    <w:rsid w:val="00A7706A"/>
    <w:rsid w:val="00A77C76"/>
    <w:rsid w:val="00A77CE2"/>
    <w:rsid w:val="00A80D93"/>
    <w:rsid w:val="00A816DD"/>
    <w:rsid w:val="00A83913"/>
    <w:rsid w:val="00A83C16"/>
    <w:rsid w:val="00A84810"/>
    <w:rsid w:val="00A8623A"/>
    <w:rsid w:val="00A86875"/>
    <w:rsid w:val="00A87DB4"/>
    <w:rsid w:val="00A902E0"/>
    <w:rsid w:val="00A90EB0"/>
    <w:rsid w:val="00A91348"/>
    <w:rsid w:val="00A91972"/>
    <w:rsid w:val="00A928C4"/>
    <w:rsid w:val="00A93439"/>
    <w:rsid w:val="00A93A30"/>
    <w:rsid w:val="00A93B27"/>
    <w:rsid w:val="00A94BAF"/>
    <w:rsid w:val="00A951CF"/>
    <w:rsid w:val="00A9532F"/>
    <w:rsid w:val="00A95CF8"/>
    <w:rsid w:val="00A968E6"/>
    <w:rsid w:val="00A96E3D"/>
    <w:rsid w:val="00AA00BC"/>
    <w:rsid w:val="00AA0222"/>
    <w:rsid w:val="00AA0D95"/>
    <w:rsid w:val="00AA14C9"/>
    <w:rsid w:val="00AA1CD6"/>
    <w:rsid w:val="00AA23EA"/>
    <w:rsid w:val="00AA4BCF"/>
    <w:rsid w:val="00AA5498"/>
    <w:rsid w:val="00AA64B5"/>
    <w:rsid w:val="00AA7A42"/>
    <w:rsid w:val="00AA7E96"/>
    <w:rsid w:val="00AB2F1C"/>
    <w:rsid w:val="00AB452F"/>
    <w:rsid w:val="00AB4740"/>
    <w:rsid w:val="00AB6403"/>
    <w:rsid w:val="00AB687B"/>
    <w:rsid w:val="00AC07C0"/>
    <w:rsid w:val="00AC18EC"/>
    <w:rsid w:val="00AC3493"/>
    <w:rsid w:val="00AC5D62"/>
    <w:rsid w:val="00AC6371"/>
    <w:rsid w:val="00AC7074"/>
    <w:rsid w:val="00AD0145"/>
    <w:rsid w:val="00AD0964"/>
    <w:rsid w:val="00AD0E57"/>
    <w:rsid w:val="00AD220F"/>
    <w:rsid w:val="00AD56B0"/>
    <w:rsid w:val="00AD6639"/>
    <w:rsid w:val="00AD6D33"/>
    <w:rsid w:val="00AE06C2"/>
    <w:rsid w:val="00AE0A6A"/>
    <w:rsid w:val="00AE154C"/>
    <w:rsid w:val="00AE2C7C"/>
    <w:rsid w:val="00AE3768"/>
    <w:rsid w:val="00AE62CB"/>
    <w:rsid w:val="00AE7D18"/>
    <w:rsid w:val="00AF0301"/>
    <w:rsid w:val="00AF0983"/>
    <w:rsid w:val="00AF0E18"/>
    <w:rsid w:val="00AF2041"/>
    <w:rsid w:val="00AF2E47"/>
    <w:rsid w:val="00AF334B"/>
    <w:rsid w:val="00AF3361"/>
    <w:rsid w:val="00AF4884"/>
    <w:rsid w:val="00AF4AEB"/>
    <w:rsid w:val="00B004D7"/>
    <w:rsid w:val="00B01B6C"/>
    <w:rsid w:val="00B0282E"/>
    <w:rsid w:val="00B03F1D"/>
    <w:rsid w:val="00B05220"/>
    <w:rsid w:val="00B06A5C"/>
    <w:rsid w:val="00B1097E"/>
    <w:rsid w:val="00B11051"/>
    <w:rsid w:val="00B11187"/>
    <w:rsid w:val="00B11FF5"/>
    <w:rsid w:val="00B124E9"/>
    <w:rsid w:val="00B128F3"/>
    <w:rsid w:val="00B132C6"/>
    <w:rsid w:val="00B141DC"/>
    <w:rsid w:val="00B15377"/>
    <w:rsid w:val="00B159CE"/>
    <w:rsid w:val="00B204EB"/>
    <w:rsid w:val="00B20A81"/>
    <w:rsid w:val="00B2102C"/>
    <w:rsid w:val="00B220AD"/>
    <w:rsid w:val="00B220DA"/>
    <w:rsid w:val="00B222BD"/>
    <w:rsid w:val="00B2360F"/>
    <w:rsid w:val="00B23F87"/>
    <w:rsid w:val="00B262ED"/>
    <w:rsid w:val="00B267D8"/>
    <w:rsid w:val="00B26DA2"/>
    <w:rsid w:val="00B27E39"/>
    <w:rsid w:val="00B32A4F"/>
    <w:rsid w:val="00B343A3"/>
    <w:rsid w:val="00B34F55"/>
    <w:rsid w:val="00B355CC"/>
    <w:rsid w:val="00B35B6D"/>
    <w:rsid w:val="00B363AC"/>
    <w:rsid w:val="00B363F2"/>
    <w:rsid w:val="00B36EAA"/>
    <w:rsid w:val="00B37297"/>
    <w:rsid w:val="00B37DE0"/>
    <w:rsid w:val="00B37FED"/>
    <w:rsid w:val="00B4003B"/>
    <w:rsid w:val="00B40352"/>
    <w:rsid w:val="00B44617"/>
    <w:rsid w:val="00B44E58"/>
    <w:rsid w:val="00B450E9"/>
    <w:rsid w:val="00B45198"/>
    <w:rsid w:val="00B45A09"/>
    <w:rsid w:val="00B47BC0"/>
    <w:rsid w:val="00B502E3"/>
    <w:rsid w:val="00B509F9"/>
    <w:rsid w:val="00B50EA5"/>
    <w:rsid w:val="00B5279E"/>
    <w:rsid w:val="00B52A2E"/>
    <w:rsid w:val="00B53D07"/>
    <w:rsid w:val="00B54C2A"/>
    <w:rsid w:val="00B554A9"/>
    <w:rsid w:val="00B55C2F"/>
    <w:rsid w:val="00B56E95"/>
    <w:rsid w:val="00B57B40"/>
    <w:rsid w:val="00B61B2E"/>
    <w:rsid w:val="00B622C2"/>
    <w:rsid w:val="00B625B4"/>
    <w:rsid w:val="00B62BFA"/>
    <w:rsid w:val="00B64C10"/>
    <w:rsid w:val="00B65180"/>
    <w:rsid w:val="00B65556"/>
    <w:rsid w:val="00B65740"/>
    <w:rsid w:val="00B666C3"/>
    <w:rsid w:val="00B66829"/>
    <w:rsid w:val="00B66C0F"/>
    <w:rsid w:val="00B7022E"/>
    <w:rsid w:val="00B71163"/>
    <w:rsid w:val="00B71E70"/>
    <w:rsid w:val="00B7211F"/>
    <w:rsid w:val="00B72A01"/>
    <w:rsid w:val="00B72C75"/>
    <w:rsid w:val="00B74748"/>
    <w:rsid w:val="00B74F36"/>
    <w:rsid w:val="00B74FF4"/>
    <w:rsid w:val="00B75687"/>
    <w:rsid w:val="00B7670E"/>
    <w:rsid w:val="00B77E78"/>
    <w:rsid w:val="00B819D6"/>
    <w:rsid w:val="00B81DB3"/>
    <w:rsid w:val="00B836EE"/>
    <w:rsid w:val="00B83893"/>
    <w:rsid w:val="00B84460"/>
    <w:rsid w:val="00B8534C"/>
    <w:rsid w:val="00B861DF"/>
    <w:rsid w:val="00B86839"/>
    <w:rsid w:val="00B86A11"/>
    <w:rsid w:val="00B874AC"/>
    <w:rsid w:val="00B875EF"/>
    <w:rsid w:val="00B91CC5"/>
    <w:rsid w:val="00B9231F"/>
    <w:rsid w:val="00B92E1E"/>
    <w:rsid w:val="00B93235"/>
    <w:rsid w:val="00B934BC"/>
    <w:rsid w:val="00B95234"/>
    <w:rsid w:val="00B972E6"/>
    <w:rsid w:val="00BA051F"/>
    <w:rsid w:val="00BA0860"/>
    <w:rsid w:val="00BA0A5A"/>
    <w:rsid w:val="00BA142C"/>
    <w:rsid w:val="00BA328A"/>
    <w:rsid w:val="00BA6B51"/>
    <w:rsid w:val="00BA7C51"/>
    <w:rsid w:val="00BB08ED"/>
    <w:rsid w:val="00BB0984"/>
    <w:rsid w:val="00BB09BF"/>
    <w:rsid w:val="00BB4FF9"/>
    <w:rsid w:val="00BB5838"/>
    <w:rsid w:val="00BB5CCF"/>
    <w:rsid w:val="00BB5FDC"/>
    <w:rsid w:val="00BB693D"/>
    <w:rsid w:val="00BC20A9"/>
    <w:rsid w:val="00BC22AE"/>
    <w:rsid w:val="00BC24E5"/>
    <w:rsid w:val="00BC3253"/>
    <w:rsid w:val="00BC4429"/>
    <w:rsid w:val="00BC45D3"/>
    <w:rsid w:val="00BC4A62"/>
    <w:rsid w:val="00BC5FC3"/>
    <w:rsid w:val="00BC6823"/>
    <w:rsid w:val="00BC682A"/>
    <w:rsid w:val="00BC73D2"/>
    <w:rsid w:val="00BD1431"/>
    <w:rsid w:val="00BD1977"/>
    <w:rsid w:val="00BD2FE2"/>
    <w:rsid w:val="00BD3BBD"/>
    <w:rsid w:val="00BD3FCB"/>
    <w:rsid w:val="00BD56C9"/>
    <w:rsid w:val="00BE267B"/>
    <w:rsid w:val="00BE4100"/>
    <w:rsid w:val="00BE48D2"/>
    <w:rsid w:val="00BE4F87"/>
    <w:rsid w:val="00BE727E"/>
    <w:rsid w:val="00BE7992"/>
    <w:rsid w:val="00BE7B2C"/>
    <w:rsid w:val="00BF0A22"/>
    <w:rsid w:val="00BF1514"/>
    <w:rsid w:val="00BF17A6"/>
    <w:rsid w:val="00BF2AF3"/>
    <w:rsid w:val="00BF3CFC"/>
    <w:rsid w:val="00BF55E5"/>
    <w:rsid w:val="00BF56CF"/>
    <w:rsid w:val="00BF72BB"/>
    <w:rsid w:val="00C0033C"/>
    <w:rsid w:val="00C008CF"/>
    <w:rsid w:val="00C01C0E"/>
    <w:rsid w:val="00C01E77"/>
    <w:rsid w:val="00C0203E"/>
    <w:rsid w:val="00C03ABC"/>
    <w:rsid w:val="00C03F7E"/>
    <w:rsid w:val="00C04A6A"/>
    <w:rsid w:val="00C05220"/>
    <w:rsid w:val="00C05CD0"/>
    <w:rsid w:val="00C06A8C"/>
    <w:rsid w:val="00C06B24"/>
    <w:rsid w:val="00C07495"/>
    <w:rsid w:val="00C07CFE"/>
    <w:rsid w:val="00C10D3F"/>
    <w:rsid w:val="00C10EC0"/>
    <w:rsid w:val="00C11145"/>
    <w:rsid w:val="00C123F6"/>
    <w:rsid w:val="00C14820"/>
    <w:rsid w:val="00C17EFD"/>
    <w:rsid w:val="00C20832"/>
    <w:rsid w:val="00C2390F"/>
    <w:rsid w:val="00C25C91"/>
    <w:rsid w:val="00C263C6"/>
    <w:rsid w:val="00C26685"/>
    <w:rsid w:val="00C26725"/>
    <w:rsid w:val="00C26A0B"/>
    <w:rsid w:val="00C32857"/>
    <w:rsid w:val="00C3376F"/>
    <w:rsid w:val="00C34B4E"/>
    <w:rsid w:val="00C354B8"/>
    <w:rsid w:val="00C35B27"/>
    <w:rsid w:val="00C36628"/>
    <w:rsid w:val="00C3690C"/>
    <w:rsid w:val="00C37FDC"/>
    <w:rsid w:val="00C37FED"/>
    <w:rsid w:val="00C40B13"/>
    <w:rsid w:val="00C4104A"/>
    <w:rsid w:val="00C42305"/>
    <w:rsid w:val="00C43BDE"/>
    <w:rsid w:val="00C43FB7"/>
    <w:rsid w:val="00C46C7A"/>
    <w:rsid w:val="00C46CF6"/>
    <w:rsid w:val="00C4709B"/>
    <w:rsid w:val="00C5003A"/>
    <w:rsid w:val="00C5087F"/>
    <w:rsid w:val="00C50BD8"/>
    <w:rsid w:val="00C5164D"/>
    <w:rsid w:val="00C5174C"/>
    <w:rsid w:val="00C522EF"/>
    <w:rsid w:val="00C52A9B"/>
    <w:rsid w:val="00C55310"/>
    <w:rsid w:val="00C6002F"/>
    <w:rsid w:val="00C61544"/>
    <w:rsid w:val="00C620BD"/>
    <w:rsid w:val="00C62C58"/>
    <w:rsid w:val="00C62CB1"/>
    <w:rsid w:val="00C6319E"/>
    <w:rsid w:val="00C63AA4"/>
    <w:rsid w:val="00C63BA9"/>
    <w:rsid w:val="00C64285"/>
    <w:rsid w:val="00C647B2"/>
    <w:rsid w:val="00C66D8D"/>
    <w:rsid w:val="00C70A7E"/>
    <w:rsid w:val="00C72D69"/>
    <w:rsid w:val="00C7371F"/>
    <w:rsid w:val="00C73754"/>
    <w:rsid w:val="00C74420"/>
    <w:rsid w:val="00C75A73"/>
    <w:rsid w:val="00C75BAB"/>
    <w:rsid w:val="00C77DCF"/>
    <w:rsid w:val="00C77E6D"/>
    <w:rsid w:val="00C80F07"/>
    <w:rsid w:val="00C82A8A"/>
    <w:rsid w:val="00C82D19"/>
    <w:rsid w:val="00C847B0"/>
    <w:rsid w:val="00C84B67"/>
    <w:rsid w:val="00C85E76"/>
    <w:rsid w:val="00C8625E"/>
    <w:rsid w:val="00C862B4"/>
    <w:rsid w:val="00C862D7"/>
    <w:rsid w:val="00C865B3"/>
    <w:rsid w:val="00C901EA"/>
    <w:rsid w:val="00C92893"/>
    <w:rsid w:val="00C965D3"/>
    <w:rsid w:val="00C96E1D"/>
    <w:rsid w:val="00C97501"/>
    <w:rsid w:val="00C97912"/>
    <w:rsid w:val="00C97A14"/>
    <w:rsid w:val="00C97F12"/>
    <w:rsid w:val="00CA1157"/>
    <w:rsid w:val="00CA1645"/>
    <w:rsid w:val="00CA372F"/>
    <w:rsid w:val="00CA3ACC"/>
    <w:rsid w:val="00CA3EE3"/>
    <w:rsid w:val="00CA4588"/>
    <w:rsid w:val="00CA5AA2"/>
    <w:rsid w:val="00CA67A3"/>
    <w:rsid w:val="00CA6D4B"/>
    <w:rsid w:val="00CA6E21"/>
    <w:rsid w:val="00CA71E3"/>
    <w:rsid w:val="00CA74BA"/>
    <w:rsid w:val="00CA7666"/>
    <w:rsid w:val="00CA767D"/>
    <w:rsid w:val="00CB06A1"/>
    <w:rsid w:val="00CB2604"/>
    <w:rsid w:val="00CB2ACA"/>
    <w:rsid w:val="00CB3952"/>
    <w:rsid w:val="00CB3A31"/>
    <w:rsid w:val="00CB46DE"/>
    <w:rsid w:val="00CB4EA4"/>
    <w:rsid w:val="00CB554B"/>
    <w:rsid w:val="00CB588B"/>
    <w:rsid w:val="00CB678C"/>
    <w:rsid w:val="00CB68EF"/>
    <w:rsid w:val="00CB72D3"/>
    <w:rsid w:val="00CB7CE2"/>
    <w:rsid w:val="00CC3650"/>
    <w:rsid w:val="00CC3BAB"/>
    <w:rsid w:val="00CC4100"/>
    <w:rsid w:val="00CC6853"/>
    <w:rsid w:val="00CC7A52"/>
    <w:rsid w:val="00CD0152"/>
    <w:rsid w:val="00CD12D4"/>
    <w:rsid w:val="00CD1600"/>
    <w:rsid w:val="00CD24E9"/>
    <w:rsid w:val="00CD3309"/>
    <w:rsid w:val="00CD7329"/>
    <w:rsid w:val="00CD780A"/>
    <w:rsid w:val="00CD7A7C"/>
    <w:rsid w:val="00CD7E2C"/>
    <w:rsid w:val="00CE045F"/>
    <w:rsid w:val="00CE29D4"/>
    <w:rsid w:val="00CE35C6"/>
    <w:rsid w:val="00CE6B13"/>
    <w:rsid w:val="00CF0615"/>
    <w:rsid w:val="00CF11D8"/>
    <w:rsid w:val="00CF1599"/>
    <w:rsid w:val="00CF23EF"/>
    <w:rsid w:val="00CF5063"/>
    <w:rsid w:val="00CF6629"/>
    <w:rsid w:val="00CF6B34"/>
    <w:rsid w:val="00CF713F"/>
    <w:rsid w:val="00D00975"/>
    <w:rsid w:val="00D00CA5"/>
    <w:rsid w:val="00D0175B"/>
    <w:rsid w:val="00D01BE4"/>
    <w:rsid w:val="00D0379F"/>
    <w:rsid w:val="00D039A8"/>
    <w:rsid w:val="00D03FEB"/>
    <w:rsid w:val="00D04201"/>
    <w:rsid w:val="00D04B42"/>
    <w:rsid w:val="00D053B2"/>
    <w:rsid w:val="00D061DC"/>
    <w:rsid w:val="00D06714"/>
    <w:rsid w:val="00D0786F"/>
    <w:rsid w:val="00D078E5"/>
    <w:rsid w:val="00D07952"/>
    <w:rsid w:val="00D079B5"/>
    <w:rsid w:val="00D1081A"/>
    <w:rsid w:val="00D121BB"/>
    <w:rsid w:val="00D12615"/>
    <w:rsid w:val="00D1307F"/>
    <w:rsid w:val="00D1340D"/>
    <w:rsid w:val="00D14C0D"/>
    <w:rsid w:val="00D15697"/>
    <w:rsid w:val="00D166D9"/>
    <w:rsid w:val="00D16A6A"/>
    <w:rsid w:val="00D16A8F"/>
    <w:rsid w:val="00D16C9A"/>
    <w:rsid w:val="00D173F7"/>
    <w:rsid w:val="00D17586"/>
    <w:rsid w:val="00D17E66"/>
    <w:rsid w:val="00D17ED1"/>
    <w:rsid w:val="00D2195F"/>
    <w:rsid w:val="00D21CC4"/>
    <w:rsid w:val="00D22E65"/>
    <w:rsid w:val="00D23A94"/>
    <w:rsid w:val="00D24270"/>
    <w:rsid w:val="00D247E6"/>
    <w:rsid w:val="00D256B2"/>
    <w:rsid w:val="00D256BB"/>
    <w:rsid w:val="00D25ECA"/>
    <w:rsid w:val="00D26C65"/>
    <w:rsid w:val="00D275D8"/>
    <w:rsid w:val="00D27A1C"/>
    <w:rsid w:val="00D27A35"/>
    <w:rsid w:val="00D33A89"/>
    <w:rsid w:val="00D33CA3"/>
    <w:rsid w:val="00D35247"/>
    <w:rsid w:val="00D361CF"/>
    <w:rsid w:val="00D376A0"/>
    <w:rsid w:val="00D41C4B"/>
    <w:rsid w:val="00D4403E"/>
    <w:rsid w:val="00D450A5"/>
    <w:rsid w:val="00D4584E"/>
    <w:rsid w:val="00D45E75"/>
    <w:rsid w:val="00D46FBF"/>
    <w:rsid w:val="00D4733B"/>
    <w:rsid w:val="00D50D0D"/>
    <w:rsid w:val="00D50D39"/>
    <w:rsid w:val="00D52036"/>
    <w:rsid w:val="00D52C59"/>
    <w:rsid w:val="00D52CD6"/>
    <w:rsid w:val="00D54CCF"/>
    <w:rsid w:val="00D54EE0"/>
    <w:rsid w:val="00D552BC"/>
    <w:rsid w:val="00D55F54"/>
    <w:rsid w:val="00D57101"/>
    <w:rsid w:val="00D571C7"/>
    <w:rsid w:val="00D575DC"/>
    <w:rsid w:val="00D601FA"/>
    <w:rsid w:val="00D60C04"/>
    <w:rsid w:val="00D64058"/>
    <w:rsid w:val="00D646CC"/>
    <w:rsid w:val="00D64A82"/>
    <w:rsid w:val="00D656AC"/>
    <w:rsid w:val="00D66EDD"/>
    <w:rsid w:val="00D66F8F"/>
    <w:rsid w:val="00D672AE"/>
    <w:rsid w:val="00D714A7"/>
    <w:rsid w:val="00D71BB8"/>
    <w:rsid w:val="00D71CE2"/>
    <w:rsid w:val="00D73841"/>
    <w:rsid w:val="00D741FC"/>
    <w:rsid w:val="00D75C26"/>
    <w:rsid w:val="00D769A6"/>
    <w:rsid w:val="00D7720D"/>
    <w:rsid w:val="00D80E9B"/>
    <w:rsid w:val="00D81EF1"/>
    <w:rsid w:val="00D8295B"/>
    <w:rsid w:val="00D83090"/>
    <w:rsid w:val="00D854CF"/>
    <w:rsid w:val="00D8780B"/>
    <w:rsid w:val="00D902E3"/>
    <w:rsid w:val="00D907CC"/>
    <w:rsid w:val="00D919CC"/>
    <w:rsid w:val="00D93924"/>
    <w:rsid w:val="00D93AB6"/>
    <w:rsid w:val="00D94E6C"/>
    <w:rsid w:val="00D95930"/>
    <w:rsid w:val="00D95F3D"/>
    <w:rsid w:val="00D9629C"/>
    <w:rsid w:val="00D964E2"/>
    <w:rsid w:val="00D97117"/>
    <w:rsid w:val="00DA0498"/>
    <w:rsid w:val="00DA2555"/>
    <w:rsid w:val="00DA2B2F"/>
    <w:rsid w:val="00DA2EB5"/>
    <w:rsid w:val="00DA4A59"/>
    <w:rsid w:val="00DA5743"/>
    <w:rsid w:val="00DA5A2E"/>
    <w:rsid w:val="00DA622F"/>
    <w:rsid w:val="00DA6C51"/>
    <w:rsid w:val="00DA70C8"/>
    <w:rsid w:val="00DA7E3A"/>
    <w:rsid w:val="00DB265C"/>
    <w:rsid w:val="00DB3174"/>
    <w:rsid w:val="00DB365D"/>
    <w:rsid w:val="00DB4033"/>
    <w:rsid w:val="00DB4041"/>
    <w:rsid w:val="00DB4AD9"/>
    <w:rsid w:val="00DB633E"/>
    <w:rsid w:val="00DB68FB"/>
    <w:rsid w:val="00DB6D97"/>
    <w:rsid w:val="00DB74CE"/>
    <w:rsid w:val="00DC09B8"/>
    <w:rsid w:val="00DC110C"/>
    <w:rsid w:val="00DC2033"/>
    <w:rsid w:val="00DC470B"/>
    <w:rsid w:val="00DC4A6E"/>
    <w:rsid w:val="00DC4B09"/>
    <w:rsid w:val="00DC649E"/>
    <w:rsid w:val="00DC66B3"/>
    <w:rsid w:val="00DC691F"/>
    <w:rsid w:val="00DC6CA5"/>
    <w:rsid w:val="00DC7823"/>
    <w:rsid w:val="00DD0047"/>
    <w:rsid w:val="00DD08ED"/>
    <w:rsid w:val="00DD2678"/>
    <w:rsid w:val="00DD3EFD"/>
    <w:rsid w:val="00DD402D"/>
    <w:rsid w:val="00DD426B"/>
    <w:rsid w:val="00DD4E27"/>
    <w:rsid w:val="00DD50D1"/>
    <w:rsid w:val="00DD6584"/>
    <w:rsid w:val="00DD6A21"/>
    <w:rsid w:val="00DD6D24"/>
    <w:rsid w:val="00DD7F32"/>
    <w:rsid w:val="00DE0873"/>
    <w:rsid w:val="00DE30B4"/>
    <w:rsid w:val="00DE4120"/>
    <w:rsid w:val="00DE4BA4"/>
    <w:rsid w:val="00DE4E72"/>
    <w:rsid w:val="00DE6FAC"/>
    <w:rsid w:val="00DE7DF6"/>
    <w:rsid w:val="00DF0109"/>
    <w:rsid w:val="00DF0145"/>
    <w:rsid w:val="00DF1080"/>
    <w:rsid w:val="00DF29CB"/>
    <w:rsid w:val="00DF3C4F"/>
    <w:rsid w:val="00DF4D64"/>
    <w:rsid w:val="00DF4D7E"/>
    <w:rsid w:val="00DF6000"/>
    <w:rsid w:val="00DF61F0"/>
    <w:rsid w:val="00DF6997"/>
    <w:rsid w:val="00DF6CFE"/>
    <w:rsid w:val="00DF7795"/>
    <w:rsid w:val="00DF78F9"/>
    <w:rsid w:val="00DF7E56"/>
    <w:rsid w:val="00DF7F4A"/>
    <w:rsid w:val="00DF7F6A"/>
    <w:rsid w:val="00E02119"/>
    <w:rsid w:val="00E02760"/>
    <w:rsid w:val="00E035F3"/>
    <w:rsid w:val="00E05816"/>
    <w:rsid w:val="00E06313"/>
    <w:rsid w:val="00E10194"/>
    <w:rsid w:val="00E10833"/>
    <w:rsid w:val="00E11DA9"/>
    <w:rsid w:val="00E12A34"/>
    <w:rsid w:val="00E13E99"/>
    <w:rsid w:val="00E154DB"/>
    <w:rsid w:val="00E15DC2"/>
    <w:rsid w:val="00E206BF"/>
    <w:rsid w:val="00E20B3A"/>
    <w:rsid w:val="00E21A00"/>
    <w:rsid w:val="00E21DBC"/>
    <w:rsid w:val="00E24A1A"/>
    <w:rsid w:val="00E25501"/>
    <w:rsid w:val="00E27BEB"/>
    <w:rsid w:val="00E30B87"/>
    <w:rsid w:val="00E32C20"/>
    <w:rsid w:val="00E32FA7"/>
    <w:rsid w:val="00E40FA9"/>
    <w:rsid w:val="00E414BA"/>
    <w:rsid w:val="00E41826"/>
    <w:rsid w:val="00E41B02"/>
    <w:rsid w:val="00E42011"/>
    <w:rsid w:val="00E422C1"/>
    <w:rsid w:val="00E42690"/>
    <w:rsid w:val="00E428C7"/>
    <w:rsid w:val="00E42AC6"/>
    <w:rsid w:val="00E44548"/>
    <w:rsid w:val="00E45BA8"/>
    <w:rsid w:val="00E467EC"/>
    <w:rsid w:val="00E46A3C"/>
    <w:rsid w:val="00E46B32"/>
    <w:rsid w:val="00E50825"/>
    <w:rsid w:val="00E522F1"/>
    <w:rsid w:val="00E53736"/>
    <w:rsid w:val="00E53D1C"/>
    <w:rsid w:val="00E53D99"/>
    <w:rsid w:val="00E55502"/>
    <w:rsid w:val="00E56399"/>
    <w:rsid w:val="00E56553"/>
    <w:rsid w:val="00E56AF3"/>
    <w:rsid w:val="00E6264D"/>
    <w:rsid w:val="00E63659"/>
    <w:rsid w:val="00E63A79"/>
    <w:rsid w:val="00E63F8E"/>
    <w:rsid w:val="00E667E4"/>
    <w:rsid w:val="00E6713B"/>
    <w:rsid w:val="00E673DD"/>
    <w:rsid w:val="00E70556"/>
    <w:rsid w:val="00E70A6E"/>
    <w:rsid w:val="00E72452"/>
    <w:rsid w:val="00E729B9"/>
    <w:rsid w:val="00E7408D"/>
    <w:rsid w:val="00E75E26"/>
    <w:rsid w:val="00E77DFD"/>
    <w:rsid w:val="00E808FA"/>
    <w:rsid w:val="00E814D5"/>
    <w:rsid w:val="00E81FDD"/>
    <w:rsid w:val="00E82695"/>
    <w:rsid w:val="00E84BD7"/>
    <w:rsid w:val="00E85307"/>
    <w:rsid w:val="00E857B2"/>
    <w:rsid w:val="00E8683B"/>
    <w:rsid w:val="00E87A74"/>
    <w:rsid w:val="00E9148F"/>
    <w:rsid w:val="00E91590"/>
    <w:rsid w:val="00E91BFE"/>
    <w:rsid w:val="00E92FF5"/>
    <w:rsid w:val="00E937B5"/>
    <w:rsid w:val="00E96D5D"/>
    <w:rsid w:val="00E97500"/>
    <w:rsid w:val="00EA02F1"/>
    <w:rsid w:val="00EA149B"/>
    <w:rsid w:val="00EA182C"/>
    <w:rsid w:val="00EA1EC6"/>
    <w:rsid w:val="00EA2BBE"/>
    <w:rsid w:val="00EA2C8B"/>
    <w:rsid w:val="00EA30EF"/>
    <w:rsid w:val="00EA3644"/>
    <w:rsid w:val="00EA45D5"/>
    <w:rsid w:val="00EA4B64"/>
    <w:rsid w:val="00EA4DD2"/>
    <w:rsid w:val="00EA4F28"/>
    <w:rsid w:val="00EA5B1D"/>
    <w:rsid w:val="00EA62D6"/>
    <w:rsid w:val="00EA77EE"/>
    <w:rsid w:val="00EB1455"/>
    <w:rsid w:val="00EB3146"/>
    <w:rsid w:val="00EB40A0"/>
    <w:rsid w:val="00EB48D6"/>
    <w:rsid w:val="00EB57EF"/>
    <w:rsid w:val="00EB6029"/>
    <w:rsid w:val="00EB6582"/>
    <w:rsid w:val="00EB6FB3"/>
    <w:rsid w:val="00EB7F9E"/>
    <w:rsid w:val="00EC047B"/>
    <w:rsid w:val="00EC20C0"/>
    <w:rsid w:val="00EC41E4"/>
    <w:rsid w:val="00EC4337"/>
    <w:rsid w:val="00EC4734"/>
    <w:rsid w:val="00EC610C"/>
    <w:rsid w:val="00EC64B1"/>
    <w:rsid w:val="00EC7852"/>
    <w:rsid w:val="00EC7C2C"/>
    <w:rsid w:val="00EC7C2E"/>
    <w:rsid w:val="00EC7FD4"/>
    <w:rsid w:val="00ED0CED"/>
    <w:rsid w:val="00ED100B"/>
    <w:rsid w:val="00ED1F11"/>
    <w:rsid w:val="00ED2848"/>
    <w:rsid w:val="00ED29CD"/>
    <w:rsid w:val="00ED31F5"/>
    <w:rsid w:val="00ED3FFF"/>
    <w:rsid w:val="00ED4CE3"/>
    <w:rsid w:val="00ED5F5A"/>
    <w:rsid w:val="00ED61FA"/>
    <w:rsid w:val="00EE0B67"/>
    <w:rsid w:val="00EE1116"/>
    <w:rsid w:val="00EE1896"/>
    <w:rsid w:val="00EE2C84"/>
    <w:rsid w:val="00EE2D07"/>
    <w:rsid w:val="00EE4684"/>
    <w:rsid w:val="00EE46EC"/>
    <w:rsid w:val="00EE4AD4"/>
    <w:rsid w:val="00EE4BA6"/>
    <w:rsid w:val="00EE4CA4"/>
    <w:rsid w:val="00EE6983"/>
    <w:rsid w:val="00EE6F26"/>
    <w:rsid w:val="00EE70A8"/>
    <w:rsid w:val="00EE7AEC"/>
    <w:rsid w:val="00EF0BA6"/>
    <w:rsid w:val="00EF0DA6"/>
    <w:rsid w:val="00EF1C60"/>
    <w:rsid w:val="00EF22B7"/>
    <w:rsid w:val="00EF280B"/>
    <w:rsid w:val="00EF3232"/>
    <w:rsid w:val="00EF39AD"/>
    <w:rsid w:val="00EF58F8"/>
    <w:rsid w:val="00EF60AC"/>
    <w:rsid w:val="00EF7052"/>
    <w:rsid w:val="00EF715A"/>
    <w:rsid w:val="00EF71AC"/>
    <w:rsid w:val="00F00B15"/>
    <w:rsid w:val="00F0252C"/>
    <w:rsid w:val="00F050B1"/>
    <w:rsid w:val="00F05E6E"/>
    <w:rsid w:val="00F07FE6"/>
    <w:rsid w:val="00F109D0"/>
    <w:rsid w:val="00F11392"/>
    <w:rsid w:val="00F12435"/>
    <w:rsid w:val="00F132D3"/>
    <w:rsid w:val="00F14113"/>
    <w:rsid w:val="00F1484D"/>
    <w:rsid w:val="00F172B0"/>
    <w:rsid w:val="00F17476"/>
    <w:rsid w:val="00F22756"/>
    <w:rsid w:val="00F2283B"/>
    <w:rsid w:val="00F2302F"/>
    <w:rsid w:val="00F23345"/>
    <w:rsid w:val="00F257E2"/>
    <w:rsid w:val="00F2585B"/>
    <w:rsid w:val="00F2660F"/>
    <w:rsid w:val="00F26B3B"/>
    <w:rsid w:val="00F27C18"/>
    <w:rsid w:val="00F336D7"/>
    <w:rsid w:val="00F33BB6"/>
    <w:rsid w:val="00F33CE2"/>
    <w:rsid w:val="00F34ACA"/>
    <w:rsid w:val="00F34D7E"/>
    <w:rsid w:val="00F36E7D"/>
    <w:rsid w:val="00F41074"/>
    <w:rsid w:val="00F411A9"/>
    <w:rsid w:val="00F41A08"/>
    <w:rsid w:val="00F42E54"/>
    <w:rsid w:val="00F4485C"/>
    <w:rsid w:val="00F4577A"/>
    <w:rsid w:val="00F46CA3"/>
    <w:rsid w:val="00F47A2F"/>
    <w:rsid w:val="00F50B75"/>
    <w:rsid w:val="00F50BD6"/>
    <w:rsid w:val="00F50D2A"/>
    <w:rsid w:val="00F5152F"/>
    <w:rsid w:val="00F51906"/>
    <w:rsid w:val="00F51BF8"/>
    <w:rsid w:val="00F51FFD"/>
    <w:rsid w:val="00F52DC2"/>
    <w:rsid w:val="00F53939"/>
    <w:rsid w:val="00F53FF1"/>
    <w:rsid w:val="00F54EDB"/>
    <w:rsid w:val="00F55186"/>
    <w:rsid w:val="00F5559D"/>
    <w:rsid w:val="00F5589A"/>
    <w:rsid w:val="00F55F4C"/>
    <w:rsid w:val="00F56072"/>
    <w:rsid w:val="00F56F8E"/>
    <w:rsid w:val="00F61B8D"/>
    <w:rsid w:val="00F62C8F"/>
    <w:rsid w:val="00F64E1B"/>
    <w:rsid w:val="00F65224"/>
    <w:rsid w:val="00F6560E"/>
    <w:rsid w:val="00F662A4"/>
    <w:rsid w:val="00F67068"/>
    <w:rsid w:val="00F67624"/>
    <w:rsid w:val="00F726BE"/>
    <w:rsid w:val="00F74247"/>
    <w:rsid w:val="00F747B7"/>
    <w:rsid w:val="00F74FE7"/>
    <w:rsid w:val="00F761BE"/>
    <w:rsid w:val="00F76264"/>
    <w:rsid w:val="00F76F8C"/>
    <w:rsid w:val="00F7723B"/>
    <w:rsid w:val="00F77FC7"/>
    <w:rsid w:val="00F816E4"/>
    <w:rsid w:val="00F82008"/>
    <w:rsid w:val="00F832A0"/>
    <w:rsid w:val="00F838A3"/>
    <w:rsid w:val="00F8509B"/>
    <w:rsid w:val="00F876C9"/>
    <w:rsid w:val="00F8789A"/>
    <w:rsid w:val="00F87ADF"/>
    <w:rsid w:val="00F902CC"/>
    <w:rsid w:val="00F90E38"/>
    <w:rsid w:val="00F917B6"/>
    <w:rsid w:val="00F91D06"/>
    <w:rsid w:val="00F92389"/>
    <w:rsid w:val="00F92962"/>
    <w:rsid w:val="00F95313"/>
    <w:rsid w:val="00F9535C"/>
    <w:rsid w:val="00F95A69"/>
    <w:rsid w:val="00F95D7C"/>
    <w:rsid w:val="00F966E1"/>
    <w:rsid w:val="00F96934"/>
    <w:rsid w:val="00F96935"/>
    <w:rsid w:val="00F9752B"/>
    <w:rsid w:val="00F9778A"/>
    <w:rsid w:val="00FA0283"/>
    <w:rsid w:val="00FA0706"/>
    <w:rsid w:val="00FA098F"/>
    <w:rsid w:val="00FA0A95"/>
    <w:rsid w:val="00FA17DA"/>
    <w:rsid w:val="00FA1A05"/>
    <w:rsid w:val="00FA23C8"/>
    <w:rsid w:val="00FA2FA9"/>
    <w:rsid w:val="00FA3937"/>
    <w:rsid w:val="00FA4C37"/>
    <w:rsid w:val="00FA57A1"/>
    <w:rsid w:val="00FA64BD"/>
    <w:rsid w:val="00FA6D19"/>
    <w:rsid w:val="00FB1813"/>
    <w:rsid w:val="00FB24D2"/>
    <w:rsid w:val="00FB3F66"/>
    <w:rsid w:val="00FB410B"/>
    <w:rsid w:val="00FB475E"/>
    <w:rsid w:val="00FB4EF6"/>
    <w:rsid w:val="00FB65C5"/>
    <w:rsid w:val="00FC0C4F"/>
    <w:rsid w:val="00FC2EFC"/>
    <w:rsid w:val="00FC397B"/>
    <w:rsid w:val="00FC4146"/>
    <w:rsid w:val="00FC45C2"/>
    <w:rsid w:val="00FC471C"/>
    <w:rsid w:val="00FC4C6B"/>
    <w:rsid w:val="00FC595C"/>
    <w:rsid w:val="00FC5C54"/>
    <w:rsid w:val="00FC5E44"/>
    <w:rsid w:val="00FC72E2"/>
    <w:rsid w:val="00FD053C"/>
    <w:rsid w:val="00FD079B"/>
    <w:rsid w:val="00FD1A0B"/>
    <w:rsid w:val="00FD2326"/>
    <w:rsid w:val="00FD2701"/>
    <w:rsid w:val="00FD2C7F"/>
    <w:rsid w:val="00FD3D05"/>
    <w:rsid w:val="00FD4A2B"/>
    <w:rsid w:val="00FD50DD"/>
    <w:rsid w:val="00FD60F5"/>
    <w:rsid w:val="00FE12AD"/>
    <w:rsid w:val="00FE233D"/>
    <w:rsid w:val="00FE3A09"/>
    <w:rsid w:val="00FE3E2F"/>
    <w:rsid w:val="00FE50CD"/>
    <w:rsid w:val="00FE6A71"/>
    <w:rsid w:val="00FE7EFB"/>
    <w:rsid w:val="00FF038C"/>
    <w:rsid w:val="00FF15E8"/>
    <w:rsid w:val="00FF23C7"/>
    <w:rsid w:val="00FF2D94"/>
    <w:rsid w:val="00FF5555"/>
    <w:rsid w:val="00FF58E9"/>
    <w:rsid w:val="00FF7870"/>
    <w:rsid w:val="00FF7B89"/>
    <w:rsid w:val="00FF7D9A"/>
    <w:rsid w:val="00FF7F02"/>
    <w:rsid w:val="0225F8E3"/>
    <w:rsid w:val="02629CEE"/>
    <w:rsid w:val="02FA2C98"/>
    <w:rsid w:val="04E8DAD1"/>
    <w:rsid w:val="0C4B0A87"/>
    <w:rsid w:val="0D37C65D"/>
    <w:rsid w:val="0F12C8EA"/>
    <w:rsid w:val="12E84AEA"/>
    <w:rsid w:val="134C556D"/>
    <w:rsid w:val="16557BD1"/>
    <w:rsid w:val="16F31775"/>
    <w:rsid w:val="18CDDD3D"/>
    <w:rsid w:val="190A013D"/>
    <w:rsid w:val="191269DD"/>
    <w:rsid w:val="1C0CACAE"/>
    <w:rsid w:val="1D417054"/>
    <w:rsid w:val="2517ADA5"/>
    <w:rsid w:val="2522DCC6"/>
    <w:rsid w:val="2A992915"/>
    <w:rsid w:val="36453DFF"/>
    <w:rsid w:val="370D0B04"/>
    <w:rsid w:val="383D2287"/>
    <w:rsid w:val="392F6EE2"/>
    <w:rsid w:val="409819B5"/>
    <w:rsid w:val="42F4F3C6"/>
    <w:rsid w:val="45313A7A"/>
    <w:rsid w:val="48F28EDF"/>
    <w:rsid w:val="48F883C0"/>
    <w:rsid w:val="4CFDBB03"/>
    <w:rsid w:val="4DA813FB"/>
    <w:rsid w:val="50541E62"/>
    <w:rsid w:val="57928F1B"/>
    <w:rsid w:val="588E4AD5"/>
    <w:rsid w:val="5AEE295F"/>
    <w:rsid w:val="5BD989D7"/>
    <w:rsid w:val="5C1CE1B4"/>
    <w:rsid w:val="5C678CC1"/>
    <w:rsid w:val="5DF656C8"/>
    <w:rsid w:val="5F95BE92"/>
    <w:rsid w:val="645C900F"/>
    <w:rsid w:val="658E162C"/>
    <w:rsid w:val="6E013FCD"/>
    <w:rsid w:val="6E4D36C1"/>
    <w:rsid w:val="6EEB73FA"/>
    <w:rsid w:val="723203EA"/>
    <w:rsid w:val="735A20CE"/>
    <w:rsid w:val="768FABCB"/>
    <w:rsid w:val="76E3FF3D"/>
    <w:rsid w:val="7810031B"/>
    <w:rsid w:val="79C2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56F365"/>
  <w15:docId w15:val="{5FEF4753-8361-4BC7-94AF-1D98DC0D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FB8"/>
  </w:style>
  <w:style w:type="paragraph" w:styleId="Nadpis1">
    <w:name w:val="heading 1"/>
    <w:basedOn w:val="Normln"/>
    <w:next w:val="Normln"/>
    <w:link w:val="Nadpis1Char"/>
    <w:uiPriority w:val="9"/>
    <w:qFormat/>
    <w:rsid w:val="00070FB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dpis2">
    <w:name w:val="heading 2"/>
    <w:basedOn w:val="Normln"/>
    <w:next w:val="Normln"/>
    <w:link w:val="Nadpis2Char"/>
    <w:uiPriority w:val="9"/>
    <w:unhideWhenUsed/>
    <w:qFormat/>
    <w:rsid w:val="00070FB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dpis3">
    <w:name w:val="heading 3"/>
    <w:basedOn w:val="Normln"/>
    <w:next w:val="Normln"/>
    <w:link w:val="Nadpis3Char"/>
    <w:uiPriority w:val="9"/>
    <w:unhideWhenUsed/>
    <w:qFormat/>
    <w:rsid w:val="00070FB8"/>
    <w:pPr>
      <w:pBdr>
        <w:top w:val="single" w:sz="6" w:space="2" w:color="4F81BD" w:themeColor="accent1"/>
      </w:pBdr>
      <w:spacing w:before="300" w:after="0"/>
      <w:outlineLvl w:val="2"/>
    </w:pPr>
    <w:rPr>
      <w:caps/>
      <w:color w:val="243F60" w:themeColor="accent1" w:themeShade="7F"/>
      <w:spacing w:val="15"/>
    </w:rPr>
  </w:style>
  <w:style w:type="paragraph" w:styleId="Nadpis4">
    <w:name w:val="heading 4"/>
    <w:basedOn w:val="Normln"/>
    <w:next w:val="Normln"/>
    <w:link w:val="Nadpis4Char"/>
    <w:uiPriority w:val="9"/>
    <w:unhideWhenUsed/>
    <w:qFormat/>
    <w:rsid w:val="00070FB8"/>
    <w:pPr>
      <w:pBdr>
        <w:top w:val="dotted" w:sz="6" w:space="2" w:color="4F81BD" w:themeColor="accent1"/>
      </w:pBdr>
      <w:spacing w:before="200" w:after="0"/>
      <w:outlineLvl w:val="3"/>
    </w:pPr>
    <w:rPr>
      <w:caps/>
      <w:color w:val="365F91" w:themeColor="accent1" w:themeShade="BF"/>
      <w:spacing w:val="10"/>
    </w:rPr>
  </w:style>
  <w:style w:type="paragraph" w:styleId="Nadpis5">
    <w:name w:val="heading 5"/>
    <w:basedOn w:val="Normln"/>
    <w:next w:val="Normln"/>
    <w:link w:val="Nadpis5Char"/>
    <w:uiPriority w:val="9"/>
    <w:semiHidden/>
    <w:unhideWhenUsed/>
    <w:qFormat/>
    <w:rsid w:val="00070FB8"/>
    <w:pPr>
      <w:pBdr>
        <w:bottom w:val="single" w:sz="6" w:space="1" w:color="4F81BD" w:themeColor="accent1"/>
      </w:pBdr>
      <w:spacing w:before="200" w:after="0"/>
      <w:outlineLvl w:val="4"/>
    </w:pPr>
    <w:rPr>
      <w:caps/>
      <w:color w:val="365F91" w:themeColor="accent1" w:themeShade="BF"/>
      <w:spacing w:val="10"/>
    </w:rPr>
  </w:style>
  <w:style w:type="paragraph" w:styleId="Nadpis6">
    <w:name w:val="heading 6"/>
    <w:basedOn w:val="Normln"/>
    <w:next w:val="Normln"/>
    <w:link w:val="Nadpis6Char"/>
    <w:uiPriority w:val="9"/>
    <w:semiHidden/>
    <w:unhideWhenUsed/>
    <w:qFormat/>
    <w:rsid w:val="00070FB8"/>
    <w:pPr>
      <w:pBdr>
        <w:bottom w:val="dotted" w:sz="6" w:space="1" w:color="4F81BD" w:themeColor="accent1"/>
      </w:pBdr>
      <w:spacing w:before="200" w:after="0"/>
      <w:outlineLvl w:val="5"/>
    </w:pPr>
    <w:rPr>
      <w:caps/>
      <w:color w:val="365F91" w:themeColor="accent1" w:themeShade="BF"/>
      <w:spacing w:val="10"/>
    </w:rPr>
  </w:style>
  <w:style w:type="paragraph" w:styleId="Nadpis7">
    <w:name w:val="heading 7"/>
    <w:basedOn w:val="Normln"/>
    <w:next w:val="Normln"/>
    <w:link w:val="Nadpis7Char"/>
    <w:uiPriority w:val="9"/>
    <w:semiHidden/>
    <w:unhideWhenUsed/>
    <w:qFormat/>
    <w:rsid w:val="00070FB8"/>
    <w:pPr>
      <w:spacing w:before="200" w:after="0"/>
      <w:outlineLvl w:val="6"/>
    </w:pPr>
    <w:rPr>
      <w:caps/>
      <w:color w:val="365F91" w:themeColor="accent1" w:themeShade="BF"/>
      <w:spacing w:val="10"/>
    </w:rPr>
  </w:style>
  <w:style w:type="paragraph" w:styleId="Nadpis8">
    <w:name w:val="heading 8"/>
    <w:basedOn w:val="Normln"/>
    <w:next w:val="Normln"/>
    <w:link w:val="Nadpis8Char"/>
    <w:uiPriority w:val="9"/>
    <w:semiHidden/>
    <w:unhideWhenUsed/>
    <w:qFormat/>
    <w:rsid w:val="00070FB8"/>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070FB8"/>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B7670E"/>
  </w:style>
  <w:style w:type="character" w:customStyle="1" w:styleId="TextpoznpodarouChar">
    <w:name w:val="Text pozn. pod čarou Char"/>
    <w:link w:val="Textpoznpodarou"/>
    <w:uiPriority w:val="99"/>
    <w:rsid w:val="00B7670E"/>
    <w:rPr>
      <w:lang w:val="cs-CZ"/>
    </w:rPr>
  </w:style>
  <w:style w:type="character" w:styleId="Znakapoznpodarou">
    <w:name w:val="footnote reference"/>
    <w:aliases w:val="PGI Fußnote Ziffer,BVI fnr,Footnote symbol"/>
    <w:uiPriority w:val="99"/>
    <w:rsid w:val="00B7670E"/>
    <w:rPr>
      <w:vertAlign w:val="superscript"/>
    </w:rPr>
  </w:style>
  <w:style w:type="character" w:styleId="Hypertextovodkaz">
    <w:name w:val="Hyperlink"/>
    <w:uiPriority w:val="99"/>
    <w:unhideWhenUsed/>
    <w:rsid w:val="008A0036"/>
    <w:rPr>
      <w:color w:val="0000FF"/>
      <w:u w:val="single"/>
    </w:rPr>
  </w:style>
  <w:style w:type="character" w:styleId="Odkaznakoment">
    <w:name w:val="annotation reference"/>
    <w:uiPriority w:val="99"/>
    <w:unhideWhenUsed/>
    <w:rsid w:val="00036A16"/>
    <w:rPr>
      <w:sz w:val="16"/>
      <w:szCs w:val="16"/>
    </w:rPr>
  </w:style>
  <w:style w:type="paragraph" w:styleId="Textkomente">
    <w:name w:val="annotation text"/>
    <w:basedOn w:val="Normln"/>
    <w:link w:val="TextkomenteChar"/>
    <w:unhideWhenUsed/>
    <w:rsid w:val="00036A16"/>
  </w:style>
  <w:style w:type="character" w:customStyle="1" w:styleId="TextkomenteChar">
    <w:name w:val="Text komentáře Char"/>
    <w:link w:val="Textkomente"/>
    <w:rsid w:val="00036A16"/>
    <w:rPr>
      <w:lang w:eastAsia="en-US"/>
    </w:rPr>
  </w:style>
  <w:style w:type="paragraph" w:styleId="Pedmtkomente">
    <w:name w:val="annotation subject"/>
    <w:basedOn w:val="Textkomente"/>
    <w:next w:val="Textkomente"/>
    <w:link w:val="PedmtkomenteChar"/>
    <w:uiPriority w:val="99"/>
    <w:semiHidden/>
    <w:unhideWhenUsed/>
    <w:rsid w:val="00036A16"/>
    <w:rPr>
      <w:b/>
      <w:bCs/>
    </w:rPr>
  </w:style>
  <w:style w:type="character" w:customStyle="1" w:styleId="PedmtkomenteChar">
    <w:name w:val="Předmět komentáře Char"/>
    <w:link w:val="Pedmtkomente"/>
    <w:uiPriority w:val="99"/>
    <w:semiHidden/>
    <w:rsid w:val="00036A16"/>
    <w:rPr>
      <w:b/>
      <w:bCs/>
      <w:lang w:eastAsia="en-US"/>
    </w:rPr>
  </w:style>
  <w:style w:type="paragraph" w:styleId="Textbubliny">
    <w:name w:val="Balloon Text"/>
    <w:basedOn w:val="Normln"/>
    <w:link w:val="TextbublinyChar"/>
    <w:uiPriority w:val="99"/>
    <w:semiHidden/>
    <w:unhideWhenUsed/>
    <w:rsid w:val="00036A1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36A16"/>
    <w:rPr>
      <w:rFonts w:ascii="Tahoma" w:hAnsi="Tahoma" w:cs="Tahoma"/>
      <w:sz w:val="16"/>
      <w:szCs w:val="16"/>
      <w:lang w:eastAsia="en-US"/>
    </w:rPr>
  </w:style>
  <w:style w:type="paragraph" w:styleId="Zhlav">
    <w:name w:val="header"/>
    <w:basedOn w:val="Normln"/>
    <w:link w:val="ZhlavChar"/>
    <w:uiPriority w:val="99"/>
    <w:unhideWhenUsed/>
    <w:rsid w:val="00A7273E"/>
    <w:pPr>
      <w:tabs>
        <w:tab w:val="center" w:pos="4703"/>
        <w:tab w:val="right" w:pos="9406"/>
      </w:tabs>
    </w:pPr>
  </w:style>
  <w:style w:type="character" w:customStyle="1" w:styleId="ZhlavChar">
    <w:name w:val="Záhlaví Char"/>
    <w:link w:val="Zhlav"/>
    <w:uiPriority w:val="99"/>
    <w:rsid w:val="00A7273E"/>
    <w:rPr>
      <w:sz w:val="22"/>
      <w:szCs w:val="22"/>
      <w:lang w:val="cs-CZ"/>
    </w:rPr>
  </w:style>
  <w:style w:type="paragraph" w:styleId="Zpat">
    <w:name w:val="footer"/>
    <w:basedOn w:val="Normln"/>
    <w:link w:val="ZpatChar"/>
    <w:uiPriority w:val="99"/>
    <w:unhideWhenUsed/>
    <w:rsid w:val="00A7273E"/>
    <w:pPr>
      <w:tabs>
        <w:tab w:val="center" w:pos="4703"/>
        <w:tab w:val="right" w:pos="9406"/>
      </w:tabs>
    </w:pPr>
  </w:style>
  <w:style w:type="character" w:customStyle="1" w:styleId="ZpatChar">
    <w:name w:val="Zápatí Char"/>
    <w:link w:val="Zpat"/>
    <w:uiPriority w:val="99"/>
    <w:rsid w:val="00A7273E"/>
    <w:rPr>
      <w:sz w:val="22"/>
      <w:szCs w:val="22"/>
      <w:lang w:val="cs-CZ"/>
    </w:rPr>
  </w:style>
  <w:style w:type="character" w:customStyle="1" w:styleId="Nadpis1Char">
    <w:name w:val="Nadpis 1 Char"/>
    <w:basedOn w:val="Standardnpsmoodstavce"/>
    <w:link w:val="Nadpis1"/>
    <w:uiPriority w:val="9"/>
    <w:rsid w:val="00070FB8"/>
    <w:rPr>
      <w:caps/>
      <w:color w:val="FFFFFF" w:themeColor="background1"/>
      <w:spacing w:val="15"/>
      <w:sz w:val="22"/>
      <w:szCs w:val="22"/>
      <w:shd w:val="clear" w:color="auto" w:fill="4F81BD" w:themeFill="accent1"/>
    </w:rPr>
  </w:style>
  <w:style w:type="character" w:customStyle="1" w:styleId="Nadpis2Char">
    <w:name w:val="Nadpis 2 Char"/>
    <w:basedOn w:val="Standardnpsmoodstavce"/>
    <w:link w:val="Nadpis2"/>
    <w:uiPriority w:val="9"/>
    <w:rsid w:val="00070FB8"/>
    <w:rPr>
      <w:caps/>
      <w:spacing w:val="15"/>
      <w:shd w:val="clear" w:color="auto" w:fill="DBE5F1" w:themeFill="accent1" w:themeFillTint="33"/>
    </w:rPr>
  </w:style>
  <w:style w:type="character" w:customStyle="1" w:styleId="Nadpis3Char">
    <w:name w:val="Nadpis 3 Char"/>
    <w:basedOn w:val="Standardnpsmoodstavce"/>
    <w:link w:val="Nadpis3"/>
    <w:uiPriority w:val="9"/>
    <w:rsid w:val="00070FB8"/>
    <w:rPr>
      <w:caps/>
      <w:color w:val="243F60" w:themeColor="accent1" w:themeShade="7F"/>
      <w:spacing w:val="15"/>
    </w:rPr>
  </w:style>
  <w:style w:type="paragraph" w:styleId="Odstavecseseznamem">
    <w:name w:val="List Paragraph"/>
    <w:basedOn w:val="Normln"/>
    <w:uiPriority w:val="34"/>
    <w:qFormat/>
    <w:rsid w:val="00C14820"/>
    <w:pPr>
      <w:ind w:left="720"/>
      <w:contextualSpacing/>
    </w:pPr>
  </w:style>
  <w:style w:type="table" w:styleId="Mkatabulky">
    <w:name w:val="Table Grid"/>
    <w:basedOn w:val="Normlntabulka"/>
    <w:uiPriority w:val="59"/>
    <w:rsid w:val="00F8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070FB8"/>
    <w:pPr>
      <w:outlineLvl w:val="9"/>
    </w:pPr>
  </w:style>
  <w:style w:type="paragraph" w:styleId="Obsah1">
    <w:name w:val="toc 1"/>
    <w:basedOn w:val="Normln"/>
    <w:next w:val="Normln"/>
    <w:autoRedefine/>
    <w:uiPriority w:val="39"/>
    <w:unhideWhenUsed/>
    <w:rsid w:val="0045628F"/>
    <w:pPr>
      <w:spacing w:after="100"/>
    </w:pPr>
  </w:style>
  <w:style w:type="paragraph" w:styleId="Obsah2">
    <w:name w:val="toc 2"/>
    <w:basedOn w:val="Normln"/>
    <w:next w:val="Normln"/>
    <w:autoRedefine/>
    <w:uiPriority w:val="39"/>
    <w:unhideWhenUsed/>
    <w:rsid w:val="0045628F"/>
    <w:pPr>
      <w:spacing w:after="100"/>
      <w:ind w:left="220"/>
    </w:pPr>
  </w:style>
  <w:style w:type="paragraph" w:styleId="Obsah3">
    <w:name w:val="toc 3"/>
    <w:basedOn w:val="Normln"/>
    <w:next w:val="Normln"/>
    <w:autoRedefine/>
    <w:uiPriority w:val="39"/>
    <w:unhideWhenUsed/>
    <w:rsid w:val="0045628F"/>
    <w:pPr>
      <w:spacing w:after="100"/>
      <w:ind w:left="440"/>
    </w:pPr>
  </w:style>
  <w:style w:type="paragraph" w:customStyle="1" w:styleId="UKZKA">
    <w:name w:val="UKÁZKA"/>
    <w:basedOn w:val="Normln"/>
    <w:rsid w:val="0041247A"/>
    <w:rPr>
      <w:b/>
      <w:sz w:val="24"/>
      <w:szCs w:val="24"/>
    </w:rPr>
  </w:style>
  <w:style w:type="paragraph" w:styleId="Seznamobrzk">
    <w:name w:val="table of figures"/>
    <w:basedOn w:val="UKZKA"/>
    <w:next w:val="Normln"/>
    <w:uiPriority w:val="99"/>
    <w:unhideWhenUsed/>
    <w:rsid w:val="006B0C1D"/>
    <w:pPr>
      <w:spacing w:after="0"/>
    </w:pPr>
  </w:style>
  <w:style w:type="paragraph" w:styleId="Revize">
    <w:name w:val="Revision"/>
    <w:hidden/>
    <w:uiPriority w:val="99"/>
    <w:semiHidden/>
    <w:rsid w:val="00231361"/>
    <w:rPr>
      <w:sz w:val="22"/>
      <w:szCs w:val="22"/>
      <w:lang w:val="cs-CZ"/>
    </w:rPr>
  </w:style>
  <w:style w:type="character" w:customStyle="1" w:styleId="apple-converted-space">
    <w:name w:val="apple-converted-space"/>
    <w:basedOn w:val="Standardnpsmoodstavce"/>
    <w:rsid w:val="00150FDD"/>
  </w:style>
  <w:style w:type="character" w:styleId="Siln">
    <w:name w:val="Strong"/>
    <w:uiPriority w:val="22"/>
    <w:qFormat/>
    <w:rsid w:val="00070FB8"/>
    <w:rPr>
      <w:b/>
      <w:bCs/>
    </w:rPr>
  </w:style>
  <w:style w:type="character" w:styleId="Sledovanodkaz">
    <w:name w:val="FollowedHyperlink"/>
    <w:basedOn w:val="Standardnpsmoodstavce"/>
    <w:uiPriority w:val="99"/>
    <w:semiHidden/>
    <w:unhideWhenUsed/>
    <w:rsid w:val="00583C42"/>
    <w:rPr>
      <w:color w:val="800080" w:themeColor="followedHyperlink"/>
      <w:u w:val="single"/>
    </w:rPr>
  </w:style>
  <w:style w:type="paragraph" w:styleId="slovanseznam">
    <w:name w:val="List Number"/>
    <w:basedOn w:val="Normln"/>
    <w:rsid w:val="00222121"/>
    <w:pPr>
      <w:numPr>
        <w:numId w:val="1"/>
      </w:numPr>
      <w:spacing w:after="240" w:line="240" w:lineRule="auto"/>
      <w:jc w:val="both"/>
    </w:pPr>
    <w:rPr>
      <w:rFonts w:ascii="Times New Roman" w:eastAsia="Times New Roman" w:hAnsi="Times New Roman"/>
      <w:sz w:val="24"/>
      <w:lang w:val="en-GB"/>
    </w:rPr>
  </w:style>
  <w:style w:type="paragraph" w:customStyle="1" w:styleId="ListNumberLevel2">
    <w:name w:val="List Number (Level 2)"/>
    <w:basedOn w:val="Normln"/>
    <w:rsid w:val="00222121"/>
    <w:pPr>
      <w:numPr>
        <w:ilvl w:val="1"/>
        <w:numId w:val="1"/>
      </w:numPr>
      <w:spacing w:after="240" w:line="240" w:lineRule="auto"/>
      <w:jc w:val="both"/>
    </w:pPr>
    <w:rPr>
      <w:rFonts w:ascii="Times New Roman" w:eastAsia="Times New Roman" w:hAnsi="Times New Roman"/>
      <w:sz w:val="24"/>
      <w:lang w:val="en-GB"/>
    </w:rPr>
  </w:style>
  <w:style w:type="paragraph" w:customStyle="1" w:styleId="ListNumberLevel3">
    <w:name w:val="List Number (Level 3)"/>
    <w:basedOn w:val="Normln"/>
    <w:rsid w:val="00222121"/>
    <w:pPr>
      <w:numPr>
        <w:ilvl w:val="2"/>
        <w:numId w:val="1"/>
      </w:numPr>
      <w:spacing w:after="240" w:line="240" w:lineRule="auto"/>
      <w:jc w:val="both"/>
    </w:pPr>
    <w:rPr>
      <w:rFonts w:ascii="Times New Roman" w:eastAsia="Times New Roman" w:hAnsi="Times New Roman"/>
      <w:sz w:val="24"/>
      <w:lang w:val="en-GB"/>
    </w:rPr>
  </w:style>
  <w:style w:type="paragraph" w:customStyle="1" w:styleId="ListNumberLevel4">
    <w:name w:val="List Number (Level 4)"/>
    <w:basedOn w:val="Normln"/>
    <w:rsid w:val="00222121"/>
    <w:pPr>
      <w:numPr>
        <w:ilvl w:val="3"/>
        <w:numId w:val="1"/>
      </w:numPr>
      <w:spacing w:after="240" w:line="240" w:lineRule="auto"/>
      <w:jc w:val="both"/>
    </w:pPr>
    <w:rPr>
      <w:rFonts w:ascii="Times New Roman" w:eastAsia="Times New Roman" w:hAnsi="Times New Roman"/>
      <w:sz w:val="24"/>
      <w:lang w:val="en-GB"/>
    </w:rPr>
  </w:style>
  <w:style w:type="paragraph" w:styleId="FormtovanvHTML">
    <w:name w:val="HTML Preformatted"/>
    <w:basedOn w:val="Normln"/>
    <w:link w:val="FormtovanvHTMLChar"/>
    <w:uiPriority w:val="99"/>
    <w:semiHidden/>
    <w:unhideWhenUsed/>
    <w:rsid w:val="00222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cs-CZ"/>
    </w:rPr>
  </w:style>
  <w:style w:type="character" w:customStyle="1" w:styleId="FormtovanvHTMLChar">
    <w:name w:val="Formátovaný v HTML Char"/>
    <w:basedOn w:val="Standardnpsmoodstavce"/>
    <w:link w:val="FormtovanvHTML"/>
    <w:uiPriority w:val="99"/>
    <w:semiHidden/>
    <w:rsid w:val="00222121"/>
    <w:rPr>
      <w:rFonts w:ascii="Courier New" w:eastAsia="Times New Roman" w:hAnsi="Courier New" w:cs="Courier New"/>
      <w:lang w:val="cs-CZ" w:eastAsia="cs-CZ"/>
    </w:rPr>
  </w:style>
  <w:style w:type="paragraph" w:customStyle="1" w:styleId="AddressTL">
    <w:name w:val="AddressTL"/>
    <w:basedOn w:val="Normln"/>
    <w:next w:val="Normln"/>
    <w:rsid w:val="00222121"/>
    <w:pPr>
      <w:spacing w:after="720" w:line="240" w:lineRule="auto"/>
    </w:pPr>
    <w:rPr>
      <w:rFonts w:ascii="Times New Roman" w:eastAsia="Times New Roman" w:hAnsi="Times New Roman"/>
      <w:sz w:val="24"/>
      <w:lang w:val="en-GB"/>
    </w:rPr>
  </w:style>
  <w:style w:type="character" w:customStyle="1" w:styleId="Nadpis4Char">
    <w:name w:val="Nadpis 4 Char"/>
    <w:basedOn w:val="Standardnpsmoodstavce"/>
    <w:link w:val="Nadpis4"/>
    <w:uiPriority w:val="9"/>
    <w:rsid w:val="00070FB8"/>
    <w:rPr>
      <w:caps/>
      <w:color w:val="365F91" w:themeColor="accent1" w:themeShade="BF"/>
      <w:spacing w:val="10"/>
    </w:rPr>
  </w:style>
  <w:style w:type="paragraph" w:styleId="Zkladntext">
    <w:name w:val="Body Text"/>
    <w:basedOn w:val="Normln"/>
    <w:link w:val="ZkladntextChar"/>
    <w:uiPriority w:val="1"/>
    <w:rsid w:val="00E05816"/>
    <w:pPr>
      <w:widowControl w:val="0"/>
      <w:spacing w:after="0" w:line="240" w:lineRule="auto"/>
      <w:ind w:left="115"/>
    </w:pPr>
  </w:style>
  <w:style w:type="character" w:customStyle="1" w:styleId="ZkladntextChar">
    <w:name w:val="Základní text Char"/>
    <w:basedOn w:val="Standardnpsmoodstavce"/>
    <w:link w:val="Zkladntext"/>
    <w:uiPriority w:val="1"/>
    <w:rsid w:val="00E05816"/>
    <w:rPr>
      <w:rFonts w:cstheme="minorBidi"/>
      <w:sz w:val="22"/>
      <w:szCs w:val="22"/>
    </w:rPr>
  </w:style>
  <w:style w:type="paragraph" w:customStyle="1" w:styleId="TableParagraph">
    <w:name w:val="Table Paragraph"/>
    <w:basedOn w:val="Normln"/>
    <w:uiPriority w:val="1"/>
    <w:rsid w:val="00E05816"/>
    <w:pPr>
      <w:widowControl w:val="0"/>
      <w:spacing w:after="0" w:line="240" w:lineRule="auto"/>
    </w:pPr>
    <w:rPr>
      <w:rFonts w:eastAsiaTheme="minorHAnsi"/>
    </w:rPr>
  </w:style>
  <w:style w:type="numbering" w:customStyle="1" w:styleId="Bezseznamu1">
    <w:name w:val="Bez seznamu1"/>
    <w:next w:val="Bezseznamu"/>
    <w:uiPriority w:val="99"/>
    <w:semiHidden/>
    <w:unhideWhenUsed/>
    <w:rsid w:val="00D039A8"/>
  </w:style>
  <w:style w:type="table" w:customStyle="1" w:styleId="TableNormal1">
    <w:name w:val="Table Normal1"/>
    <w:uiPriority w:val="2"/>
    <w:semiHidden/>
    <w:unhideWhenUsed/>
    <w:qFormat/>
    <w:rsid w:val="00D039A8"/>
    <w:pPr>
      <w:widowControl w:val="0"/>
    </w:pPr>
    <w:rPr>
      <w:sz w:val="22"/>
      <w:szCs w:val="22"/>
    </w:rPr>
    <w:tblPr>
      <w:tblInd w:w="0" w:type="dxa"/>
      <w:tblCellMar>
        <w:top w:w="0" w:type="dxa"/>
        <w:left w:w="0" w:type="dxa"/>
        <w:bottom w:w="0" w:type="dxa"/>
        <w:right w:w="0" w:type="dxa"/>
      </w:tblCellMar>
    </w:tblPr>
  </w:style>
  <w:style w:type="paragraph" w:styleId="Normlnweb">
    <w:name w:val="Normal (Web)"/>
    <w:basedOn w:val="Normln"/>
    <w:uiPriority w:val="99"/>
    <w:semiHidden/>
    <w:unhideWhenUsed/>
    <w:rsid w:val="00704624"/>
    <w:pPr>
      <w:spacing w:beforeAutospacing="1" w:after="100" w:afterAutospacing="1" w:line="240" w:lineRule="auto"/>
    </w:pPr>
    <w:rPr>
      <w:rFonts w:ascii="Times New Roman" w:eastAsiaTheme="minorHAnsi" w:hAnsi="Times New Roman"/>
      <w:sz w:val="24"/>
      <w:szCs w:val="24"/>
      <w:lang w:eastAsia="cs-CZ"/>
    </w:rPr>
  </w:style>
  <w:style w:type="paragraph" w:customStyle="1" w:styleId="Ploha">
    <w:name w:val="Příloha"/>
    <w:basedOn w:val="Nadpis1"/>
    <w:rsid w:val="003443A6"/>
    <w:pPr>
      <w:jc w:val="both"/>
    </w:pPr>
    <w:rPr>
      <w:caps w:val="0"/>
    </w:rPr>
  </w:style>
  <w:style w:type="table" w:styleId="Svtlseznamzvraznn4">
    <w:name w:val="Light List Accent 4"/>
    <w:basedOn w:val="Normlntabulka"/>
    <w:uiPriority w:val="61"/>
    <w:rsid w:val="004009E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tednstnovn1zvraznn4">
    <w:name w:val="Medium Shading 1 Accent 4"/>
    <w:basedOn w:val="Normlntabulka"/>
    <w:uiPriority w:val="63"/>
    <w:rsid w:val="004009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Nevyeenzmnka1">
    <w:name w:val="Nevyřešená zmínka1"/>
    <w:basedOn w:val="Standardnpsmoodstavce"/>
    <w:uiPriority w:val="99"/>
    <w:semiHidden/>
    <w:unhideWhenUsed/>
    <w:rsid w:val="00170B9D"/>
    <w:rPr>
      <w:color w:val="605E5C"/>
      <w:shd w:val="clear" w:color="auto" w:fill="E1DFDD"/>
    </w:rPr>
  </w:style>
  <w:style w:type="table" w:customStyle="1" w:styleId="Stednstnovn1zvraznn41">
    <w:name w:val="Střední stínování 1 – zvýraznění 41"/>
    <w:basedOn w:val="Normlntabulka"/>
    <w:next w:val="Stednstnovn1zvraznn4"/>
    <w:uiPriority w:val="63"/>
    <w:rsid w:val="001D6D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Bezmezer">
    <w:name w:val="No Spacing"/>
    <w:link w:val="BezmezerChar"/>
    <w:uiPriority w:val="1"/>
    <w:qFormat/>
    <w:rsid w:val="00070FB8"/>
    <w:pPr>
      <w:spacing w:after="0" w:line="240" w:lineRule="auto"/>
    </w:pPr>
  </w:style>
  <w:style w:type="character" w:customStyle="1" w:styleId="BezmezerChar">
    <w:name w:val="Bez mezer Char"/>
    <w:basedOn w:val="Standardnpsmoodstavce"/>
    <w:link w:val="Bezmezer"/>
    <w:uiPriority w:val="1"/>
    <w:rsid w:val="009E6AEB"/>
  </w:style>
  <w:style w:type="character" w:styleId="Zstupntext">
    <w:name w:val="Placeholder Text"/>
    <w:basedOn w:val="Standardnpsmoodstavce"/>
    <w:uiPriority w:val="99"/>
    <w:semiHidden/>
    <w:rsid w:val="00257D26"/>
    <w:rPr>
      <w:color w:val="666666"/>
    </w:rPr>
  </w:style>
  <w:style w:type="character" w:customStyle="1" w:styleId="Nadpis5Char">
    <w:name w:val="Nadpis 5 Char"/>
    <w:basedOn w:val="Standardnpsmoodstavce"/>
    <w:link w:val="Nadpis5"/>
    <w:uiPriority w:val="9"/>
    <w:semiHidden/>
    <w:rsid w:val="00070FB8"/>
    <w:rPr>
      <w:caps/>
      <w:color w:val="365F91" w:themeColor="accent1" w:themeShade="BF"/>
      <w:spacing w:val="10"/>
    </w:rPr>
  </w:style>
  <w:style w:type="character" w:customStyle="1" w:styleId="Nadpis6Char">
    <w:name w:val="Nadpis 6 Char"/>
    <w:basedOn w:val="Standardnpsmoodstavce"/>
    <w:link w:val="Nadpis6"/>
    <w:uiPriority w:val="9"/>
    <w:semiHidden/>
    <w:rsid w:val="00070FB8"/>
    <w:rPr>
      <w:caps/>
      <w:color w:val="365F91" w:themeColor="accent1" w:themeShade="BF"/>
      <w:spacing w:val="10"/>
    </w:rPr>
  </w:style>
  <w:style w:type="character" w:customStyle="1" w:styleId="Nadpis7Char">
    <w:name w:val="Nadpis 7 Char"/>
    <w:basedOn w:val="Standardnpsmoodstavce"/>
    <w:link w:val="Nadpis7"/>
    <w:uiPriority w:val="9"/>
    <w:semiHidden/>
    <w:rsid w:val="00070FB8"/>
    <w:rPr>
      <w:caps/>
      <w:color w:val="365F91" w:themeColor="accent1" w:themeShade="BF"/>
      <w:spacing w:val="10"/>
    </w:rPr>
  </w:style>
  <w:style w:type="character" w:customStyle="1" w:styleId="Nadpis8Char">
    <w:name w:val="Nadpis 8 Char"/>
    <w:basedOn w:val="Standardnpsmoodstavce"/>
    <w:link w:val="Nadpis8"/>
    <w:uiPriority w:val="9"/>
    <w:semiHidden/>
    <w:rsid w:val="00070FB8"/>
    <w:rPr>
      <w:caps/>
      <w:spacing w:val="10"/>
      <w:sz w:val="18"/>
      <w:szCs w:val="18"/>
    </w:rPr>
  </w:style>
  <w:style w:type="character" w:customStyle="1" w:styleId="Nadpis9Char">
    <w:name w:val="Nadpis 9 Char"/>
    <w:basedOn w:val="Standardnpsmoodstavce"/>
    <w:link w:val="Nadpis9"/>
    <w:uiPriority w:val="9"/>
    <w:semiHidden/>
    <w:rsid w:val="00070FB8"/>
    <w:rPr>
      <w:i/>
      <w:iCs/>
      <w:caps/>
      <w:spacing w:val="10"/>
      <w:sz w:val="18"/>
      <w:szCs w:val="18"/>
    </w:rPr>
  </w:style>
  <w:style w:type="paragraph" w:styleId="Titulek">
    <w:name w:val="caption"/>
    <w:basedOn w:val="Normln"/>
    <w:next w:val="Normln"/>
    <w:uiPriority w:val="35"/>
    <w:semiHidden/>
    <w:unhideWhenUsed/>
    <w:qFormat/>
    <w:rsid w:val="00070FB8"/>
    <w:rPr>
      <w:b/>
      <w:bCs/>
      <w:color w:val="365F91" w:themeColor="accent1" w:themeShade="BF"/>
      <w:sz w:val="16"/>
      <w:szCs w:val="16"/>
    </w:rPr>
  </w:style>
  <w:style w:type="paragraph" w:styleId="Nzev">
    <w:name w:val="Title"/>
    <w:basedOn w:val="Normln"/>
    <w:next w:val="Normln"/>
    <w:link w:val="NzevChar"/>
    <w:uiPriority w:val="10"/>
    <w:qFormat/>
    <w:rsid w:val="00070FB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NzevChar">
    <w:name w:val="Název Char"/>
    <w:basedOn w:val="Standardnpsmoodstavce"/>
    <w:link w:val="Nzev"/>
    <w:uiPriority w:val="10"/>
    <w:rsid w:val="00070FB8"/>
    <w:rPr>
      <w:rFonts w:asciiTheme="majorHAnsi" w:eastAsiaTheme="majorEastAsia" w:hAnsiTheme="majorHAnsi" w:cstheme="majorBidi"/>
      <w:caps/>
      <w:color w:val="4F81BD" w:themeColor="accent1"/>
      <w:spacing w:val="10"/>
      <w:sz w:val="52"/>
      <w:szCs w:val="52"/>
    </w:rPr>
  </w:style>
  <w:style w:type="paragraph" w:styleId="Podnadpis">
    <w:name w:val="Subtitle"/>
    <w:basedOn w:val="Normln"/>
    <w:next w:val="Normln"/>
    <w:link w:val="PodnadpisChar"/>
    <w:uiPriority w:val="11"/>
    <w:qFormat/>
    <w:rsid w:val="00070FB8"/>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070FB8"/>
    <w:rPr>
      <w:caps/>
      <w:color w:val="595959" w:themeColor="text1" w:themeTint="A6"/>
      <w:spacing w:val="10"/>
      <w:sz w:val="21"/>
      <w:szCs w:val="21"/>
    </w:rPr>
  </w:style>
  <w:style w:type="character" w:styleId="Zdraznn">
    <w:name w:val="Emphasis"/>
    <w:uiPriority w:val="20"/>
    <w:qFormat/>
    <w:rsid w:val="00070FB8"/>
    <w:rPr>
      <w:caps/>
      <w:color w:val="243F60" w:themeColor="accent1" w:themeShade="7F"/>
      <w:spacing w:val="5"/>
    </w:rPr>
  </w:style>
  <w:style w:type="paragraph" w:styleId="Citt">
    <w:name w:val="Quote"/>
    <w:basedOn w:val="Normln"/>
    <w:next w:val="Normln"/>
    <w:link w:val="CittChar"/>
    <w:uiPriority w:val="29"/>
    <w:qFormat/>
    <w:rsid w:val="00070FB8"/>
    <w:rPr>
      <w:i/>
      <w:iCs/>
      <w:sz w:val="24"/>
      <w:szCs w:val="24"/>
    </w:rPr>
  </w:style>
  <w:style w:type="character" w:customStyle="1" w:styleId="CittChar">
    <w:name w:val="Citát Char"/>
    <w:basedOn w:val="Standardnpsmoodstavce"/>
    <w:link w:val="Citt"/>
    <w:uiPriority w:val="29"/>
    <w:rsid w:val="00070FB8"/>
    <w:rPr>
      <w:i/>
      <w:iCs/>
      <w:sz w:val="24"/>
      <w:szCs w:val="24"/>
    </w:rPr>
  </w:style>
  <w:style w:type="paragraph" w:styleId="Vrazncitt">
    <w:name w:val="Intense Quote"/>
    <w:basedOn w:val="Normln"/>
    <w:next w:val="Normln"/>
    <w:link w:val="VrazncittChar"/>
    <w:uiPriority w:val="30"/>
    <w:qFormat/>
    <w:rsid w:val="00070FB8"/>
    <w:pPr>
      <w:spacing w:before="240" w:after="240" w:line="240" w:lineRule="auto"/>
      <w:ind w:left="1080" w:right="1080"/>
      <w:jc w:val="center"/>
    </w:pPr>
    <w:rPr>
      <w:color w:val="4F81BD" w:themeColor="accent1"/>
      <w:sz w:val="24"/>
      <w:szCs w:val="24"/>
    </w:rPr>
  </w:style>
  <w:style w:type="character" w:customStyle="1" w:styleId="VrazncittChar">
    <w:name w:val="Výrazný citát Char"/>
    <w:basedOn w:val="Standardnpsmoodstavce"/>
    <w:link w:val="Vrazncitt"/>
    <w:uiPriority w:val="30"/>
    <w:rsid w:val="00070FB8"/>
    <w:rPr>
      <w:color w:val="4F81BD" w:themeColor="accent1"/>
      <w:sz w:val="24"/>
      <w:szCs w:val="24"/>
    </w:rPr>
  </w:style>
  <w:style w:type="character" w:styleId="Zdraznnjemn">
    <w:name w:val="Subtle Emphasis"/>
    <w:uiPriority w:val="19"/>
    <w:qFormat/>
    <w:rsid w:val="00070FB8"/>
    <w:rPr>
      <w:i/>
      <w:iCs/>
      <w:color w:val="243F60" w:themeColor="accent1" w:themeShade="7F"/>
    </w:rPr>
  </w:style>
  <w:style w:type="character" w:styleId="Zdraznnintenzivn">
    <w:name w:val="Intense Emphasis"/>
    <w:uiPriority w:val="21"/>
    <w:qFormat/>
    <w:rsid w:val="00070FB8"/>
    <w:rPr>
      <w:b/>
      <w:bCs/>
      <w:caps/>
      <w:color w:val="243F60" w:themeColor="accent1" w:themeShade="7F"/>
      <w:spacing w:val="10"/>
    </w:rPr>
  </w:style>
  <w:style w:type="character" w:styleId="Odkazjemn">
    <w:name w:val="Subtle Reference"/>
    <w:uiPriority w:val="31"/>
    <w:qFormat/>
    <w:rsid w:val="00070FB8"/>
    <w:rPr>
      <w:b/>
      <w:bCs/>
      <w:color w:val="4F81BD" w:themeColor="accent1"/>
    </w:rPr>
  </w:style>
  <w:style w:type="character" w:styleId="Odkazintenzivn">
    <w:name w:val="Intense Reference"/>
    <w:uiPriority w:val="32"/>
    <w:qFormat/>
    <w:rsid w:val="00070FB8"/>
    <w:rPr>
      <w:b/>
      <w:bCs/>
      <w:i/>
      <w:iCs/>
      <w:caps/>
      <w:color w:val="4F81BD" w:themeColor="accent1"/>
    </w:rPr>
  </w:style>
  <w:style w:type="character" w:styleId="Nzevknihy">
    <w:name w:val="Book Title"/>
    <w:uiPriority w:val="33"/>
    <w:qFormat/>
    <w:rsid w:val="00070FB8"/>
    <w:rPr>
      <w:b/>
      <w:bCs/>
      <w:i/>
      <w:iCs/>
      <w:spacing w:val="0"/>
    </w:rPr>
  </w:style>
  <w:style w:type="character" w:styleId="Nevyeenzmnka">
    <w:name w:val="Unresolved Mention"/>
    <w:basedOn w:val="Standardnpsmoodstavce"/>
    <w:uiPriority w:val="99"/>
    <w:semiHidden/>
    <w:unhideWhenUsed/>
    <w:rsid w:val="00F917B6"/>
    <w:rPr>
      <w:color w:val="605E5C"/>
      <w:shd w:val="clear" w:color="auto" w:fill="E1DFDD"/>
    </w:rPr>
  </w:style>
  <w:style w:type="paragraph" w:customStyle="1" w:styleId="Default">
    <w:name w:val="Default"/>
    <w:rsid w:val="00714B4D"/>
    <w:pPr>
      <w:autoSpaceDE w:val="0"/>
      <w:autoSpaceDN w:val="0"/>
      <w:adjustRightInd w:val="0"/>
      <w:spacing w:before="0" w:after="0" w:line="240" w:lineRule="auto"/>
    </w:pPr>
    <w:rPr>
      <w:rFonts w:ascii="Calibri" w:hAnsi="Calibri" w:cs="Calibri"/>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127">
      <w:bodyDiv w:val="1"/>
      <w:marLeft w:val="0"/>
      <w:marRight w:val="0"/>
      <w:marTop w:val="0"/>
      <w:marBottom w:val="0"/>
      <w:divBdr>
        <w:top w:val="none" w:sz="0" w:space="0" w:color="auto"/>
        <w:left w:val="none" w:sz="0" w:space="0" w:color="auto"/>
        <w:bottom w:val="none" w:sz="0" w:space="0" w:color="auto"/>
        <w:right w:val="none" w:sz="0" w:space="0" w:color="auto"/>
      </w:divBdr>
    </w:div>
    <w:div w:id="110056113">
      <w:bodyDiv w:val="1"/>
      <w:marLeft w:val="0"/>
      <w:marRight w:val="0"/>
      <w:marTop w:val="0"/>
      <w:marBottom w:val="0"/>
      <w:divBdr>
        <w:top w:val="none" w:sz="0" w:space="0" w:color="auto"/>
        <w:left w:val="none" w:sz="0" w:space="0" w:color="auto"/>
        <w:bottom w:val="none" w:sz="0" w:space="0" w:color="auto"/>
        <w:right w:val="none" w:sz="0" w:space="0" w:color="auto"/>
      </w:divBdr>
    </w:div>
    <w:div w:id="114106423">
      <w:bodyDiv w:val="1"/>
      <w:marLeft w:val="0"/>
      <w:marRight w:val="0"/>
      <w:marTop w:val="0"/>
      <w:marBottom w:val="0"/>
      <w:divBdr>
        <w:top w:val="none" w:sz="0" w:space="0" w:color="auto"/>
        <w:left w:val="none" w:sz="0" w:space="0" w:color="auto"/>
        <w:bottom w:val="none" w:sz="0" w:space="0" w:color="auto"/>
        <w:right w:val="none" w:sz="0" w:space="0" w:color="auto"/>
      </w:divBdr>
    </w:div>
    <w:div w:id="201092591">
      <w:bodyDiv w:val="1"/>
      <w:marLeft w:val="0"/>
      <w:marRight w:val="0"/>
      <w:marTop w:val="0"/>
      <w:marBottom w:val="0"/>
      <w:divBdr>
        <w:top w:val="none" w:sz="0" w:space="0" w:color="auto"/>
        <w:left w:val="none" w:sz="0" w:space="0" w:color="auto"/>
        <w:bottom w:val="none" w:sz="0" w:space="0" w:color="auto"/>
        <w:right w:val="none" w:sz="0" w:space="0" w:color="auto"/>
      </w:divBdr>
    </w:div>
    <w:div w:id="218635135">
      <w:bodyDiv w:val="1"/>
      <w:marLeft w:val="0"/>
      <w:marRight w:val="0"/>
      <w:marTop w:val="0"/>
      <w:marBottom w:val="0"/>
      <w:divBdr>
        <w:top w:val="none" w:sz="0" w:space="0" w:color="auto"/>
        <w:left w:val="none" w:sz="0" w:space="0" w:color="auto"/>
        <w:bottom w:val="none" w:sz="0" w:space="0" w:color="auto"/>
        <w:right w:val="none" w:sz="0" w:space="0" w:color="auto"/>
      </w:divBdr>
    </w:div>
    <w:div w:id="455175558">
      <w:bodyDiv w:val="1"/>
      <w:marLeft w:val="0"/>
      <w:marRight w:val="0"/>
      <w:marTop w:val="0"/>
      <w:marBottom w:val="0"/>
      <w:divBdr>
        <w:top w:val="none" w:sz="0" w:space="0" w:color="auto"/>
        <w:left w:val="none" w:sz="0" w:space="0" w:color="auto"/>
        <w:bottom w:val="none" w:sz="0" w:space="0" w:color="auto"/>
        <w:right w:val="none" w:sz="0" w:space="0" w:color="auto"/>
      </w:divBdr>
    </w:div>
    <w:div w:id="494994972">
      <w:bodyDiv w:val="1"/>
      <w:marLeft w:val="0"/>
      <w:marRight w:val="0"/>
      <w:marTop w:val="0"/>
      <w:marBottom w:val="0"/>
      <w:divBdr>
        <w:top w:val="none" w:sz="0" w:space="0" w:color="auto"/>
        <w:left w:val="none" w:sz="0" w:space="0" w:color="auto"/>
        <w:bottom w:val="none" w:sz="0" w:space="0" w:color="auto"/>
        <w:right w:val="none" w:sz="0" w:space="0" w:color="auto"/>
      </w:divBdr>
    </w:div>
    <w:div w:id="507906275">
      <w:bodyDiv w:val="1"/>
      <w:marLeft w:val="0"/>
      <w:marRight w:val="0"/>
      <w:marTop w:val="0"/>
      <w:marBottom w:val="0"/>
      <w:divBdr>
        <w:top w:val="none" w:sz="0" w:space="0" w:color="auto"/>
        <w:left w:val="none" w:sz="0" w:space="0" w:color="auto"/>
        <w:bottom w:val="none" w:sz="0" w:space="0" w:color="auto"/>
        <w:right w:val="none" w:sz="0" w:space="0" w:color="auto"/>
      </w:divBdr>
    </w:div>
    <w:div w:id="698893593">
      <w:bodyDiv w:val="1"/>
      <w:marLeft w:val="0"/>
      <w:marRight w:val="0"/>
      <w:marTop w:val="0"/>
      <w:marBottom w:val="0"/>
      <w:divBdr>
        <w:top w:val="none" w:sz="0" w:space="0" w:color="auto"/>
        <w:left w:val="none" w:sz="0" w:space="0" w:color="auto"/>
        <w:bottom w:val="none" w:sz="0" w:space="0" w:color="auto"/>
        <w:right w:val="none" w:sz="0" w:space="0" w:color="auto"/>
      </w:divBdr>
    </w:div>
    <w:div w:id="714697463">
      <w:bodyDiv w:val="1"/>
      <w:marLeft w:val="0"/>
      <w:marRight w:val="0"/>
      <w:marTop w:val="0"/>
      <w:marBottom w:val="0"/>
      <w:divBdr>
        <w:top w:val="none" w:sz="0" w:space="0" w:color="auto"/>
        <w:left w:val="none" w:sz="0" w:space="0" w:color="auto"/>
        <w:bottom w:val="none" w:sz="0" w:space="0" w:color="auto"/>
        <w:right w:val="none" w:sz="0" w:space="0" w:color="auto"/>
      </w:divBdr>
    </w:div>
    <w:div w:id="729232369">
      <w:bodyDiv w:val="1"/>
      <w:marLeft w:val="0"/>
      <w:marRight w:val="0"/>
      <w:marTop w:val="0"/>
      <w:marBottom w:val="0"/>
      <w:divBdr>
        <w:top w:val="none" w:sz="0" w:space="0" w:color="auto"/>
        <w:left w:val="none" w:sz="0" w:space="0" w:color="auto"/>
        <w:bottom w:val="none" w:sz="0" w:space="0" w:color="auto"/>
        <w:right w:val="none" w:sz="0" w:space="0" w:color="auto"/>
      </w:divBdr>
    </w:div>
    <w:div w:id="736511525">
      <w:bodyDiv w:val="1"/>
      <w:marLeft w:val="0"/>
      <w:marRight w:val="0"/>
      <w:marTop w:val="0"/>
      <w:marBottom w:val="0"/>
      <w:divBdr>
        <w:top w:val="none" w:sz="0" w:space="0" w:color="auto"/>
        <w:left w:val="none" w:sz="0" w:space="0" w:color="auto"/>
        <w:bottom w:val="none" w:sz="0" w:space="0" w:color="auto"/>
        <w:right w:val="none" w:sz="0" w:space="0" w:color="auto"/>
      </w:divBdr>
    </w:div>
    <w:div w:id="951549694">
      <w:bodyDiv w:val="1"/>
      <w:marLeft w:val="0"/>
      <w:marRight w:val="0"/>
      <w:marTop w:val="0"/>
      <w:marBottom w:val="0"/>
      <w:divBdr>
        <w:top w:val="none" w:sz="0" w:space="0" w:color="auto"/>
        <w:left w:val="none" w:sz="0" w:space="0" w:color="auto"/>
        <w:bottom w:val="none" w:sz="0" w:space="0" w:color="auto"/>
        <w:right w:val="none" w:sz="0" w:space="0" w:color="auto"/>
      </w:divBdr>
    </w:div>
    <w:div w:id="979576308">
      <w:bodyDiv w:val="1"/>
      <w:marLeft w:val="0"/>
      <w:marRight w:val="0"/>
      <w:marTop w:val="0"/>
      <w:marBottom w:val="0"/>
      <w:divBdr>
        <w:top w:val="none" w:sz="0" w:space="0" w:color="auto"/>
        <w:left w:val="none" w:sz="0" w:space="0" w:color="auto"/>
        <w:bottom w:val="none" w:sz="0" w:space="0" w:color="auto"/>
        <w:right w:val="none" w:sz="0" w:space="0" w:color="auto"/>
      </w:divBdr>
    </w:div>
    <w:div w:id="983044094">
      <w:bodyDiv w:val="1"/>
      <w:marLeft w:val="0"/>
      <w:marRight w:val="0"/>
      <w:marTop w:val="0"/>
      <w:marBottom w:val="0"/>
      <w:divBdr>
        <w:top w:val="none" w:sz="0" w:space="0" w:color="auto"/>
        <w:left w:val="none" w:sz="0" w:space="0" w:color="auto"/>
        <w:bottom w:val="none" w:sz="0" w:space="0" w:color="auto"/>
        <w:right w:val="none" w:sz="0" w:space="0" w:color="auto"/>
      </w:divBdr>
    </w:div>
    <w:div w:id="1001928204">
      <w:bodyDiv w:val="1"/>
      <w:marLeft w:val="0"/>
      <w:marRight w:val="0"/>
      <w:marTop w:val="0"/>
      <w:marBottom w:val="0"/>
      <w:divBdr>
        <w:top w:val="none" w:sz="0" w:space="0" w:color="auto"/>
        <w:left w:val="none" w:sz="0" w:space="0" w:color="auto"/>
        <w:bottom w:val="none" w:sz="0" w:space="0" w:color="auto"/>
        <w:right w:val="none" w:sz="0" w:space="0" w:color="auto"/>
      </w:divBdr>
    </w:div>
    <w:div w:id="1007756439">
      <w:bodyDiv w:val="1"/>
      <w:marLeft w:val="0"/>
      <w:marRight w:val="0"/>
      <w:marTop w:val="0"/>
      <w:marBottom w:val="0"/>
      <w:divBdr>
        <w:top w:val="none" w:sz="0" w:space="0" w:color="auto"/>
        <w:left w:val="none" w:sz="0" w:space="0" w:color="auto"/>
        <w:bottom w:val="none" w:sz="0" w:space="0" w:color="auto"/>
        <w:right w:val="none" w:sz="0" w:space="0" w:color="auto"/>
      </w:divBdr>
    </w:div>
    <w:div w:id="1050886774">
      <w:bodyDiv w:val="1"/>
      <w:marLeft w:val="0"/>
      <w:marRight w:val="0"/>
      <w:marTop w:val="0"/>
      <w:marBottom w:val="0"/>
      <w:divBdr>
        <w:top w:val="none" w:sz="0" w:space="0" w:color="auto"/>
        <w:left w:val="none" w:sz="0" w:space="0" w:color="auto"/>
        <w:bottom w:val="none" w:sz="0" w:space="0" w:color="auto"/>
        <w:right w:val="none" w:sz="0" w:space="0" w:color="auto"/>
      </w:divBdr>
    </w:div>
    <w:div w:id="1064719390">
      <w:bodyDiv w:val="1"/>
      <w:marLeft w:val="0"/>
      <w:marRight w:val="0"/>
      <w:marTop w:val="0"/>
      <w:marBottom w:val="0"/>
      <w:divBdr>
        <w:top w:val="none" w:sz="0" w:space="0" w:color="auto"/>
        <w:left w:val="none" w:sz="0" w:space="0" w:color="auto"/>
        <w:bottom w:val="none" w:sz="0" w:space="0" w:color="auto"/>
        <w:right w:val="none" w:sz="0" w:space="0" w:color="auto"/>
      </w:divBdr>
    </w:div>
    <w:div w:id="1088841618">
      <w:bodyDiv w:val="1"/>
      <w:marLeft w:val="0"/>
      <w:marRight w:val="0"/>
      <w:marTop w:val="0"/>
      <w:marBottom w:val="0"/>
      <w:divBdr>
        <w:top w:val="none" w:sz="0" w:space="0" w:color="auto"/>
        <w:left w:val="none" w:sz="0" w:space="0" w:color="auto"/>
        <w:bottom w:val="none" w:sz="0" w:space="0" w:color="auto"/>
        <w:right w:val="none" w:sz="0" w:space="0" w:color="auto"/>
      </w:divBdr>
      <w:divsChild>
        <w:div w:id="538863178">
          <w:marLeft w:val="0"/>
          <w:marRight w:val="0"/>
          <w:marTop w:val="0"/>
          <w:marBottom w:val="0"/>
          <w:divBdr>
            <w:top w:val="none" w:sz="0" w:space="0" w:color="auto"/>
            <w:left w:val="none" w:sz="0" w:space="0" w:color="auto"/>
            <w:bottom w:val="none" w:sz="0" w:space="0" w:color="auto"/>
            <w:right w:val="none" w:sz="0" w:space="0" w:color="auto"/>
          </w:divBdr>
          <w:divsChild>
            <w:div w:id="485975315">
              <w:marLeft w:val="0"/>
              <w:marRight w:val="0"/>
              <w:marTop w:val="0"/>
              <w:marBottom w:val="0"/>
              <w:divBdr>
                <w:top w:val="none" w:sz="0" w:space="0" w:color="auto"/>
                <w:left w:val="none" w:sz="0" w:space="0" w:color="auto"/>
                <w:bottom w:val="none" w:sz="0" w:space="0" w:color="auto"/>
                <w:right w:val="none" w:sz="0" w:space="0" w:color="auto"/>
              </w:divBdr>
              <w:divsChild>
                <w:div w:id="770012082">
                  <w:marLeft w:val="0"/>
                  <w:marRight w:val="0"/>
                  <w:marTop w:val="0"/>
                  <w:marBottom w:val="0"/>
                  <w:divBdr>
                    <w:top w:val="none" w:sz="0" w:space="0" w:color="auto"/>
                    <w:left w:val="none" w:sz="0" w:space="0" w:color="auto"/>
                    <w:bottom w:val="none" w:sz="0" w:space="0" w:color="auto"/>
                    <w:right w:val="none" w:sz="0" w:space="0" w:color="auto"/>
                  </w:divBdr>
                  <w:divsChild>
                    <w:div w:id="8231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772696">
      <w:bodyDiv w:val="1"/>
      <w:marLeft w:val="0"/>
      <w:marRight w:val="0"/>
      <w:marTop w:val="0"/>
      <w:marBottom w:val="0"/>
      <w:divBdr>
        <w:top w:val="none" w:sz="0" w:space="0" w:color="auto"/>
        <w:left w:val="none" w:sz="0" w:space="0" w:color="auto"/>
        <w:bottom w:val="none" w:sz="0" w:space="0" w:color="auto"/>
        <w:right w:val="none" w:sz="0" w:space="0" w:color="auto"/>
      </w:divBdr>
    </w:div>
    <w:div w:id="1163814491">
      <w:bodyDiv w:val="1"/>
      <w:marLeft w:val="0"/>
      <w:marRight w:val="0"/>
      <w:marTop w:val="0"/>
      <w:marBottom w:val="0"/>
      <w:divBdr>
        <w:top w:val="none" w:sz="0" w:space="0" w:color="auto"/>
        <w:left w:val="none" w:sz="0" w:space="0" w:color="auto"/>
        <w:bottom w:val="none" w:sz="0" w:space="0" w:color="auto"/>
        <w:right w:val="none" w:sz="0" w:space="0" w:color="auto"/>
      </w:divBdr>
    </w:div>
    <w:div w:id="1211502607">
      <w:bodyDiv w:val="1"/>
      <w:marLeft w:val="0"/>
      <w:marRight w:val="0"/>
      <w:marTop w:val="0"/>
      <w:marBottom w:val="0"/>
      <w:divBdr>
        <w:top w:val="none" w:sz="0" w:space="0" w:color="auto"/>
        <w:left w:val="none" w:sz="0" w:space="0" w:color="auto"/>
        <w:bottom w:val="none" w:sz="0" w:space="0" w:color="auto"/>
        <w:right w:val="none" w:sz="0" w:space="0" w:color="auto"/>
      </w:divBdr>
      <w:divsChild>
        <w:div w:id="809401705">
          <w:marLeft w:val="547"/>
          <w:marRight w:val="0"/>
          <w:marTop w:val="0"/>
          <w:marBottom w:val="0"/>
          <w:divBdr>
            <w:top w:val="none" w:sz="0" w:space="0" w:color="auto"/>
            <w:left w:val="none" w:sz="0" w:space="0" w:color="auto"/>
            <w:bottom w:val="none" w:sz="0" w:space="0" w:color="auto"/>
            <w:right w:val="none" w:sz="0" w:space="0" w:color="auto"/>
          </w:divBdr>
        </w:div>
      </w:divsChild>
    </w:div>
    <w:div w:id="1283808476">
      <w:bodyDiv w:val="1"/>
      <w:marLeft w:val="0"/>
      <w:marRight w:val="0"/>
      <w:marTop w:val="0"/>
      <w:marBottom w:val="0"/>
      <w:divBdr>
        <w:top w:val="none" w:sz="0" w:space="0" w:color="auto"/>
        <w:left w:val="none" w:sz="0" w:space="0" w:color="auto"/>
        <w:bottom w:val="none" w:sz="0" w:space="0" w:color="auto"/>
        <w:right w:val="none" w:sz="0" w:space="0" w:color="auto"/>
      </w:divBdr>
    </w:div>
    <w:div w:id="1326007479">
      <w:bodyDiv w:val="1"/>
      <w:marLeft w:val="0"/>
      <w:marRight w:val="0"/>
      <w:marTop w:val="0"/>
      <w:marBottom w:val="0"/>
      <w:divBdr>
        <w:top w:val="none" w:sz="0" w:space="0" w:color="auto"/>
        <w:left w:val="none" w:sz="0" w:space="0" w:color="auto"/>
        <w:bottom w:val="none" w:sz="0" w:space="0" w:color="auto"/>
        <w:right w:val="none" w:sz="0" w:space="0" w:color="auto"/>
      </w:divBdr>
    </w:div>
    <w:div w:id="1376080350">
      <w:bodyDiv w:val="1"/>
      <w:marLeft w:val="0"/>
      <w:marRight w:val="0"/>
      <w:marTop w:val="0"/>
      <w:marBottom w:val="0"/>
      <w:divBdr>
        <w:top w:val="none" w:sz="0" w:space="0" w:color="auto"/>
        <w:left w:val="none" w:sz="0" w:space="0" w:color="auto"/>
        <w:bottom w:val="none" w:sz="0" w:space="0" w:color="auto"/>
        <w:right w:val="none" w:sz="0" w:space="0" w:color="auto"/>
      </w:divBdr>
    </w:div>
    <w:div w:id="1557348974">
      <w:bodyDiv w:val="1"/>
      <w:marLeft w:val="0"/>
      <w:marRight w:val="0"/>
      <w:marTop w:val="0"/>
      <w:marBottom w:val="0"/>
      <w:divBdr>
        <w:top w:val="none" w:sz="0" w:space="0" w:color="auto"/>
        <w:left w:val="none" w:sz="0" w:space="0" w:color="auto"/>
        <w:bottom w:val="none" w:sz="0" w:space="0" w:color="auto"/>
        <w:right w:val="none" w:sz="0" w:space="0" w:color="auto"/>
      </w:divBdr>
    </w:div>
    <w:div w:id="1560168706">
      <w:bodyDiv w:val="1"/>
      <w:marLeft w:val="0"/>
      <w:marRight w:val="0"/>
      <w:marTop w:val="0"/>
      <w:marBottom w:val="0"/>
      <w:divBdr>
        <w:top w:val="none" w:sz="0" w:space="0" w:color="auto"/>
        <w:left w:val="none" w:sz="0" w:space="0" w:color="auto"/>
        <w:bottom w:val="none" w:sz="0" w:space="0" w:color="auto"/>
        <w:right w:val="none" w:sz="0" w:space="0" w:color="auto"/>
      </w:divBdr>
      <w:divsChild>
        <w:div w:id="120346384">
          <w:marLeft w:val="0"/>
          <w:marRight w:val="0"/>
          <w:marTop w:val="0"/>
          <w:marBottom w:val="0"/>
          <w:divBdr>
            <w:top w:val="none" w:sz="0" w:space="0" w:color="auto"/>
            <w:left w:val="none" w:sz="0" w:space="0" w:color="auto"/>
            <w:bottom w:val="none" w:sz="0" w:space="0" w:color="auto"/>
            <w:right w:val="none" w:sz="0" w:space="0" w:color="auto"/>
          </w:divBdr>
          <w:divsChild>
            <w:div w:id="1889951527">
              <w:marLeft w:val="0"/>
              <w:marRight w:val="0"/>
              <w:marTop w:val="0"/>
              <w:marBottom w:val="0"/>
              <w:divBdr>
                <w:top w:val="none" w:sz="0" w:space="0" w:color="auto"/>
                <w:left w:val="none" w:sz="0" w:space="0" w:color="auto"/>
                <w:bottom w:val="none" w:sz="0" w:space="0" w:color="auto"/>
                <w:right w:val="none" w:sz="0" w:space="0" w:color="auto"/>
              </w:divBdr>
              <w:divsChild>
                <w:div w:id="426926663">
                  <w:marLeft w:val="0"/>
                  <w:marRight w:val="0"/>
                  <w:marTop w:val="0"/>
                  <w:marBottom w:val="0"/>
                  <w:divBdr>
                    <w:top w:val="none" w:sz="0" w:space="0" w:color="auto"/>
                    <w:left w:val="none" w:sz="0" w:space="0" w:color="auto"/>
                    <w:bottom w:val="none" w:sz="0" w:space="0" w:color="auto"/>
                    <w:right w:val="none" w:sz="0" w:space="0" w:color="auto"/>
                  </w:divBdr>
                  <w:divsChild>
                    <w:div w:id="61410152">
                      <w:marLeft w:val="60"/>
                      <w:marRight w:val="0"/>
                      <w:marTop w:val="0"/>
                      <w:marBottom w:val="0"/>
                      <w:divBdr>
                        <w:top w:val="none" w:sz="0" w:space="0" w:color="auto"/>
                        <w:left w:val="none" w:sz="0" w:space="0" w:color="auto"/>
                        <w:bottom w:val="none" w:sz="0" w:space="0" w:color="auto"/>
                        <w:right w:val="none" w:sz="0" w:space="0" w:color="auto"/>
                      </w:divBdr>
                    </w:div>
                    <w:div w:id="1173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6983">
          <w:marLeft w:val="0"/>
          <w:marRight w:val="0"/>
          <w:marTop w:val="0"/>
          <w:marBottom w:val="0"/>
          <w:divBdr>
            <w:top w:val="none" w:sz="0" w:space="0" w:color="auto"/>
            <w:left w:val="none" w:sz="0" w:space="0" w:color="auto"/>
            <w:bottom w:val="none" w:sz="0" w:space="0" w:color="auto"/>
            <w:right w:val="none" w:sz="0" w:space="0" w:color="auto"/>
          </w:divBdr>
          <w:divsChild>
            <w:div w:id="215632034">
              <w:marLeft w:val="0"/>
              <w:marRight w:val="0"/>
              <w:marTop w:val="0"/>
              <w:marBottom w:val="0"/>
              <w:divBdr>
                <w:top w:val="none" w:sz="0" w:space="0" w:color="auto"/>
                <w:left w:val="none" w:sz="0" w:space="0" w:color="auto"/>
                <w:bottom w:val="none" w:sz="0" w:space="0" w:color="auto"/>
                <w:right w:val="none" w:sz="0" w:space="0" w:color="auto"/>
              </w:divBdr>
              <w:divsChild>
                <w:div w:id="68119213">
                  <w:marLeft w:val="850"/>
                  <w:marRight w:val="0"/>
                  <w:marTop w:val="0"/>
                  <w:marBottom w:val="0"/>
                  <w:divBdr>
                    <w:top w:val="none" w:sz="0" w:space="0" w:color="auto"/>
                    <w:left w:val="none" w:sz="0" w:space="0" w:color="auto"/>
                    <w:bottom w:val="none" w:sz="0" w:space="0" w:color="auto"/>
                    <w:right w:val="none" w:sz="0" w:space="0" w:color="auto"/>
                  </w:divBdr>
                  <w:divsChild>
                    <w:div w:id="13694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68286">
          <w:marLeft w:val="0"/>
          <w:marRight w:val="0"/>
          <w:marTop w:val="0"/>
          <w:marBottom w:val="0"/>
          <w:divBdr>
            <w:top w:val="none" w:sz="0" w:space="0" w:color="auto"/>
            <w:left w:val="none" w:sz="0" w:space="0" w:color="auto"/>
            <w:bottom w:val="none" w:sz="0" w:space="0" w:color="auto"/>
            <w:right w:val="none" w:sz="0" w:space="0" w:color="auto"/>
          </w:divBdr>
          <w:divsChild>
            <w:div w:id="1676301879">
              <w:marLeft w:val="0"/>
              <w:marRight w:val="0"/>
              <w:marTop w:val="0"/>
              <w:marBottom w:val="0"/>
              <w:divBdr>
                <w:top w:val="none" w:sz="0" w:space="0" w:color="auto"/>
                <w:left w:val="none" w:sz="0" w:space="0" w:color="auto"/>
                <w:bottom w:val="none" w:sz="0" w:space="0" w:color="auto"/>
                <w:right w:val="none" w:sz="0" w:space="0" w:color="auto"/>
              </w:divBdr>
              <w:divsChild>
                <w:div w:id="880557813">
                  <w:marLeft w:val="0"/>
                  <w:marRight w:val="0"/>
                  <w:marTop w:val="0"/>
                  <w:marBottom w:val="0"/>
                  <w:divBdr>
                    <w:top w:val="none" w:sz="0" w:space="0" w:color="auto"/>
                    <w:left w:val="none" w:sz="0" w:space="0" w:color="auto"/>
                    <w:bottom w:val="none" w:sz="0" w:space="0" w:color="auto"/>
                    <w:right w:val="none" w:sz="0" w:space="0" w:color="auto"/>
                  </w:divBdr>
                  <w:divsChild>
                    <w:div w:id="896816776">
                      <w:marLeft w:val="0"/>
                      <w:marRight w:val="0"/>
                      <w:marTop w:val="0"/>
                      <w:marBottom w:val="0"/>
                      <w:divBdr>
                        <w:top w:val="none" w:sz="0" w:space="0" w:color="auto"/>
                        <w:left w:val="none" w:sz="0" w:space="0" w:color="auto"/>
                        <w:bottom w:val="none" w:sz="0" w:space="0" w:color="auto"/>
                        <w:right w:val="none" w:sz="0" w:space="0" w:color="auto"/>
                      </w:divBdr>
                    </w:div>
                    <w:div w:id="115606824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485">
          <w:marLeft w:val="0"/>
          <w:marRight w:val="0"/>
          <w:marTop w:val="0"/>
          <w:marBottom w:val="0"/>
          <w:divBdr>
            <w:top w:val="none" w:sz="0" w:space="0" w:color="auto"/>
            <w:left w:val="none" w:sz="0" w:space="0" w:color="auto"/>
            <w:bottom w:val="none" w:sz="0" w:space="0" w:color="auto"/>
            <w:right w:val="none" w:sz="0" w:space="0" w:color="auto"/>
          </w:divBdr>
          <w:divsChild>
            <w:div w:id="2018144115">
              <w:marLeft w:val="0"/>
              <w:marRight w:val="0"/>
              <w:marTop w:val="0"/>
              <w:marBottom w:val="0"/>
              <w:divBdr>
                <w:top w:val="none" w:sz="0" w:space="0" w:color="auto"/>
                <w:left w:val="none" w:sz="0" w:space="0" w:color="auto"/>
                <w:bottom w:val="none" w:sz="0" w:space="0" w:color="auto"/>
                <w:right w:val="none" w:sz="0" w:space="0" w:color="auto"/>
              </w:divBdr>
              <w:divsChild>
                <w:div w:id="830408828">
                  <w:marLeft w:val="0"/>
                  <w:marRight w:val="0"/>
                  <w:marTop w:val="0"/>
                  <w:marBottom w:val="0"/>
                  <w:divBdr>
                    <w:top w:val="none" w:sz="0" w:space="0" w:color="auto"/>
                    <w:left w:val="none" w:sz="0" w:space="0" w:color="auto"/>
                    <w:bottom w:val="none" w:sz="0" w:space="0" w:color="auto"/>
                    <w:right w:val="none" w:sz="0" w:space="0" w:color="auto"/>
                  </w:divBdr>
                  <w:divsChild>
                    <w:div w:id="1306087621">
                      <w:marLeft w:val="60"/>
                      <w:marRight w:val="0"/>
                      <w:marTop w:val="0"/>
                      <w:marBottom w:val="0"/>
                      <w:divBdr>
                        <w:top w:val="none" w:sz="0" w:space="0" w:color="auto"/>
                        <w:left w:val="none" w:sz="0" w:space="0" w:color="auto"/>
                        <w:bottom w:val="none" w:sz="0" w:space="0" w:color="auto"/>
                        <w:right w:val="none" w:sz="0" w:space="0" w:color="auto"/>
                      </w:divBdr>
                    </w:div>
                    <w:div w:id="16461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367">
          <w:marLeft w:val="0"/>
          <w:marRight w:val="0"/>
          <w:marTop w:val="0"/>
          <w:marBottom w:val="0"/>
          <w:divBdr>
            <w:top w:val="none" w:sz="0" w:space="0" w:color="auto"/>
            <w:left w:val="none" w:sz="0" w:space="0" w:color="auto"/>
            <w:bottom w:val="none" w:sz="0" w:space="0" w:color="auto"/>
            <w:right w:val="none" w:sz="0" w:space="0" w:color="auto"/>
          </w:divBdr>
          <w:divsChild>
            <w:div w:id="432167922">
              <w:marLeft w:val="0"/>
              <w:marRight w:val="0"/>
              <w:marTop w:val="0"/>
              <w:marBottom w:val="0"/>
              <w:divBdr>
                <w:top w:val="none" w:sz="0" w:space="0" w:color="auto"/>
                <w:left w:val="none" w:sz="0" w:space="0" w:color="auto"/>
                <w:bottom w:val="none" w:sz="0" w:space="0" w:color="auto"/>
                <w:right w:val="none" w:sz="0" w:space="0" w:color="auto"/>
              </w:divBdr>
              <w:divsChild>
                <w:div w:id="526605055">
                  <w:marLeft w:val="0"/>
                  <w:marRight w:val="0"/>
                  <w:marTop w:val="0"/>
                  <w:marBottom w:val="0"/>
                  <w:divBdr>
                    <w:top w:val="none" w:sz="0" w:space="0" w:color="auto"/>
                    <w:left w:val="none" w:sz="0" w:space="0" w:color="auto"/>
                    <w:bottom w:val="none" w:sz="0" w:space="0" w:color="auto"/>
                    <w:right w:val="none" w:sz="0" w:space="0" w:color="auto"/>
                  </w:divBdr>
                  <w:divsChild>
                    <w:div w:id="2656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97451">
      <w:bodyDiv w:val="1"/>
      <w:marLeft w:val="0"/>
      <w:marRight w:val="0"/>
      <w:marTop w:val="0"/>
      <w:marBottom w:val="0"/>
      <w:divBdr>
        <w:top w:val="none" w:sz="0" w:space="0" w:color="auto"/>
        <w:left w:val="none" w:sz="0" w:space="0" w:color="auto"/>
        <w:bottom w:val="none" w:sz="0" w:space="0" w:color="auto"/>
        <w:right w:val="none" w:sz="0" w:space="0" w:color="auto"/>
      </w:divBdr>
    </w:div>
    <w:div w:id="1700425735">
      <w:bodyDiv w:val="1"/>
      <w:marLeft w:val="0"/>
      <w:marRight w:val="0"/>
      <w:marTop w:val="0"/>
      <w:marBottom w:val="0"/>
      <w:divBdr>
        <w:top w:val="none" w:sz="0" w:space="0" w:color="auto"/>
        <w:left w:val="none" w:sz="0" w:space="0" w:color="auto"/>
        <w:bottom w:val="none" w:sz="0" w:space="0" w:color="auto"/>
        <w:right w:val="none" w:sz="0" w:space="0" w:color="auto"/>
      </w:divBdr>
    </w:div>
    <w:div w:id="1706061186">
      <w:bodyDiv w:val="1"/>
      <w:marLeft w:val="0"/>
      <w:marRight w:val="0"/>
      <w:marTop w:val="0"/>
      <w:marBottom w:val="0"/>
      <w:divBdr>
        <w:top w:val="none" w:sz="0" w:space="0" w:color="auto"/>
        <w:left w:val="none" w:sz="0" w:space="0" w:color="auto"/>
        <w:bottom w:val="none" w:sz="0" w:space="0" w:color="auto"/>
        <w:right w:val="none" w:sz="0" w:space="0" w:color="auto"/>
      </w:divBdr>
    </w:div>
    <w:div w:id="1752971928">
      <w:bodyDiv w:val="1"/>
      <w:marLeft w:val="0"/>
      <w:marRight w:val="0"/>
      <w:marTop w:val="0"/>
      <w:marBottom w:val="0"/>
      <w:divBdr>
        <w:top w:val="none" w:sz="0" w:space="0" w:color="auto"/>
        <w:left w:val="none" w:sz="0" w:space="0" w:color="auto"/>
        <w:bottom w:val="none" w:sz="0" w:space="0" w:color="auto"/>
        <w:right w:val="none" w:sz="0" w:space="0" w:color="auto"/>
      </w:divBdr>
    </w:div>
    <w:div w:id="1855074114">
      <w:bodyDiv w:val="1"/>
      <w:marLeft w:val="0"/>
      <w:marRight w:val="0"/>
      <w:marTop w:val="0"/>
      <w:marBottom w:val="0"/>
      <w:divBdr>
        <w:top w:val="none" w:sz="0" w:space="0" w:color="auto"/>
        <w:left w:val="none" w:sz="0" w:space="0" w:color="auto"/>
        <w:bottom w:val="none" w:sz="0" w:space="0" w:color="auto"/>
        <w:right w:val="none" w:sz="0" w:space="0" w:color="auto"/>
      </w:divBdr>
    </w:div>
    <w:div w:id="1860124720">
      <w:bodyDiv w:val="1"/>
      <w:marLeft w:val="0"/>
      <w:marRight w:val="0"/>
      <w:marTop w:val="0"/>
      <w:marBottom w:val="0"/>
      <w:divBdr>
        <w:top w:val="none" w:sz="0" w:space="0" w:color="auto"/>
        <w:left w:val="none" w:sz="0" w:space="0" w:color="auto"/>
        <w:bottom w:val="none" w:sz="0" w:space="0" w:color="auto"/>
        <w:right w:val="none" w:sz="0" w:space="0" w:color="auto"/>
      </w:divBdr>
    </w:div>
    <w:div w:id="1871456027">
      <w:bodyDiv w:val="1"/>
      <w:marLeft w:val="0"/>
      <w:marRight w:val="0"/>
      <w:marTop w:val="0"/>
      <w:marBottom w:val="0"/>
      <w:divBdr>
        <w:top w:val="none" w:sz="0" w:space="0" w:color="auto"/>
        <w:left w:val="none" w:sz="0" w:space="0" w:color="auto"/>
        <w:bottom w:val="none" w:sz="0" w:space="0" w:color="auto"/>
        <w:right w:val="none" w:sz="0" w:space="0" w:color="auto"/>
      </w:divBdr>
    </w:div>
    <w:div w:id="1917277378">
      <w:bodyDiv w:val="1"/>
      <w:marLeft w:val="0"/>
      <w:marRight w:val="0"/>
      <w:marTop w:val="0"/>
      <w:marBottom w:val="0"/>
      <w:divBdr>
        <w:top w:val="none" w:sz="0" w:space="0" w:color="auto"/>
        <w:left w:val="none" w:sz="0" w:space="0" w:color="auto"/>
        <w:bottom w:val="none" w:sz="0" w:space="0" w:color="auto"/>
        <w:right w:val="none" w:sz="0" w:space="0" w:color="auto"/>
      </w:divBdr>
    </w:div>
    <w:div w:id="1940482857">
      <w:bodyDiv w:val="1"/>
      <w:marLeft w:val="0"/>
      <w:marRight w:val="0"/>
      <w:marTop w:val="0"/>
      <w:marBottom w:val="0"/>
      <w:divBdr>
        <w:top w:val="none" w:sz="0" w:space="0" w:color="auto"/>
        <w:left w:val="none" w:sz="0" w:space="0" w:color="auto"/>
        <w:bottom w:val="none" w:sz="0" w:space="0" w:color="auto"/>
        <w:right w:val="none" w:sz="0" w:space="0" w:color="auto"/>
      </w:divBdr>
    </w:div>
    <w:div w:id="1971127725">
      <w:bodyDiv w:val="1"/>
      <w:marLeft w:val="0"/>
      <w:marRight w:val="0"/>
      <w:marTop w:val="0"/>
      <w:marBottom w:val="0"/>
      <w:divBdr>
        <w:top w:val="none" w:sz="0" w:space="0" w:color="auto"/>
        <w:left w:val="none" w:sz="0" w:space="0" w:color="auto"/>
        <w:bottom w:val="none" w:sz="0" w:space="0" w:color="auto"/>
        <w:right w:val="none" w:sz="0" w:space="0" w:color="auto"/>
      </w:divBdr>
    </w:div>
    <w:div w:id="2050373895">
      <w:bodyDiv w:val="1"/>
      <w:marLeft w:val="0"/>
      <w:marRight w:val="0"/>
      <w:marTop w:val="0"/>
      <w:marBottom w:val="0"/>
      <w:divBdr>
        <w:top w:val="none" w:sz="0" w:space="0" w:color="auto"/>
        <w:left w:val="none" w:sz="0" w:space="0" w:color="auto"/>
        <w:bottom w:val="none" w:sz="0" w:space="0" w:color="auto"/>
        <w:right w:val="none" w:sz="0" w:space="0" w:color="auto"/>
      </w:divBdr>
    </w:div>
    <w:div w:id="2054647887">
      <w:bodyDiv w:val="1"/>
      <w:marLeft w:val="0"/>
      <w:marRight w:val="0"/>
      <w:marTop w:val="0"/>
      <w:marBottom w:val="0"/>
      <w:divBdr>
        <w:top w:val="none" w:sz="0" w:space="0" w:color="auto"/>
        <w:left w:val="none" w:sz="0" w:space="0" w:color="auto"/>
        <w:bottom w:val="none" w:sz="0" w:space="0" w:color="auto"/>
        <w:right w:val="none" w:sz="0" w:space="0" w:color="auto"/>
      </w:divBdr>
    </w:div>
    <w:div w:id="2062974286">
      <w:bodyDiv w:val="1"/>
      <w:marLeft w:val="0"/>
      <w:marRight w:val="0"/>
      <w:marTop w:val="0"/>
      <w:marBottom w:val="0"/>
      <w:divBdr>
        <w:top w:val="none" w:sz="0" w:space="0" w:color="auto"/>
        <w:left w:val="none" w:sz="0" w:space="0" w:color="auto"/>
        <w:bottom w:val="none" w:sz="0" w:space="0" w:color="auto"/>
        <w:right w:val="none" w:sz="0" w:space="0" w:color="auto"/>
      </w:divBdr>
    </w:div>
    <w:div w:id="206995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curia.europa.eu/juris/document/document.jsf;jsessionid=46C979E6ABCA12F7470FFA2B02C7B6B6?text=&amp;docid=211287&amp;pageIndex=0&amp;doclang=CS&amp;mode=lst&amp;dir=&amp;occ=first&amp;part=1&amp;cid=1356869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spi.cz/products/lawText/1/57818/1/2"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competition-policy.ec.europa.eu/state-aid/legislation/reference-discount-rates-and-recovery-interest-rates/reference-and-discount-rates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petition-policy.ec.europa.eu/document/download/248565f9-7b6e-411f-9aa9-08404deaded1_en?filename=reference_rates_base_rates2025_10_croatia_eurozone.pdf" TargetMode="External"/><Relationship Id="rId5" Type="http://schemas.openxmlformats.org/officeDocument/2006/relationships/customXml" Target="../customXml/item5.xml"/><Relationship Id="rId15" Type="http://schemas.openxmlformats.org/officeDocument/2006/relationships/image" Target="media/image20.png"/><Relationship Id="rId23" Type="http://schemas.openxmlformats.org/officeDocument/2006/relationships/hyperlink" Target="https://competition-policy.ec.europa.eu/state-aid/legislation/reference-discount-rates-and-recovery-interest-rates/reference-and-discount-rates_e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lex.europa.eu/legal-content/CS/TXT/PDF/?uri=CELEX:02004R0794-202508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petition/state_aid/cases1/202419/SA_50837_137.pdf" TargetMode="External"/><Relationship Id="rId2" Type="http://schemas.openxmlformats.org/officeDocument/2006/relationships/hyperlink" Target="https://ec.europa.eu/competition/state_aid/cases1/202419/SA_50837_137.pdf" TargetMode="External"/><Relationship Id="rId1" Type="http://schemas.openxmlformats.org/officeDocument/2006/relationships/hyperlink" Target="https://eur-lex.europa.eu/legal-content/CS/TXT/PDF/?uri=CELEX:32015R1589&amp;from=EN" TargetMode="External"/><Relationship Id="rId5" Type="http://schemas.openxmlformats.org/officeDocument/2006/relationships/hyperlink" Target="https://uohs.gov.cz/cs/informacni-centrum/tiskove-zpravy/verejna-podpora.html" TargetMode="External"/><Relationship Id="rId4" Type="http://schemas.openxmlformats.org/officeDocument/2006/relationships/hyperlink" Target="https://eur-lex.europa.eu/legal-content/CS/ALL/?uri=CELEX%3A52008XC0119%2801%2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ee646b1e949e4f7e9cec46dbd0e957a2">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e5cd77584be4aaa146a508be1acf47a6"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41631e-3fb7-4bcf-a2bb-73ae3eaebbda}"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9abc7f-d377-4404-be4d-881a1d984be2">
      <Terms xmlns="http://schemas.microsoft.com/office/infopath/2007/PartnerControls"/>
    </lcf76f155ced4ddcb4097134ff3c332f>
    <TaxCatchAll xmlns="f330bf4c-7d0e-4728-ac38-8ec30312c61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174C6D-4039-46E4-9D40-8F024B842805}">
  <ds:schemaRefs>
    <ds:schemaRef ds:uri="http://schemas.microsoft.com/sharepoint/v3/contenttype/forms"/>
  </ds:schemaRefs>
</ds:datastoreItem>
</file>

<file path=customXml/itemProps3.xml><?xml version="1.0" encoding="utf-8"?>
<ds:datastoreItem xmlns:ds="http://schemas.openxmlformats.org/officeDocument/2006/customXml" ds:itemID="{D8269E3A-63B2-43E2-AF1E-34B567CBD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FD3D5-1CF0-4A35-87F2-9195F339F6FD}">
  <ds:schemaRefs>
    <ds:schemaRef ds:uri="http://schemas.openxmlformats.org/officeDocument/2006/bibliography"/>
  </ds:schemaRefs>
</ds:datastoreItem>
</file>

<file path=customXml/itemProps5.xml><?xml version="1.0" encoding="utf-8"?>
<ds:datastoreItem xmlns:ds="http://schemas.openxmlformats.org/officeDocument/2006/customXml" ds:itemID="{668742E6-F8F0-4C9F-A469-B14309DB1CE6}">
  <ds:schemaRefs>
    <ds:schemaRef ds:uri="http://schemas.microsoft.com/office/2006/metadata/properties"/>
    <ds:schemaRef ds:uri="http://schemas.microsoft.com/office/infopath/2007/PartnerControls"/>
    <ds:schemaRef ds:uri="299abc7f-d377-4404-be4d-881a1d984be2"/>
    <ds:schemaRef ds:uri="f330bf4c-7d0e-4728-ac38-8ec30312c613"/>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2688</Words>
  <Characters>15866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METODIKA K NAVRACENÍ PODPORY 
dle § 7a zákona č. 215/2004 Sb.</vt:lpstr>
    </vt:vector>
  </TitlesOfParts>
  <Company>MZe ČR</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K NAVRACENÍ PODPORY 
dle § 7a zákona č. 215/2004 Sb.</dc:title>
  <dc:subject/>
  <dc:creator>Slaměnová Eva</dc:creator>
  <cp:keywords/>
  <cp:lastModifiedBy>Slaměnová Eva</cp:lastModifiedBy>
  <cp:revision>9</cp:revision>
  <cp:lastPrinted>2025-03-20T07:46:00Z</cp:lastPrinted>
  <dcterms:created xsi:type="dcterms:W3CDTF">2025-10-30T12:25:00Z</dcterms:created>
  <dcterms:modified xsi:type="dcterms:W3CDTF">2025-11-03T10:14:00Z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MSIP_Label_8d01bb0b-c2f5-4fc4-bac5-774fe7d62679_Enabled">
    <vt:lpwstr>true</vt:lpwstr>
  </property>
  <property fmtid="{D5CDD505-2E9C-101B-9397-08002B2CF9AE}" pid="4" name="MSIP_Label_8d01bb0b-c2f5-4fc4-bac5-774fe7d62679_SetDate">
    <vt:lpwstr>2025-03-21T11:12:18Z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f36bc2e5-c145-4100-870c-bf2e3ea5a2b8</vt:lpwstr>
  </property>
  <property fmtid="{D5CDD505-2E9C-101B-9397-08002B2CF9AE}" pid="9" name="MSIP_Label_8d01bb0b-c2f5-4fc4-bac5-774fe7d62679_ContentBits">
    <vt:lpwstr>0</vt:lpwstr>
  </property>
  <property fmtid="{D5CDD505-2E9C-101B-9397-08002B2CF9AE}" pid="10" name="MSIP_Label_8d01bb0b-c2f5-4fc4-bac5-774fe7d62679_Tag">
    <vt:lpwstr>10, 0, 1, 1</vt:lpwstr>
  </property>
  <property fmtid="{D5CDD505-2E9C-101B-9397-08002B2CF9AE}" pid="11" name="MediaServiceImageTags">
    <vt:lpwstr/>
  </property>
  <property fmtid="{D5CDD505-2E9C-101B-9397-08002B2CF9AE}" pid="12" name="ContentTypeId">
    <vt:lpwstr>0x0101009E80F5F6C5CE5F4782D8DC573FB786A0</vt:lpwstr>
  </property>
  <property fmtid="{D5CDD505-2E9C-101B-9397-08002B2CF9AE}" pid="13" name="ComplianceAssetId">
    <vt:lpwstr/>
  </property>
  <property fmtid="{D5CDD505-2E9C-101B-9397-08002B2CF9AE}" pid="14" name="_ExtendedDescription">
    <vt:lpwstr/>
  </property>
  <property fmtid="{D5CDD505-2E9C-101B-9397-08002B2CF9AE}" pid="15" name="_activity">
    <vt:lpwstr>{"FileActivityType":"6","FileActivityTimeStamp":"2025-03-28T11:01:46.687Z","FileActivityUsersOnPage":[{"DisplayName":"Břešťovská Martina","Id":"martina.brestovska@mze.gov.cz"}],"FileActivityNavigationId":null}</vt:lpwstr>
  </property>
  <property fmtid="{D5CDD505-2E9C-101B-9397-08002B2CF9AE}" pid="16" name="TriggerFlowInfo">
    <vt:lpwstr/>
  </property>
</Properties>
</file>