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E910" w14:textId="77777777" w:rsidR="00626A76" w:rsidRDefault="00D47384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2EA5E95E">
          <v:group id="_x0000_s3026" style="position:absolute;left:0;text-align:left;margin-left:-43.25pt;margin-top:-70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3028" type="#_x0000_t75" style="position:absolute;left:670;top:89;width:4092;height:2370;v-text-anchor:top">
              <v:stroke color2="black"/>
              <v:imagedata r:id="rId7" o:title="CMYK2"/>
            </v:shape>
            <v:rect id="_x0000_s3027" style="position:absolute;left:1785;top:1811;width:1626;height:408;v-text-anchor:top" stroked="f" strokecolor="#333">
              <v:textbox inset="0,0,2.50014mm,1.3mm"/>
            </v:rect>
          </v:group>
        </w:pict>
      </w:r>
      <w:r w:rsidR="00970E2D">
        <w:rPr>
          <w:noProof/>
        </w:rPr>
        <mc:AlternateContent>
          <mc:Choice Requires="wps">
            <w:drawing>
              <wp:inline distT="0" distB="0" distL="0" distR="0" wp14:anchorId="2EA5E95F" wp14:editId="2EA5E960">
                <wp:extent cx="1746000" cy="679450"/>
                <wp:effectExtent l="0" t="0" r="0" b="0"/>
                <wp:docPr id="8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79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2EA5E96E" w14:textId="77777777" w:rsidR="00626A76" w:rsidRDefault="00970E2D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MZE-3118/2026-10041</w:t>
                            </w:r>
                          </w:p>
                          <w:p w14:paraId="2EA5E96F" w14:textId="77777777" w:rsidR="00626A76" w:rsidRDefault="00970E2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A5E971" wp14:editId="2EA5E972">
                                  <wp:extent cx="1733550" cy="285750"/>
                                  <wp:effectExtent l="0" t="0" r="0" b="0"/>
                                  <wp:docPr id="9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A5E970" w14:textId="77777777" w:rsidR="00626A76" w:rsidRDefault="00970E2D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mzedms030719632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A5E95F" id="Rectangle" o:spid="_x0000_s1026" style="width:137.5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FLSQIAAJQEAAAOAAAAZHJzL2Uyb0RvYy54bWysVFFPGzEMfp+0/xDlfVxbAd0qrqgCdZqE&#10;AAkmnt1c0jspF2dO2jv26+ckLTC2p2l9SB3H+ex8/nwXl2NvxV5T6NDVcnoykUI7hU3ntrX8/rj+&#10;9FmKEME1YNHpWj7rIC+XHz9cDH6hZ9iibTQJBnFhMfhatjH6RVUF1eoewgl67fjQIPUQeUvbqiEY&#10;GL231WwyOa8GpMYTKh0Ce6/LoVxmfGO0infGBB2FrSXXFvNKed2ktVpewGJL4NtOHcqAf6iih85x&#10;0heoa4ggdtT9AdV3ijCgiScK+wqN6ZTOb+DXTCfvXvPQgtf5LUxO8C80hf8Hq273D/6emIbBh0Vg&#10;M71iNNSnf65PjJms5xey9BiFYud0fno+mTCnis/O519OzzKb1ettTyF+1diLZNSSuBmZI9jfhMgZ&#10;OfQYkpIFtF2z7qzNG9puriyJPXDj1vlX7lrfQvFOOTvnL0ChxGfQ34CsEwMXO5vnUoElZixErrr3&#10;TS2D22bYVMc1hLYgZ4AiDcKda0oK6xj9laVkxXEzHqjbYPN8T4KwSCx4te4Y9AZCvAdiTTFTPCfx&#10;jhdjkWvCgyVFi/Tzb/4Uz63mUykG1ijX+2MHpKWw3xyLIAk6G6dn8xlv6OjdvPW6XX+FzOKUJ9Gr&#10;bKbYaI+mIeyfeIxWKRsfgVOcs5bMUjGvYpkYHkOlV6scxPL1EG/cg1cJOvUskfg4PgH5Q8cja+UW&#10;jyqGxbvGl9h00+FqF9F0WRWJ2MLmgW+Wfu7rYUzTbL3d56jXj8nyFwAAAP//AwBQSwMEFAAGAAgA&#10;AAAhAP0ejTTYAAAABQEAAA8AAABkcnMvZG93bnJldi54bWxMj0FLw0AQhe+C/2EZwZvdtVQrMZsS&#10;LKJ4s9X7NjsmodnZkJ2m6b/v6MVeBh7v8eZ7+WoKnRpxSG0kC/czAwqpir6l2sLX9vXuCVRiR951&#10;kdDCCROsiuur3GU+HukTxw3XSkooZc5Cw9xnWqeqweDSLPZI4v3EITgWOdTaD+4o5aHTc2MedXAt&#10;yYfG9fjSYLXfHIKFj+/hbSr320WJI/N6HeJ7bRbW3t5M5TMoxon/w/CLL+hQCNMuHsgn1VmQIfx3&#10;xZsvH0TuJGSWBnSR60v64gwAAP//AwBQSwECLQAUAAYACAAAACEAtoM4kv4AAADhAQAAEwAAAAAA&#10;AAAAAAAAAAAAAAAAW0NvbnRlbnRfVHlwZXNdLnhtbFBLAQItABQABgAIAAAAIQA4/SH/1gAAAJQB&#10;AAALAAAAAAAAAAAAAAAAAC8BAABfcmVscy8ucmVsc1BLAQItABQABgAIAAAAIQArqqFLSQIAAJQE&#10;AAAOAAAAAAAAAAAAAAAAAC4CAABkcnMvZTJvRG9jLnhtbFBLAQItABQABgAIAAAAIQD9Ho002AAA&#10;AAUBAAAPAAAAAAAAAAAAAAAAAKMEAABkcnMvZG93bnJldi54bWxQSwUGAAAAAAQABADzAAAAqAUA&#10;AAAA&#10;" stroked="f" strokeweight="1pt">
                <v:stroke joinstyle="round"/>
                <v:textbox inset="0,,0">
                  <w:txbxContent>
                    <w:p w14:paraId="2EA5E96E" w14:textId="77777777" w:rsidR="00626A76" w:rsidRDefault="00970E2D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MZE-3118/2026-10041</w:t>
                      </w:r>
                    </w:p>
                    <w:p w14:paraId="2EA5E96F" w14:textId="77777777" w:rsidR="00626A76" w:rsidRDefault="00970E2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A5E971" wp14:editId="2EA5E972">
                            <wp:extent cx="1733550" cy="285750"/>
                            <wp:effectExtent l="0" t="0" r="0" b="0"/>
                            <wp:docPr id="9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A5E970" w14:textId="77777777" w:rsidR="00626A76" w:rsidRDefault="00970E2D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mzedms030719632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EA5E911" w14:textId="77777777" w:rsidR="00626A76" w:rsidRDefault="00970E2D">
      <w:pPr>
        <w:tabs>
          <w:tab w:val="left" w:pos="993"/>
        </w:tabs>
        <w:jc w:val="left"/>
        <w:rPr>
          <w:caps/>
          <w:spacing w:val="8"/>
          <w:sz w:val="20"/>
          <w:szCs w:val="20"/>
        </w:rPr>
      </w:pPr>
      <w:r>
        <w:rPr>
          <w:spacing w:val="8"/>
          <w:sz w:val="20"/>
          <w:szCs w:val="20"/>
        </w:rPr>
        <w:t>SP. ZN.:</w:t>
      </w:r>
      <w:r>
        <w:rPr>
          <w:spacing w:val="8"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 dms_spisova_znacka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MZE-3118/2026-10041</w:t>
      </w:r>
      <w:r>
        <w:rPr>
          <w:sz w:val="20"/>
          <w:szCs w:val="20"/>
        </w:rPr>
        <w:fldChar w:fldCharType="end"/>
      </w:r>
    </w:p>
    <w:p w14:paraId="2EA5E912" w14:textId="77777777" w:rsidR="00626A76" w:rsidRDefault="00970E2D">
      <w:pPr>
        <w:tabs>
          <w:tab w:val="left" w:pos="993"/>
        </w:tabs>
        <w:jc w:val="left"/>
        <w:rPr>
          <w:spacing w:val="8"/>
          <w:sz w:val="20"/>
          <w:szCs w:val="20"/>
        </w:rPr>
      </w:pPr>
      <w:r>
        <w:rPr>
          <w:caps/>
          <w:spacing w:val="8"/>
          <w:sz w:val="20"/>
          <w:szCs w:val="20"/>
        </w:rPr>
        <w:t>Č. J.:</w:t>
      </w:r>
      <w:r>
        <w:rPr>
          <w:caps/>
          <w:spacing w:val="8"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 dms_cj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MZE-3118/2026-10041</w:t>
      </w:r>
      <w:r>
        <w:rPr>
          <w:sz w:val="20"/>
          <w:szCs w:val="20"/>
        </w:rPr>
        <w:fldChar w:fldCharType="end"/>
      </w:r>
    </w:p>
    <w:p w14:paraId="2EA5E913" w14:textId="77777777" w:rsidR="00626A76" w:rsidRDefault="00626A76">
      <w:pPr>
        <w:jc w:val="left"/>
      </w:pPr>
    </w:p>
    <w:p w14:paraId="2EA5E914" w14:textId="77777777" w:rsidR="00626A76" w:rsidRDefault="00626A76">
      <w:pPr>
        <w:jc w:val="left"/>
      </w:pPr>
    </w:p>
    <w:p w14:paraId="2EA5E915" w14:textId="77777777" w:rsidR="00626A76" w:rsidRDefault="00970E2D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Výroční zpráva Ministerstva zemědělství o poskytování informací podle zákona č. 106/1999 Sb., o svobodném přístupu k informacím, ve znění pozdějších </w:t>
      </w:r>
      <w:proofErr w:type="gramStart"/>
      <w:r>
        <w:rPr>
          <w:b/>
          <w:sz w:val="24"/>
          <w:u w:val="single"/>
        </w:rPr>
        <w:t>předpisů - za</w:t>
      </w:r>
      <w:proofErr w:type="gramEnd"/>
      <w:r>
        <w:rPr>
          <w:b/>
          <w:sz w:val="24"/>
          <w:u w:val="single"/>
        </w:rPr>
        <w:t xml:space="preserve"> rok 2025</w:t>
      </w:r>
    </w:p>
    <w:p w14:paraId="2EA5E916" w14:textId="77777777" w:rsidR="00626A76" w:rsidRDefault="00626A76">
      <w:pPr>
        <w:rPr>
          <w:szCs w:val="22"/>
        </w:rPr>
      </w:pPr>
    </w:p>
    <w:p w14:paraId="2EA5E917" w14:textId="77777777" w:rsidR="00626A76" w:rsidRDefault="00626A76">
      <w:pPr>
        <w:rPr>
          <w:szCs w:val="22"/>
        </w:rPr>
      </w:pPr>
    </w:p>
    <w:p w14:paraId="2EA5E918" w14:textId="77777777" w:rsidR="00626A76" w:rsidRDefault="00626A76">
      <w:pPr>
        <w:rPr>
          <w:szCs w:val="22"/>
        </w:rPr>
      </w:pPr>
    </w:p>
    <w:p w14:paraId="2EA5E919" w14:textId="77777777" w:rsidR="00626A76" w:rsidRDefault="00970E2D">
      <w:pPr>
        <w:spacing w:line="276" w:lineRule="auto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072" behindDoc="0" locked="0" layoutInCell="1" allowOverlap="1" wp14:anchorId="2EA5E961" wp14:editId="2EA5E962">
                <wp:simplePos x="0" y="0"/>
                <wp:positionH relativeFrom="page">
                  <wp:posOffset>350520</wp:posOffset>
                </wp:positionH>
                <wp:positionV relativeFrom="page">
                  <wp:posOffset>3529330</wp:posOffset>
                </wp:positionV>
                <wp:extent cx="9525" cy="0"/>
                <wp:effectExtent l="0" t="0" r="0" b="0"/>
                <wp:wrapNone/>
                <wp:docPr id="4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9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dash"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="http://schemas.openxmlformats.org/drawingml/2006/chart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27.6pt;margin-top:277.9pt;width:0.75pt;height:0pt;z-index:3072;mso-position-horizontal-relative:page;mso-position-vertical-relative:page;rotation:180;v-text-anchor:top;mso-wrap-distance-left:0pt;mso-wrap-distance-top:0pt;mso-wrap-distance-right:0pt;mso-wrap-distance-bottom:0pt;" filled="f" strokecolor="#000000" strokeweight="0.5pt">
                <v:stroke dashstyle="dash" linestyle="single" joinstyle="miter" endcap="flat" color2="#000000" startarrow="none" startarrowwidth="narrow" startarrowlength="short" endarrow="none" endarrowwidth="narrow" endarrowlength="short"/>
                <w10:wrap xmlns:w10="urn:schemas-microsoft-com:office:word" anchorx="page" anchory="page"/>
              </v:shape>
            </w:pict>
          </mc:Fallback>
        </mc:AlternateContent>
      </w:r>
      <w:r>
        <w:rPr>
          <w:szCs w:val="22"/>
        </w:rPr>
        <w:t>Ministerstvo zemědělství (dále jen „</w:t>
      </w:r>
      <w:proofErr w:type="spellStart"/>
      <w:r>
        <w:rPr>
          <w:szCs w:val="22"/>
        </w:rPr>
        <w:t>MZe</w:t>
      </w:r>
      <w:proofErr w:type="spellEnd"/>
      <w:r>
        <w:rPr>
          <w:szCs w:val="22"/>
        </w:rPr>
        <w:t xml:space="preserve">“) v souladu s § 18 odst. 1 zákona č. 106/1999 Sb., </w:t>
      </w:r>
      <w:r>
        <w:rPr>
          <w:szCs w:val="22"/>
        </w:rPr>
        <w:br/>
        <w:t>o svobodném přístupu k informacím, ve znění pozdějších předpisů (dále jen „</w:t>
      </w:r>
      <w:proofErr w:type="spellStart"/>
      <w:r>
        <w:rPr>
          <w:szCs w:val="22"/>
        </w:rPr>
        <w:t>InfZ</w:t>
      </w:r>
      <w:proofErr w:type="spellEnd"/>
      <w:r>
        <w:rPr>
          <w:szCs w:val="22"/>
        </w:rPr>
        <w:t>“), tímto zveřejňuje výroční zprávu za rok 2025 o své činnosti v oblasti poskytování informací podle citovaného zákona a poskytuje následující údaje:</w:t>
      </w:r>
    </w:p>
    <w:p w14:paraId="2EA5E91A" w14:textId="77777777" w:rsidR="00626A76" w:rsidRDefault="00970E2D">
      <w:pPr>
        <w:numPr>
          <w:ilvl w:val="0"/>
          <w:numId w:val="18"/>
        </w:numPr>
        <w:spacing w:before="240" w:line="276" w:lineRule="auto"/>
        <w:ind w:left="357" w:hanging="357"/>
        <w:rPr>
          <w:szCs w:val="22"/>
        </w:rPr>
      </w:pPr>
      <w:r>
        <w:rPr>
          <w:szCs w:val="22"/>
        </w:rPr>
        <w:t xml:space="preserve">Na </w:t>
      </w:r>
      <w:proofErr w:type="spellStart"/>
      <w:r>
        <w:rPr>
          <w:szCs w:val="22"/>
        </w:rPr>
        <w:t>MZe</w:t>
      </w:r>
      <w:proofErr w:type="spellEnd"/>
      <w:r>
        <w:rPr>
          <w:szCs w:val="22"/>
        </w:rPr>
        <w:t xml:space="preserve"> bylo podáno celkem 216   žádostí o informace ve smyslu </w:t>
      </w:r>
      <w:proofErr w:type="spellStart"/>
      <w:r>
        <w:rPr>
          <w:szCs w:val="22"/>
        </w:rPr>
        <w:t>InfZ</w:t>
      </w:r>
      <w:proofErr w:type="spellEnd"/>
      <w:r>
        <w:rPr>
          <w:szCs w:val="22"/>
        </w:rPr>
        <w:t xml:space="preserve">. Vydáno bylo celkem 18 rozhodnutí o odmítnutí žádosti nebo o odmítnutí části žádosti podle § 15 </w:t>
      </w:r>
      <w:proofErr w:type="spellStart"/>
      <w:r>
        <w:rPr>
          <w:szCs w:val="22"/>
        </w:rPr>
        <w:t>InfZ</w:t>
      </w:r>
      <w:proofErr w:type="spellEnd"/>
      <w:r>
        <w:rPr>
          <w:szCs w:val="22"/>
        </w:rPr>
        <w:t>.</w:t>
      </w:r>
    </w:p>
    <w:p w14:paraId="2EA5E91B" w14:textId="77777777" w:rsidR="00626A76" w:rsidRDefault="00970E2D">
      <w:pPr>
        <w:numPr>
          <w:ilvl w:val="0"/>
          <w:numId w:val="18"/>
        </w:numPr>
        <w:spacing w:before="240" w:line="276" w:lineRule="auto"/>
        <w:ind w:left="357" w:hanging="357"/>
        <w:rPr>
          <w:szCs w:val="22"/>
        </w:rPr>
      </w:pPr>
      <w:r>
        <w:rPr>
          <w:szCs w:val="22"/>
        </w:rPr>
        <w:t xml:space="preserve">Proti rozhodnutí </w:t>
      </w:r>
      <w:proofErr w:type="spellStart"/>
      <w:r>
        <w:rPr>
          <w:szCs w:val="22"/>
        </w:rPr>
        <w:t>MZe</w:t>
      </w:r>
      <w:proofErr w:type="spellEnd"/>
      <w:r>
        <w:rPr>
          <w:szCs w:val="22"/>
        </w:rPr>
        <w:t xml:space="preserve"> bylo podáno 6 rozkladů a vydáno 6 rozhodnutí o rozkladu.</w:t>
      </w:r>
    </w:p>
    <w:p w14:paraId="2EA5E91C" w14:textId="77777777" w:rsidR="00626A76" w:rsidRDefault="00970E2D">
      <w:pPr>
        <w:numPr>
          <w:ilvl w:val="0"/>
          <w:numId w:val="18"/>
        </w:numPr>
        <w:spacing w:before="240" w:line="276" w:lineRule="auto"/>
        <w:ind w:left="357" w:hanging="357"/>
        <w:rPr>
          <w:szCs w:val="22"/>
        </w:rPr>
      </w:pPr>
      <w:r>
        <w:rPr>
          <w:szCs w:val="22"/>
        </w:rPr>
        <w:t>Byly vydány 4 rozsudky soudu ve věci přezkoumání zákonnosti rozhodnutí povinného subjektu o odmítnutí žádosti o poskytnutí informace.</w:t>
      </w:r>
    </w:p>
    <w:p w14:paraId="2EA5E91D" w14:textId="77777777" w:rsidR="00626A76" w:rsidRDefault="00970E2D">
      <w:pPr>
        <w:numPr>
          <w:ilvl w:val="0"/>
          <w:numId w:val="18"/>
        </w:numPr>
        <w:spacing w:before="240" w:after="240" w:line="276" w:lineRule="auto"/>
        <w:ind w:left="357" w:hanging="357"/>
        <w:rPr>
          <w:szCs w:val="22"/>
        </w:rPr>
      </w:pPr>
      <w:r>
        <w:rPr>
          <w:szCs w:val="22"/>
        </w:rPr>
        <w:t>Nebyla poskytnuta žádná výhradní licence.</w:t>
      </w:r>
    </w:p>
    <w:p w14:paraId="2EA5E91E" w14:textId="77777777" w:rsidR="00626A76" w:rsidRDefault="00970E2D">
      <w:pPr>
        <w:numPr>
          <w:ilvl w:val="0"/>
          <w:numId w:val="18"/>
        </w:numPr>
        <w:spacing w:line="276" w:lineRule="auto"/>
        <w:ind w:left="357" w:hanging="357"/>
        <w:rPr>
          <w:szCs w:val="22"/>
        </w:rPr>
      </w:pPr>
      <w:r>
        <w:rPr>
          <w:szCs w:val="22"/>
        </w:rPr>
        <w:t xml:space="preserve">Bylo podáno celkem 18 stížností podle § 16a </w:t>
      </w:r>
      <w:proofErr w:type="spellStart"/>
      <w:r>
        <w:rPr>
          <w:szCs w:val="22"/>
        </w:rPr>
        <w:t>InfZ</w:t>
      </w:r>
      <w:proofErr w:type="spellEnd"/>
      <w:r>
        <w:rPr>
          <w:szCs w:val="22"/>
        </w:rPr>
        <w:t xml:space="preserve">, z toho 7 proti </w:t>
      </w:r>
      <w:proofErr w:type="spellStart"/>
      <w:r>
        <w:rPr>
          <w:szCs w:val="22"/>
        </w:rPr>
        <w:t>MZe</w:t>
      </w:r>
      <w:proofErr w:type="spellEnd"/>
      <w:r>
        <w:rPr>
          <w:szCs w:val="22"/>
        </w:rPr>
        <w:t xml:space="preserve">. Všechny stížnosti proti </w:t>
      </w:r>
      <w:proofErr w:type="spellStart"/>
      <w:r>
        <w:rPr>
          <w:szCs w:val="22"/>
        </w:rPr>
        <w:t>MZe</w:t>
      </w:r>
      <w:proofErr w:type="spellEnd"/>
      <w:r>
        <w:rPr>
          <w:szCs w:val="22"/>
        </w:rPr>
        <w:t xml:space="preserve"> byly podány na postup při vyřizování žádostí o informace. Jedna byla vyhodnocena jako opožděná a dvě jako nedůvodné, u dvou byl potvrzen postup </w:t>
      </w:r>
      <w:proofErr w:type="spellStart"/>
      <w:r>
        <w:rPr>
          <w:szCs w:val="22"/>
        </w:rPr>
        <w:t>MZe</w:t>
      </w:r>
      <w:proofErr w:type="spellEnd"/>
      <w:r>
        <w:rPr>
          <w:szCs w:val="22"/>
        </w:rPr>
        <w:t xml:space="preserve"> </w:t>
      </w:r>
      <w:r>
        <w:rPr>
          <w:szCs w:val="22"/>
        </w:rPr>
        <w:br/>
        <w:t>(z toho 1 byla stížnost proti odložení žádosti), u 1 byla část informace poskytnuta v </w:t>
      </w:r>
      <w:proofErr w:type="spellStart"/>
      <w:r>
        <w:rPr>
          <w:szCs w:val="22"/>
        </w:rPr>
        <w:t>autoremeduře</w:t>
      </w:r>
      <w:proofErr w:type="spellEnd"/>
      <w:r>
        <w:rPr>
          <w:szCs w:val="22"/>
        </w:rPr>
        <w:t xml:space="preserve"> a u zbývající jedné bylo v </w:t>
      </w:r>
      <w:proofErr w:type="spellStart"/>
      <w:r>
        <w:rPr>
          <w:szCs w:val="22"/>
        </w:rPr>
        <w:t>autoremeduře</w:t>
      </w:r>
      <w:proofErr w:type="spellEnd"/>
      <w:r>
        <w:rPr>
          <w:szCs w:val="22"/>
        </w:rPr>
        <w:t xml:space="preserve"> vydáno rozhodnutí </w:t>
      </w:r>
      <w:r>
        <w:rPr>
          <w:szCs w:val="22"/>
        </w:rPr>
        <w:br/>
        <w:t xml:space="preserve">o odmítnutí žádosti. </w:t>
      </w:r>
    </w:p>
    <w:p w14:paraId="2EA5E91F" w14:textId="21E71022" w:rsidR="00626A76" w:rsidRDefault="00970E2D">
      <w:pPr>
        <w:spacing w:line="276" w:lineRule="auto"/>
        <w:ind w:left="357"/>
        <w:rPr>
          <w:szCs w:val="22"/>
        </w:rPr>
      </w:pPr>
      <w:r>
        <w:rPr>
          <w:szCs w:val="22"/>
        </w:rPr>
        <w:t xml:space="preserve">11 stížností bylo postoupeno </w:t>
      </w:r>
      <w:proofErr w:type="spellStart"/>
      <w:r>
        <w:rPr>
          <w:szCs w:val="22"/>
        </w:rPr>
        <w:t>MZe</w:t>
      </w:r>
      <w:proofErr w:type="spellEnd"/>
      <w:r>
        <w:rPr>
          <w:szCs w:val="22"/>
        </w:rPr>
        <w:t xml:space="preserve"> jako nadřízenému orgánu. Důvodem tří stížností byl nesouhlas s výší úhrady, která byla ve všech případech potvrzena, a 2 byly současně na výši úhrady a postup povinného subjektu, kdy výše úhrady i postup byly potvrzeny. </w:t>
      </w:r>
      <w:r>
        <w:rPr>
          <w:szCs w:val="22"/>
        </w:rPr>
        <w:br/>
        <w:t>U jedné stížnosti byl postup povinného subjektu potvrzen a</w:t>
      </w:r>
      <w:r w:rsidR="00D47384">
        <w:rPr>
          <w:szCs w:val="22"/>
        </w:rPr>
        <w:t xml:space="preserve"> </w:t>
      </w:r>
      <w:r>
        <w:rPr>
          <w:szCs w:val="22"/>
        </w:rPr>
        <w:t xml:space="preserve">u jedné potvrzen postup při prodloužení lhůty. U jedné stížnosti </w:t>
      </w:r>
      <w:proofErr w:type="spellStart"/>
      <w:r>
        <w:rPr>
          <w:szCs w:val="22"/>
        </w:rPr>
        <w:t>MZe</w:t>
      </w:r>
      <w:proofErr w:type="spellEnd"/>
      <w:r>
        <w:rPr>
          <w:szCs w:val="22"/>
        </w:rPr>
        <w:t xml:space="preserve"> věc převzalo a informaci poskytlo. Jedna stížnost byla vyhodnocena jako opožděná a dvě byly předány nesprávně a usnesením postoupeny.</w:t>
      </w:r>
    </w:p>
    <w:p w14:paraId="2EA5E920" w14:textId="77777777" w:rsidR="00626A76" w:rsidRDefault="00970E2D">
      <w:pPr>
        <w:numPr>
          <w:ilvl w:val="0"/>
          <w:numId w:val="18"/>
        </w:numPr>
        <w:spacing w:before="240" w:line="276" w:lineRule="auto"/>
        <w:ind w:left="357" w:hanging="357"/>
        <w:rPr>
          <w:szCs w:val="22"/>
        </w:rPr>
      </w:pPr>
      <w:r>
        <w:rPr>
          <w:szCs w:val="22"/>
        </w:rPr>
        <w:t xml:space="preserve">Na </w:t>
      </w:r>
      <w:proofErr w:type="spellStart"/>
      <w:r>
        <w:rPr>
          <w:szCs w:val="22"/>
        </w:rPr>
        <w:t>MZe</w:t>
      </w:r>
      <w:proofErr w:type="spellEnd"/>
      <w:r>
        <w:rPr>
          <w:szCs w:val="22"/>
        </w:rPr>
        <w:t xml:space="preserve"> bylo postoupeno 11 odvolání podřízenými organizacemi a vydáno 11 rozhodnutí </w:t>
      </w:r>
      <w:r>
        <w:br/>
      </w:r>
      <w:r>
        <w:rPr>
          <w:szCs w:val="22"/>
        </w:rPr>
        <w:t xml:space="preserve">o odvolání nadřízeného orgánu. </w:t>
      </w:r>
    </w:p>
    <w:p w14:paraId="2EA5E921" w14:textId="77777777" w:rsidR="00626A76" w:rsidRDefault="00970E2D">
      <w:pPr>
        <w:spacing w:before="240" w:line="276" w:lineRule="auto"/>
        <w:ind w:left="426"/>
        <w:rPr>
          <w:szCs w:val="22"/>
        </w:rPr>
      </w:pPr>
      <w:r>
        <w:rPr>
          <w:szCs w:val="22"/>
        </w:rPr>
        <w:t>V roce 2025 byly požadovány 2 úhrady za poskytnutí informace a žádná nebyla uhrazena.</w:t>
      </w:r>
    </w:p>
    <w:p w14:paraId="2EA5E922" w14:textId="77777777" w:rsidR="00626A76" w:rsidRDefault="00626A76">
      <w:pPr>
        <w:spacing w:before="240" w:line="276" w:lineRule="auto"/>
        <w:ind w:left="426"/>
        <w:rPr>
          <w:szCs w:val="22"/>
        </w:rPr>
      </w:pPr>
    </w:p>
    <w:p w14:paraId="2EA5E923" w14:textId="77777777" w:rsidR="00626A76" w:rsidRDefault="00970E2D">
      <w:pPr>
        <w:spacing w:before="240" w:line="276" w:lineRule="auto"/>
        <w:ind w:left="426"/>
        <w:rPr>
          <w:szCs w:val="22"/>
        </w:rPr>
      </w:pPr>
      <w:r>
        <w:rPr>
          <w:szCs w:val="22"/>
        </w:rPr>
        <w:lastRenderedPageBreak/>
        <w:t xml:space="preserve"> </w:t>
      </w:r>
    </w:p>
    <w:tbl>
      <w:tblPr>
        <w:tblW w:w="7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2595"/>
      </w:tblGrid>
      <w:tr w:rsidR="00626A76" w14:paraId="2EA5E925" w14:textId="77777777">
        <w:trPr>
          <w:trHeight w:val="1134"/>
          <w:jc w:val="center"/>
        </w:trPr>
        <w:tc>
          <w:tcPr>
            <w:tcW w:w="7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A5E924" w14:textId="77777777" w:rsidR="00626A76" w:rsidRDefault="00970E2D">
            <w:pPr>
              <w:spacing w:before="240" w:line="276" w:lineRule="auto"/>
              <w:ind w:left="426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Přehled o poskytování informací podle zákona č. 106/1999 Sb. – </w:t>
            </w:r>
            <w:r>
              <w:rPr>
                <w:bCs/>
                <w:szCs w:val="22"/>
              </w:rPr>
              <w:br/>
              <w:t>za rok 2025</w:t>
            </w:r>
          </w:p>
        </w:tc>
      </w:tr>
      <w:tr w:rsidR="00626A76" w14:paraId="2EA5E928" w14:textId="77777777">
        <w:trPr>
          <w:trHeight w:val="1110"/>
          <w:jc w:val="center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A5E926" w14:textId="77777777" w:rsidR="00626A76" w:rsidRDefault="00970E2D">
            <w:pPr>
              <w:spacing w:before="240" w:line="276" w:lineRule="auto"/>
              <w:ind w:left="426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podaných žádostí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E927" w14:textId="77777777" w:rsidR="00626A76" w:rsidRDefault="00970E2D">
            <w:pPr>
              <w:spacing w:before="240" w:line="276" w:lineRule="auto"/>
              <w:ind w:left="426"/>
              <w:rPr>
                <w:bCs/>
                <w:szCs w:val="22"/>
              </w:rPr>
            </w:pPr>
            <w:r>
              <w:rPr>
                <w:bCs/>
                <w:szCs w:val="22"/>
              </w:rPr>
              <w:t>216</w:t>
            </w:r>
          </w:p>
        </w:tc>
      </w:tr>
      <w:tr w:rsidR="00626A76" w14:paraId="2EA5E92C" w14:textId="77777777">
        <w:trPr>
          <w:trHeight w:val="1110"/>
          <w:jc w:val="center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EA5E929" w14:textId="77777777" w:rsidR="00626A76" w:rsidRDefault="00970E2D">
            <w:pPr>
              <w:spacing w:before="240" w:line="276" w:lineRule="auto"/>
              <w:ind w:left="426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Počet rozhodnutí o odmítnutí žádosti </w:t>
            </w:r>
          </w:p>
          <w:p w14:paraId="2EA5E92A" w14:textId="77777777" w:rsidR="00626A76" w:rsidRDefault="00626A76">
            <w:pPr>
              <w:spacing w:before="240" w:line="276" w:lineRule="auto"/>
              <w:ind w:left="426"/>
              <w:rPr>
                <w:bCs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E92B" w14:textId="77777777" w:rsidR="00626A76" w:rsidRDefault="00970E2D">
            <w:pPr>
              <w:spacing w:before="240" w:line="276" w:lineRule="auto"/>
              <w:ind w:left="426"/>
              <w:rPr>
                <w:bCs/>
                <w:szCs w:val="22"/>
              </w:rPr>
            </w:pPr>
            <w:r>
              <w:rPr>
                <w:bCs/>
                <w:szCs w:val="22"/>
              </w:rPr>
              <w:t>18</w:t>
            </w:r>
          </w:p>
        </w:tc>
      </w:tr>
      <w:tr w:rsidR="00626A76" w14:paraId="2EA5E930" w14:textId="77777777">
        <w:trPr>
          <w:trHeight w:val="1110"/>
          <w:jc w:val="center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A5E92D" w14:textId="77777777" w:rsidR="00626A76" w:rsidRDefault="00970E2D">
            <w:pPr>
              <w:spacing w:before="240" w:line="276" w:lineRule="auto"/>
              <w:ind w:left="426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Počet odvolání proti rozhodnutí </w:t>
            </w:r>
            <w:proofErr w:type="spellStart"/>
            <w:r>
              <w:rPr>
                <w:bCs/>
                <w:szCs w:val="22"/>
              </w:rPr>
              <w:t>MZe</w:t>
            </w:r>
            <w:proofErr w:type="spellEnd"/>
            <w:r>
              <w:rPr>
                <w:bCs/>
                <w:szCs w:val="22"/>
              </w:rPr>
              <w:t xml:space="preserve"> /</w:t>
            </w:r>
          </w:p>
          <w:p w14:paraId="2EA5E92E" w14:textId="77777777" w:rsidR="00626A76" w:rsidRDefault="00970E2D">
            <w:pPr>
              <w:spacing w:before="240" w:line="276" w:lineRule="auto"/>
              <w:ind w:left="426"/>
              <w:rPr>
                <w:bCs/>
                <w:szCs w:val="22"/>
              </w:rPr>
            </w:pPr>
            <w:r>
              <w:rPr>
                <w:bCs/>
                <w:szCs w:val="22"/>
              </w:rPr>
              <w:t>podřízených organizací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E92F" w14:textId="3862B95A" w:rsidR="00626A76" w:rsidRDefault="00970E2D">
            <w:pPr>
              <w:spacing w:before="240" w:line="276" w:lineRule="auto"/>
              <w:ind w:left="426"/>
              <w:rPr>
                <w:bCs/>
                <w:szCs w:val="22"/>
              </w:rPr>
            </w:pPr>
            <w:r>
              <w:rPr>
                <w:bCs/>
                <w:szCs w:val="22"/>
              </w:rPr>
              <w:t>6</w:t>
            </w:r>
            <w:r w:rsidR="00D47384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/ 11</w:t>
            </w:r>
          </w:p>
        </w:tc>
      </w:tr>
      <w:tr w:rsidR="00626A76" w14:paraId="2EA5E933" w14:textId="77777777">
        <w:trPr>
          <w:trHeight w:val="1110"/>
          <w:jc w:val="center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A5E931" w14:textId="77777777" w:rsidR="00626A76" w:rsidRDefault="00970E2D">
            <w:pPr>
              <w:spacing w:before="240" w:line="276" w:lineRule="auto"/>
              <w:ind w:left="426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rozhodnutí o rozkladu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E932" w14:textId="77777777" w:rsidR="00626A76" w:rsidRDefault="00970E2D">
            <w:pPr>
              <w:spacing w:before="240" w:line="276" w:lineRule="auto"/>
              <w:ind w:left="426"/>
              <w:rPr>
                <w:bCs/>
                <w:szCs w:val="22"/>
              </w:rPr>
            </w:pPr>
            <w:r>
              <w:rPr>
                <w:bCs/>
                <w:szCs w:val="22"/>
              </w:rPr>
              <w:t>6</w:t>
            </w:r>
          </w:p>
        </w:tc>
      </w:tr>
      <w:tr w:rsidR="00626A76" w14:paraId="2EA5E936" w14:textId="77777777">
        <w:trPr>
          <w:trHeight w:val="1110"/>
          <w:jc w:val="center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A5E934" w14:textId="77777777" w:rsidR="00626A76" w:rsidRDefault="00970E2D">
            <w:pPr>
              <w:spacing w:before="240" w:line="276" w:lineRule="auto"/>
              <w:ind w:left="426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Počet rozhodnutí o odvoláních postoupených </w:t>
            </w:r>
            <w:proofErr w:type="spellStart"/>
            <w:r>
              <w:rPr>
                <w:bCs/>
                <w:szCs w:val="22"/>
              </w:rPr>
              <w:t>MZe</w:t>
            </w:r>
            <w:proofErr w:type="spellEnd"/>
            <w:r>
              <w:rPr>
                <w:bCs/>
                <w:szCs w:val="22"/>
              </w:rPr>
              <w:t xml:space="preserve"> jako nadřízenému orgánu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E935" w14:textId="77777777" w:rsidR="00626A76" w:rsidRDefault="00970E2D">
            <w:pPr>
              <w:spacing w:before="240" w:line="276" w:lineRule="auto"/>
              <w:ind w:left="426"/>
              <w:rPr>
                <w:bCs/>
                <w:szCs w:val="22"/>
              </w:rPr>
            </w:pPr>
            <w:r>
              <w:rPr>
                <w:bCs/>
                <w:szCs w:val="22"/>
              </w:rPr>
              <w:t>11</w:t>
            </w:r>
          </w:p>
        </w:tc>
      </w:tr>
      <w:tr w:rsidR="00626A76" w14:paraId="2EA5E939" w14:textId="77777777">
        <w:trPr>
          <w:trHeight w:val="1110"/>
          <w:jc w:val="center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A5E937" w14:textId="77777777" w:rsidR="00626A76" w:rsidRDefault="00970E2D">
            <w:pPr>
              <w:spacing w:before="240" w:line="276" w:lineRule="auto"/>
              <w:ind w:left="426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rozsudků soudu ve věci přezkoumání zákonnosti rozhodnutí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E938" w14:textId="77777777" w:rsidR="00626A76" w:rsidRDefault="00970E2D">
            <w:pPr>
              <w:spacing w:before="240" w:line="276" w:lineRule="auto"/>
              <w:ind w:left="426"/>
              <w:rPr>
                <w:bCs/>
                <w:szCs w:val="22"/>
              </w:rPr>
            </w:pPr>
            <w:r>
              <w:rPr>
                <w:bCs/>
                <w:szCs w:val="22"/>
              </w:rPr>
              <w:t>4</w:t>
            </w:r>
          </w:p>
        </w:tc>
      </w:tr>
      <w:tr w:rsidR="00626A76" w14:paraId="2EA5E93C" w14:textId="77777777">
        <w:trPr>
          <w:trHeight w:val="1110"/>
          <w:jc w:val="center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A5E93A" w14:textId="77777777" w:rsidR="00626A76" w:rsidRDefault="00970E2D">
            <w:pPr>
              <w:spacing w:before="240" w:line="276" w:lineRule="auto"/>
              <w:ind w:left="426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Počet stížností / z toho stížností postoupených </w:t>
            </w:r>
            <w:proofErr w:type="spellStart"/>
            <w:r>
              <w:rPr>
                <w:bCs/>
                <w:szCs w:val="22"/>
              </w:rPr>
              <w:t>MZe</w:t>
            </w:r>
            <w:proofErr w:type="spellEnd"/>
            <w:r>
              <w:rPr>
                <w:bCs/>
                <w:szCs w:val="22"/>
              </w:rPr>
              <w:t xml:space="preserve"> jako nadřízenému orgánu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E93B" w14:textId="77777777" w:rsidR="00626A76" w:rsidRDefault="00970E2D">
            <w:pPr>
              <w:spacing w:before="240" w:line="276" w:lineRule="auto"/>
              <w:ind w:left="426"/>
              <w:rPr>
                <w:bCs/>
                <w:szCs w:val="22"/>
              </w:rPr>
            </w:pPr>
            <w:r>
              <w:rPr>
                <w:bCs/>
                <w:szCs w:val="22"/>
              </w:rPr>
              <w:t>18 / 11</w:t>
            </w:r>
          </w:p>
        </w:tc>
      </w:tr>
      <w:tr w:rsidR="00626A76" w14:paraId="2EA5E93F" w14:textId="77777777">
        <w:trPr>
          <w:trHeight w:val="1110"/>
          <w:jc w:val="center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A5E93D" w14:textId="77777777" w:rsidR="00626A76" w:rsidRDefault="00970E2D">
            <w:pPr>
              <w:spacing w:before="240" w:line="276" w:lineRule="auto"/>
              <w:ind w:left="426"/>
              <w:rPr>
                <w:bCs/>
                <w:szCs w:val="22"/>
              </w:rPr>
            </w:pPr>
            <w:r>
              <w:rPr>
                <w:bCs/>
                <w:szCs w:val="22"/>
              </w:rPr>
              <w:t>Počet požadovaných / zaplacených úhrad za poskytnutí informace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E93E" w14:textId="77777777" w:rsidR="00626A76" w:rsidRDefault="00970E2D">
            <w:pPr>
              <w:spacing w:before="240" w:line="276" w:lineRule="auto"/>
              <w:ind w:left="426"/>
              <w:rPr>
                <w:bCs/>
                <w:szCs w:val="22"/>
              </w:rPr>
            </w:pPr>
            <w:r>
              <w:rPr>
                <w:bCs/>
                <w:szCs w:val="22"/>
              </w:rPr>
              <w:t>2 / 0</w:t>
            </w:r>
          </w:p>
        </w:tc>
      </w:tr>
      <w:tr w:rsidR="00626A76" w14:paraId="2EA5E942" w14:textId="77777777">
        <w:trPr>
          <w:trHeight w:val="1110"/>
          <w:jc w:val="center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A5E940" w14:textId="77777777" w:rsidR="00626A76" w:rsidRDefault="00970E2D">
            <w:pPr>
              <w:spacing w:before="240" w:line="276" w:lineRule="auto"/>
              <w:ind w:left="426"/>
              <w:rPr>
                <w:bCs/>
                <w:szCs w:val="22"/>
              </w:rPr>
            </w:pPr>
            <w:r>
              <w:rPr>
                <w:bCs/>
                <w:szCs w:val="22"/>
              </w:rPr>
              <w:t>Celková suma úhrad (v Kč)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E941" w14:textId="77777777" w:rsidR="00626A76" w:rsidRDefault="00970E2D">
            <w:pPr>
              <w:spacing w:before="240" w:line="276" w:lineRule="auto"/>
              <w:ind w:left="426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0 </w:t>
            </w:r>
          </w:p>
        </w:tc>
      </w:tr>
    </w:tbl>
    <w:p w14:paraId="2EA5E943" w14:textId="77777777" w:rsidR="00626A76" w:rsidRDefault="00626A76">
      <w:pPr>
        <w:spacing w:before="240" w:line="276" w:lineRule="auto"/>
        <w:ind w:left="426"/>
        <w:rPr>
          <w:bCs/>
          <w:szCs w:val="22"/>
        </w:rPr>
      </w:pPr>
    </w:p>
    <w:p w14:paraId="2EA5E944" w14:textId="77777777" w:rsidR="00626A76" w:rsidRDefault="00626A76">
      <w:pPr>
        <w:spacing w:before="240" w:line="276" w:lineRule="auto"/>
        <w:ind w:left="426"/>
        <w:rPr>
          <w:bCs/>
          <w:szCs w:val="22"/>
        </w:rPr>
      </w:pPr>
    </w:p>
    <w:p w14:paraId="2EA5E945" w14:textId="77777777" w:rsidR="00626A76" w:rsidRDefault="00626A76">
      <w:pPr>
        <w:spacing w:before="240" w:line="276" w:lineRule="auto"/>
        <w:rPr>
          <w:bCs/>
          <w:szCs w:val="22"/>
        </w:rPr>
      </w:pPr>
    </w:p>
    <w:p w14:paraId="2EA5E946" w14:textId="77777777" w:rsidR="00626A76" w:rsidRDefault="00970E2D">
      <w:pPr>
        <w:spacing w:before="240" w:line="276" w:lineRule="auto"/>
        <w:rPr>
          <w:bCs/>
          <w:szCs w:val="22"/>
        </w:rPr>
      </w:pPr>
      <w:r>
        <w:rPr>
          <w:bCs/>
          <w:szCs w:val="22"/>
        </w:rPr>
        <w:lastRenderedPageBreak/>
        <w:t>Žádosti o informace se týkaly především:</w:t>
      </w:r>
    </w:p>
    <w:p w14:paraId="2EA5E947" w14:textId="77777777" w:rsidR="00626A76" w:rsidRDefault="00970E2D">
      <w:pPr>
        <w:numPr>
          <w:ilvl w:val="1"/>
          <w:numId w:val="19"/>
        </w:numPr>
        <w:tabs>
          <w:tab w:val="clear" w:pos="1440"/>
          <w:tab w:val="num" w:pos="426"/>
        </w:tabs>
        <w:spacing w:before="240" w:line="360" w:lineRule="auto"/>
        <w:ind w:left="426" w:hanging="426"/>
        <w:rPr>
          <w:bCs/>
          <w:szCs w:val="22"/>
        </w:rPr>
      </w:pPr>
      <w:r>
        <w:rPr>
          <w:bCs/>
          <w:szCs w:val="22"/>
        </w:rPr>
        <w:t xml:space="preserve">oblasti vodního hospodářství – evidence vodovodů a kanalizací, výpočtu vodného </w:t>
      </w:r>
      <w:r>
        <w:rPr>
          <w:bCs/>
          <w:szCs w:val="22"/>
        </w:rPr>
        <w:br/>
        <w:t xml:space="preserve">a stočného, ČOV, vodního díla Nové Heřminovy, výstavby vodovodů, Povodí, oprav rybníků; </w:t>
      </w:r>
    </w:p>
    <w:p w14:paraId="2EA5E948" w14:textId="77777777" w:rsidR="00626A76" w:rsidRDefault="00970E2D">
      <w:pPr>
        <w:numPr>
          <w:ilvl w:val="1"/>
          <w:numId w:val="19"/>
        </w:numPr>
        <w:tabs>
          <w:tab w:val="clear" w:pos="1440"/>
          <w:tab w:val="num" w:pos="426"/>
        </w:tabs>
        <w:spacing w:line="360" w:lineRule="auto"/>
        <w:ind w:left="426" w:hanging="426"/>
        <w:rPr>
          <w:bCs/>
          <w:szCs w:val="22"/>
        </w:rPr>
      </w:pPr>
      <w:r>
        <w:rPr>
          <w:bCs/>
          <w:szCs w:val="22"/>
        </w:rPr>
        <w:t>personální politiky – odměňování, benefitů, služebního hodnocení, pracovních pozic, stáží;</w:t>
      </w:r>
    </w:p>
    <w:p w14:paraId="2EA5E949" w14:textId="77777777" w:rsidR="00626A76" w:rsidRDefault="00970E2D">
      <w:pPr>
        <w:numPr>
          <w:ilvl w:val="1"/>
          <w:numId w:val="19"/>
        </w:numPr>
        <w:spacing w:line="360" w:lineRule="auto"/>
        <w:ind w:left="426" w:hanging="426"/>
        <w:rPr>
          <w:bCs/>
          <w:szCs w:val="22"/>
        </w:rPr>
      </w:pPr>
      <w:r>
        <w:rPr>
          <w:bCs/>
          <w:szCs w:val="22"/>
        </w:rPr>
        <w:t>poskytnutí stanovisek, analýz ke střetu zájmů a vymáhání dotací poskytnutých společnostem koncernu Agrofert;</w:t>
      </w:r>
    </w:p>
    <w:p w14:paraId="2EA5E94A" w14:textId="77777777" w:rsidR="00626A76" w:rsidRDefault="00970E2D">
      <w:pPr>
        <w:numPr>
          <w:ilvl w:val="1"/>
          <w:numId w:val="19"/>
        </w:numPr>
        <w:spacing w:line="360" w:lineRule="auto"/>
        <w:ind w:left="426" w:hanging="426"/>
        <w:rPr>
          <w:bCs/>
          <w:szCs w:val="22"/>
        </w:rPr>
      </w:pPr>
      <w:r>
        <w:rPr>
          <w:bCs/>
          <w:szCs w:val="22"/>
        </w:rPr>
        <w:t xml:space="preserve">živočišných komodit – evidence zvířat, úhynů </w:t>
      </w:r>
      <w:proofErr w:type="gramStart"/>
      <w:r>
        <w:rPr>
          <w:bCs/>
          <w:szCs w:val="22"/>
        </w:rPr>
        <w:t>zvířat - SLAK</w:t>
      </w:r>
      <w:proofErr w:type="gramEnd"/>
      <w:r>
        <w:rPr>
          <w:bCs/>
          <w:szCs w:val="22"/>
        </w:rPr>
        <w:t>, plemenitby a šlechtitelských programů (Česká slepice), vývozu zvířat;</w:t>
      </w:r>
    </w:p>
    <w:p w14:paraId="2EA5E94B" w14:textId="77777777" w:rsidR="00626A76" w:rsidRDefault="00970E2D">
      <w:pPr>
        <w:numPr>
          <w:ilvl w:val="1"/>
          <w:numId w:val="19"/>
        </w:numPr>
        <w:spacing w:line="360" w:lineRule="auto"/>
        <w:ind w:left="426" w:hanging="426"/>
        <w:rPr>
          <w:bCs/>
          <w:szCs w:val="22"/>
        </w:rPr>
      </w:pPr>
      <w:r>
        <w:rPr>
          <w:bCs/>
          <w:szCs w:val="22"/>
        </w:rPr>
        <w:t>přehledu vyplacených dotací, podpor a jiných finančních příspěvků, metodik, alokace;</w:t>
      </w:r>
    </w:p>
    <w:p w14:paraId="2EA5E94C" w14:textId="77777777" w:rsidR="00626A76" w:rsidRDefault="00970E2D">
      <w:pPr>
        <w:numPr>
          <w:ilvl w:val="1"/>
          <w:numId w:val="19"/>
        </w:numPr>
        <w:spacing w:line="360" w:lineRule="auto"/>
        <w:ind w:left="426" w:hanging="426"/>
        <w:rPr>
          <w:bCs/>
          <w:szCs w:val="22"/>
        </w:rPr>
      </w:pPr>
      <w:r>
        <w:rPr>
          <w:bCs/>
          <w:szCs w:val="22"/>
        </w:rPr>
        <w:t xml:space="preserve">vinařství – novely zákona o vinohradnictví a vinařství (opakované žádosti spol. </w:t>
      </w:r>
      <w:proofErr w:type="spellStart"/>
      <w:r>
        <w:rPr>
          <w:bCs/>
          <w:szCs w:val="22"/>
        </w:rPr>
        <w:t>Vinostrada</w:t>
      </w:r>
      <w:proofErr w:type="spellEnd"/>
      <w:r>
        <w:rPr>
          <w:bCs/>
          <w:szCs w:val="22"/>
        </w:rPr>
        <w:t>), označování vín, Vinařského fondu;</w:t>
      </w:r>
    </w:p>
    <w:p w14:paraId="2EA5E94D" w14:textId="77777777" w:rsidR="00626A76" w:rsidRDefault="00970E2D">
      <w:pPr>
        <w:numPr>
          <w:ilvl w:val="1"/>
          <w:numId w:val="19"/>
        </w:numPr>
        <w:tabs>
          <w:tab w:val="clear" w:pos="1440"/>
          <w:tab w:val="num" w:pos="426"/>
        </w:tabs>
        <w:spacing w:line="360" w:lineRule="auto"/>
        <w:ind w:left="426" w:hanging="426"/>
        <w:rPr>
          <w:bCs/>
          <w:szCs w:val="22"/>
        </w:rPr>
      </w:pPr>
      <w:r>
        <w:rPr>
          <w:bCs/>
          <w:szCs w:val="22"/>
        </w:rPr>
        <w:t>potravinářství – doplňků stravy, THC, cenové politiky potravin, návykových látek;</w:t>
      </w:r>
    </w:p>
    <w:p w14:paraId="2EA5E94E" w14:textId="77777777" w:rsidR="00626A76" w:rsidRDefault="00970E2D">
      <w:pPr>
        <w:numPr>
          <w:ilvl w:val="1"/>
          <w:numId w:val="19"/>
        </w:numPr>
        <w:spacing w:line="360" w:lineRule="auto"/>
        <w:ind w:left="426" w:hanging="426"/>
        <w:rPr>
          <w:bCs/>
          <w:szCs w:val="22"/>
        </w:rPr>
      </w:pPr>
      <w:r>
        <w:rPr>
          <w:bCs/>
          <w:szCs w:val="22"/>
        </w:rPr>
        <w:t>rybářství – výjimek z denní doby lovu; rybářské stráže, způsobu lovu, zarybnění;</w:t>
      </w:r>
    </w:p>
    <w:p w14:paraId="2EA5E94F" w14:textId="77777777" w:rsidR="00626A76" w:rsidRDefault="00970E2D">
      <w:pPr>
        <w:numPr>
          <w:ilvl w:val="1"/>
          <w:numId w:val="19"/>
        </w:numPr>
        <w:tabs>
          <w:tab w:val="clear" w:pos="1440"/>
          <w:tab w:val="num" w:pos="426"/>
        </w:tabs>
        <w:spacing w:line="360" w:lineRule="auto"/>
        <w:ind w:left="426" w:hanging="426"/>
        <w:rPr>
          <w:bCs/>
          <w:szCs w:val="22"/>
        </w:rPr>
      </w:pPr>
      <w:r>
        <w:rPr>
          <w:bCs/>
          <w:szCs w:val="22"/>
        </w:rPr>
        <w:t>oblasti lesního hospodářství – novely lesního zákona, lesní stráže, ochranných pásem, chování v lesích;</w:t>
      </w:r>
    </w:p>
    <w:p w14:paraId="2EA5E950" w14:textId="77777777" w:rsidR="00626A76" w:rsidRDefault="00970E2D">
      <w:pPr>
        <w:numPr>
          <w:ilvl w:val="1"/>
          <w:numId w:val="19"/>
        </w:numPr>
        <w:tabs>
          <w:tab w:val="clear" w:pos="1440"/>
          <w:tab w:val="num" w:pos="426"/>
        </w:tabs>
        <w:spacing w:line="360" w:lineRule="auto"/>
        <w:ind w:left="426" w:hanging="426"/>
        <w:rPr>
          <w:bCs/>
          <w:szCs w:val="22"/>
        </w:rPr>
      </w:pPr>
      <w:r>
        <w:rPr>
          <w:bCs/>
          <w:szCs w:val="22"/>
        </w:rPr>
        <w:t>činnosti podřízených organizací (zejména Lesů ČR, SZPI, Budějovického Budvaru, PGRLF, SZIF: např. výběrového řízení);</w:t>
      </w:r>
    </w:p>
    <w:p w14:paraId="2EA5E951" w14:textId="77777777" w:rsidR="00626A76" w:rsidRDefault="00970E2D">
      <w:pPr>
        <w:numPr>
          <w:ilvl w:val="1"/>
          <w:numId w:val="19"/>
        </w:numPr>
        <w:tabs>
          <w:tab w:val="clear" w:pos="1440"/>
          <w:tab w:val="num" w:pos="0"/>
        </w:tabs>
        <w:spacing w:line="360" w:lineRule="auto"/>
        <w:ind w:left="426" w:hanging="426"/>
        <w:rPr>
          <w:bCs/>
          <w:szCs w:val="22"/>
        </w:rPr>
      </w:pPr>
      <w:r>
        <w:rPr>
          <w:bCs/>
          <w:szCs w:val="22"/>
        </w:rPr>
        <w:t>ochrany zvířat – pokusů na zvířatech, týrání zvířat, rituálních porážek;</w:t>
      </w:r>
    </w:p>
    <w:p w14:paraId="2EA5E952" w14:textId="77777777" w:rsidR="00626A76" w:rsidRDefault="00970E2D">
      <w:pPr>
        <w:numPr>
          <w:ilvl w:val="1"/>
          <w:numId w:val="19"/>
        </w:numPr>
        <w:tabs>
          <w:tab w:val="clear" w:pos="1440"/>
          <w:tab w:val="num" w:pos="0"/>
        </w:tabs>
        <w:spacing w:line="360" w:lineRule="auto"/>
        <w:ind w:left="426" w:hanging="426"/>
        <w:rPr>
          <w:bCs/>
          <w:szCs w:val="22"/>
        </w:rPr>
      </w:pPr>
      <w:r>
        <w:rPr>
          <w:bCs/>
          <w:szCs w:val="22"/>
        </w:rPr>
        <w:t>pozemků – hospodaření, užívání a pronájmu, LPIS, restituce, škod na pozemcích;</w:t>
      </w:r>
    </w:p>
    <w:p w14:paraId="2EA5E953" w14:textId="77777777" w:rsidR="00626A76" w:rsidRDefault="00970E2D">
      <w:pPr>
        <w:numPr>
          <w:ilvl w:val="1"/>
          <w:numId w:val="19"/>
        </w:numPr>
        <w:spacing w:line="360" w:lineRule="auto"/>
        <w:ind w:left="426" w:hanging="426"/>
        <w:rPr>
          <w:bCs/>
          <w:szCs w:val="22"/>
        </w:rPr>
      </w:pPr>
      <w:r>
        <w:rPr>
          <w:bCs/>
          <w:szCs w:val="22"/>
        </w:rPr>
        <w:t xml:space="preserve">novely zákona o </w:t>
      </w:r>
      <w:proofErr w:type="gramStart"/>
      <w:r>
        <w:rPr>
          <w:bCs/>
          <w:szCs w:val="22"/>
        </w:rPr>
        <w:t>pyrotechnice - pásma</w:t>
      </w:r>
      <w:proofErr w:type="gramEnd"/>
      <w:r>
        <w:rPr>
          <w:bCs/>
          <w:szCs w:val="22"/>
        </w:rPr>
        <w:t xml:space="preserve"> používání pyrotechniky;</w:t>
      </w:r>
    </w:p>
    <w:p w14:paraId="2EA5E954" w14:textId="77777777" w:rsidR="00626A76" w:rsidRDefault="00970E2D">
      <w:pPr>
        <w:numPr>
          <w:ilvl w:val="1"/>
          <w:numId w:val="19"/>
        </w:numPr>
        <w:spacing w:line="360" w:lineRule="auto"/>
        <w:ind w:left="426" w:hanging="426"/>
        <w:rPr>
          <w:bCs/>
          <w:szCs w:val="22"/>
        </w:rPr>
      </w:pPr>
      <w:r>
        <w:rPr>
          <w:bCs/>
          <w:szCs w:val="22"/>
        </w:rPr>
        <w:t>zápisů z porad vedení či jiných jednání;</w:t>
      </w:r>
    </w:p>
    <w:p w14:paraId="2EA5E955" w14:textId="77777777" w:rsidR="00626A76" w:rsidRDefault="00970E2D">
      <w:pPr>
        <w:numPr>
          <w:ilvl w:val="1"/>
          <w:numId w:val="19"/>
        </w:numPr>
        <w:spacing w:line="360" w:lineRule="auto"/>
        <w:ind w:left="426" w:hanging="426"/>
        <w:rPr>
          <w:bCs/>
          <w:szCs w:val="22"/>
        </w:rPr>
      </w:pPr>
      <w:proofErr w:type="gramStart"/>
      <w:r>
        <w:rPr>
          <w:bCs/>
          <w:szCs w:val="22"/>
        </w:rPr>
        <w:t>myslivosti - honebních</w:t>
      </w:r>
      <w:proofErr w:type="gramEnd"/>
      <w:r>
        <w:rPr>
          <w:bCs/>
          <w:szCs w:val="22"/>
        </w:rPr>
        <w:t xml:space="preserve"> společenstev, mysliveckých zkoušek, chovu lišek;</w:t>
      </w:r>
    </w:p>
    <w:p w14:paraId="2EA5E956" w14:textId="77777777" w:rsidR="00626A76" w:rsidRDefault="00970E2D">
      <w:pPr>
        <w:numPr>
          <w:ilvl w:val="1"/>
          <w:numId w:val="19"/>
        </w:numPr>
        <w:spacing w:line="360" w:lineRule="auto"/>
        <w:ind w:left="426" w:hanging="426"/>
        <w:rPr>
          <w:bCs/>
          <w:szCs w:val="22"/>
        </w:rPr>
      </w:pPr>
      <w:r>
        <w:rPr>
          <w:bCs/>
          <w:szCs w:val="22"/>
        </w:rPr>
        <w:t>auditu, kontrolní činnosti;</w:t>
      </w:r>
    </w:p>
    <w:p w14:paraId="2EA5E957" w14:textId="77777777" w:rsidR="00626A76" w:rsidRDefault="00970E2D">
      <w:pPr>
        <w:numPr>
          <w:ilvl w:val="1"/>
          <w:numId w:val="19"/>
        </w:numPr>
        <w:tabs>
          <w:tab w:val="clear" w:pos="1440"/>
          <w:tab w:val="num" w:pos="426"/>
        </w:tabs>
        <w:spacing w:line="360" w:lineRule="auto"/>
        <w:ind w:left="426" w:hanging="426"/>
        <w:rPr>
          <w:bCs/>
          <w:szCs w:val="22"/>
        </w:rPr>
      </w:pPr>
      <w:r>
        <w:rPr>
          <w:bCs/>
          <w:szCs w:val="22"/>
        </w:rPr>
        <w:t>informací o odpovědnosti za průtahy ve správním řízení, náhradách škod (regrese), soudních řízeních;</w:t>
      </w:r>
    </w:p>
    <w:p w14:paraId="2EA5E958" w14:textId="77777777" w:rsidR="00626A76" w:rsidRDefault="00970E2D">
      <w:pPr>
        <w:spacing w:line="360" w:lineRule="auto"/>
        <w:ind w:left="426" w:hanging="426"/>
        <w:rPr>
          <w:bCs/>
          <w:szCs w:val="22"/>
        </w:rPr>
      </w:pPr>
      <w:r>
        <w:rPr>
          <w:bCs/>
          <w:szCs w:val="22"/>
        </w:rPr>
        <w:t>•      veřejných zakázek;</w:t>
      </w:r>
    </w:p>
    <w:p w14:paraId="2EA5E959" w14:textId="77777777" w:rsidR="00626A76" w:rsidRDefault="00970E2D">
      <w:pPr>
        <w:numPr>
          <w:ilvl w:val="1"/>
          <w:numId w:val="19"/>
        </w:numPr>
        <w:spacing w:line="360" w:lineRule="auto"/>
        <w:ind w:left="426" w:hanging="426"/>
        <w:rPr>
          <w:bCs/>
          <w:szCs w:val="22"/>
        </w:rPr>
      </w:pPr>
      <w:r>
        <w:rPr>
          <w:bCs/>
          <w:szCs w:val="22"/>
        </w:rPr>
        <w:t>podkladů k osobnímu projednávání bývalé pracovnice pozemkové úřadu – postavení ředitelů, vedoucích ÚPÚ/PÚ, interních předpisů;</w:t>
      </w:r>
    </w:p>
    <w:p w14:paraId="2EA5E95A" w14:textId="77777777" w:rsidR="00626A76" w:rsidRDefault="00970E2D">
      <w:pPr>
        <w:numPr>
          <w:ilvl w:val="1"/>
          <w:numId w:val="19"/>
        </w:numPr>
        <w:spacing w:line="360" w:lineRule="auto"/>
        <w:ind w:left="426" w:hanging="426"/>
        <w:rPr>
          <w:bCs/>
          <w:szCs w:val="22"/>
        </w:rPr>
      </w:pPr>
      <w:r>
        <w:rPr>
          <w:bCs/>
          <w:szCs w:val="22"/>
        </w:rPr>
        <w:t>Společné zemědělské politiky – tvorby pravidel, podkladových materiálů;</w:t>
      </w:r>
    </w:p>
    <w:p w14:paraId="2EA5E95B" w14:textId="77777777" w:rsidR="00626A76" w:rsidRDefault="00970E2D">
      <w:pPr>
        <w:numPr>
          <w:ilvl w:val="1"/>
          <w:numId w:val="19"/>
        </w:numPr>
        <w:spacing w:line="360" w:lineRule="auto"/>
        <w:ind w:left="426" w:hanging="426"/>
        <w:rPr>
          <w:bCs/>
          <w:szCs w:val="22"/>
        </w:rPr>
      </w:pPr>
      <w:r>
        <w:rPr>
          <w:bCs/>
          <w:szCs w:val="22"/>
        </w:rPr>
        <w:t>informačních a telekomunikačních technologií, využití umělé inteligence;</w:t>
      </w:r>
    </w:p>
    <w:p w14:paraId="2EA5E95C" w14:textId="77777777" w:rsidR="00626A76" w:rsidRDefault="00970E2D">
      <w:pPr>
        <w:numPr>
          <w:ilvl w:val="1"/>
          <w:numId w:val="19"/>
        </w:numPr>
        <w:spacing w:line="360" w:lineRule="auto"/>
        <w:ind w:left="426" w:hanging="426"/>
        <w:rPr>
          <w:bCs/>
          <w:szCs w:val="22"/>
        </w:rPr>
      </w:pPr>
      <w:r>
        <w:rPr>
          <w:bCs/>
          <w:szCs w:val="22"/>
        </w:rPr>
        <w:t>zahraničních služebních cest pana ministra a delegací;</w:t>
      </w:r>
    </w:p>
    <w:p w14:paraId="2EA5E95D" w14:textId="77777777" w:rsidR="00626A76" w:rsidRDefault="00970E2D">
      <w:pPr>
        <w:numPr>
          <w:ilvl w:val="1"/>
          <w:numId w:val="19"/>
        </w:numPr>
        <w:spacing w:line="360" w:lineRule="auto"/>
        <w:ind w:left="426" w:hanging="426"/>
        <w:rPr>
          <w:bCs/>
          <w:szCs w:val="22"/>
        </w:rPr>
      </w:pPr>
      <w:r>
        <w:rPr>
          <w:bCs/>
          <w:szCs w:val="22"/>
        </w:rPr>
        <w:t>ekologického hospodaření.</w:t>
      </w:r>
    </w:p>
    <w:sectPr w:rsidR="00626A7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843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5E96F" w14:textId="77777777" w:rsidR="00970E2D" w:rsidRDefault="00970E2D">
      <w:r>
        <w:separator/>
      </w:r>
    </w:p>
  </w:endnote>
  <w:endnote w:type="continuationSeparator" w:id="0">
    <w:p w14:paraId="2EA5E971" w14:textId="77777777" w:rsidR="00970E2D" w:rsidRDefault="0097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Light">
    <w:altName w:val="Arial"/>
    <w:charset w:val="00"/>
    <w:family w:val="auto"/>
    <w:pitch w:val="variable"/>
    <w:sig w:usb0="A00000AF" w:usb1="50002048" w:usb2="00000000" w:usb3="00000000" w:csb0="0000011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E965" w14:textId="77777777" w:rsidR="00626A76" w:rsidRDefault="00970E2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E967" w14:textId="77777777" w:rsidR="00626A76" w:rsidRDefault="00970E2D">
    <w:pPr>
      <w:pStyle w:val="Zpat"/>
      <w:tabs>
        <w:tab w:val="left" w:pos="7655"/>
      </w:tabs>
      <w:jc w:val="left"/>
      <w:rPr>
        <w:rFonts w:ascii="Arial Light" w:hAnsi="Arial Light"/>
        <w:b/>
        <w:bCs/>
        <w:noProof/>
        <w:color w:val="808080"/>
        <w:sz w:val="18"/>
        <w:szCs w:val="18"/>
      </w:rPr>
    </w:pPr>
    <w:bookmarkStart w:id="0" w:name="_Hlk181619792"/>
    <w:r>
      <w:rPr>
        <w:rFonts w:ascii="Arial Light" w:hAnsi="Arial Light"/>
        <w:b/>
        <w:bCs/>
        <w:color w:val="808080"/>
        <w:sz w:val="18"/>
        <w:szCs w:val="18"/>
      </w:rPr>
      <w:t>Ministerstvo zemědělství</w:t>
    </w:r>
  </w:p>
  <w:p w14:paraId="2EA5E968" w14:textId="77777777" w:rsidR="00626A76" w:rsidRDefault="00970E2D">
    <w:pPr>
      <w:pStyle w:val="Zpat"/>
      <w:jc w:val="left"/>
      <w:rPr>
        <w:rFonts w:ascii="Arial Light" w:hAnsi="Arial Light"/>
        <w:color w:val="808080"/>
        <w:sz w:val="18"/>
        <w:szCs w:val="18"/>
      </w:rPr>
    </w:pPr>
    <w:proofErr w:type="spellStart"/>
    <w:r>
      <w:rPr>
        <w:rFonts w:ascii="Arial Light" w:hAnsi="Arial Light"/>
        <w:color w:val="808080"/>
        <w:sz w:val="18"/>
        <w:szCs w:val="18"/>
      </w:rPr>
      <w:t>Těšnov</w:t>
    </w:r>
    <w:proofErr w:type="spellEnd"/>
    <w:r>
      <w:rPr>
        <w:rFonts w:ascii="Arial Light" w:hAnsi="Arial Light"/>
        <w:color w:val="808080"/>
        <w:sz w:val="18"/>
        <w:szCs w:val="18"/>
      </w:rPr>
      <w:t xml:space="preserve"> 65/17, 110 </w:t>
    </w:r>
    <w:proofErr w:type="gramStart"/>
    <w:r>
      <w:rPr>
        <w:rFonts w:ascii="Arial Light" w:hAnsi="Arial Light"/>
        <w:color w:val="808080"/>
        <w:sz w:val="18"/>
        <w:szCs w:val="18"/>
      </w:rPr>
      <w:t>00  Praha</w:t>
    </w:r>
    <w:proofErr w:type="gramEnd"/>
    <w:r>
      <w:rPr>
        <w:rFonts w:ascii="Arial Light" w:hAnsi="Arial Light"/>
        <w:color w:val="808080"/>
        <w:sz w:val="18"/>
        <w:szCs w:val="18"/>
      </w:rPr>
      <w:t xml:space="preserve"> 1 </w:t>
    </w:r>
    <w:r>
      <w:rPr>
        <w:rFonts w:ascii="Arial Light" w:hAnsi="Arial Light" w:cs="Arial Light"/>
        <w:color w:val="808080"/>
        <w:sz w:val="18"/>
        <w:szCs w:val="18"/>
      </w:rPr>
      <w:t>–</w:t>
    </w:r>
    <w:r>
      <w:rPr>
        <w:rFonts w:ascii="Arial Light" w:hAnsi="Arial Light"/>
        <w:color w:val="808080"/>
        <w:sz w:val="18"/>
        <w:szCs w:val="18"/>
      </w:rPr>
      <w:t xml:space="preserve"> Nov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M</w:t>
    </w:r>
    <w:r>
      <w:rPr>
        <w:rFonts w:ascii="Calibri" w:hAnsi="Calibri" w:cs="Calibri"/>
        <w:color w:val="808080"/>
        <w:sz w:val="18"/>
        <w:szCs w:val="18"/>
      </w:rPr>
      <w:t>ě</w:t>
    </w:r>
    <w:r>
      <w:rPr>
        <w:rFonts w:ascii="Arial Light" w:hAnsi="Arial Light"/>
        <w:color w:val="808080"/>
        <w:sz w:val="18"/>
        <w:szCs w:val="18"/>
      </w:rPr>
      <w:t>sto</w:t>
    </w:r>
    <w:r>
      <w:rPr>
        <w:rFonts w:ascii="Arial Light" w:hAnsi="Arial Light"/>
        <w:color w:val="808080"/>
        <w:sz w:val="18"/>
        <w:szCs w:val="18"/>
      </w:rPr>
      <w:br/>
      <w:t xml:space="preserve">tel. +420 221 811 111, </w:t>
    </w:r>
    <w:hyperlink r:id="rId1" w:history="1">
      <w:r>
        <w:rPr>
          <w:rStyle w:val="Hypertextovodkaz"/>
          <w:rFonts w:ascii="Arial Light" w:hAnsi="Arial Light"/>
          <w:sz w:val="18"/>
          <w:szCs w:val="18"/>
        </w:rPr>
        <w:t>podatelna@mze.gov.cz</w:t>
      </w:r>
    </w:hyperlink>
    <w:r>
      <w:rPr>
        <w:rFonts w:ascii="Arial Light" w:hAnsi="Arial Light"/>
        <w:color w:val="808080"/>
        <w:sz w:val="18"/>
        <w:szCs w:val="18"/>
      </w:rPr>
      <w:t>, ID datov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schr</w:t>
    </w:r>
    <w:r>
      <w:rPr>
        <w:rFonts w:ascii="Arial Light" w:hAnsi="Arial Light" w:cs="Arial Light"/>
        <w:color w:val="808080"/>
        <w:sz w:val="18"/>
        <w:szCs w:val="18"/>
      </w:rPr>
      <w:t>á</w:t>
    </w:r>
    <w:r>
      <w:rPr>
        <w:rFonts w:ascii="Arial Light" w:hAnsi="Arial Light"/>
        <w:color w:val="808080"/>
        <w:sz w:val="18"/>
        <w:szCs w:val="18"/>
      </w:rPr>
      <w:t>nky: yphaax8</w:t>
    </w:r>
  </w:p>
  <w:p w14:paraId="2EA5E969" w14:textId="77777777" w:rsidR="00626A76" w:rsidRDefault="00970E2D">
    <w:pPr>
      <w:pStyle w:val="Zpat"/>
      <w:jc w:val="left"/>
    </w:pPr>
    <w:hyperlink r:id="rId2" w:history="1">
      <w:r>
        <w:rPr>
          <w:rStyle w:val="Hypertextovodkaz"/>
          <w:rFonts w:ascii="Arial Light" w:hAnsi="Arial Light"/>
          <w:sz w:val="18"/>
          <w:szCs w:val="18"/>
        </w:rPr>
        <w:t>www.mze.gov.cz</w:t>
      </w:r>
    </w:hyperlink>
    <w:bookmarkEnd w:id="0"/>
  </w:p>
  <w:p w14:paraId="2EA5E96A" w14:textId="77777777" w:rsidR="00626A76" w:rsidRDefault="00626A76">
    <w:pPr>
      <w:pStyle w:val="Zpat"/>
      <w:jc w:val="left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E96B" w14:textId="77777777" w:rsidR="00970E2D" w:rsidRDefault="00970E2D">
      <w:r>
        <w:separator/>
      </w:r>
    </w:p>
  </w:footnote>
  <w:footnote w:type="continuationSeparator" w:id="0">
    <w:p w14:paraId="2EA5E96D" w14:textId="77777777" w:rsidR="00970E2D" w:rsidRDefault="0097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E963" w14:textId="13F21CFB" w:rsidR="00626A76" w:rsidRDefault="00626A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E964" w14:textId="4A4E95AF" w:rsidR="00626A76" w:rsidRDefault="00626A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E966" w14:textId="52B5650A" w:rsidR="00626A76" w:rsidRDefault="00626A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multilevel"/>
    <w:tmpl w:val="FCB8C0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94F81"/>
    <w:multiLevelType w:val="multilevel"/>
    <w:tmpl w:val="36A851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99FA623"/>
    <w:multiLevelType w:val="multilevel"/>
    <w:tmpl w:val="ED881D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231AEACD"/>
    <w:multiLevelType w:val="multilevel"/>
    <w:tmpl w:val="4A0E702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23D44384"/>
    <w:multiLevelType w:val="multilevel"/>
    <w:tmpl w:val="9C1436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26208733"/>
    <w:multiLevelType w:val="multilevel"/>
    <w:tmpl w:val="78967D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2872ACAB"/>
    <w:multiLevelType w:val="multilevel"/>
    <w:tmpl w:val="11C644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3443B4A0"/>
    <w:multiLevelType w:val="multilevel"/>
    <w:tmpl w:val="94388E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34F5780A"/>
    <w:multiLevelType w:val="multilevel"/>
    <w:tmpl w:val="F9A282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38CFC389"/>
    <w:multiLevelType w:val="multilevel"/>
    <w:tmpl w:val="D38C36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476C8767"/>
    <w:multiLevelType w:val="multilevel"/>
    <w:tmpl w:val="7E4806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56DB3DD3"/>
    <w:multiLevelType w:val="multilevel"/>
    <w:tmpl w:val="3B6617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586047AB"/>
    <w:multiLevelType w:val="multilevel"/>
    <w:tmpl w:val="9F9EE5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5A8EF2C9"/>
    <w:multiLevelType w:val="multilevel"/>
    <w:tmpl w:val="25081C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60F37353"/>
    <w:multiLevelType w:val="multilevel"/>
    <w:tmpl w:val="DB2CDC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49FA4F6"/>
    <w:multiLevelType w:val="multilevel"/>
    <w:tmpl w:val="D3BA47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6BF3F98F"/>
    <w:multiLevelType w:val="multilevel"/>
    <w:tmpl w:val="4AD2EC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055931546">
    <w:abstractNumId w:val="0"/>
  </w:num>
  <w:num w:numId="2" w16cid:durableId="981695830">
    <w:abstractNumId w:val="1"/>
  </w:num>
  <w:num w:numId="3" w16cid:durableId="291444087">
    <w:abstractNumId w:val="2"/>
  </w:num>
  <w:num w:numId="4" w16cid:durableId="681710370">
    <w:abstractNumId w:val="3"/>
  </w:num>
  <w:num w:numId="5" w16cid:durableId="1655524373">
    <w:abstractNumId w:val="4"/>
  </w:num>
  <w:num w:numId="6" w16cid:durableId="1047490747">
    <w:abstractNumId w:val="5"/>
  </w:num>
  <w:num w:numId="7" w16cid:durableId="82117796">
    <w:abstractNumId w:val="6"/>
  </w:num>
  <w:num w:numId="8" w16cid:durableId="1638758694">
    <w:abstractNumId w:val="7"/>
  </w:num>
  <w:num w:numId="9" w16cid:durableId="382677878">
    <w:abstractNumId w:val="8"/>
  </w:num>
  <w:num w:numId="10" w16cid:durableId="491142999">
    <w:abstractNumId w:val="9"/>
  </w:num>
  <w:num w:numId="11" w16cid:durableId="1591311494">
    <w:abstractNumId w:val="10"/>
  </w:num>
  <w:num w:numId="12" w16cid:durableId="318508433">
    <w:abstractNumId w:val="11"/>
  </w:num>
  <w:num w:numId="13" w16cid:durableId="1049646330">
    <w:abstractNumId w:val="12"/>
  </w:num>
  <w:num w:numId="14" w16cid:durableId="58210744">
    <w:abstractNumId w:val="13"/>
  </w:num>
  <w:num w:numId="15" w16cid:durableId="176315642">
    <w:abstractNumId w:val="14"/>
  </w:num>
  <w:num w:numId="16" w16cid:durableId="1980302567">
    <w:abstractNumId w:val="15"/>
  </w:num>
  <w:num w:numId="17" w16cid:durableId="495534510">
    <w:abstractNumId w:val="16"/>
  </w:num>
  <w:num w:numId="18" w16cid:durableId="1570581562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572938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email" w:val="E-mail adresáta"/>
    <w:docVar w:name="dms_adresat_ic" w:val="IČ adresáta"/>
    <w:docVar w:name="dms_adresat_idds" w:val="ID DS Adresáta"/>
    <w:docVar w:name="dms_adresat_jmeno" w:val="Jméno adresáta"/>
    <w:docVar w:name="dms_carovy_kod" w:val="mzedms030719632"/>
    <w:docVar w:name="dms_carovy_kod_cj" w:val="MZE-3118/2026-10041"/>
    <w:docVar w:name="dms_cj" w:val="MZE-3118/2026-10041"/>
    <w:docVar w:name="dms_cj_skn" w:val="%%%nevyplněno%%%"/>
    <w:docVar w:name="dms_datum" w:val="11. 2. 2026"/>
    <w:docVar w:name="dms_datum_textem" w:val="11. února 2026"/>
    <w:docVar w:name="dms_datum_vzniku" w:val="14. 1. 2026 8:45:00"/>
    <w:docVar w:name="dms_el_pecet" w:val=" "/>
    <w:docVar w:name="dms_el_podpis" w:val="%%%el_podpis%%%"/>
    <w:docVar w:name="dms_nadrizeny_reditel" w:val="Ing. Karol Peš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artin Šebestyán, MBA_x000d__x000a_ministr zemědělství"/>
    <w:docVar w:name="dms_podpisova_dolozka_funkce" w:val="ministr zemědělství"/>
    <w:docVar w:name="dms_podpisova_dolozka_jmeno" w:val="Ing. Martin Šebestyán, MBA"/>
    <w:docVar w:name="dms_PPASpravce" w:val="%%%nevyplněno%%%"/>
    <w:docVar w:name="dms_prijaty_cj" w:val="%%%nevyplněno%%%"/>
    <w:docVar w:name="dms_prijaty_ze_dne" w:val="%%%nevyplněno%%%"/>
    <w:docVar w:name="dms_prilohy" w:val=" 1. Rozsudek 11A_28_2025_22_x000d__x000a_ 2. Rozsudek 62A_27_2025_8_x000d__x000a_ 3. Rozsudek 62A_40_2025_13_x000d__x000a_ 4. Rozsudek 62A_41_2025_8"/>
    <w:docVar w:name="dms_pripojene_dokumenty" w:val="%%%nevyplněno%%%"/>
    <w:docVar w:name="dms_spisova_znacka" w:val="MZE-3118/2026-10041"/>
    <w:docVar w:name="dms_spravce_jmeno" w:val="Ing. Milena Sedláčková"/>
    <w:docVar w:name="dms_spravce_mail" w:val="Milena.Sedlackova@mze.gov.cz"/>
    <w:docVar w:name="dms_spravce_telefon" w:val="221812425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Výroční zpráva MZe o poskytování informací podle zákona č. 106/1999 Sb. - za rok 2025"/>
    <w:docVar w:name="dms_VNVSpravce" w:val="%%%nevyplněno%%%"/>
    <w:docVar w:name="dms_zpracoval_jmeno" w:val="Ing. Milena Sedláčková"/>
    <w:docVar w:name="dms_zpracoval_mail" w:val="Milena.Sedlackova@mze.gov.cz"/>
    <w:docVar w:name="dms_zpracoval_telefon" w:val="221812425"/>
  </w:docVars>
  <w:rsids>
    <w:rsidRoot w:val="00626A76"/>
    <w:rsid w:val="00626A76"/>
    <w:rsid w:val="00970E2D"/>
    <w:rsid w:val="00AE7255"/>
    <w:rsid w:val="00B00865"/>
    <w:rsid w:val="00D47384"/>
    <w:rsid w:val="00E2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,2"/>
    </o:shapelayout>
  </w:shapeDefaults>
  <w:decimalSymbol w:val=","/>
  <w:listSeparator w:val=";"/>
  <w14:docId w14:val="2EA5E910"/>
  <w15:docId w15:val="{993E373A-CB50-4588-B5FD-444E7F6E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Zstupntext1">
    <w:name w:val="Zástupný text1"/>
    <w:basedOn w:val="Standardnpsmoodstavce"/>
    <w:uiPriority w:val="99"/>
    <w:semiHidden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e.gov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4051</Characters>
  <Application>Microsoft Office Word</Application>
  <DocSecurity>0</DocSecurity>
  <Lines>33</Lines>
  <Paragraphs>9</Paragraphs>
  <ScaleCrop>false</ScaleCrop>
  <Company>T-Soft a.s.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Sedláčková Milena</cp:lastModifiedBy>
  <cp:revision>3</cp:revision>
  <dcterms:created xsi:type="dcterms:W3CDTF">2026-02-11T13:05:00Z</dcterms:created>
  <dcterms:modified xsi:type="dcterms:W3CDTF">2026-02-11T14:27:00Z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2023-11-02T18:45:40Z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2f305684-2342-4afd-b43a-313f5c61e5a5</vt:lpwstr>
  </property>
  <property fmtid="{D5CDD505-2E9C-101B-9397-08002B2CF9AE}" pid="8" name="MSIP_Label_239d554d-d720-408f-a503-c83424d8e5d7_ContentBits">
    <vt:lpwstr>0</vt:lpwstr>
  </property>
</Properties>
</file>