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1.0 -->
  <w:body>
    <w:tbl>
      <w:tblPr>
        <w:tblW w:w="5000" w:type="pct"/>
        <w:tblCellMar>
          <w:left w:w="108" w:type="dxa"/>
          <w:right w:w="108" w:type="dxa"/>
        </w:tblCellMar>
      </w:tblPr>
      <w:tblGrid>
        <w:gridCol w:w="10440"/>
      </w:tblGrid>
      <w:tr>
        <w:tblPrEx>
          <w:tblW w:w="5000" w:type="pct"/>
          <w:tblCellMar>
            <w:left w:w="108" w:type="dxa"/>
            <w:right w:w="108" w:type="dxa"/>
          </w:tblCellMar>
        </w:tblPrEx>
        <w:tc>
          <w:tcPr/>
          <w:p>
            <w:r>
              <w:drawing>
                <wp:anchor simplePos="0" relativeHeight="251658240" behindDoc="0" locked="0" layoutInCell="1" allowOverlap="1">
                  <wp:simplePos x="0" y="0"/>
                  <wp:positionH relativeFrom="column">
                    <wp:align>left</wp:align>
                  </wp:positionH>
                  <wp:positionV relativeFrom="paragraph">
                    <wp:align>top</wp:align>
                  </wp:positionV>
                  <wp:extent cx="2723810" cy="1038095"/>
                  <wp:wrapTopAndBottom/>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5"/>
                          <a:stretch>
                            <a:fillRect/>
                          </a:stretch>
                        </pic:blipFill>
                        <pic:spPr>
                          <a:xfrm>
                            <a:off x="0" y="0"/>
                            <a:ext cx="2723810" cy="1038095"/>
                          </a:xfrm>
                          <a:prstGeom prst="rect">
                            <a:avLst/>
                          </a:prstGeom>
                        </pic:spPr>
                      </pic:pic>
                    </a:graphicData>
                  </a:graphic>
                </wp:anchor>
              </w:drawing>
            </w:r>
            <w:r>
              <w:drawing>
                <wp:anchor simplePos="0" relativeHeight="251659264" behindDoc="0" locked="0" layoutInCell="1" allowOverlap="1">
                  <wp:simplePos x="0" y="0"/>
                  <wp:positionH relativeFrom="column">
                    <wp:align>right</wp:align>
                  </wp:positionH>
                  <wp:positionV relativeFrom="paragraph">
                    <wp:align>top</wp:align>
                  </wp:positionV>
                  <wp:extent cx="2791215" cy="1143160"/>
                  <wp:wrapTopAndBottom/>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6"/>
                          <a:stretch>
                            <a:fillRect/>
                          </a:stretch>
                        </pic:blipFill>
                        <pic:spPr>
                          <a:xfrm>
                            <a:off x="0" y="0"/>
                            <a:ext cx="2791215" cy="1143160"/>
                          </a:xfrm>
                          <a:prstGeom prst="rect">
                            <a:avLst/>
                          </a:prstGeom>
                        </pic:spPr>
                      </pic:pic>
                    </a:graphicData>
                  </a:graphic>
                </wp:anchor>
              </w:drawing>
            </w:r>
          </w:p>
        </w:tc>
      </w:tr>
      <w:tr>
        <w:tblPrEx>
          <w:tblW w:w="5000" w:type="pct"/>
          <w:tblCellMar>
            <w:left w:w="108" w:type="dxa"/>
            <w:right w:w="108" w:type="dxa"/>
          </w:tblCellMar>
        </w:tblPrEx>
        <w:tc>
          <w:tcPr/>
          <w:p>
            <w:pPr>
              <w:pStyle w:val="Title"/>
              <w:jc w:val="center"/>
            </w:pPr>
            <w:r>
              <w:t>Výroční zpráva o provádění</w:t>
            </w:r>
          </w:p>
          <w:p>
            <w:pPr>
              <w:pStyle w:val="Title"/>
              <w:jc w:val="center"/>
            </w:pPr>
            <w:r>
              <w:t>Program rozvoje venkova na období 2014-2020</w:t>
            </w:r>
          </w:p>
          <w:p/>
        </w:tc>
      </w:tr>
      <w:tr>
        <w:tblPrEx>
          <w:tblW w:w="5000" w:type="pct"/>
          <w:tblCellMar>
            <w:left w:w="108" w:type="dxa"/>
            <w:right w:w="108" w:type="dxa"/>
          </w:tblCellMar>
        </w:tblPrEx>
        <w:tc>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107"/>
              <w:gridCol w:w="510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gridSpan w:val="2"/>
                  <w:shd w:val="clear" w:color="auto" w:fill="C0C0C0"/>
                </w:tcPr>
                <w:p>
                  <w:pPr>
                    <w:jc w:val="center"/>
                    <w:rPr>
                      <w:b/>
                      <w:sz w:val="24"/>
                    </w:rPr>
                  </w:pPr>
                  <w:r>
                    <w:rPr>
                      <w:b/>
                      <w:sz w:val="24"/>
                    </w:rPr>
                    <w:t>Výroční zpráva o provádění</w:t>
                  </w:r>
                </w:p>
              </w:tc>
            </w:tr>
            <w:tr>
              <w:tblPrEx>
                <w:tblW w:w="5000" w:type="pct"/>
                <w:tblCellMar>
                  <w:left w:w="108" w:type="dxa"/>
                  <w:right w:w="108" w:type="dxa"/>
                </w:tblCellMar>
              </w:tblPrEx>
              <w:tc>
                <w:tcPr>
                  <w:shd w:val="clear" w:color="auto" w:fill="FFFFFF"/>
                  <w:vAlign w:val="center"/>
                </w:tcPr>
                <w:p>
                  <w:pPr>
                    <w:pStyle w:val="Caption"/>
                    <w:spacing w:before="40" w:after="40"/>
                    <w:jc w:val="center"/>
                  </w:pPr>
                  <w:r>
                    <w:t>Období</w:t>
                  </w:r>
                </w:p>
              </w:tc>
              <w:tc>
                <w:tcPr>
                  <w:shd w:val="clear" w:color="auto" w:fill="FFFFFF"/>
                  <w:vAlign w:val="center"/>
                </w:tcPr>
                <w:p>
                  <w:pPr>
                    <w:spacing w:before="40" w:after="40"/>
                    <w:jc w:val="center"/>
                  </w:pPr>
                  <w:r>
                    <w:t>01/01/2025 - 31/12/2025</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Verze</w:t>
                  </w:r>
                </w:p>
              </w:tc>
              <w:tc>
                <w:tcPr>
                  <w:tcW w:w="2500" w:type="pct"/>
                  <w:shd w:val="clear" w:color="auto" w:fill="FFFFFF"/>
                  <w:vAlign w:val="center"/>
                </w:tcPr>
                <w:p>
                  <w:pPr>
                    <w:spacing w:before="40" w:after="40"/>
                    <w:jc w:val="center"/>
                  </w:pPr>
                  <w:r>
                    <w:t>2025.0</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Stav – aktuální uzel</w:t>
                  </w:r>
                </w:p>
              </w:tc>
              <w:tc>
                <w:tcPr>
                  <w:tcW w:w="2500" w:type="pct"/>
                  <w:shd w:val="clear" w:color="auto" w:fill="FFFFFF"/>
                  <w:vAlign w:val="center"/>
                </w:tcPr>
                <w:p>
                  <w:pPr>
                    <w:spacing w:before="40" w:after="40"/>
                    <w:jc w:val="center"/>
                  </w:pPr>
                  <w:r>
                    <w:t>Otevřeno - Ceska Republika</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Vnitrostátní reference</w:t>
                  </w:r>
                </w:p>
              </w:tc>
              <w:tc>
                <w:tcPr>
                  <w:tcW w:w="2500" w:type="pct"/>
                  <w:shd w:val="clear" w:color="auto" w:fill="FFFFFF"/>
                  <w:vAlign w:val="center"/>
                </w:tcPr>
                <w:p>
                  <w:pPr>
                    <w:spacing w:before="40" w:after="40"/>
                    <w:jc w:val="center"/>
                  </w:pP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Datum schválení monitorovacím výborem</w:t>
                  </w:r>
                </w:p>
              </w:tc>
              <w:tc>
                <w:tcPr>
                  <w:tcW w:w="2500" w:type="pct"/>
                  <w:shd w:val="clear" w:color="auto" w:fill="FFFFFF"/>
                  <w:vAlign w:val="center"/>
                </w:tcPr>
                <w:p>
                  <w:pPr>
                    <w:spacing w:before="40" w:after="40"/>
                    <w:jc w:val="center"/>
                  </w:pPr>
                </w:p>
              </w:tc>
            </w:tr>
          </w:tbl>
          <w:p/>
        </w:tc>
      </w:tr>
      <w:tr>
        <w:tblPrEx>
          <w:tblW w:w="5000" w:type="pct"/>
          <w:tblCellMar>
            <w:left w:w="108" w:type="dxa"/>
            <w:right w:w="108" w:type="dxa"/>
          </w:tblCellMar>
        </w:tblPrEx>
        <w:tc>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107"/>
              <w:gridCol w:w="510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gridSpan w:val="2"/>
                  <w:shd w:val="clear" w:color="auto" w:fill="C0C0C0"/>
                </w:tcPr>
                <w:p>
                  <w:pPr>
                    <w:jc w:val="center"/>
                    <w:rPr>
                      <w:b/>
                      <w:sz w:val="24"/>
                    </w:rPr>
                  </w:pPr>
                  <w:r>
                    <w:rPr>
                      <w:b/>
                      <w:sz w:val="24"/>
                    </w:rPr>
                    <w:t>Platná verze programu</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CCI</w:t>
                  </w:r>
                </w:p>
              </w:tc>
              <w:tc>
                <w:tcPr>
                  <w:tcW w:w="2500" w:type="pct"/>
                  <w:shd w:val="clear" w:color="auto" w:fill="FFFFFF"/>
                  <w:vAlign w:val="center"/>
                </w:tcPr>
                <w:p>
                  <w:pPr>
                    <w:spacing w:before="40" w:after="40"/>
                    <w:jc w:val="center"/>
                  </w:pPr>
                  <w:r>
                    <w:t>2014CZ06RDNP001</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Druh programu</w:t>
                  </w:r>
                </w:p>
              </w:tc>
              <w:tc>
                <w:tcPr>
                  <w:tcW w:w="2500" w:type="pct"/>
                  <w:shd w:val="clear" w:color="auto" w:fill="FFFFFF"/>
                  <w:vAlign w:val="center"/>
                </w:tcPr>
                <w:p>
                  <w:pPr>
                    <w:spacing w:before="40" w:after="40"/>
                    <w:jc w:val="center"/>
                  </w:pPr>
                  <w:r>
                    <w:t>Program rozvoje venkova</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Země</w:t>
                  </w:r>
                </w:p>
              </w:tc>
              <w:tc>
                <w:tcPr>
                  <w:tcW w:w="2500" w:type="pct"/>
                  <w:shd w:val="clear" w:color="auto" w:fill="FFFFFF"/>
                  <w:vAlign w:val="center"/>
                </w:tcPr>
                <w:p>
                  <w:pPr>
                    <w:spacing w:before="40" w:after="40"/>
                    <w:jc w:val="center"/>
                  </w:pPr>
                  <w:r>
                    <w:t>Česká republika</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Region</w:t>
                  </w:r>
                </w:p>
              </w:tc>
              <w:tc>
                <w:tcPr>
                  <w:tcW w:w="2500" w:type="pct"/>
                  <w:shd w:val="clear" w:color="auto" w:fill="FFFFFF"/>
                  <w:vAlign w:val="center"/>
                </w:tcPr>
                <w:p>
                  <w:pPr>
                    <w:spacing w:before="40" w:after="40"/>
                    <w:jc w:val="center"/>
                  </w:pPr>
                  <w:r>
                    <w:t>CZ - National</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Programové období</w:t>
                  </w:r>
                </w:p>
              </w:tc>
              <w:tc>
                <w:tcPr>
                  <w:tcW w:w="2500" w:type="pct"/>
                  <w:shd w:val="clear" w:color="auto" w:fill="FFFFFF"/>
                  <w:vAlign w:val="center"/>
                </w:tcPr>
                <w:p>
                  <w:pPr>
                    <w:spacing w:before="40" w:after="40"/>
                    <w:jc w:val="center"/>
                  </w:pPr>
                  <w:r>
                    <w:t>2014 - 2022</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Verze</w:t>
                  </w:r>
                </w:p>
              </w:tc>
              <w:tc>
                <w:tcPr>
                  <w:tcW w:w="2500" w:type="pct"/>
                  <w:shd w:val="clear" w:color="auto" w:fill="FFFFFF"/>
                  <w:vAlign w:val="center"/>
                </w:tcPr>
                <w:p>
                  <w:pPr>
                    <w:spacing w:before="40" w:after="40"/>
                    <w:jc w:val="center"/>
                  </w:pPr>
                  <w:r>
                    <w:t>14.0</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Číslo rozhodnutí</w:t>
                  </w:r>
                </w:p>
              </w:tc>
              <w:tc>
                <w:tcPr>
                  <w:tcW w:w="2500" w:type="pct"/>
                  <w:shd w:val="clear" w:color="auto" w:fill="FFFFFF"/>
                  <w:vAlign w:val="center"/>
                </w:tcPr>
                <w:p>
                  <w:pPr>
                    <w:spacing w:before="40" w:after="40"/>
                    <w:jc w:val="center"/>
                  </w:pPr>
                  <w:r>
                    <w:t>C(2025)7352</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Datum rozhodnutí</w:t>
                  </w:r>
                </w:p>
              </w:tc>
              <w:tc>
                <w:tcPr>
                  <w:tcW w:w="2500" w:type="pct"/>
                  <w:shd w:val="clear" w:color="auto" w:fill="FFFFFF"/>
                  <w:vAlign w:val="center"/>
                </w:tcPr>
                <w:p>
                  <w:pPr>
                    <w:spacing w:before="40" w:after="40"/>
                    <w:jc w:val="center"/>
                  </w:pPr>
                  <w:r>
                    <w:t>24/10/2025</w:t>
                  </w:r>
                </w:p>
              </w:tc>
            </w:tr>
            <w:tr>
              <w:tblPrEx>
                <w:tblW w:w="5000" w:type="pct"/>
                <w:tblCellMar>
                  <w:left w:w="108" w:type="dxa"/>
                  <w:right w:w="108" w:type="dxa"/>
                </w:tblCellMar>
              </w:tblPrEx>
              <w:tc>
                <w:tcPr>
                  <w:tcW w:w="2500" w:type="pct"/>
                  <w:shd w:val="clear" w:color="auto" w:fill="FFFFFF"/>
                  <w:vAlign w:val="center"/>
                </w:tcPr>
                <w:p>
                  <w:pPr>
                    <w:pStyle w:val="Caption"/>
                    <w:spacing w:before="40" w:after="40"/>
                    <w:jc w:val="center"/>
                  </w:pPr>
                  <w:r>
                    <w:t>Řídicí orgán</w:t>
                  </w:r>
                </w:p>
              </w:tc>
              <w:tc>
                <w:tcPr>
                  <w:tcW w:w="2500" w:type="pct"/>
                  <w:shd w:val="clear" w:color="auto" w:fill="FFFFFF"/>
                  <w:vAlign w:val="center"/>
                </w:tcPr>
                <w:p>
                  <w:pPr>
                    <w:spacing w:before="40" w:after="40"/>
                    <w:jc w:val="center"/>
                  </w:pPr>
                  <w:r>
                    <w:t>Ministerstvo zemědělstvi</w:t>
                  </w:r>
                </w:p>
              </w:tc>
            </w:tr>
          </w:tbl>
          <w:p/>
        </w:tc>
      </w:tr>
    </w:tbl>
    <w:p>
      <w:pPr>
        <w:sectPr>
          <w:footerReference w:type="default" r:id="rId7"/>
          <w:headerReference w:type="first" r:id="rId8"/>
          <w:footerReference w:type="first" r:id="rId9"/>
          <w:pgMar w:top="900" w:right="900" w:bottom="900" w:left="900" w:header="720" w:footer="720"/>
          <w:pgNumType w:start="1"/>
          <w:cols w:space="720"/>
          <w:vAlign w:val="both"/>
        </w:sectPr>
      </w:pPr>
    </w:p>
    <w:p>
      <w:pPr>
        <w:jc w:val="center"/>
        <w:rPr>
          <w:b/>
          <w:sz w:val="32"/>
        </w:rPr>
      </w:pPr>
      <w:r>
        <w:rPr>
          <w:b/>
          <w:sz w:val="32"/>
        </w:rPr>
        <w:t>Obsah</w:t>
      </w:r>
    </w:p>
    <w:p>
      <w:pPr>
        <w:jc w:val="center"/>
        <w:rPr>
          <w:b/>
          <w:sz w:val="32"/>
        </w:rPr>
      </w:pPr>
    </w:p>
    <w:p>
      <w:pPr>
        <w:pStyle w:val="TOC1"/>
        <w:rPr>
          <w:rFonts w:asciiTheme="minorHAnsi" w:hAnsiTheme="minorHAnsi"/>
          <w:noProof/>
          <w:sz w:val="22"/>
        </w:rPr>
      </w:pPr>
      <w:r>
        <w:fldChar w:fldCharType="begin"/>
      </w:r>
      <w:r>
        <w:instrText>TOC \o "1-3" \h \z \u</w:instrText>
      </w:r>
      <w:r>
        <w:fldChar w:fldCharType="separate"/>
      </w:r>
      <w:hyperlink w:anchor="_Toc256000000" w:history="1">
        <w:r>
          <w:rPr>
            <w:rStyle w:val="Hyperlink"/>
          </w:rPr>
          <w:t>1.</w:t>
        </w:r>
        <w:r>
          <w:rPr>
            <w:rStyle w:val="Hyperlink"/>
          </w:rPr>
          <w:t xml:space="preserve"> </w:t>
        </w:r>
        <w:r>
          <w:rPr>
            <w:rStyle w:val="Hyperlink"/>
          </w:rPr>
          <w:t>Klíčové informace o provádění programu a jeho priorit</w:t>
        </w:r>
        <w:r>
          <w:tab/>
        </w:r>
        <w:r>
          <w:fldChar w:fldCharType="begin"/>
        </w:r>
        <w:r>
          <w:instrText xml:space="preserve"> PAGEREF _Toc256000000 \h </w:instrText>
        </w:r>
        <w:r>
          <w:fldChar w:fldCharType="separate"/>
        </w:r>
        <w:r>
          <w:t>4</w:t>
        </w:r>
        <w:r>
          <w:fldChar w:fldCharType="end"/>
        </w:r>
      </w:hyperlink>
    </w:p>
    <w:p>
      <w:pPr>
        <w:pStyle w:val="TOC2"/>
        <w:rPr>
          <w:rFonts w:asciiTheme="minorHAnsi" w:hAnsiTheme="minorHAnsi"/>
          <w:noProof/>
          <w:sz w:val="22"/>
        </w:rPr>
      </w:pPr>
      <w:hyperlink w:anchor="_Toc256000001" w:history="1">
        <w:r>
          <w:rPr>
            <w:rStyle w:val="Hyperlink"/>
          </w:rPr>
          <w:t>1.a)</w:t>
        </w:r>
        <w:r>
          <w:rPr>
            <w:rStyle w:val="Hyperlink"/>
          </w:rPr>
          <w:t xml:space="preserve"> </w:t>
        </w:r>
        <w:r>
          <w:rPr>
            <w:rStyle w:val="Hyperlink"/>
          </w:rPr>
          <w:t>Finanční údaje</w:t>
        </w:r>
        <w:r>
          <w:tab/>
        </w:r>
        <w:r>
          <w:fldChar w:fldCharType="begin"/>
        </w:r>
        <w:r>
          <w:instrText xml:space="preserve"> PAGEREF _Toc256000001 \h </w:instrText>
        </w:r>
        <w:r>
          <w:fldChar w:fldCharType="separate"/>
        </w:r>
        <w:r>
          <w:t>4</w:t>
        </w:r>
        <w:r>
          <w:fldChar w:fldCharType="end"/>
        </w:r>
      </w:hyperlink>
    </w:p>
    <w:p>
      <w:pPr>
        <w:pStyle w:val="TOC2"/>
        <w:rPr>
          <w:rFonts w:asciiTheme="minorHAnsi" w:hAnsiTheme="minorHAnsi"/>
          <w:noProof/>
          <w:sz w:val="22"/>
        </w:rPr>
      </w:pPr>
      <w:hyperlink w:anchor="_Toc256000002" w:history="1">
        <w:r>
          <w:rPr>
            <w:rStyle w:val="Hyperlink"/>
          </w:rPr>
          <w:t>1.b)</w:t>
        </w:r>
        <w:r>
          <w:rPr>
            <w:rStyle w:val="Hyperlink"/>
          </w:rPr>
          <w:t xml:space="preserve"> </w:t>
        </w:r>
        <w:r>
          <w:rPr>
            <w:rStyle w:val="Hyperlink"/>
          </w:rPr>
          <w:t>Společné a specifické programové ukazatele a vyčíslené cílové hodnoty</w:t>
        </w:r>
        <w:r>
          <w:tab/>
        </w:r>
        <w:r>
          <w:fldChar w:fldCharType="begin"/>
        </w:r>
        <w:r>
          <w:instrText xml:space="preserve"> PAGEREF _Toc256000002 \h </w:instrText>
        </w:r>
        <w:r>
          <w:fldChar w:fldCharType="separate"/>
        </w:r>
        <w:r>
          <w:t>4</w:t>
        </w:r>
        <w:r>
          <w:fldChar w:fldCharType="end"/>
        </w:r>
      </w:hyperlink>
    </w:p>
    <w:p>
      <w:pPr>
        <w:pStyle w:val="TOC3"/>
        <w:rPr>
          <w:rFonts w:asciiTheme="minorHAnsi" w:hAnsiTheme="minorHAnsi"/>
          <w:noProof/>
          <w:sz w:val="22"/>
        </w:rPr>
      </w:pPr>
      <w:hyperlink w:anchor="_Toc256000003" w:history="1">
        <w:r>
          <w:rPr>
            <w:rStyle w:val="Hyperlink"/>
          </w:rPr>
          <w:t>1.b1)</w:t>
        </w:r>
        <w:r>
          <w:rPr>
            <w:rStyle w:val="Hyperlink"/>
          </w:rPr>
          <w:t xml:space="preserve"> </w:t>
        </w:r>
        <w:r>
          <w:rPr>
            <w:rStyle w:val="Hyperlink"/>
          </w:rPr>
          <w:t>Tabulkový přehled</w:t>
        </w:r>
        <w:r>
          <w:tab/>
        </w:r>
        <w:r>
          <w:fldChar w:fldCharType="begin"/>
        </w:r>
        <w:r>
          <w:instrText xml:space="preserve"> PAGEREF _Toc256000003 \h </w:instrText>
        </w:r>
        <w:r>
          <w:fldChar w:fldCharType="separate"/>
        </w:r>
        <w:r>
          <w:t>4</w:t>
        </w:r>
        <w:r>
          <w:fldChar w:fldCharType="end"/>
        </w:r>
      </w:hyperlink>
    </w:p>
    <w:p>
      <w:pPr>
        <w:pStyle w:val="TOC2"/>
        <w:rPr>
          <w:rFonts w:asciiTheme="minorHAnsi" w:hAnsiTheme="minorHAnsi"/>
          <w:noProof/>
          <w:sz w:val="22"/>
        </w:rPr>
      </w:pPr>
      <w:hyperlink w:anchor="_Toc256000004" w:history="1">
        <w:r>
          <w:rPr>
            <w:rStyle w:val="Hyperlink"/>
          </w:rPr>
          <w:t>1.c)</w:t>
        </w:r>
        <w:r>
          <w:rPr>
            <w:rStyle w:val="Hyperlink"/>
          </w:rPr>
          <w:t xml:space="preserve"> </w:t>
        </w:r>
        <w:r>
          <w:rPr>
            <w:rStyle w:val="Hyperlink"/>
          </w:rPr>
          <w:t>Klíčové informace o provádění programu rozvoje venkova na základě písmen a) a b) podle prioritní oblasti</w:t>
        </w:r>
        <w:r>
          <w:tab/>
        </w:r>
        <w:r>
          <w:fldChar w:fldCharType="begin"/>
        </w:r>
        <w:r>
          <w:instrText xml:space="preserve"> PAGEREF _Toc256000004 \h </w:instrText>
        </w:r>
        <w:r>
          <w:fldChar w:fldCharType="separate"/>
        </w:r>
        <w:r>
          <w:t>19</w:t>
        </w:r>
        <w:r>
          <w:fldChar w:fldCharType="end"/>
        </w:r>
      </w:hyperlink>
    </w:p>
    <w:p>
      <w:pPr>
        <w:pStyle w:val="TOC2"/>
        <w:rPr>
          <w:rFonts w:asciiTheme="minorHAnsi" w:hAnsiTheme="minorHAnsi"/>
          <w:noProof/>
          <w:sz w:val="22"/>
        </w:rPr>
      </w:pPr>
      <w:hyperlink w:anchor="_Toc256000005" w:history="1">
        <w:r>
          <w:rPr>
            <w:rStyle w:val="Hyperlink"/>
          </w:rPr>
          <w:t>1.d)</w:t>
        </w:r>
        <w:r>
          <w:rPr>
            <w:rStyle w:val="Hyperlink"/>
          </w:rPr>
          <w:t xml:space="preserve"> </w:t>
        </w:r>
        <w:r>
          <w:rPr>
            <w:rStyle w:val="Hyperlink"/>
          </w:rPr>
          <w:t>Klíčové informace týkající se dosažených výsledků s ohledem na milníky stanovené ve výkonnostním rámci na základě tabulky F</w:t>
        </w:r>
        <w:r>
          <w:tab/>
        </w:r>
        <w:r>
          <w:fldChar w:fldCharType="begin"/>
        </w:r>
        <w:r>
          <w:instrText xml:space="preserve"> PAGEREF _Toc256000005 \h </w:instrText>
        </w:r>
        <w:r>
          <w:fldChar w:fldCharType="separate"/>
        </w:r>
        <w:r>
          <w:t>38</w:t>
        </w:r>
        <w:r>
          <w:fldChar w:fldCharType="end"/>
        </w:r>
      </w:hyperlink>
    </w:p>
    <w:p>
      <w:pPr>
        <w:pStyle w:val="TOC2"/>
        <w:rPr>
          <w:rFonts w:asciiTheme="minorHAnsi" w:hAnsiTheme="minorHAnsi"/>
          <w:noProof/>
          <w:sz w:val="22"/>
        </w:rPr>
      </w:pPr>
      <w:hyperlink w:anchor="_Toc256000006" w:history="1">
        <w:r>
          <w:rPr>
            <w:rStyle w:val="Hyperlink"/>
          </w:rPr>
          <w:t>1.e)</w:t>
        </w:r>
        <w:r>
          <w:rPr>
            <w:rStyle w:val="Hyperlink"/>
          </w:rPr>
          <w:t xml:space="preserve"> </w:t>
        </w:r>
        <w:r>
          <w:rPr>
            <w:rStyle w:val="Hyperlink"/>
          </w:rPr>
          <w:t>Jiný prvek specifický pro program rozvoje venkova [nepovinné]</w:t>
        </w:r>
        <w:r>
          <w:tab/>
        </w:r>
        <w:r>
          <w:fldChar w:fldCharType="begin"/>
        </w:r>
        <w:r>
          <w:instrText xml:space="preserve"> PAGEREF _Toc256000006 \h </w:instrText>
        </w:r>
        <w:r>
          <w:fldChar w:fldCharType="separate"/>
        </w:r>
        <w:r>
          <w:t>39</w:t>
        </w:r>
        <w:r>
          <w:fldChar w:fldCharType="end"/>
        </w:r>
      </w:hyperlink>
    </w:p>
    <w:p>
      <w:pPr>
        <w:pStyle w:val="TOC2"/>
        <w:rPr>
          <w:rFonts w:asciiTheme="minorHAnsi" w:hAnsiTheme="minorHAnsi"/>
          <w:noProof/>
          <w:sz w:val="22"/>
        </w:rPr>
      </w:pPr>
      <w:hyperlink w:anchor="_Toc256000007" w:history="1">
        <w:r>
          <w:rPr>
            <w:rStyle w:val="Hyperlink"/>
          </w:rPr>
          <w:t>1.f)</w:t>
        </w:r>
        <w:r>
          <w:rPr>
            <w:rStyle w:val="Hyperlink"/>
          </w:rPr>
          <w:t xml:space="preserve"> </w:t>
        </w:r>
        <w:r>
          <w:rPr>
            <w:rStyle w:val="Hyperlink"/>
            <w:noProof/>
          </w:rPr>
          <w:t>Případně přínos k makroregionálním strategiím a strategiím pro pobřežní oblasti</w:t>
        </w:r>
        <w:r>
          <w:tab/>
        </w:r>
        <w:r>
          <w:fldChar w:fldCharType="begin"/>
        </w:r>
        <w:r>
          <w:instrText xml:space="preserve"> PAGEREF _Toc256000007 \h </w:instrText>
        </w:r>
        <w:r>
          <w:fldChar w:fldCharType="separate"/>
        </w:r>
        <w:r>
          <w:t>39</w:t>
        </w:r>
        <w:r>
          <w:fldChar w:fldCharType="end"/>
        </w:r>
      </w:hyperlink>
    </w:p>
    <w:p>
      <w:pPr>
        <w:pStyle w:val="TOC2"/>
        <w:rPr>
          <w:rFonts w:asciiTheme="minorHAnsi" w:hAnsiTheme="minorHAnsi"/>
          <w:noProof/>
          <w:sz w:val="22"/>
        </w:rPr>
      </w:pPr>
      <w:hyperlink w:anchor="_Toc256000008" w:history="1">
        <w:r>
          <w:rPr>
            <w:rStyle w:val="Hyperlink"/>
          </w:rPr>
          <w:t>1.g)</w:t>
        </w:r>
        <w:r>
          <w:rPr>
            <w:rStyle w:val="Hyperlink"/>
          </w:rPr>
          <w:t xml:space="preserve"> </w:t>
        </w:r>
        <w:r>
          <w:rPr>
            <w:rStyle w:val="Hyperlink"/>
          </w:rPr>
          <w:t>Kurz měny použitý pro přepočet částek zobrazených ve výroční zprávě o provádění (země mimo eurozónu)</w:t>
        </w:r>
        <w:r>
          <w:tab/>
        </w:r>
        <w:r>
          <w:fldChar w:fldCharType="begin"/>
        </w:r>
        <w:r>
          <w:instrText xml:space="preserve"> PAGEREF _Toc256000008 \h </w:instrText>
        </w:r>
        <w:r>
          <w:fldChar w:fldCharType="separate"/>
        </w:r>
        <w:r>
          <w:t>42</w:t>
        </w:r>
        <w:r>
          <w:fldChar w:fldCharType="end"/>
        </w:r>
      </w:hyperlink>
    </w:p>
    <w:p>
      <w:pPr>
        <w:pStyle w:val="TOC1"/>
        <w:rPr>
          <w:rFonts w:asciiTheme="minorHAnsi" w:hAnsiTheme="minorHAnsi"/>
          <w:noProof/>
          <w:sz w:val="22"/>
        </w:rPr>
      </w:pPr>
      <w:hyperlink w:anchor="_Toc256000009" w:history="1">
        <w:r>
          <w:rPr>
            <w:rStyle w:val="Hyperlink"/>
          </w:rPr>
          <w:t>2.</w:t>
        </w:r>
        <w:r>
          <w:rPr>
            <w:rStyle w:val="Hyperlink"/>
          </w:rPr>
          <w:t xml:space="preserve"> </w:t>
        </w:r>
        <w:r>
          <w:rPr>
            <w:rStyle w:val="Hyperlink"/>
          </w:rPr>
          <w:t>Pokrok při provádění plánu hodnocení.</w:t>
        </w:r>
        <w:r>
          <w:tab/>
        </w:r>
        <w:r>
          <w:fldChar w:fldCharType="begin"/>
        </w:r>
        <w:r>
          <w:instrText xml:space="preserve"> PAGEREF _Toc256000009 \h </w:instrText>
        </w:r>
        <w:r>
          <w:fldChar w:fldCharType="separate"/>
        </w:r>
        <w:r>
          <w:t>43</w:t>
        </w:r>
        <w:r>
          <w:fldChar w:fldCharType="end"/>
        </w:r>
      </w:hyperlink>
    </w:p>
    <w:p>
      <w:pPr>
        <w:pStyle w:val="TOC2"/>
        <w:rPr>
          <w:rFonts w:asciiTheme="minorHAnsi" w:hAnsiTheme="minorHAnsi"/>
          <w:noProof/>
          <w:sz w:val="22"/>
        </w:rPr>
      </w:pPr>
      <w:hyperlink w:anchor="_Toc256000010" w:history="1">
        <w:r>
          <w:rPr>
            <w:rStyle w:val="Hyperlink"/>
          </w:rPr>
          <w:t>2.a)</w:t>
        </w:r>
        <w:r>
          <w:rPr>
            <w:rStyle w:val="Hyperlink"/>
          </w:rPr>
          <w:t xml:space="preserve"> </w:t>
        </w:r>
        <w:r>
          <w:rPr>
            <w:rStyle w:val="Hyperlink"/>
          </w:rPr>
          <w:t>Popis případných úprav plánu hodnocení v rámci programu rozvoje venkova během roku a jejich odůvodnění</w:t>
        </w:r>
        <w:r>
          <w:tab/>
        </w:r>
        <w:r>
          <w:fldChar w:fldCharType="begin"/>
        </w:r>
        <w:r>
          <w:instrText xml:space="preserve"> PAGEREF _Toc256000010 \h </w:instrText>
        </w:r>
        <w:r>
          <w:fldChar w:fldCharType="separate"/>
        </w:r>
        <w:r>
          <w:t>43</w:t>
        </w:r>
        <w:r>
          <w:fldChar w:fldCharType="end"/>
        </w:r>
      </w:hyperlink>
    </w:p>
    <w:p>
      <w:pPr>
        <w:pStyle w:val="TOC2"/>
        <w:rPr>
          <w:rFonts w:asciiTheme="minorHAnsi" w:hAnsiTheme="minorHAnsi"/>
          <w:noProof/>
          <w:sz w:val="22"/>
        </w:rPr>
      </w:pPr>
      <w:hyperlink w:anchor="_Toc256000011" w:history="1">
        <w:r>
          <w:rPr>
            <w:rStyle w:val="Hyperlink"/>
          </w:rPr>
          <w:t>2.b)</w:t>
        </w:r>
        <w:r>
          <w:rPr>
            <w:rStyle w:val="Hyperlink"/>
          </w:rPr>
          <w:t xml:space="preserve"> </w:t>
        </w:r>
        <w:r>
          <w:rPr>
            <w:rStyle w:val="Hyperlink"/>
          </w:rPr>
          <w:t>Popis hodnotících činností, jež byly provedeny v průběhu roku (ve vztahu k oddílu 3 plánu hodnocení)</w:t>
        </w:r>
        <w:r>
          <w:tab/>
        </w:r>
        <w:r>
          <w:fldChar w:fldCharType="begin"/>
        </w:r>
        <w:r>
          <w:instrText xml:space="preserve"> PAGEREF _Toc256000011 \h </w:instrText>
        </w:r>
        <w:r>
          <w:fldChar w:fldCharType="separate"/>
        </w:r>
        <w:r>
          <w:t>43</w:t>
        </w:r>
        <w:r>
          <w:fldChar w:fldCharType="end"/>
        </w:r>
      </w:hyperlink>
    </w:p>
    <w:p>
      <w:pPr>
        <w:pStyle w:val="TOC2"/>
        <w:rPr>
          <w:rFonts w:asciiTheme="minorHAnsi" w:hAnsiTheme="minorHAnsi"/>
          <w:noProof/>
          <w:sz w:val="22"/>
        </w:rPr>
      </w:pPr>
      <w:hyperlink w:anchor="_Toc256000012" w:history="1">
        <w:r>
          <w:rPr>
            <w:rStyle w:val="Hyperlink"/>
          </w:rPr>
          <w:t>2.c)</w:t>
        </w:r>
        <w:r>
          <w:rPr>
            <w:rStyle w:val="Hyperlink"/>
          </w:rPr>
          <w:t xml:space="preserve"> </w:t>
        </w:r>
        <w:r>
          <w:rPr>
            <w:rStyle w:val="Hyperlink"/>
          </w:rPr>
          <w:t>Popis činností, které byly provedeny v souvislosti s poskytováním a správou údajů (ve vztahu k oddílu 4 plánu hodnocení)</w:t>
        </w:r>
        <w:r>
          <w:tab/>
        </w:r>
        <w:r>
          <w:fldChar w:fldCharType="begin"/>
        </w:r>
        <w:r>
          <w:instrText xml:space="preserve"> PAGEREF _Toc256000012 \h </w:instrText>
        </w:r>
        <w:r>
          <w:fldChar w:fldCharType="separate"/>
        </w:r>
        <w:r>
          <w:t>44</w:t>
        </w:r>
        <w:r>
          <w:fldChar w:fldCharType="end"/>
        </w:r>
      </w:hyperlink>
    </w:p>
    <w:p>
      <w:pPr>
        <w:pStyle w:val="TOC2"/>
        <w:rPr>
          <w:rFonts w:asciiTheme="minorHAnsi" w:hAnsiTheme="minorHAnsi"/>
          <w:noProof/>
          <w:sz w:val="22"/>
        </w:rPr>
      </w:pPr>
      <w:hyperlink w:anchor="_Toc256000013" w:history="1">
        <w:r>
          <w:rPr>
            <w:rStyle w:val="Hyperlink"/>
          </w:rPr>
          <w:t>2.d)</w:t>
        </w:r>
        <w:r>
          <w:rPr>
            <w:rStyle w:val="Hyperlink"/>
          </w:rPr>
          <w:t xml:space="preserve"> </w:t>
        </w:r>
        <w:r>
          <w:rPr>
            <w:rStyle w:val="Hyperlink"/>
          </w:rPr>
          <w:t>Seznam dokončených hodnocení, včetně odkazů na internetové stránky, na nichž byla hodnocení zveřejněna</w:t>
        </w:r>
        <w:r>
          <w:tab/>
        </w:r>
        <w:r>
          <w:fldChar w:fldCharType="begin"/>
        </w:r>
        <w:r>
          <w:instrText xml:space="preserve"> PAGEREF _Toc256000013 \h </w:instrText>
        </w:r>
        <w:r>
          <w:fldChar w:fldCharType="separate"/>
        </w:r>
        <w:r>
          <w:t>45</w:t>
        </w:r>
        <w:r>
          <w:fldChar w:fldCharType="end"/>
        </w:r>
      </w:hyperlink>
    </w:p>
    <w:p>
      <w:pPr>
        <w:pStyle w:val="TOC2"/>
        <w:rPr>
          <w:rFonts w:asciiTheme="minorHAnsi" w:hAnsiTheme="minorHAnsi"/>
          <w:noProof/>
          <w:sz w:val="22"/>
        </w:rPr>
      </w:pPr>
      <w:hyperlink w:anchor="_Toc256000014" w:history="1">
        <w:r>
          <w:rPr>
            <w:rStyle w:val="Hyperlink"/>
          </w:rPr>
          <w:t>2.e)</w:t>
        </w:r>
        <w:r>
          <w:rPr>
            <w:rStyle w:val="Hyperlink"/>
          </w:rPr>
          <w:t xml:space="preserve"> </w:t>
        </w:r>
        <w:r>
          <w:rPr>
            <w:rStyle w:val="Hyperlink"/>
          </w:rPr>
          <w:t>Shrnutí dokončených hodnocení se zaměřením na zjištění z hodnocení</w:t>
        </w:r>
        <w:r>
          <w:tab/>
        </w:r>
        <w:r>
          <w:fldChar w:fldCharType="begin"/>
        </w:r>
        <w:r>
          <w:instrText xml:space="preserve"> PAGEREF _Toc256000014 \h </w:instrText>
        </w:r>
        <w:r>
          <w:fldChar w:fldCharType="separate"/>
        </w:r>
        <w:r>
          <w:t>46</w:t>
        </w:r>
        <w:r>
          <w:fldChar w:fldCharType="end"/>
        </w:r>
      </w:hyperlink>
    </w:p>
    <w:p>
      <w:pPr>
        <w:pStyle w:val="TOC2"/>
        <w:rPr>
          <w:rFonts w:asciiTheme="minorHAnsi" w:hAnsiTheme="minorHAnsi"/>
          <w:noProof/>
          <w:sz w:val="22"/>
        </w:rPr>
      </w:pPr>
      <w:hyperlink w:anchor="_Toc256000015" w:history="1">
        <w:r>
          <w:rPr>
            <w:rStyle w:val="Hyperlink"/>
          </w:rPr>
          <w:t>2.f)</w:t>
        </w:r>
        <w:r>
          <w:rPr>
            <w:rStyle w:val="Hyperlink"/>
          </w:rPr>
          <w:t xml:space="preserve"> </w:t>
        </w:r>
        <w:r>
          <w:rPr>
            <w:rStyle w:val="Hyperlink"/>
          </w:rPr>
          <w:t>Popis provedených komunikačních činností v souvislosti se zveřejněním zjištění z hodnocení (ve vztahu k oddílu 6 plánu hodnocení)</w:t>
        </w:r>
        <w:r>
          <w:tab/>
        </w:r>
        <w:r>
          <w:fldChar w:fldCharType="begin"/>
        </w:r>
        <w:r>
          <w:instrText xml:space="preserve"> PAGEREF _Toc256000015 \h </w:instrText>
        </w:r>
        <w:r>
          <w:fldChar w:fldCharType="separate"/>
        </w:r>
        <w:r>
          <w:t>48</w:t>
        </w:r>
        <w:r>
          <w:fldChar w:fldCharType="end"/>
        </w:r>
      </w:hyperlink>
    </w:p>
    <w:p>
      <w:pPr>
        <w:pStyle w:val="TOC2"/>
        <w:rPr>
          <w:rFonts w:asciiTheme="minorHAnsi" w:hAnsiTheme="minorHAnsi"/>
          <w:noProof/>
          <w:sz w:val="22"/>
        </w:rPr>
      </w:pPr>
      <w:hyperlink w:anchor="_Toc256000016" w:history="1">
        <w:r>
          <w:rPr>
            <w:rStyle w:val="Hyperlink"/>
          </w:rPr>
          <w:t>2.g)</w:t>
        </w:r>
        <w:r>
          <w:rPr>
            <w:rStyle w:val="Hyperlink"/>
          </w:rPr>
          <w:t xml:space="preserve"> </w:t>
        </w:r>
        <w:r>
          <w:rPr>
            <w:rStyle w:val="Hyperlink"/>
          </w:rPr>
          <w:t>Popis opatření přijatých v návaznosti na výsledky hodnocení (ve vztahu k oddílu 6 plánu hodnocení)</w:t>
        </w:r>
        <w:r>
          <w:tab/>
        </w:r>
        <w:r>
          <w:fldChar w:fldCharType="begin"/>
        </w:r>
        <w:r>
          <w:instrText xml:space="preserve"> PAGEREF _Toc256000016 \h </w:instrText>
        </w:r>
        <w:r>
          <w:fldChar w:fldCharType="separate"/>
        </w:r>
        <w:r>
          <w:t>49</w:t>
        </w:r>
        <w:r>
          <w:fldChar w:fldCharType="end"/>
        </w:r>
      </w:hyperlink>
    </w:p>
    <w:p>
      <w:pPr>
        <w:pStyle w:val="TOC1"/>
        <w:rPr>
          <w:rFonts w:asciiTheme="minorHAnsi" w:hAnsiTheme="minorHAnsi"/>
          <w:noProof/>
          <w:sz w:val="22"/>
        </w:rPr>
      </w:pPr>
      <w:hyperlink w:anchor="_Toc256000017" w:history="1">
        <w:r>
          <w:rPr>
            <w:rStyle w:val="Hyperlink"/>
          </w:rPr>
          <w:t>3.</w:t>
        </w:r>
        <w:r>
          <w:rPr>
            <w:rStyle w:val="Hyperlink"/>
          </w:rPr>
          <w:t xml:space="preserve"> </w:t>
        </w:r>
        <w:r>
          <w:rPr>
            <w:rStyle w:val="Hyperlink"/>
          </w:rPr>
          <w:t>Záležitosti, které ovlivňují výkonnost programu, a přijatá opatření</w:t>
        </w:r>
        <w:r>
          <w:tab/>
        </w:r>
        <w:r>
          <w:fldChar w:fldCharType="begin"/>
        </w:r>
        <w:r>
          <w:instrText xml:space="preserve"> PAGEREF _Toc256000017 \h </w:instrText>
        </w:r>
        <w:r>
          <w:fldChar w:fldCharType="separate"/>
        </w:r>
        <w:r>
          <w:t>51</w:t>
        </w:r>
        <w:r>
          <w:fldChar w:fldCharType="end"/>
        </w:r>
      </w:hyperlink>
    </w:p>
    <w:p>
      <w:pPr>
        <w:pStyle w:val="TOC2"/>
        <w:rPr>
          <w:rFonts w:asciiTheme="minorHAnsi" w:hAnsiTheme="minorHAnsi"/>
          <w:noProof/>
          <w:sz w:val="22"/>
        </w:rPr>
      </w:pPr>
      <w:hyperlink w:anchor="_Toc256000018" w:history="1">
        <w:r>
          <w:rPr>
            <w:rStyle w:val="Hyperlink"/>
          </w:rPr>
          <w:t>3.a)</w:t>
        </w:r>
        <w:r>
          <w:rPr>
            <w:rStyle w:val="Hyperlink"/>
          </w:rPr>
          <w:t xml:space="preserve"> </w:t>
        </w:r>
        <w:r>
          <w:rPr>
            <w:rStyle w:val="Hyperlink"/>
          </w:rPr>
          <w:t>Popis kroků přijatých k zajištění kvality a účelnosti provádění programu</w:t>
        </w:r>
        <w:r>
          <w:tab/>
        </w:r>
        <w:r>
          <w:fldChar w:fldCharType="begin"/>
        </w:r>
        <w:r>
          <w:instrText xml:space="preserve"> PAGEREF _Toc256000018 \h </w:instrText>
        </w:r>
        <w:r>
          <w:fldChar w:fldCharType="separate"/>
        </w:r>
        <w:r>
          <w:t>51</w:t>
        </w:r>
        <w:r>
          <w:fldChar w:fldCharType="end"/>
        </w:r>
      </w:hyperlink>
    </w:p>
    <w:p>
      <w:pPr>
        <w:pStyle w:val="TOC2"/>
        <w:rPr>
          <w:rFonts w:asciiTheme="minorHAnsi" w:hAnsiTheme="minorHAnsi"/>
          <w:noProof/>
          <w:sz w:val="22"/>
        </w:rPr>
      </w:pPr>
      <w:hyperlink w:anchor="_Toc256000019" w:history="1">
        <w:r>
          <w:rPr>
            <w:rStyle w:val="Hyperlink"/>
          </w:rPr>
          <w:t>3.b)</w:t>
        </w:r>
        <w:r>
          <w:rPr>
            <w:rStyle w:val="Hyperlink"/>
          </w:rPr>
          <w:t xml:space="preserve"> </w:t>
        </w:r>
        <w:r>
          <w:rPr>
            <w:rStyle w:val="Hyperlink"/>
          </w:rPr>
          <w:t>Kvalitní a účinné mechanismy plnění</w:t>
        </w:r>
        <w:r>
          <w:tab/>
        </w:r>
        <w:r>
          <w:fldChar w:fldCharType="begin"/>
        </w:r>
        <w:r>
          <w:instrText xml:space="preserve"> PAGEREF _Toc256000019 \h </w:instrText>
        </w:r>
        <w:r>
          <w:fldChar w:fldCharType="separate"/>
        </w:r>
        <w:r>
          <w:t>54</w:t>
        </w:r>
        <w:r>
          <w:fldChar w:fldCharType="end"/>
        </w:r>
      </w:hyperlink>
    </w:p>
    <w:p>
      <w:pPr>
        <w:pStyle w:val="TOC1"/>
        <w:rPr>
          <w:rFonts w:asciiTheme="minorHAnsi" w:hAnsiTheme="minorHAnsi"/>
          <w:noProof/>
          <w:sz w:val="22"/>
        </w:rPr>
      </w:pPr>
      <w:hyperlink w:anchor="_Toc256000020" w:history="1">
        <w:r>
          <w:rPr>
            <w:rStyle w:val="Hyperlink"/>
          </w:rPr>
          <w:t>4.</w:t>
        </w:r>
        <w:r>
          <w:rPr>
            <w:rStyle w:val="Hyperlink"/>
          </w:rPr>
          <w:t xml:space="preserve"> </w:t>
        </w:r>
        <w:r>
          <w:rPr>
            <w:rStyle w:val="Hyperlink"/>
          </w:rPr>
          <w:t>Opatření přijatá v souvislosti s technickou pomocí a požadavky na propagaci programu</w:t>
        </w:r>
        <w:r>
          <w:tab/>
        </w:r>
        <w:r>
          <w:fldChar w:fldCharType="begin"/>
        </w:r>
        <w:r>
          <w:instrText xml:space="preserve"> PAGEREF _Toc256000020 \h </w:instrText>
        </w:r>
        <w:r>
          <w:fldChar w:fldCharType="separate"/>
        </w:r>
        <w:r>
          <w:t>56</w:t>
        </w:r>
        <w:r>
          <w:fldChar w:fldCharType="end"/>
        </w:r>
      </w:hyperlink>
    </w:p>
    <w:p>
      <w:pPr>
        <w:pStyle w:val="TOC2"/>
        <w:rPr>
          <w:rFonts w:asciiTheme="minorHAnsi" w:hAnsiTheme="minorHAnsi"/>
          <w:noProof/>
          <w:sz w:val="22"/>
        </w:rPr>
      </w:pPr>
      <w:hyperlink w:anchor="_Toc256000021" w:history="1">
        <w:r>
          <w:rPr>
            <w:rStyle w:val="Hyperlink"/>
          </w:rPr>
          <w:t>4.a)</w:t>
        </w:r>
        <w:r>
          <w:rPr>
            <w:rStyle w:val="Hyperlink"/>
          </w:rPr>
          <w:t xml:space="preserve"> </w:t>
        </w:r>
        <w:r>
          <w:rPr>
            <w:rStyle w:val="Hyperlink"/>
          </w:rPr>
          <w:t>Přijatá opatření a současný stav, pokud jde o zřizování celostátní sítě pro venkov a provádění jejího akčního plánu</w:t>
        </w:r>
        <w:r>
          <w:tab/>
        </w:r>
        <w:r>
          <w:fldChar w:fldCharType="begin"/>
        </w:r>
        <w:r>
          <w:instrText xml:space="preserve"> PAGEREF _Toc256000021 \h </w:instrText>
        </w:r>
        <w:r>
          <w:fldChar w:fldCharType="separate"/>
        </w:r>
        <w:r>
          <w:t>56</w:t>
        </w:r>
        <w:r>
          <w:fldChar w:fldCharType="end"/>
        </w:r>
      </w:hyperlink>
    </w:p>
    <w:p>
      <w:pPr>
        <w:pStyle w:val="TOC3"/>
        <w:rPr>
          <w:rFonts w:asciiTheme="minorHAnsi" w:hAnsiTheme="minorHAnsi"/>
          <w:noProof/>
          <w:sz w:val="22"/>
        </w:rPr>
      </w:pPr>
      <w:hyperlink w:anchor="_Toc256000022" w:history="1">
        <w:r>
          <w:rPr>
            <w:rStyle w:val="Hyperlink"/>
          </w:rPr>
          <w:t>4.a1)</w:t>
        </w:r>
        <w:r>
          <w:rPr>
            <w:rStyle w:val="Hyperlink"/>
          </w:rPr>
          <w:t xml:space="preserve"> </w:t>
        </w:r>
        <w:r>
          <w:rPr>
            <w:rStyle w:val="Hyperlink"/>
          </w:rPr>
          <w:t>Přijatá opatření a současný stav, pokud jde o zřizování celostátní sítě pro venkov (řídicí struktura a síťová podpůrná jednotka)</w:t>
        </w:r>
        <w:r>
          <w:tab/>
        </w:r>
        <w:r>
          <w:fldChar w:fldCharType="begin"/>
        </w:r>
        <w:r>
          <w:instrText xml:space="preserve"> PAGEREF _Toc256000022 \h </w:instrText>
        </w:r>
        <w:r>
          <w:fldChar w:fldCharType="separate"/>
        </w:r>
        <w:r>
          <w:t>56</w:t>
        </w:r>
        <w:r>
          <w:fldChar w:fldCharType="end"/>
        </w:r>
      </w:hyperlink>
    </w:p>
    <w:p>
      <w:pPr>
        <w:pStyle w:val="TOC3"/>
        <w:rPr>
          <w:rFonts w:asciiTheme="minorHAnsi" w:hAnsiTheme="minorHAnsi"/>
          <w:noProof/>
          <w:sz w:val="22"/>
        </w:rPr>
      </w:pPr>
      <w:hyperlink w:anchor="_Toc256000023" w:history="1">
        <w:r>
          <w:rPr>
            <w:rStyle w:val="Hyperlink"/>
          </w:rPr>
          <w:t>4.a2)</w:t>
        </w:r>
        <w:r>
          <w:rPr>
            <w:rStyle w:val="Hyperlink"/>
          </w:rPr>
          <w:t xml:space="preserve"> </w:t>
        </w:r>
        <w:r>
          <w:rPr>
            <w:rStyle w:val="Hyperlink"/>
          </w:rPr>
          <w:t>Přijatá opatření a současný stav, pokud jde o provádění akčního plánu</w:t>
        </w:r>
        <w:r>
          <w:tab/>
        </w:r>
        <w:r>
          <w:fldChar w:fldCharType="begin"/>
        </w:r>
        <w:r>
          <w:instrText xml:space="preserve"> PAGEREF _Toc256000023 \h </w:instrText>
        </w:r>
        <w:r>
          <w:fldChar w:fldCharType="separate"/>
        </w:r>
        <w:r>
          <w:t>57</w:t>
        </w:r>
        <w:r>
          <w:fldChar w:fldCharType="end"/>
        </w:r>
      </w:hyperlink>
    </w:p>
    <w:p>
      <w:pPr>
        <w:pStyle w:val="TOC2"/>
        <w:rPr>
          <w:rFonts w:asciiTheme="minorHAnsi" w:hAnsiTheme="minorHAnsi"/>
          <w:noProof/>
          <w:sz w:val="22"/>
        </w:rPr>
      </w:pPr>
      <w:hyperlink w:anchor="_Toc256000024" w:history="1">
        <w:r>
          <w:rPr>
            <w:rStyle w:val="Hyperlink"/>
          </w:rPr>
          <w:t>4.b)</w:t>
        </w:r>
        <w:r>
          <w:rPr>
            <w:rStyle w:val="Hyperlink"/>
          </w:rPr>
          <w:t xml:space="preserve"> </w:t>
        </w:r>
        <w:r>
          <w:rPr>
            <w:rStyle w:val="Hyperlink"/>
          </w:rPr>
          <w:t>Opatření přijatá k zajištění propagace programu (článek 13 prováděcího nařízení Komise (EU) č. 808/2014)</w:t>
        </w:r>
        <w:r>
          <w:tab/>
        </w:r>
        <w:r>
          <w:fldChar w:fldCharType="begin"/>
        </w:r>
        <w:r>
          <w:instrText xml:space="preserve"> PAGEREF _Toc256000024 \h </w:instrText>
        </w:r>
        <w:r>
          <w:fldChar w:fldCharType="separate"/>
        </w:r>
        <w:r>
          <w:t>58</w:t>
        </w:r>
        <w:r>
          <w:fldChar w:fldCharType="end"/>
        </w:r>
      </w:hyperlink>
    </w:p>
    <w:p>
      <w:pPr>
        <w:pStyle w:val="TOC1"/>
        <w:rPr>
          <w:rFonts w:asciiTheme="minorHAnsi" w:hAnsiTheme="minorHAnsi"/>
          <w:noProof/>
          <w:sz w:val="22"/>
        </w:rPr>
      </w:pPr>
      <w:hyperlink w:anchor="_Toc256000025" w:history="1">
        <w:r>
          <w:rPr>
            <w:rStyle w:val="Hyperlink"/>
          </w:rPr>
          <w:t>5.</w:t>
        </w:r>
        <w:r>
          <w:rPr>
            <w:rStyle w:val="Hyperlink"/>
          </w:rPr>
          <w:t xml:space="preserve"> </w:t>
        </w:r>
        <w:r>
          <w:rPr>
            <w:rStyle w:val="Hyperlink"/>
          </w:rPr>
          <w:t>Opatření přijatá ke splnění předběžných podmínek</w:t>
        </w:r>
        <w:r>
          <w:tab/>
        </w:r>
        <w:r>
          <w:fldChar w:fldCharType="begin"/>
        </w:r>
        <w:r>
          <w:instrText xml:space="preserve"> PAGEREF _Toc256000025 \h </w:instrText>
        </w:r>
        <w:r>
          <w:fldChar w:fldCharType="separate"/>
        </w:r>
        <w:r>
          <w:t>60</w:t>
        </w:r>
        <w:r>
          <w:fldChar w:fldCharType="end"/>
        </w:r>
      </w:hyperlink>
    </w:p>
    <w:p>
      <w:pPr>
        <w:pStyle w:val="TOC1"/>
        <w:rPr>
          <w:rFonts w:asciiTheme="minorHAnsi" w:hAnsiTheme="minorHAnsi"/>
          <w:noProof/>
          <w:sz w:val="22"/>
        </w:rPr>
      </w:pPr>
      <w:hyperlink w:anchor="_Toc256000026" w:history="1">
        <w:r>
          <w:rPr>
            <w:rStyle w:val="Hyperlink"/>
          </w:rPr>
          <w:t>6.</w:t>
        </w:r>
        <w:r>
          <w:rPr>
            <w:rStyle w:val="Hyperlink"/>
          </w:rPr>
          <w:t xml:space="preserve"> </w:t>
        </w:r>
        <w:r>
          <w:rPr>
            <w:rStyle w:val="Hyperlink"/>
          </w:rPr>
          <w:t>Popis provádění podprogramů</w:t>
        </w:r>
        <w:r>
          <w:tab/>
        </w:r>
        <w:r>
          <w:fldChar w:fldCharType="begin"/>
        </w:r>
        <w:r>
          <w:instrText xml:space="preserve"> PAGEREF _Toc256000026 \h </w:instrText>
        </w:r>
        <w:r>
          <w:fldChar w:fldCharType="separate"/>
        </w:r>
        <w:r>
          <w:t>61</w:t>
        </w:r>
        <w:r>
          <w:fldChar w:fldCharType="end"/>
        </w:r>
      </w:hyperlink>
    </w:p>
    <w:p>
      <w:pPr>
        <w:pStyle w:val="TOC1"/>
        <w:rPr>
          <w:rFonts w:asciiTheme="minorHAnsi" w:hAnsiTheme="minorHAnsi"/>
          <w:noProof/>
          <w:sz w:val="22"/>
        </w:rPr>
      </w:pPr>
      <w:hyperlink w:anchor="_Toc256000027" w:history="1">
        <w:r>
          <w:rPr>
            <w:rStyle w:val="Hyperlink"/>
          </w:rPr>
          <w:t>7.</w:t>
        </w:r>
        <w:r>
          <w:rPr>
            <w:rStyle w:val="Hyperlink"/>
          </w:rPr>
          <w:t xml:space="preserve"> </w:t>
        </w:r>
        <w:r>
          <w:rPr>
            <w:rStyle w:val="Hyperlink"/>
          </w:rPr>
          <w:t>Posouzení informací a pokroku při plnění cílů programu</w:t>
        </w:r>
        <w:r>
          <w:tab/>
        </w:r>
        <w:r>
          <w:fldChar w:fldCharType="begin"/>
        </w:r>
        <w:r>
          <w:instrText xml:space="preserve"> PAGEREF _Toc256000027 \h </w:instrText>
        </w:r>
        <w:r>
          <w:fldChar w:fldCharType="separate"/>
        </w:r>
        <w:r>
          <w:t>62</w:t>
        </w:r>
        <w:r>
          <w:fldChar w:fldCharType="end"/>
        </w:r>
      </w:hyperlink>
    </w:p>
    <w:p>
      <w:pPr>
        <w:pStyle w:val="TOC1"/>
        <w:rPr>
          <w:rFonts w:asciiTheme="minorHAnsi" w:hAnsiTheme="minorHAnsi"/>
          <w:noProof/>
          <w:sz w:val="22"/>
        </w:rPr>
      </w:pPr>
      <w:hyperlink w:anchor="_Toc256000028" w:history="1">
        <w:r>
          <w:rPr>
            <w:rStyle w:val="Hyperlink"/>
          </w:rPr>
          <w:t>8.</w:t>
        </w:r>
        <w:r>
          <w:rPr>
            <w:rStyle w:val="Hyperlink"/>
          </w:rPr>
          <w:t xml:space="preserve"> </w:t>
        </w:r>
        <w:r>
          <w:rPr>
            <w:rStyle w:val="Hyperlink"/>
          </w:rPr>
          <w:t>Provádění opatření zohledňujících zásady uvedené v článcích 5, 7 a 8 nařízení (EU) č. 1303/2013</w:t>
        </w:r>
        <w:r>
          <w:tab/>
        </w:r>
        <w:r>
          <w:fldChar w:fldCharType="begin"/>
        </w:r>
        <w:r>
          <w:instrText xml:space="preserve"> PAGEREF _Toc256000028 \h </w:instrText>
        </w:r>
        <w:r>
          <w:fldChar w:fldCharType="separate"/>
        </w:r>
        <w:r>
          <w:t>63</w:t>
        </w:r>
        <w:r>
          <w:fldChar w:fldCharType="end"/>
        </w:r>
      </w:hyperlink>
    </w:p>
    <w:p>
      <w:pPr>
        <w:pStyle w:val="TOC1"/>
        <w:rPr>
          <w:rFonts w:asciiTheme="minorHAnsi" w:hAnsiTheme="minorHAnsi"/>
          <w:noProof/>
          <w:sz w:val="22"/>
        </w:rPr>
      </w:pPr>
      <w:hyperlink w:anchor="_Toc256000029" w:history="1">
        <w:r>
          <w:rPr>
            <w:rStyle w:val="Hyperlink"/>
          </w:rPr>
          <w:t>9.</w:t>
        </w:r>
        <w:r>
          <w:rPr>
            <w:rStyle w:val="Hyperlink"/>
          </w:rPr>
          <w:t xml:space="preserve"> </w:t>
        </w:r>
        <w:r>
          <w:rPr>
            <w:rStyle w:val="Hyperlink"/>
          </w:rPr>
          <w:t>Pokrok, jehož bylo dosaženo při zajišťování integrovaného přístupu k využívání EZFRV a jiných finančních nástrojů Unie</w:t>
        </w:r>
        <w:r>
          <w:tab/>
        </w:r>
        <w:r>
          <w:fldChar w:fldCharType="begin"/>
        </w:r>
        <w:r>
          <w:instrText xml:space="preserve"> PAGEREF _Toc256000029 \h </w:instrText>
        </w:r>
        <w:r>
          <w:fldChar w:fldCharType="separate"/>
        </w:r>
        <w:r>
          <w:t>65</w:t>
        </w:r>
        <w:r>
          <w:fldChar w:fldCharType="end"/>
        </w:r>
      </w:hyperlink>
    </w:p>
    <w:p>
      <w:pPr>
        <w:pStyle w:val="TOC1"/>
        <w:rPr>
          <w:rFonts w:asciiTheme="minorHAnsi" w:hAnsiTheme="minorHAnsi"/>
          <w:noProof/>
          <w:sz w:val="22"/>
        </w:rPr>
      </w:pPr>
      <w:hyperlink w:anchor="_Toc256000030" w:history="1">
        <w:r>
          <w:rPr>
            <w:rStyle w:val="Hyperlink"/>
          </w:rPr>
          <w:t>10.</w:t>
        </w:r>
        <w:r>
          <w:rPr>
            <w:rStyle w:val="Hyperlink"/>
          </w:rPr>
          <w:t xml:space="preserve"> </w:t>
        </w:r>
        <w:r>
          <w:rPr>
            <w:rStyle w:val="Hyperlink"/>
          </w:rPr>
          <w:t>Zpráva o provádění finančních nástrojů (článek 46 nařízení (EU) č. 1303/2013)</w:t>
        </w:r>
        <w:r>
          <w:tab/>
        </w:r>
        <w:r>
          <w:fldChar w:fldCharType="begin"/>
        </w:r>
        <w:r>
          <w:instrText xml:space="preserve"> PAGEREF _Toc256000030 \h </w:instrText>
        </w:r>
        <w:r>
          <w:fldChar w:fldCharType="separate"/>
        </w:r>
        <w:r>
          <w:t>66</w:t>
        </w:r>
        <w:r>
          <w:fldChar w:fldCharType="end"/>
        </w:r>
      </w:hyperlink>
    </w:p>
    <w:p>
      <w:pPr>
        <w:pStyle w:val="TOC1"/>
        <w:rPr>
          <w:rFonts w:asciiTheme="minorHAnsi" w:hAnsiTheme="minorHAnsi"/>
          <w:noProof/>
          <w:sz w:val="22"/>
        </w:rPr>
      </w:pPr>
      <w:hyperlink w:anchor="_Toc256000031" w:history="1">
        <w:r>
          <w:rPr>
            <w:rStyle w:val="Hyperlink"/>
          </w:rPr>
          <w:t>11.</w:t>
        </w:r>
        <w:r>
          <w:rPr>
            <w:rStyle w:val="Hyperlink"/>
          </w:rPr>
          <w:t xml:space="preserve"> </w:t>
        </w:r>
        <w:r>
          <w:rPr>
            <w:rStyle w:val="Hyperlink"/>
          </w:rPr>
          <w:t>Zadávací tabulky pro společné a specifické programové ukazatele a vyčíslené cílové hodnoty</w:t>
        </w:r>
        <w:r>
          <w:tab/>
        </w:r>
        <w:r>
          <w:fldChar w:fldCharType="begin"/>
        </w:r>
        <w:r>
          <w:instrText xml:space="preserve"> PAGEREF _Toc256000031 \h </w:instrText>
        </w:r>
        <w:r>
          <w:fldChar w:fldCharType="separate"/>
        </w:r>
        <w:r>
          <w:t>67</w:t>
        </w:r>
        <w:r>
          <w:fldChar w:fldCharType="end"/>
        </w:r>
      </w:hyperlink>
    </w:p>
    <w:p>
      <w:pPr>
        <w:pStyle w:val="TOC2"/>
        <w:rPr>
          <w:rFonts w:asciiTheme="minorHAnsi" w:hAnsiTheme="minorHAnsi"/>
          <w:noProof/>
          <w:sz w:val="22"/>
        </w:rPr>
      </w:pPr>
      <w:hyperlink w:anchor="_Toc256000032" w:history="1">
        <w:r>
          <w:rPr>
            <w:rStyle w:val="Hyperlink"/>
          </w:rPr>
          <w:t>Příloha II</w:t>
        </w:r>
        <w:r>
          <w:tab/>
        </w:r>
        <w:r>
          <w:fldChar w:fldCharType="begin"/>
        </w:r>
        <w:r>
          <w:instrText xml:space="preserve"> PAGEREF _Toc256000032 \h </w:instrText>
        </w:r>
        <w:r>
          <w:fldChar w:fldCharType="separate"/>
        </w:r>
        <w:r>
          <w:t>68</w:t>
        </w:r>
        <w:r>
          <w:fldChar w:fldCharType="end"/>
        </w:r>
      </w:hyperlink>
    </w:p>
    <w:p>
      <w:pPr>
        <w:pStyle w:val="TOC2"/>
        <w:rPr>
          <w:rFonts w:asciiTheme="minorHAnsi" w:hAnsiTheme="minorHAnsi"/>
          <w:noProof/>
          <w:sz w:val="22"/>
        </w:rPr>
      </w:pPr>
      <w:hyperlink w:anchor="_Toc256000033" w:history="1">
        <w:r>
          <w:rPr>
            <w:rStyle w:val="Hyperlink"/>
          </w:rPr>
          <w:t>Dokumenty</w:t>
        </w:r>
        <w:r>
          <w:tab/>
        </w:r>
        <w:r>
          <w:fldChar w:fldCharType="begin"/>
        </w:r>
        <w:r>
          <w:instrText xml:space="preserve"> PAGEREF _Toc256000033 \h </w:instrText>
        </w:r>
        <w:r>
          <w:fldChar w:fldCharType="separate"/>
        </w:r>
        <w:r>
          <w:t>83</w:t>
        </w:r>
        <w:r>
          <w:fldChar w:fldCharType="end"/>
        </w:r>
      </w:hyperlink>
    </w:p>
    <w:p>
      <w:pPr>
        <w:sectPr>
          <w:pgMar w:top="900" w:right="900" w:bottom="900" w:left="900" w:header="720" w:footer="720"/>
          <w:cols w:space="720"/>
        </w:sectPr>
      </w:pPr>
      <w:r>
        <w:fldChar w:fldCharType="end"/>
      </w:r>
    </w:p>
    <w:p>
      <w:pPr>
        <w:pStyle w:val="Heading1"/>
      </w:pPr>
      <w:bookmarkStart w:id="0" w:name="_Toc256000000"/>
      <w:r>
        <w:t>Klíčové informace o provádění programu a jeho priorit</w:t>
      </w:r>
      <w:bookmarkEnd w:id="0"/>
    </w:p>
    <w:p>
      <w:pPr>
        <w:pStyle w:val="Heading2"/>
      </w:pPr>
      <w:bookmarkStart w:id="1" w:name="_Toc256000001"/>
      <w:r>
        <w:t>Finanční údaje</w:t>
      </w:r>
      <w:bookmarkEnd w:id="1"/>
    </w:p>
    <w:p>
      <w:r>
        <w:t>Viz přiložené dokumenty</w:t>
      </w:r>
    </w:p>
    <w:p>
      <w:pPr>
        <w:pStyle w:val="Heading2"/>
      </w:pPr>
      <w:bookmarkStart w:id="2" w:name="_Toc256000002"/>
      <w:r>
        <w:t>Společné a specifické programové ukazatele a vyčíslené cílové hodnoty</w:t>
      </w:r>
      <w:bookmarkEnd w:id="2"/>
    </w:p>
    <w:p>
      <w:pPr>
        <w:pStyle w:val="Heading3"/>
        <w:jc w:val="left"/>
        <w:rPr>
          <w:b w:val="0"/>
        </w:rPr>
      </w:pPr>
      <w:bookmarkStart w:id="3" w:name="_Toc256000003"/>
      <w:r>
        <w:rPr>
          <w:b w:val="0"/>
        </w:rPr>
        <w:t>Tabulkový přehled</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605"/>
        <w:gridCol w:w="1042"/>
        <w:gridCol w:w="1563"/>
        <w:gridCol w:w="1042"/>
        <w:gridCol w:w="1563"/>
        <w:gridCol w:w="1042"/>
        <w:gridCol w:w="1563"/>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gridSpan w:val="7"/>
            <w:shd w:val="clear" w:color="auto" w:fill="808080"/>
          </w:tcPr>
          <w:p>
            <w:pPr>
              <w:keepNext/>
              <w:spacing w:before="60" w:after="60"/>
              <w:jc w:val="center"/>
              <w:rPr>
                <w:b/>
                <w:sz w:val="20"/>
              </w:rPr>
            </w:pPr>
            <w:r>
              <w:rPr>
                <w:b/>
                <w:sz w:val="20"/>
              </w:rPr>
              <w:t>Prioritní oblast 1A</w:t>
            </w:r>
          </w:p>
        </w:tc>
      </w:tr>
      <w:tr>
        <w:tblPrEx>
          <w:tblW w:w="5000" w:type="pct"/>
          <w:tblCellMar>
            <w:left w:w="108" w:type="dxa"/>
            <w:right w:w="108" w:type="dxa"/>
          </w:tblCellMar>
        </w:tblPrEx>
        <w:tc>
          <w:tcPr>
            <w:tcW w:w="500" w:type="pct"/>
            <w:shd w:val="clear" w:color="auto" w:fill="C0C0C0"/>
            <w:vAlign w:val="center"/>
          </w:tcPr>
          <w:p>
            <w:pPr>
              <w:keepNext/>
              <w:spacing w:before="60" w:after="60"/>
              <w:jc w:val="center"/>
              <w:rPr>
                <w:b w:val="0"/>
                <w:sz w:val="16"/>
              </w:rPr>
            </w:pPr>
            <w:r>
              <w:rPr>
                <w:b w:val="0"/>
                <w:sz w:val="16"/>
              </w:rPr>
              <w:t>Název cílového ukazatele</w:t>
            </w:r>
          </w:p>
        </w:tc>
        <w:tc>
          <w:tcPr>
            <w:tcW w:w="500" w:type="pct"/>
            <w:shd w:val="clear" w:color="auto" w:fill="C0C0C0"/>
            <w:vAlign w:val="center"/>
          </w:tcPr>
          <w:p>
            <w:pPr>
              <w:keepNext/>
              <w:spacing w:before="60" w:after="60"/>
              <w:jc w:val="center"/>
              <w:rPr>
                <w:b w:val="0"/>
                <w:sz w:val="16"/>
              </w:rPr>
            </w:pPr>
            <w:r>
              <w:rPr>
                <w:b w:val="0"/>
                <w:sz w:val="16"/>
              </w:rPr>
              <w:t>Období</w:t>
            </w:r>
          </w:p>
        </w:tc>
        <w:tc>
          <w:tcPr>
            <w:tcW w:w="500" w:type="pct"/>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shd w:val="clear" w:color="auto" w:fill="C0C0C0"/>
            <w:vAlign w:val="center"/>
          </w:tcPr>
          <w:p>
            <w:pPr>
              <w:keepNext/>
              <w:spacing w:before="60" w:after="60"/>
              <w:jc w:val="center"/>
              <w:rPr>
                <w:b w:val="0"/>
                <w:sz w:val="16"/>
              </w:rPr>
            </w:pPr>
            <w:r>
              <w:rPr>
                <w:b w:val="0"/>
                <w:sz w:val="16"/>
              </w:rPr>
              <w:t>Využití (%)</w:t>
            </w:r>
          </w:p>
        </w:tc>
        <w:tc>
          <w:tcPr>
            <w:tcW w:w="500" w:type="pct"/>
            <w:shd w:val="clear" w:color="auto" w:fill="C0C0C0"/>
            <w:vAlign w:val="center"/>
          </w:tcPr>
          <w:p>
            <w:pPr>
              <w:keepNext/>
              <w:spacing w:before="60" w:after="60"/>
              <w:jc w:val="center"/>
              <w:rPr>
                <w:b w:val="0"/>
                <w:sz w:val="16"/>
              </w:rPr>
            </w:pPr>
            <w:r>
              <w:rPr>
                <w:b w:val="0"/>
                <w:sz w:val="16"/>
              </w:rPr>
              <w:t>Realizováno</w:t>
            </w:r>
          </w:p>
        </w:tc>
        <w:tc>
          <w:tcPr>
            <w:tcW w:w="500" w:type="pct"/>
            <w:shd w:val="clear" w:color="auto" w:fill="C0C0C0"/>
            <w:vAlign w:val="center"/>
          </w:tcPr>
          <w:p>
            <w:pPr>
              <w:keepNext/>
              <w:spacing w:before="60" w:after="60"/>
              <w:jc w:val="center"/>
              <w:rPr>
                <w:b w:val="0"/>
                <w:sz w:val="16"/>
              </w:rPr>
            </w:pPr>
            <w:r>
              <w:rPr>
                <w:b w:val="0"/>
                <w:sz w:val="16"/>
              </w:rPr>
              <w:t>Využití (%)</w:t>
            </w:r>
          </w:p>
        </w:tc>
        <w:tc>
          <w:tcPr>
            <w:tcW w:w="500" w:type="pct"/>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vMerge w:val="restart"/>
            <w:shd w:val="clear" w:color="auto" w:fill="FFFFFF"/>
            <w:vAlign w:val="center"/>
          </w:tcPr>
          <w:p>
            <w:pPr>
              <w:keepNext/>
              <w:spacing w:before="60" w:after="60"/>
              <w:jc w:val="left"/>
              <w:rPr>
                <w:b w:val="0"/>
                <w:sz w:val="16"/>
              </w:rPr>
            </w:pPr>
            <w:r>
              <w:rPr>
                <w:b w:val="0"/>
                <w:sz w:val="16"/>
              </w:rPr>
              <w:t>T1: podíl výdajů podle článků 14, 15 a 35 nařízení (EU) č. 1305/2013 v poměru k celkovým výdajům na program rozvoje venkova (prioritní oblast 1A)</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2,42</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99,91</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2,42</w:t>
            </w: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2,42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99,91</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2,36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97,44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2,29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94,55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1,96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80,92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1,85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76,38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1,13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46,65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0,61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25,18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0,24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9,91</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spacing w:before="60" w:after="60"/>
              <w:jc w:val="left"/>
              <w:rPr>
                <w:b w:val="0"/>
                <w:sz w:val="16"/>
              </w:rPr>
            </w:pP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spacing w:before="60" w:after="60"/>
              <w:jc w:val="right"/>
              <w:rPr>
                <w:b w:val="0"/>
                <w:sz w:val="16"/>
              </w:rPr>
            </w:pPr>
          </w:p>
        </w:tc>
        <w:tc>
          <w:tcPr>
            <w:tcW w:w="500" w:type="pct"/>
            <w:tcBorders>
              <w:bottom w:val="single" w:sz="4" w:space="0" w:color="auto"/>
            </w:tcBorders>
            <w:shd w:val="clear" w:color="auto" w:fill="FFFFFF"/>
            <w:vAlign w:val="center"/>
          </w:tcPr>
          <w:p>
            <w:pPr>
              <w:spacing w:before="60" w:after="60"/>
              <w:jc w:val="right"/>
              <w:rPr>
                <w:b w:val="0"/>
                <w:sz w:val="16"/>
              </w:rPr>
            </w:pPr>
          </w:p>
        </w:tc>
        <w:tc>
          <w:tcPr>
            <w:tcW w:w="750" w:type="pct"/>
            <w:tcBorders>
              <w:bottom w:val="single" w:sz="4" w:space="0" w:color="auto"/>
            </w:tcBorders>
            <w:shd w:val="clear" w:color="auto" w:fill="FFFFFF"/>
            <w:vAlign w:val="center"/>
          </w:tcPr>
          <w:p>
            <w:pPr>
              <w:spacing w:before="60" w:after="60"/>
              <w:jc w:val="right"/>
              <w:rPr>
                <w:b w:val="0"/>
                <w:sz w:val="16"/>
              </w:rPr>
            </w:pPr>
          </w:p>
        </w:tc>
        <w:tc>
          <w:tcPr>
            <w:tcW w:w="500" w:type="pct"/>
            <w:tcBorders>
              <w:bottom w:val="single" w:sz="4" w:space="0" w:color="auto"/>
            </w:tcBorders>
            <w:shd w:val="clear" w:color="auto" w:fill="FFFFFF"/>
            <w:vAlign w:val="center"/>
          </w:tcPr>
          <w:p>
            <w:pPr>
              <w:spacing w:before="60" w:after="60"/>
              <w:jc w:val="right"/>
              <w:rPr>
                <w:b w:val="0"/>
                <w:sz w:val="16"/>
              </w:rPr>
            </w:pPr>
          </w:p>
        </w:tc>
        <w:tc>
          <w:tcPr>
            <w:tcW w:w="750" w:type="pct"/>
            <w:vMerge/>
            <w:tcBorders>
              <w:bottom w:val="single" w:sz="4" w:space="0" w:color="auto"/>
            </w:tcBorders>
            <w:shd w:val="clear" w:color="auto" w:fill="FFFFFF"/>
            <w:vAlign w:val="center"/>
          </w:tcPr>
          <w:p>
            <w:pPr>
              <w:spacing w:before="60" w:after="60"/>
              <w:jc w:val="right"/>
              <w:rPr>
                <w:b w:val="0"/>
                <w:sz w:val="16"/>
              </w:rPr>
            </w:pP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605"/>
        <w:gridCol w:w="1042"/>
        <w:gridCol w:w="1563"/>
        <w:gridCol w:w="1042"/>
        <w:gridCol w:w="1563"/>
        <w:gridCol w:w="1042"/>
        <w:gridCol w:w="1563"/>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7"/>
            <w:tcBorders>
              <w:bottom w:val="single" w:sz="4" w:space="0" w:color="auto"/>
            </w:tcBorders>
            <w:shd w:val="clear" w:color="auto" w:fill="808080"/>
            <w:vAlign w:val="center"/>
          </w:tcPr>
          <w:p>
            <w:pPr>
              <w:keepNext/>
              <w:spacing w:before="60" w:after="60"/>
              <w:jc w:val="center"/>
              <w:rPr>
                <w:b/>
                <w:sz w:val="20"/>
              </w:rPr>
            </w:pPr>
            <w:r>
              <w:rPr>
                <w:b/>
                <w:sz w:val="20"/>
              </w:rPr>
              <w:t>Prioritní oblast 1B</w:t>
            </w:r>
          </w:p>
        </w:tc>
      </w:tr>
      <w:tr>
        <w:tblPrEx>
          <w:tblW w:w="5000" w:type="pct"/>
          <w:tblCellMar>
            <w:left w:w="108" w:type="dxa"/>
            <w:right w:w="108" w:type="dxa"/>
          </w:tblCellMar>
        </w:tblPrEx>
        <w:trPr>
          <w:trHeight w:hRule="auto" w:val="0"/>
        </w:trPr>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vMerge w:val="restart"/>
            <w:tcBorders>
              <w:bottom w:val="single" w:sz="4" w:space="0" w:color="auto"/>
            </w:tcBorders>
            <w:shd w:val="clear" w:color="auto" w:fill="FFFFFF"/>
            <w:vAlign w:val="center"/>
          </w:tcPr>
          <w:p>
            <w:pPr>
              <w:keepNext/>
              <w:spacing w:before="60" w:after="60"/>
              <w:jc w:val="left"/>
              <w:rPr>
                <w:b w:val="0"/>
                <w:sz w:val="16"/>
              </w:rPr>
            </w:pPr>
            <w:r>
              <w:rPr>
                <w:b w:val="0"/>
                <w:sz w:val="16"/>
              </w:rPr>
              <w:t>T2: Celkový počet operací spolupráce podpořených v rámci opatření „spolupráce“ (článek 35 nařízení (EU) č. 1305/2013) (seskupení, sítě/klastry, pilotní projekty …) (prioritní oblast 1B)</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251,00</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132,80</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189,00</w:t>
            </w: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253,00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133,86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252,00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133,33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241,00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127,51</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201,00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106,35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91,00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48,15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48,00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25,40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18,00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9,52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2,65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spacing w:before="60" w:after="60"/>
              <w:jc w:val="left"/>
              <w:rPr>
                <w:b w:val="0"/>
                <w:sz w:val="16"/>
              </w:rPr>
            </w:pP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spacing w:before="60" w:after="60"/>
              <w:jc w:val="right"/>
              <w:rPr>
                <w:b w:val="0"/>
                <w:sz w:val="16"/>
              </w:rPr>
            </w:pPr>
          </w:p>
        </w:tc>
        <w:tc>
          <w:tcPr>
            <w:tcW w:w="500" w:type="pct"/>
            <w:tcBorders>
              <w:bottom w:val="single" w:sz="4" w:space="0" w:color="auto"/>
            </w:tcBorders>
            <w:shd w:val="clear" w:color="auto" w:fill="FFFFFF"/>
            <w:vAlign w:val="center"/>
          </w:tcPr>
          <w:p>
            <w:pPr>
              <w:spacing w:before="60" w:after="60"/>
              <w:jc w:val="right"/>
              <w:rPr>
                <w:b w:val="0"/>
                <w:sz w:val="16"/>
              </w:rPr>
            </w:pPr>
          </w:p>
        </w:tc>
        <w:tc>
          <w:tcPr>
            <w:tcW w:w="750" w:type="pct"/>
            <w:tcBorders>
              <w:bottom w:val="single" w:sz="4" w:space="0" w:color="auto"/>
            </w:tcBorders>
            <w:shd w:val="clear" w:color="auto" w:fill="FFFFFF"/>
            <w:vAlign w:val="center"/>
          </w:tcPr>
          <w:p>
            <w:pPr>
              <w:spacing w:before="60" w:after="60"/>
              <w:jc w:val="right"/>
              <w:rPr>
                <w:b w:val="0"/>
                <w:sz w:val="16"/>
              </w:rPr>
            </w:pPr>
          </w:p>
        </w:tc>
        <w:tc>
          <w:tcPr>
            <w:tcW w:w="500" w:type="pct"/>
            <w:tcBorders>
              <w:bottom w:val="single" w:sz="4" w:space="0" w:color="auto"/>
            </w:tcBorders>
            <w:shd w:val="clear" w:color="auto" w:fill="FFFFFF"/>
            <w:vAlign w:val="center"/>
          </w:tcPr>
          <w:p>
            <w:pPr>
              <w:spacing w:before="60" w:after="60"/>
              <w:jc w:val="right"/>
              <w:rPr>
                <w:b w:val="0"/>
                <w:sz w:val="16"/>
              </w:rPr>
            </w:pPr>
          </w:p>
        </w:tc>
        <w:tc>
          <w:tcPr>
            <w:tcW w:w="750" w:type="pct"/>
            <w:vMerge/>
            <w:tcBorders>
              <w:bottom w:val="single" w:sz="4" w:space="0" w:color="auto"/>
            </w:tcBorders>
            <w:shd w:val="clear" w:color="auto" w:fill="FFFFFF"/>
            <w:vAlign w:val="center"/>
          </w:tcPr>
          <w:p>
            <w:pPr>
              <w:spacing w:before="60" w:after="60"/>
              <w:jc w:val="right"/>
              <w:rPr>
                <w:b w:val="0"/>
                <w:sz w:val="16"/>
              </w:rPr>
            </w:pP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605"/>
        <w:gridCol w:w="1042"/>
        <w:gridCol w:w="1563"/>
        <w:gridCol w:w="1042"/>
        <w:gridCol w:w="1563"/>
        <w:gridCol w:w="1042"/>
        <w:gridCol w:w="1563"/>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7"/>
            <w:tcBorders>
              <w:bottom w:val="single" w:sz="4" w:space="0" w:color="auto"/>
            </w:tcBorders>
            <w:shd w:val="clear" w:color="auto" w:fill="808080"/>
            <w:vAlign w:val="center"/>
          </w:tcPr>
          <w:p>
            <w:pPr>
              <w:keepNext/>
              <w:spacing w:before="60" w:after="60"/>
              <w:jc w:val="center"/>
              <w:rPr>
                <w:b/>
                <w:sz w:val="20"/>
              </w:rPr>
            </w:pPr>
            <w:r>
              <w:rPr>
                <w:b/>
                <w:sz w:val="20"/>
              </w:rPr>
              <w:t>Prioritní oblast 1C</w:t>
            </w:r>
          </w:p>
        </w:tc>
      </w:tr>
      <w:tr>
        <w:tblPrEx>
          <w:tblW w:w="5000" w:type="pct"/>
          <w:tblCellMar>
            <w:left w:w="108" w:type="dxa"/>
            <w:right w:w="108" w:type="dxa"/>
          </w:tblCellMar>
        </w:tblPrEx>
        <w:trPr>
          <w:trHeight w:hRule="auto" w:val="0"/>
        </w:trPr>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vMerge w:val="restart"/>
            <w:tcBorders>
              <w:bottom w:val="single" w:sz="4" w:space="0" w:color="auto"/>
            </w:tcBorders>
            <w:shd w:val="clear" w:color="auto" w:fill="FFFFFF"/>
            <w:vAlign w:val="center"/>
          </w:tcPr>
          <w:p>
            <w:pPr>
              <w:keepNext/>
              <w:spacing w:before="60" w:after="60"/>
              <w:jc w:val="left"/>
              <w:rPr>
                <w:b w:val="0"/>
                <w:sz w:val="16"/>
              </w:rPr>
            </w:pPr>
            <w:r>
              <w:rPr>
                <w:b w:val="0"/>
                <w:sz w:val="16"/>
              </w:rPr>
              <w:t>T3: Celkový počet vyškolených účastníků podle článku 14 nařízení (EU) č. 1305/2013 (prioritní oblast 1C)</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21 665,00</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104,23</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20 786,00</w:t>
            </w: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17 873,00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85,99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12 232,00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58,85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9 934,00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47,79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6 707,00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32,27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5 941,00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28,58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3 841,00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18,48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1 739,00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8,37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388,00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1,87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vMerge/>
            <w:tcBorders>
              <w:bottom w:val="single" w:sz="4" w:space="0" w:color="auto"/>
            </w:tcBorders>
            <w:shd w:val="clear" w:color="auto" w:fill="FFFFFF"/>
            <w:vAlign w:val="center"/>
          </w:tcPr>
          <w:p>
            <w:pPr>
              <w:spacing w:before="60" w:after="60"/>
              <w:jc w:val="left"/>
              <w:rPr>
                <w:b w:val="0"/>
                <w:sz w:val="16"/>
              </w:rPr>
            </w:pP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spacing w:before="60" w:after="60"/>
              <w:jc w:val="right"/>
              <w:rPr>
                <w:b w:val="0"/>
                <w:sz w:val="16"/>
              </w:rPr>
            </w:pPr>
          </w:p>
        </w:tc>
        <w:tc>
          <w:tcPr>
            <w:tcW w:w="500" w:type="pct"/>
            <w:tcBorders>
              <w:bottom w:val="single" w:sz="4" w:space="0" w:color="auto"/>
            </w:tcBorders>
            <w:shd w:val="clear" w:color="auto" w:fill="FFFFFF"/>
            <w:vAlign w:val="center"/>
          </w:tcPr>
          <w:p>
            <w:pPr>
              <w:spacing w:before="60" w:after="60"/>
              <w:jc w:val="right"/>
              <w:rPr>
                <w:b w:val="0"/>
                <w:sz w:val="16"/>
              </w:rPr>
            </w:pPr>
          </w:p>
        </w:tc>
        <w:tc>
          <w:tcPr>
            <w:tcW w:w="750" w:type="pct"/>
            <w:tcBorders>
              <w:bottom w:val="single" w:sz="4" w:space="0" w:color="auto"/>
            </w:tcBorders>
            <w:shd w:val="clear" w:color="auto" w:fill="FFFFFF"/>
            <w:vAlign w:val="center"/>
          </w:tcPr>
          <w:p>
            <w:pPr>
              <w:spacing w:before="60" w:after="60"/>
              <w:jc w:val="right"/>
              <w:rPr>
                <w:b w:val="0"/>
                <w:sz w:val="16"/>
              </w:rPr>
            </w:pPr>
          </w:p>
        </w:tc>
        <w:tc>
          <w:tcPr>
            <w:tcW w:w="500" w:type="pct"/>
            <w:tcBorders>
              <w:bottom w:val="single" w:sz="4" w:space="0" w:color="auto"/>
            </w:tcBorders>
            <w:shd w:val="clear" w:color="auto" w:fill="FFFFFF"/>
            <w:vAlign w:val="center"/>
          </w:tcPr>
          <w:p>
            <w:pPr>
              <w:spacing w:before="60" w:after="60"/>
              <w:jc w:val="right"/>
              <w:rPr>
                <w:b w:val="0"/>
                <w:sz w:val="16"/>
              </w:rPr>
            </w:pPr>
          </w:p>
        </w:tc>
        <w:tc>
          <w:tcPr>
            <w:tcW w:w="750" w:type="pct"/>
            <w:vMerge/>
            <w:tcBorders>
              <w:bottom w:val="single" w:sz="4" w:space="0" w:color="auto"/>
            </w:tcBorders>
            <w:shd w:val="clear" w:color="auto" w:fill="FFFFFF"/>
            <w:vAlign w:val="center"/>
          </w:tcPr>
          <w:p>
            <w:pPr>
              <w:spacing w:before="60" w:after="60"/>
              <w:jc w:val="right"/>
              <w:rPr>
                <w:b w:val="0"/>
                <w:sz w:val="16"/>
              </w:rPr>
            </w:pP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6"/>
        <w:gridCol w:w="2132"/>
        <w:gridCol w:w="1341"/>
        <w:gridCol w:w="1422"/>
        <w:gridCol w:w="956"/>
        <w:gridCol w:w="1425"/>
        <w:gridCol w:w="956"/>
        <w:gridCol w:w="139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vAlign w:val="center"/>
          </w:tcPr>
          <w:p>
            <w:pPr>
              <w:keepNext/>
              <w:spacing w:before="60" w:after="60"/>
              <w:jc w:val="center"/>
              <w:rPr>
                <w:b/>
                <w:sz w:val="20"/>
              </w:rPr>
            </w:pPr>
            <w:r>
              <w:rPr>
                <w:b/>
                <w:sz w:val="20"/>
              </w:rPr>
              <w:t>Prioritní oblast 2A</w:t>
            </w:r>
          </w:p>
        </w:tc>
      </w:tr>
      <w:tr>
        <w:tblPrEx>
          <w:tblW w:w="5000" w:type="pct"/>
          <w:tblCellMar>
            <w:left w:w="108" w:type="dxa"/>
            <w:right w:w="108" w:type="dxa"/>
          </w:tblCellMar>
        </w:tblPrEx>
        <w:trPr>
          <w:trHeight w:hRule="auto" w:val="0"/>
        </w:trPr>
        <w:tc>
          <w:tcPr>
            <w:tcW w:w="500" w:type="pct"/>
            <w:gridSpan w:val="2"/>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T4: podíl zemědělských podniků s podporou z programu rozvoje venkova na investice do restrukturalizace nebo modernizace (prioritní oblast 2A)</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34,26</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129,55</w:t>
            </w: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34,26</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129,55</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26,45</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34,34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129,85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33,93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128,30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34,77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131,48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32,21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121,80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35,15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132,91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27,00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102,10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27,30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103,23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23,04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87,12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27,04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102,25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20,12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76,08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24,77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93,66</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15,27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57,74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19,06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72,07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10,86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41,06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12,54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47,42</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4,02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15,20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5,58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21,10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0,23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vAlign w:val="center"/>
          </w:tcPr>
          <w:p>
            <w:pPr>
              <w:keepNext/>
              <w:spacing w:before="60" w:after="60"/>
              <w:jc w:val="center"/>
              <w:rPr>
                <w:b w:val="0"/>
                <w:sz w:val="16"/>
              </w:rPr>
            </w:pPr>
            <w:r>
              <w:rPr>
                <w:b w:val="0"/>
                <w:sz w:val="16"/>
              </w:rPr>
              <w:t>Opatření</w:t>
            </w:r>
          </w:p>
        </w:tc>
        <w:tc>
          <w:tcPr>
            <w:tcW w:w="1250" w:type="pct"/>
            <w:tcBorders>
              <w:bottom w:val="single" w:sz="4" w:space="0" w:color="auto"/>
            </w:tcBorders>
            <w:shd w:val="clear" w:color="auto" w:fill="C0C0C0"/>
            <w:vAlign w:val="center"/>
          </w:tcPr>
          <w:p>
            <w:pPr>
              <w:keepNext/>
              <w:spacing w:before="60" w:after="60"/>
              <w:jc w:val="center"/>
              <w:rPr>
                <w:b w:val="0"/>
                <w:sz w:val="16"/>
              </w:rPr>
            </w:pPr>
            <w:r>
              <w:rPr>
                <w:b w:val="0"/>
                <w:sz w:val="16"/>
              </w:rPr>
              <w:t>Ukazatel výstupů</w:t>
            </w:r>
          </w:p>
        </w:tc>
        <w:tc>
          <w:tcPr>
            <w:tcW w:w="75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1 332 176,39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142,63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920 315,14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98,53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934 002,90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M04</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860 284 337,35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109,81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772 041 315,50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98,55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783 407 499,57</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M16</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15 976 781,75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66,80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23 857 682,77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99,75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23 917 738,62</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spacing w:before="60" w:after="60"/>
              <w:jc w:val="left"/>
              <w:rPr>
                <w:b w:val="0"/>
                <w:sz w:val="16"/>
              </w:rPr>
            </w:pPr>
            <w:r>
              <w:rPr>
                <w:b w:val="0"/>
                <w:sz w:val="16"/>
              </w:rPr>
              <w:t>Celkem</w:t>
            </w:r>
          </w:p>
        </w:tc>
        <w:tc>
          <w:tcPr>
            <w:tcW w:w="200" w:type="pct"/>
            <w:tcBorders>
              <w:bottom w:val="single" w:sz="4" w:space="0" w:color="auto"/>
            </w:tcBorders>
            <w:shd w:val="clear" w:color="auto" w:fill="FFFFFF"/>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877 593 295,49</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108,58</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796 819 313,41</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98,58</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808 259 241,09</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6"/>
        <w:gridCol w:w="2132"/>
        <w:gridCol w:w="1341"/>
        <w:gridCol w:w="1422"/>
        <w:gridCol w:w="956"/>
        <w:gridCol w:w="1425"/>
        <w:gridCol w:w="956"/>
        <w:gridCol w:w="139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vAlign w:val="center"/>
          </w:tcPr>
          <w:p>
            <w:pPr>
              <w:keepNext/>
              <w:spacing w:before="60" w:after="60"/>
              <w:jc w:val="center"/>
              <w:rPr>
                <w:b/>
                <w:sz w:val="20"/>
              </w:rPr>
            </w:pPr>
            <w:r>
              <w:rPr>
                <w:b/>
                <w:sz w:val="20"/>
              </w:rPr>
              <w:t>Prioritní oblast 2B</w:t>
            </w:r>
          </w:p>
        </w:tc>
      </w:tr>
      <w:tr>
        <w:tblPrEx>
          <w:tblW w:w="5000" w:type="pct"/>
          <w:tblCellMar>
            <w:left w:w="108" w:type="dxa"/>
            <w:right w:w="108" w:type="dxa"/>
          </w:tblCellMar>
        </w:tblPrEx>
        <w:trPr>
          <w:trHeight w:hRule="auto" w:val="0"/>
        </w:trPr>
        <w:tc>
          <w:tcPr>
            <w:tcW w:w="500" w:type="pct"/>
            <w:gridSpan w:val="2"/>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T5: podíl zemědělských podniků s podporou z programu rozvoje venkova na plán rozvoje podnikatelské činnosti / investice pro mladé zemědělce (prioritní oblast 2B)</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4,66</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98,32</w:t>
            </w: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4,66</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98,32</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4,74</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4,68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98,74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4,68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98,74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4,75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100,22</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4,75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100,22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4,80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101,27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4,80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101,27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4,34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91,57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4,34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91,57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3,89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82,07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3,89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82,07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4,02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84,81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4,02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84,81</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2,99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63,08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2,99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63,08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2,07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43,67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2,06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43,46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vAlign w:val="center"/>
          </w:tcPr>
          <w:p>
            <w:pPr>
              <w:keepNext/>
              <w:spacing w:before="60" w:after="60"/>
              <w:jc w:val="center"/>
              <w:rPr>
                <w:b w:val="0"/>
                <w:sz w:val="16"/>
              </w:rPr>
            </w:pPr>
            <w:r>
              <w:rPr>
                <w:b w:val="0"/>
                <w:sz w:val="16"/>
              </w:rPr>
              <w:t>Opatření</w:t>
            </w:r>
          </w:p>
        </w:tc>
        <w:tc>
          <w:tcPr>
            <w:tcW w:w="1250" w:type="pct"/>
            <w:tcBorders>
              <w:bottom w:val="single" w:sz="4" w:space="0" w:color="auto"/>
            </w:tcBorders>
            <w:shd w:val="clear" w:color="auto" w:fill="C0C0C0"/>
            <w:vAlign w:val="center"/>
          </w:tcPr>
          <w:p>
            <w:pPr>
              <w:keepNext/>
              <w:spacing w:before="60" w:after="60"/>
              <w:jc w:val="center"/>
              <w:rPr>
                <w:b w:val="0"/>
                <w:sz w:val="16"/>
              </w:rPr>
            </w:pPr>
            <w:r>
              <w:rPr>
                <w:b w:val="0"/>
                <w:sz w:val="16"/>
              </w:rPr>
              <w:t>Ukazatel výstupů</w:t>
            </w:r>
          </w:p>
        </w:tc>
        <w:tc>
          <w:tcPr>
            <w:tcW w:w="75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126 820,05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73,63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172 601,64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100,21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172 246,03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63 264 504,31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112,94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54 615 195,66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97,50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56 017 685,12</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spacing w:before="60" w:after="60"/>
              <w:jc w:val="left"/>
              <w:rPr>
                <w:b w:val="0"/>
                <w:sz w:val="16"/>
              </w:rPr>
            </w:pPr>
            <w:r>
              <w:rPr>
                <w:b w:val="0"/>
                <w:sz w:val="16"/>
              </w:rPr>
              <w:t>Celkem</w:t>
            </w:r>
          </w:p>
        </w:tc>
        <w:tc>
          <w:tcPr>
            <w:tcW w:w="200" w:type="pct"/>
            <w:tcBorders>
              <w:bottom w:val="single" w:sz="4" w:space="0" w:color="auto"/>
            </w:tcBorders>
            <w:shd w:val="clear" w:color="auto" w:fill="FFFFFF"/>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63 391 324,36</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112,82</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54 787 797,30</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97,50</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56 189 931,15</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6"/>
        <w:gridCol w:w="2132"/>
        <w:gridCol w:w="1341"/>
        <w:gridCol w:w="1422"/>
        <w:gridCol w:w="956"/>
        <w:gridCol w:w="1425"/>
        <w:gridCol w:w="956"/>
        <w:gridCol w:w="139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vAlign w:val="center"/>
          </w:tcPr>
          <w:p>
            <w:pPr>
              <w:keepNext/>
              <w:spacing w:before="60" w:after="60"/>
              <w:jc w:val="center"/>
              <w:rPr>
                <w:b/>
                <w:sz w:val="20"/>
              </w:rPr>
            </w:pPr>
            <w:r>
              <w:rPr>
                <w:b/>
                <w:sz w:val="20"/>
              </w:rPr>
              <w:t>Prioritní oblast 2C+</w:t>
            </w:r>
          </w:p>
        </w:tc>
      </w:tr>
      <w:tr>
        <w:tblPrEx>
          <w:tblW w:w="5000" w:type="pct"/>
          <w:tblCellMar>
            <w:left w:w="108" w:type="dxa"/>
            <w:right w:w="108" w:type="dxa"/>
          </w:tblCellMar>
        </w:tblPrEx>
        <w:trPr>
          <w:trHeight w:hRule="auto" w:val="0"/>
        </w:trPr>
        <w:tc>
          <w:tcPr>
            <w:tcW w:w="500" w:type="pct"/>
            <w:gridSpan w:val="2"/>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Zlepšení struktury LDS - navýšení hustoty (m/ha)</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E6E6E6"/>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0,09</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39,13</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0,23</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39,13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30,43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26,09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21,74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26,09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39,13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17,39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4,35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vAlign w:val="center"/>
          </w:tcPr>
          <w:p>
            <w:pPr>
              <w:keepNext/>
              <w:spacing w:before="60" w:after="60"/>
              <w:jc w:val="center"/>
              <w:rPr>
                <w:b w:val="0"/>
                <w:sz w:val="16"/>
              </w:rPr>
            </w:pPr>
            <w:r>
              <w:rPr>
                <w:b w:val="0"/>
                <w:sz w:val="16"/>
              </w:rPr>
              <w:t>Opatření</w:t>
            </w:r>
          </w:p>
        </w:tc>
        <w:tc>
          <w:tcPr>
            <w:tcW w:w="1250" w:type="pct"/>
            <w:tcBorders>
              <w:bottom w:val="single" w:sz="4" w:space="0" w:color="auto"/>
            </w:tcBorders>
            <w:shd w:val="clear" w:color="auto" w:fill="C0C0C0"/>
            <w:vAlign w:val="center"/>
          </w:tcPr>
          <w:p>
            <w:pPr>
              <w:keepNext/>
              <w:spacing w:before="60" w:after="60"/>
              <w:jc w:val="center"/>
              <w:rPr>
                <w:b w:val="0"/>
                <w:sz w:val="16"/>
              </w:rPr>
            </w:pPr>
            <w:r>
              <w:rPr>
                <w:b w:val="0"/>
                <w:sz w:val="16"/>
              </w:rPr>
              <w:t>Ukazatel výstupů</w:t>
            </w:r>
          </w:p>
        </w:tc>
        <w:tc>
          <w:tcPr>
            <w:tcW w:w="75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191 733,94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2 338,62</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8 198,61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100,00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8 198,60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M04</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57 255 625,45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110,40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51 777 992,56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99,84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51 861 049,89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M08</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56 516 048,48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111,83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49 726 302,63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98,39</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50 539 286,29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spacing w:before="60" w:after="60"/>
              <w:jc w:val="left"/>
              <w:rPr>
                <w:b w:val="0"/>
                <w:sz w:val="16"/>
              </w:rPr>
            </w:pPr>
            <w:r>
              <w:rPr>
                <w:b w:val="0"/>
                <w:sz w:val="16"/>
              </w:rPr>
              <w:t>Celkem</w:t>
            </w:r>
          </w:p>
        </w:tc>
        <w:tc>
          <w:tcPr>
            <w:tcW w:w="200" w:type="pct"/>
            <w:tcBorders>
              <w:bottom w:val="single" w:sz="4" w:space="0" w:color="auto"/>
            </w:tcBorders>
            <w:shd w:val="clear" w:color="auto" w:fill="FFFFFF"/>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113 963 407,87</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111,28</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101 512 493,80</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99,13</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102 408 534,78</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6"/>
        <w:gridCol w:w="2182"/>
        <w:gridCol w:w="1327"/>
        <w:gridCol w:w="1414"/>
        <w:gridCol w:w="951"/>
        <w:gridCol w:w="1416"/>
        <w:gridCol w:w="951"/>
        <w:gridCol w:w="138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vAlign w:val="center"/>
          </w:tcPr>
          <w:p>
            <w:pPr>
              <w:keepNext/>
              <w:spacing w:before="60" w:after="60"/>
              <w:jc w:val="center"/>
              <w:rPr>
                <w:b/>
                <w:sz w:val="20"/>
              </w:rPr>
            </w:pPr>
            <w:r>
              <w:rPr>
                <w:b/>
                <w:sz w:val="20"/>
              </w:rPr>
              <w:t>Prioritní oblast 3A</w:t>
            </w:r>
          </w:p>
        </w:tc>
      </w:tr>
      <w:tr>
        <w:tblPrEx>
          <w:tblW w:w="5000" w:type="pct"/>
          <w:tblCellMar>
            <w:left w:w="108" w:type="dxa"/>
            <w:right w:w="108" w:type="dxa"/>
          </w:tblCellMar>
        </w:tblPrEx>
        <w:trPr>
          <w:trHeight w:hRule="auto" w:val="0"/>
        </w:trPr>
        <w:tc>
          <w:tcPr>
            <w:tcW w:w="500" w:type="pct"/>
            <w:gridSpan w:val="2"/>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T6: podíl zemědělských podniků pobírajících podporu na účast v režimech jakosti, na místních trzích nebo v krátkých dodavatelských řetězcích a seskupeních/organizacích producentů (prioritní oblast 3A)</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0,01</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131,23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131,23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131,23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Podíl potravinářských podniků s podporou z PRV na investice do přidávání hodnoty vůči všem potravinářským podnikům (%)</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E6E6E6"/>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5,50</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124,43</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4,42</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5,47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123,76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5,32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120,36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4,81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108,82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4,51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102,04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4,10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92,76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8,55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193,44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6,00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135,75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2,30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52,04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E6E6E6"/>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vAlign w:val="center"/>
          </w:tcPr>
          <w:p>
            <w:pPr>
              <w:keepNext/>
              <w:spacing w:before="60" w:after="60"/>
              <w:jc w:val="center"/>
              <w:rPr>
                <w:b w:val="0"/>
                <w:sz w:val="16"/>
              </w:rPr>
            </w:pPr>
            <w:r>
              <w:rPr>
                <w:b w:val="0"/>
                <w:sz w:val="16"/>
              </w:rPr>
              <w:t>Opatření</w:t>
            </w:r>
          </w:p>
        </w:tc>
        <w:tc>
          <w:tcPr>
            <w:tcW w:w="1250" w:type="pct"/>
            <w:tcBorders>
              <w:bottom w:val="single" w:sz="4" w:space="0" w:color="auto"/>
            </w:tcBorders>
            <w:shd w:val="clear" w:color="auto" w:fill="C0C0C0"/>
            <w:vAlign w:val="center"/>
          </w:tcPr>
          <w:p>
            <w:pPr>
              <w:keepNext/>
              <w:spacing w:before="60" w:after="60"/>
              <w:jc w:val="center"/>
              <w:rPr>
                <w:b w:val="0"/>
                <w:sz w:val="16"/>
              </w:rPr>
            </w:pPr>
            <w:r>
              <w:rPr>
                <w:b w:val="0"/>
                <w:sz w:val="16"/>
              </w:rPr>
              <w:t>Ukazatel výstupů</w:t>
            </w:r>
          </w:p>
        </w:tc>
        <w:tc>
          <w:tcPr>
            <w:tcW w:w="75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1 087 966,20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135,76</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793 436,04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99,00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801 411,45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M04</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230 414 606,29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108,58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203 579 824,78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95,93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212 214 369,38</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M14</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222 011 227,72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100,14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221 648 335,38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99,98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221 700 639,55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M16</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118 435 594,40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133,73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88 623 285,97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100,07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88 561 773,91</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spacing w:before="60" w:after="60"/>
              <w:jc w:val="left"/>
              <w:rPr>
                <w:b w:val="0"/>
                <w:sz w:val="16"/>
              </w:rPr>
            </w:pPr>
            <w:r>
              <w:rPr>
                <w:b w:val="0"/>
                <w:sz w:val="16"/>
              </w:rPr>
              <w:t>Celkem</w:t>
            </w:r>
          </w:p>
        </w:tc>
        <w:tc>
          <w:tcPr>
            <w:tcW w:w="200" w:type="pct"/>
            <w:tcBorders>
              <w:bottom w:val="single" w:sz="4" w:space="0" w:color="auto"/>
            </w:tcBorders>
            <w:shd w:val="clear" w:color="auto" w:fill="FFFFFF"/>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571 949 394,61</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109,30</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514 644 882,17</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98,35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523 278 194,29</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6"/>
        <w:gridCol w:w="2132"/>
        <w:gridCol w:w="1341"/>
        <w:gridCol w:w="1422"/>
        <w:gridCol w:w="956"/>
        <w:gridCol w:w="1425"/>
        <w:gridCol w:w="956"/>
        <w:gridCol w:w="139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vAlign w:val="center"/>
          </w:tcPr>
          <w:p>
            <w:pPr>
              <w:keepNext/>
              <w:spacing w:before="60" w:after="60"/>
              <w:jc w:val="center"/>
              <w:rPr>
                <w:b/>
                <w:sz w:val="20"/>
              </w:rPr>
            </w:pPr>
            <w:r>
              <w:rPr>
                <w:b/>
                <w:sz w:val="20"/>
              </w:rPr>
              <w:t>Priorita P4</w:t>
            </w:r>
          </w:p>
        </w:tc>
      </w:tr>
      <w:tr>
        <w:tblPrEx>
          <w:tblW w:w="5000" w:type="pct"/>
          <w:tblCellMar>
            <w:left w:w="108" w:type="dxa"/>
            <w:right w:w="108" w:type="dxa"/>
          </w:tblCellMar>
        </w:tblPrEx>
        <w:trPr>
          <w:trHeight w:hRule="auto" w:val="0"/>
        </w:trPr>
        <w:tc>
          <w:tcPr>
            <w:tcW w:w="500" w:type="pct"/>
            <w:gridSpan w:val="2"/>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T13: podíl lesní půdy pod závazkem obhospodařování zlepšujícím hospodaření s půdou a/nebo předcházení erozi půdy (prioritní oblast 4C)</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0,79</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150,98</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0,52</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0,79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150,98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0,79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150,98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0,75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143,33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0,69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131,87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0,53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101,29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0,39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74,53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0,24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45,87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11,47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T8: podíl lesní půdy / jiných zalesněných ploch, na něž se vztahují smlouvy o obhospodařování podporující biologickou rozmanitost (prioritní oblast 4A)</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0,60</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519,83</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0,12</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0,60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519,83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0,60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519,83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0,60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519,83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0,60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519,83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0,44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381,21</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0,53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459,18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69,31</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51,98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T12: podíl zemědělské půdy pod závazkem obhospodařování zlepšujícím hospodaření s půdou a/nebo předcházení erozi půdy (prioritní oblast 4C)</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16,49</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98,02</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16,82</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16,49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98,02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16,44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97,73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15,91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94,58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15,62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92,85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7,71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45,83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7,67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45,59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7,20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42,80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7,02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41,73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5,49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32,63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T10: podíl zemědělské půdy pod závazkem obhospodařování zlepšujícím hospodaření s vodou (prioritní oblast 4B)</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15,97</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101,13</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15,79</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15,97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101,13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15,92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100,81</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15,40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97,52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15,11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95,68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7,61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48,19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7,40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46,86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6,97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44,14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6,87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43,50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5,48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34,70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T9: podíl zemědělské půdy pod závazkem obhospodařování podporujícím biologickou rozmanitost a/nebo krajinu (prioritní oblast 4A)</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41,93</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145,84</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28,75</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41,93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145,84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41,73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145,15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36,32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126,33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34,30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119,30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33,37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116,07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32,47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112,94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30,99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107,79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24,23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84,28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18,86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65,60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vAlign w:val="center"/>
          </w:tcPr>
          <w:p>
            <w:pPr>
              <w:keepNext/>
              <w:spacing w:before="60" w:after="60"/>
              <w:jc w:val="center"/>
              <w:rPr>
                <w:b w:val="0"/>
                <w:sz w:val="16"/>
              </w:rPr>
            </w:pPr>
            <w:r>
              <w:rPr>
                <w:b w:val="0"/>
                <w:sz w:val="16"/>
              </w:rPr>
              <w:t>Opatření</w:t>
            </w:r>
          </w:p>
        </w:tc>
        <w:tc>
          <w:tcPr>
            <w:tcW w:w="1250" w:type="pct"/>
            <w:tcBorders>
              <w:bottom w:val="single" w:sz="4" w:space="0" w:color="auto"/>
            </w:tcBorders>
            <w:shd w:val="clear" w:color="auto" w:fill="C0C0C0"/>
            <w:vAlign w:val="center"/>
          </w:tcPr>
          <w:p>
            <w:pPr>
              <w:keepNext/>
              <w:spacing w:before="60" w:after="60"/>
              <w:jc w:val="center"/>
              <w:rPr>
                <w:b w:val="0"/>
                <w:sz w:val="16"/>
              </w:rPr>
            </w:pPr>
            <w:r>
              <w:rPr>
                <w:b w:val="0"/>
                <w:sz w:val="16"/>
              </w:rPr>
              <w:t>Ukazatel výstupů</w:t>
            </w:r>
          </w:p>
        </w:tc>
        <w:tc>
          <w:tcPr>
            <w:tcW w:w="75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1 356 494,47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173,24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781 950,03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99,86</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783 033,56</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M08</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50 712 208,94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88,83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55 614 807,77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97,41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57 090 979,68</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M10</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1 321 202 806,50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113,94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1 304 534 042,32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112,50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1 159 564 904,61</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M11</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559 352 172,20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111,59</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501 812 537,76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100,11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501 276 979,60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M12</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6 929 395,29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99,74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6 928 854,54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99,73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6 947 446,79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M13</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1 173 380 466,29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101,87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1 150 737 658,35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99,91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1 151 800 799,00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M15</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13 448 496,35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101,35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13 220 500,40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99,64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13 268 794,42</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spacing w:before="60" w:after="60"/>
              <w:jc w:val="left"/>
              <w:rPr>
                <w:b w:val="0"/>
                <w:sz w:val="16"/>
              </w:rPr>
            </w:pPr>
            <w:r>
              <w:rPr>
                <w:b w:val="0"/>
                <w:sz w:val="16"/>
              </w:rPr>
              <w:t>Celkem</w:t>
            </w:r>
          </w:p>
        </w:tc>
        <w:tc>
          <w:tcPr>
            <w:tcW w:w="200" w:type="pct"/>
            <w:tcBorders>
              <w:bottom w:val="single" w:sz="4" w:space="0" w:color="auto"/>
            </w:tcBorders>
            <w:shd w:val="clear" w:color="auto" w:fill="FFFFFF"/>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3 126 382 040,04</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108,15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3 033 630 351,17</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104,94</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2 890 732 937,66</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6"/>
        <w:gridCol w:w="2132"/>
        <w:gridCol w:w="1341"/>
        <w:gridCol w:w="1422"/>
        <w:gridCol w:w="956"/>
        <w:gridCol w:w="1425"/>
        <w:gridCol w:w="956"/>
        <w:gridCol w:w="139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vAlign w:val="center"/>
          </w:tcPr>
          <w:p>
            <w:pPr>
              <w:keepNext/>
              <w:spacing w:before="60" w:after="60"/>
              <w:jc w:val="center"/>
              <w:rPr>
                <w:b/>
                <w:sz w:val="20"/>
              </w:rPr>
            </w:pPr>
            <w:r>
              <w:rPr>
                <w:b/>
                <w:sz w:val="20"/>
              </w:rPr>
              <w:t>Prioritní oblast 5C</w:t>
            </w:r>
          </w:p>
        </w:tc>
      </w:tr>
      <w:tr>
        <w:tblPrEx>
          <w:tblW w:w="5000" w:type="pct"/>
          <w:tblCellMar>
            <w:left w:w="108" w:type="dxa"/>
            <w:right w:w="108" w:type="dxa"/>
          </w:tblCellMar>
        </w:tblPrEx>
        <w:trPr>
          <w:trHeight w:hRule="auto" w:val="0"/>
        </w:trPr>
        <w:tc>
          <w:tcPr>
            <w:tcW w:w="500" w:type="pct"/>
            <w:gridSpan w:val="2"/>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T16: celkové investice do výroby energie z obnovitelných zdrojů (v EUR) (prioritní oblast 5C)</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4 635 449,55</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98,77</w:t>
            </w: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4 635 449,55</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98,77</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4 693 290,64</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4 654 344,50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99,17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4 364 397,36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92,99</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4 687 678,98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99,88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2 617 538,09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55,77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2 947 366,60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62,80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2 251 532,39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47,97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2 251 532,39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47,97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2 251 532,39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47,97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2 340 385,60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49,87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2 251 532,39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47,97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3 588 784,25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76,47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1 835 848,83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39,12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3 234 093,00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68,91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845 016,00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18,00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2 046 079,00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43,60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vAlign w:val="center"/>
          </w:tcPr>
          <w:p>
            <w:pPr>
              <w:keepNext/>
              <w:spacing w:before="60" w:after="60"/>
              <w:jc w:val="center"/>
              <w:rPr>
                <w:b w:val="0"/>
                <w:sz w:val="16"/>
              </w:rPr>
            </w:pPr>
            <w:r>
              <w:rPr>
                <w:b w:val="0"/>
                <w:sz w:val="16"/>
              </w:rPr>
              <w:t>Opatření</w:t>
            </w:r>
          </w:p>
        </w:tc>
        <w:tc>
          <w:tcPr>
            <w:tcW w:w="1250" w:type="pct"/>
            <w:tcBorders>
              <w:bottom w:val="single" w:sz="4" w:space="0" w:color="auto"/>
            </w:tcBorders>
            <w:shd w:val="clear" w:color="auto" w:fill="C0C0C0"/>
            <w:vAlign w:val="center"/>
          </w:tcPr>
          <w:p>
            <w:pPr>
              <w:keepNext/>
              <w:spacing w:before="60" w:after="60"/>
              <w:jc w:val="center"/>
              <w:rPr>
                <w:b w:val="0"/>
                <w:sz w:val="16"/>
              </w:rPr>
            </w:pPr>
            <w:r>
              <w:rPr>
                <w:b w:val="0"/>
                <w:sz w:val="16"/>
              </w:rPr>
              <w:t>Ukazatel výstupů</w:t>
            </w:r>
          </w:p>
        </w:tc>
        <w:tc>
          <w:tcPr>
            <w:tcW w:w="75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2 589 184,42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130,28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1 977 720,28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99,51</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1 987 397,70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spacing w:before="60" w:after="60"/>
              <w:jc w:val="left"/>
              <w:rPr>
                <w:b w:val="0"/>
                <w:sz w:val="16"/>
              </w:rPr>
            </w:pPr>
            <w:r>
              <w:rPr>
                <w:b w:val="0"/>
                <w:sz w:val="16"/>
              </w:rPr>
              <w:t>Celkem</w:t>
            </w:r>
          </w:p>
        </w:tc>
        <w:tc>
          <w:tcPr>
            <w:tcW w:w="200" w:type="pct"/>
            <w:tcBorders>
              <w:bottom w:val="single" w:sz="4" w:space="0" w:color="auto"/>
            </w:tcBorders>
            <w:shd w:val="clear" w:color="auto" w:fill="FFFFFF"/>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2 589 184,42</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130,28</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1 977 720,28</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99,51</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1 987 397,70</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6"/>
        <w:gridCol w:w="2132"/>
        <w:gridCol w:w="1341"/>
        <w:gridCol w:w="1422"/>
        <w:gridCol w:w="956"/>
        <w:gridCol w:w="1425"/>
        <w:gridCol w:w="956"/>
        <w:gridCol w:w="139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vAlign w:val="center"/>
          </w:tcPr>
          <w:p>
            <w:pPr>
              <w:keepNext/>
              <w:spacing w:before="60" w:after="60"/>
              <w:jc w:val="center"/>
              <w:rPr>
                <w:b/>
                <w:sz w:val="20"/>
              </w:rPr>
            </w:pPr>
            <w:r>
              <w:rPr>
                <w:b/>
                <w:sz w:val="20"/>
              </w:rPr>
              <w:t>Prioritní oblast 5E</w:t>
            </w:r>
          </w:p>
        </w:tc>
      </w:tr>
      <w:tr>
        <w:tblPrEx>
          <w:tblW w:w="5000" w:type="pct"/>
          <w:tblCellMar>
            <w:left w:w="108" w:type="dxa"/>
            <w:right w:w="108" w:type="dxa"/>
          </w:tblCellMar>
        </w:tblPrEx>
        <w:trPr>
          <w:trHeight w:hRule="auto" w:val="0"/>
        </w:trPr>
        <w:tc>
          <w:tcPr>
            <w:tcW w:w="500" w:type="pct"/>
            <w:gridSpan w:val="2"/>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T19: podíl zemědělské a lesní půdy pod závazkem obhospodařování přispívajícím k pohlcování a ukládání uhlíku (prioritní oblast 5E)</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0,02</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vAlign w:val="center"/>
          </w:tcPr>
          <w:p>
            <w:pPr>
              <w:keepNext/>
              <w:spacing w:before="60" w:after="60"/>
              <w:jc w:val="center"/>
              <w:rPr>
                <w:b w:val="0"/>
                <w:sz w:val="16"/>
              </w:rPr>
            </w:pPr>
            <w:r>
              <w:rPr>
                <w:b w:val="0"/>
                <w:sz w:val="16"/>
              </w:rPr>
              <w:t>Opatření</w:t>
            </w:r>
          </w:p>
        </w:tc>
        <w:tc>
          <w:tcPr>
            <w:tcW w:w="1250" w:type="pct"/>
            <w:tcBorders>
              <w:bottom w:val="single" w:sz="4" w:space="0" w:color="auto"/>
            </w:tcBorders>
            <w:shd w:val="clear" w:color="auto" w:fill="C0C0C0"/>
            <w:vAlign w:val="center"/>
          </w:tcPr>
          <w:p>
            <w:pPr>
              <w:keepNext/>
              <w:spacing w:before="60" w:after="60"/>
              <w:jc w:val="center"/>
              <w:rPr>
                <w:b w:val="0"/>
                <w:sz w:val="16"/>
              </w:rPr>
            </w:pPr>
            <w:r>
              <w:rPr>
                <w:b w:val="0"/>
                <w:sz w:val="16"/>
              </w:rPr>
              <w:t>Ukazatel výstupů</w:t>
            </w:r>
          </w:p>
        </w:tc>
        <w:tc>
          <w:tcPr>
            <w:tcW w:w="75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113 601,29</w:t>
            </w: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M08</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8 047 660,21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88,22</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8 681 900,41</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95,18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9 121 748,05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spacing w:before="60" w:after="60"/>
              <w:jc w:val="left"/>
              <w:rPr>
                <w:b w:val="0"/>
                <w:sz w:val="16"/>
              </w:rPr>
            </w:pPr>
            <w:r>
              <w:rPr>
                <w:b w:val="0"/>
                <w:sz w:val="16"/>
              </w:rPr>
              <w:t>Celkem</w:t>
            </w:r>
          </w:p>
        </w:tc>
        <w:tc>
          <w:tcPr>
            <w:tcW w:w="200" w:type="pct"/>
            <w:tcBorders>
              <w:bottom w:val="single" w:sz="4" w:space="0" w:color="auto"/>
            </w:tcBorders>
            <w:shd w:val="clear" w:color="auto" w:fill="FFFFFF"/>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8 161 261,50</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89,47</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8 681 900,41</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95,18</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9 121 748,05</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6"/>
        <w:gridCol w:w="2132"/>
        <w:gridCol w:w="1341"/>
        <w:gridCol w:w="1422"/>
        <w:gridCol w:w="956"/>
        <w:gridCol w:w="1425"/>
        <w:gridCol w:w="956"/>
        <w:gridCol w:w="139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vAlign w:val="center"/>
          </w:tcPr>
          <w:p>
            <w:pPr>
              <w:keepNext/>
              <w:spacing w:before="60" w:after="60"/>
              <w:jc w:val="center"/>
              <w:rPr>
                <w:b/>
                <w:sz w:val="20"/>
              </w:rPr>
            </w:pPr>
            <w:r>
              <w:rPr>
                <w:b/>
                <w:sz w:val="20"/>
              </w:rPr>
              <w:t>Prioritní oblast 6A</w:t>
            </w:r>
          </w:p>
        </w:tc>
      </w:tr>
      <w:tr>
        <w:tblPrEx>
          <w:tblW w:w="5000" w:type="pct"/>
          <w:tblCellMar>
            <w:left w:w="108" w:type="dxa"/>
            <w:right w:w="108" w:type="dxa"/>
          </w:tblCellMar>
        </w:tblPrEx>
        <w:trPr>
          <w:trHeight w:hRule="auto" w:val="0"/>
        </w:trPr>
        <w:tc>
          <w:tcPr>
            <w:tcW w:w="500" w:type="pct"/>
            <w:gridSpan w:val="2"/>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T20: pracovní místa vytvořená v rámci podpořených projektů (prioritní oblast 6A)</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644,00</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99,54</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647,00</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618,00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95,52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567,00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87,64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507,00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78,36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408,00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63,06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307,00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47,45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203,00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31,38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109,00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16,85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vAlign w:val="center"/>
          </w:tcPr>
          <w:p>
            <w:pPr>
              <w:keepNext/>
              <w:spacing w:before="60" w:after="60"/>
              <w:jc w:val="center"/>
              <w:rPr>
                <w:b w:val="0"/>
                <w:sz w:val="16"/>
              </w:rPr>
            </w:pPr>
            <w:r>
              <w:rPr>
                <w:b w:val="0"/>
                <w:sz w:val="16"/>
              </w:rPr>
              <w:t>Opatření</w:t>
            </w:r>
          </w:p>
        </w:tc>
        <w:tc>
          <w:tcPr>
            <w:tcW w:w="1250" w:type="pct"/>
            <w:tcBorders>
              <w:bottom w:val="single" w:sz="4" w:space="0" w:color="auto"/>
            </w:tcBorders>
            <w:shd w:val="clear" w:color="auto" w:fill="C0C0C0"/>
            <w:vAlign w:val="center"/>
          </w:tcPr>
          <w:p>
            <w:pPr>
              <w:keepNext/>
              <w:spacing w:before="60" w:after="60"/>
              <w:jc w:val="center"/>
              <w:rPr>
                <w:b w:val="0"/>
                <w:sz w:val="16"/>
              </w:rPr>
            </w:pPr>
            <w:r>
              <w:rPr>
                <w:b w:val="0"/>
                <w:sz w:val="16"/>
              </w:rPr>
              <w:t>Ukazatel výstupů</w:t>
            </w:r>
          </w:p>
        </w:tc>
        <w:tc>
          <w:tcPr>
            <w:tcW w:w="75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95 880 305,00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123,08</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77 064 313,05</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98,93</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77 898 118,66</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spacing w:before="60" w:after="60"/>
              <w:jc w:val="left"/>
              <w:rPr>
                <w:b w:val="0"/>
                <w:sz w:val="16"/>
              </w:rPr>
            </w:pPr>
            <w:r>
              <w:rPr>
                <w:b w:val="0"/>
                <w:sz w:val="16"/>
              </w:rPr>
              <w:t>Celkem</w:t>
            </w:r>
          </w:p>
        </w:tc>
        <w:tc>
          <w:tcPr>
            <w:tcW w:w="200" w:type="pct"/>
            <w:tcBorders>
              <w:bottom w:val="single" w:sz="4" w:space="0" w:color="auto"/>
            </w:tcBorders>
            <w:shd w:val="clear" w:color="auto" w:fill="FFFFFF"/>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95 880 305,00</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123,08</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77 064 313,05</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98,93</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77 898 118,66</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6"/>
        <w:gridCol w:w="2132"/>
        <w:gridCol w:w="1341"/>
        <w:gridCol w:w="1422"/>
        <w:gridCol w:w="956"/>
        <w:gridCol w:w="1425"/>
        <w:gridCol w:w="956"/>
        <w:gridCol w:w="139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vAlign w:val="center"/>
          </w:tcPr>
          <w:p>
            <w:pPr>
              <w:keepNext/>
              <w:spacing w:before="60" w:after="60"/>
              <w:jc w:val="center"/>
              <w:rPr>
                <w:b/>
                <w:sz w:val="20"/>
              </w:rPr>
            </w:pPr>
            <w:r>
              <w:rPr>
                <w:b/>
                <w:sz w:val="20"/>
              </w:rPr>
              <w:t>Prioritní oblast 6B</w:t>
            </w:r>
          </w:p>
        </w:tc>
      </w:tr>
      <w:tr>
        <w:tblPrEx>
          <w:tblW w:w="5000" w:type="pct"/>
          <w:tblCellMar>
            <w:left w:w="108" w:type="dxa"/>
            <w:right w:w="108" w:type="dxa"/>
          </w:tblCellMar>
        </w:tblPrEx>
        <w:trPr>
          <w:trHeight w:hRule="auto" w:val="0"/>
        </w:trPr>
        <w:tc>
          <w:tcPr>
            <w:tcW w:w="500" w:type="pct"/>
            <w:gridSpan w:val="2"/>
            <w:tcBorders>
              <w:bottom w:val="single" w:sz="4" w:space="0" w:color="auto"/>
            </w:tcBorders>
            <w:shd w:val="clear" w:color="auto" w:fill="C0C0C0"/>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T23: pracovní místa vytvořená v rámci podpořených projektů (Leader) (prioritní oblast 6B)</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1 407,82</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187,71</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750,00</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1 394,42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185,92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1 320,48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176,06</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1 157,62</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154,35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1 002,17</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133,62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788,88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105,18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454,79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60,64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126,30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16,84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T22: podíl venkovského obyvatelstva majícího prospěch z lepších služeb/infrastruktury (prioritní oblast 6B)</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82,05</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268,47</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30,56</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71,44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233,75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48,13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157,48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29,64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96,98</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76,70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250,97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val="restart"/>
            <w:tcBorders>
              <w:bottom w:val="single" w:sz="4" w:space="0" w:color="auto"/>
            </w:tcBorders>
            <w:shd w:val="clear" w:color="auto" w:fill="FFFFFF"/>
            <w:vAlign w:val="center"/>
          </w:tcPr>
          <w:p>
            <w:pPr>
              <w:keepNext/>
              <w:spacing w:before="60" w:after="60"/>
              <w:jc w:val="left"/>
              <w:rPr>
                <w:b w:val="0"/>
                <w:sz w:val="16"/>
              </w:rPr>
            </w:pPr>
            <w:r>
              <w:rPr>
                <w:b w:val="0"/>
                <w:sz w:val="16"/>
              </w:rPr>
              <w:t>T21: podíl venkovské populace pokryté strategiemi místního rozvoje (prioritní oblast 6B)</w:t>
            </w:r>
          </w:p>
        </w:tc>
        <w:tc>
          <w:tcPr>
            <w:tcW w:w="500" w:type="pct"/>
            <w:tcBorders>
              <w:bottom w:val="dashSmallGap"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vAlign w:val="center"/>
          </w:tcPr>
          <w:p>
            <w:pPr>
              <w:keepNext/>
              <w:spacing w:before="60" w:after="60"/>
              <w:jc w:val="right"/>
              <w:rPr>
                <w:b w:val="0"/>
                <w:sz w:val="16"/>
              </w:rPr>
            </w:pPr>
          </w:p>
        </w:tc>
        <w:tc>
          <w:tcPr>
            <w:tcW w:w="500" w:type="pct"/>
            <w:tcBorders>
              <w:bottom w:val="dashSmallGap" w:sz="4" w:space="0" w:color="auto"/>
            </w:tcBorders>
            <w:shd w:val="clear" w:color="auto" w:fill="FFFFFF"/>
            <w:vAlign w:val="center"/>
          </w:tcPr>
          <w:p>
            <w:pPr>
              <w:keepNext/>
              <w:spacing w:before="60" w:after="60"/>
              <w:jc w:val="right"/>
              <w:rPr>
                <w:b w:val="0"/>
                <w:sz w:val="16"/>
              </w:rPr>
            </w:pPr>
          </w:p>
        </w:tc>
        <w:tc>
          <w:tcPr>
            <w:tcW w:w="750" w:type="pct"/>
            <w:tcBorders>
              <w:bottom w:val="dashSmallGap" w:sz="4" w:space="0" w:color="auto"/>
            </w:tcBorders>
            <w:shd w:val="clear" w:color="auto" w:fill="FFFFFF"/>
            <w:vAlign w:val="center"/>
          </w:tcPr>
          <w:p>
            <w:pPr>
              <w:keepNext/>
              <w:spacing w:before="60" w:after="60"/>
              <w:jc w:val="right"/>
              <w:rPr>
                <w:b w:val="0"/>
                <w:sz w:val="16"/>
              </w:rPr>
            </w:pPr>
            <w:r>
              <w:rPr>
                <w:b w:val="0"/>
                <w:sz w:val="16"/>
              </w:rPr>
              <w:t>79,48</w:t>
            </w:r>
          </w:p>
        </w:tc>
        <w:tc>
          <w:tcPr>
            <w:tcW w:w="500" w:type="pct"/>
            <w:tcBorders>
              <w:bottom w:val="dashSmallGap" w:sz="4" w:space="0" w:color="auto"/>
            </w:tcBorders>
            <w:shd w:val="clear" w:color="auto" w:fill="FFFFFF"/>
            <w:vAlign w:val="center"/>
          </w:tcPr>
          <w:p>
            <w:pPr>
              <w:keepNext/>
              <w:spacing w:before="60" w:after="60"/>
              <w:jc w:val="right"/>
              <w:rPr>
                <w:b w:val="0"/>
                <w:sz w:val="16"/>
              </w:rPr>
            </w:pPr>
            <w:r>
              <w:rPr>
                <w:b w:val="0"/>
                <w:sz w:val="16"/>
              </w:rPr>
              <w:t>119,50</w:t>
            </w:r>
          </w:p>
        </w:tc>
        <w:tc>
          <w:tcPr>
            <w:tcW w:w="750" w:type="pct"/>
            <w:vMerge w:val="restart"/>
            <w:tcBorders>
              <w:bottom w:val="single" w:sz="4" w:space="0" w:color="auto"/>
            </w:tcBorders>
            <w:shd w:val="clear" w:color="auto" w:fill="FFFFFF"/>
            <w:vAlign w:val="center"/>
          </w:tcPr>
          <w:p>
            <w:pPr>
              <w:keepNext/>
              <w:spacing w:before="60" w:after="60"/>
              <w:jc w:val="right"/>
              <w:rPr>
                <w:b w:val="0"/>
                <w:sz w:val="16"/>
              </w:rPr>
            </w:pPr>
            <w:r>
              <w:rPr>
                <w:b w:val="0"/>
                <w:sz w:val="16"/>
              </w:rPr>
              <w:t>66,51</w:t>
            </w: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79,48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119,50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79,48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119,50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79,48</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119,50</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79,46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119,47</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76,70</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115,32</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76,44</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114,93</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76,39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114,85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76,39</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114,85</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14,46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21,74</w:t>
            </w:r>
          </w:p>
        </w:tc>
        <w:tc>
          <w:tcPr>
            <w:tcW w:w="750" w:type="pct"/>
            <w:vMerge/>
            <w:tcBorders>
              <w:bottom w:val="single" w:sz="4" w:space="0" w:color="auto"/>
            </w:tcBorders>
            <w:shd w:val="clear" w:color="auto" w:fill="FFFFFF"/>
            <w:vAlign w:val="center"/>
          </w:tcPr>
          <w:p>
            <w:pPr>
              <w:keepNext/>
              <w:spacing w:before="60" w:after="60"/>
              <w:jc w:val="right"/>
              <w:rPr>
                <w:b w:val="0"/>
                <w:sz w:val="16"/>
              </w:rPr>
            </w:pPr>
          </w:p>
        </w:tc>
      </w:tr>
      <w:tr>
        <w:tblPrEx>
          <w:tblW w:w="5000" w:type="pct"/>
          <w:tblCellMar>
            <w:left w:w="108" w:type="dxa"/>
            <w:right w:w="108" w:type="dxa"/>
          </w:tblCellMar>
        </w:tblPrEx>
        <w:trPr>
          <w:trHeight w:val="500"/>
        </w:trPr>
        <w:tc>
          <w:tcPr>
            <w:tcW w:w="1250" w:type="pct"/>
            <w:gridSpan w:val="2"/>
            <w:vMerge/>
            <w:tcBorders>
              <w:bottom w:val="single" w:sz="4" w:space="0" w:color="auto"/>
            </w:tcBorders>
            <w:shd w:val="clear" w:color="auto" w:fill="FFFFFF"/>
            <w:vAlign w:val="center"/>
          </w:tcPr>
          <w:p>
            <w:pPr>
              <w:keepNext/>
              <w:spacing w:before="60" w:after="60"/>
              <w:jc w:val="left"/>
              <w:rPr>
                <w:b w:val="0"/>
                <w:sz w:val="16"/>
              </w:rPr>
            </w:pP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tcBorders>
              <w:bottom w:val="single" w:sz="4" w:space="0" w:color="auto"/>
            </w:tcBorders>
            <w:shd w:val="clear" w:color="auto" w:fill="FFFFFF"/>
            <w:vAlign w:val="center"/>
          </w:tcPr>
          <w:p>
            <w:pPr>
              <w:keepNext/>
              <w:spacing w:before="60" w:after="60"/>
              <w:jc w:val="right"/>
              <w:rPr>
                <w:b w:val="0"/>
                <w:sz w:val="16"/>
              </w:rPr>
            </w:pPr>
          </w:p>
        </w:tc>
        <w:tc>
          <w:tcPr>
            <w:tcW w:w="500" w:type="pct"/>
            <w:tcBorders>
              <w:bottom w:val="single" w:sz="4" w:space="0" w:color="auto"/>
            </w:tcBorders>
            <w:shd w:val="clear" w:color="auto" w:fill="FFFFFF"/>
            <w:vAlign w:val="center"/>
          </w:tcPr>
          <w:p>
            <w:pPr>
              <w:keepNext/>
              <w:spacing w:before="60" w:after="60"/>
              <w:jc w:val="right"/>
              <w:rPr>
                <w:b w:val="0"/>
                <w:sz w:val="16"/>
              </w:rPr>
            </w:pPr>
          </w:p>
        </w:tc>
        <w:tc>
          <w:tcPr>
            <w:tcW w:w="750" w:type="pct"/>
            <w:vMerge/>
            <w:tcBorders>
              <w:bottom w:val="single" w:sz="4" w:space="0" w:color="auto"/>
            </w:tcBorders>
            <w:shd w:val="clear" w:color="auto" w:fill="FFFFFF"/>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vAlign w:val="center"/>
          </w:tcPr>
          <w:p>
            <w:pPr>
              <w:keepNext/>
              <w:spacing w:before="60" w:after="60"/>
              <w:jc w:val="center"/>
              <w:rPr>
                <w:b w:val="0"/>
                <w:sz w:val="16"/>
              </w:rPr>
            </w:pPr>
            <w:r>
              <w:rPr>
                <w:b w:val="0"/>
                <w:sz w:val="16"/>
              </w:rPr>
              <w:t>Opatření</w:t>
            </w:r>
          </w:p>
        </w:tc>
        <w:tc>
          <w:tcPr>
            <w:tcW w:w="1250" w:type="pct"/>
            <w:tcBorders>
              <w:bottom w:val="single" w:sz="4" w:space="0" w:color="auto"/>
            </w:tcBorders>
            <w:shd w:val="clear" w:color="auto" w:fill="C0C0C0"/>
            <w:vAlign w:val="center"/>
          </w:tcPr>
          <w:p>
            <w:pPr>
              <w:keepNext/>
              <w:spacing w:before="60" w:after="60"/>
              <w:jc w:val="center"/>
              <w:rPr>
                <w:b w:val="0"/>
                <w:sz w:val="16"/>
              </w:rPr>
            </w:pPr>
            <w:r>
              <w:rPr>
                <w:b w:val="0"/>
                <w:sz w:val="16"/>
              </w:rPr>
              <w:t>Ukazatel výstupů</w:t>
            </w:r>
          </w:p>
        </w:tc>
        <w:tc>
          <w:tcPr>
            <w:tcW w:w="750" w:type="pct"/>
            <w:tcBorders>
              <w:bottom w:val="single" w:sz="4" w:space="0" w:color="auto"/>
            </w:tcBorders>
            <w:shd w:val="clear" w:color="auto" w:fill="C0C0C0"/>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keepNext/>
              <w:spacing w:before="60" w:after="60"/>
              <w:jc w:val="left"/>
              <w:rPr>
                <w:b w:val="0"/>
                <w:sz w:val="16"/>
              </w:rPr>
            </w:pPr>
            <w:r>
              <w:rPr>
                <w:b w:val="0"/>
                <w:sz w:val="16"/>
              </w:rPr>
              <w:t>M19</w:t>
            </w:r>
          </w:p>
        </w:tc>
        <w:tc>
          <w:tcPr>
            <w:tcW w:w="1050" w:type="pct"/>
            <w:tcBorders>
              <w:bottom w:val="single" w:sz="4" w:space="0" w:color="auto"/>
            </w:tcBorders>
            <w:shd w:val="clear" w:color="auto" w:fill="FFFFFF"/>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195 252 625,73</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86,74</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217 462 901,66</w:t>
            </w:r>
          </w:p>
        </w:tc>
        <w:tc>
          <w:tcPr>
            <w:tcW w:w="500" w:type="pct"/>
            <w:tcBorders>
              <w:bottom w:val="single" w:sz="4" w:space="0" w:color="auto"/>
            </w:tcBorders>
            <w:shd w:val="clear" w:color="auto" w:fill="FFFFFF"/>
            <w:vAlign w:val="center"/>
          </w:tcPr>
          <w:p>
            <w:pPr>
              <w:keepNext/>
              <w:spacing w:before="60" w:after="60"/>
              <w:jc w:val="right"/>
              <w:rPr>
                <w:b w:val="0"/>
                <w:sz w:val="16"/>
              </w:rPr>
            </w:pPr>
            <w:r>
              <w:rPr>
                <w:b w:val="0"/>
                <w:sz w:val="16"/>
              </w:rPr>
              <w:t>96,60</w:t>
            </w:r>
          </w:p>
        </w:tc>
        <w:tc>
          <w:tcPr>
            <w:tcW w:w="750" w:type="pct"/>
            <w:tcBorders>
              <w:bottom w:val="single" w:sz="4" w:space="0" w:color="auto"/>
            </w:tcBorders>
            <w:shd w:val="clear" w:color="auto" w:fill="FFFFFF"/>
            <w:vAlign w:val="center"/>
          </w:tcPr>
          <w:p>
            <w:pPr>
              <w:keepNext/>
              <w:spacing w:before="60" w:after="60"/>
              <w:jc w:val="right"/>
              <w:rPr>
                <w:b w:val="0"/>
                <w:sz w:val="16"/>
              </w:rPr>
            </w:pPr>
            <w:r>
              <w:rPr>
                <w:b w:val="0"/>
                <w:sz w:val="16"/>
              </w:rPr>
              <w:t>225 106 293,40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vAlign w:val="center"/>
          </w:tcPr>
          <w:p>
            <w:pPr>
              <w:spacing w:before="60" w:after="60"/>
              <w:jc w:val="left"/>
              <w:rPr>
                <w:b w:val="0"/>
                <w:sz w:val="16"/>
              </w:rPr>
            </w:pPr>
            <w:r>
              <w:rPr>
                <w:b w:val="0"/>
                <w:sz w:val="16"/>
              </w:rPr>
              <w:t>Celkem</w:t>
            </w:r>
          </w:p>
        </w:tc>
        <w:tc>
          <w:tcPr>
            <w:tcW w:w="200" w:type="pct"/>
            <w:tcBorders>
              <w:bottom w:val="single" w:sz="4" w:space="0" w:color="auto"/>
            </w:tcBorders>
            <w:shd w:val="clear" w:color="auto" w:fill="FFFFFF"/>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195 252 625,73</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86,74</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217 462 901,66</w:t>
            </w:r>
          </w:p>
        </w:tc>
        <w:tc>
          <w:tcPr>
            <w:tcW w:w="500" w:type="pct"/>
            <w:tcBorders>
              <w:bottom w:val="single" w:sz="4" w:space="0" w:color="auto"/>
            </w:tcBorders>
            <w:shd w:val="clear" w:color="auto" w:fill="FFFFFF"/>
            <w:vAlign w:val="center"/>
          </w:tcPr>
          <w:p>
            <w:pPr>
              <w:spacing w:before="60" w:after="60"/>
              <w:jc w:val="right"/>
              <w:rPr>
                <w:b w:val="0"/>
                <w:sz w:val="16"/>
              </w:rPr>
            </w:pPr>
            <w:r>
              <w:rPr>
                <w:b w:val="0"/>
                <w:sz w:val="16"/>
              </w:rPr>
              <w:t>96,60</w:t>
            </w:r>
          </w:p>
        </w:tc>
        <w:tc>
          <w:tcPr>
            <w:tcW w:w="750" w:type="pct"/>
            <w:tcBorders>
              <w:bottom w:val="single" w:sz="4" w:space="0" w:color="auto"/>
            </w:tcBorders>
            <w:shd w:val="clear" w:color="auto" w:fill="FFFFFF"/>
            <w:vAlign w:val="center"/>
          </w:tcPr>
          <w:p>
            <w:pPr>
              <w:spacing w:before="60" w:after="60"/>
              <w:jc w:val="right"/>
              <w:rPr>
                <w:b w:val="0"/>
                <w:sz w:val="16"/>
              </w:rPr>
            </w:pPr>
            <w:r>
              <w:rPr>
                <w:b w:val="0"/>
                <w:sz w:val="16"/>
              </w:rPr>
              <w:t>225 106 293,40</w:t>
            </w:r>
          </w:p>
        </w:tc>
      </w:tr>
    </w:tbl>
    <w:p>
      <w:pPr>
        <w:spacing w:before="60" w:after="60"/>
        <w:jc w:val="center"/>
        <w:rPr>
          <w:b/>
          <w:sz w:val="20"/>
        </w:rPr>
      </w:pPr>
    </w:p>
    <w:p/>
    <w:p>
      <w:pPr>
        <w:sectPr>
          <w:pgMar w:top="900" w:right="900" w:bottom="900" w:left="900" w:header="720" w:footer="720"/>
          <w:cols w:space="720"/>
        </w:sectPr>
      </w:pPr>
    </w:p>
    <w:p>
      <w:pPr>
        <w:pStyle w:val="Heading2"/>
      </w:pPr>
      <w:bookmarkStart w:id="4" w:name="_Toc256000004"/>
      <w:r>
        <w:t>Klíčové informace o provádění programu rozvoje venkova na základě písmen a) a b) podle prioritní oblasti</w:t>
      </w:r>
      <w:bookmarkEnd w:id="4"/>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656"/>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vAlign w:val="center"/>
          </w:tcPr>
          <w:p>
            <w:pPr>
              <w:spacing w:before="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31. prosinci 2025 byla alokace rozpočtu EZFRV (včetně EURI) vyčerpána téměř ze 100 %.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S ohledem na konec programového období PRV 2014-2022  nebyly v roce 2025 vyhlášeny žádné výzvy pro příjem žádostí o podporu pro projektová opatření. Nadále probíhal kontinuální příjem pro opatření 20 Technická pomoc a pro operaci 4.3.1 Pozemkové úpravy.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Informace o zaregistrovaných, schválených a případně proplacených operacích a plnění cílů pro jednotlivé priority jsou dále uvedeny podle členění na jednotlivé priority/prioritní oblasti zahrnuté v PRV.</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u w:val="single"/>
              </w:rPr>
              <w:t xml:space="preserve">Horizontální </w:t>
            </w:r>
            <w:r>
              <w:rPr>
                <w:rFonts w:ascii="Times New Roman" w:eastAsia="Times New Roman" w:hAnsi="Times New Roman" w:cs="Times New Roman"/>
                <w:b/>
                <w:bCs/>
                <w:szCs w:val="24"/>
                <w:u w:val="single"/>
              </w:rPr>
              <w:t xml:space="preserve">PRIORITA 1 Podpora předávání poznatků a inovací v zemědělství, lesnictví a ve venkovských oblastech </w:t>
            </w:r>
            <w:r>
              <w:rPr>
                <w:rFonts w:ascii="Times New Roman" w:eastAsia="Times New Roman" w:hAnsi="Times New Roman" w:cs="Times New Roman"/>
                <w:szCs w:val="24"/>
              </w:rPr>
              <w:t>je v PRV řešena prostřednictvím opatření 1 Předávání znalostí a informační akce a 16 Spolupráce.</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Informace uvedené v rámci odstavce u priority 1 jsou shrnutím dat uvedených v jednotlivých věcných prioritách.</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opatření 1</w:t>
            </w:r>
            <w:r>
              <w:rPr>
                <w:rFonts w:ascii="Times New Roman" w:eastAsia="Times New Roman" w:hAnsi="Times New Roman" w:cs="Times New Roman"/>
                <w:szCs w:val="24"/>
              </w:rPr>
              <w:t xml:space="preserve"> bylo k 31. 12. 2025 zaregistrováno celkem 585 žádostí o dotaci v celkové výši cca 206 mil. Kč (8,5 mil. EUR). Ke konci prosince 2025 bylo uzavřeno 205 Dohod v částce téměř 79 mil. Kč (3,3 mil. EUR), z toho 113 na vzdělávací akce a 72 na informační akce. Realizováno a proplaceno bylo 205 projektů s částkou dotace 67,1 mil. Kč (2,7 mil. EUR). Jeden další projekt v částce dotace 377 tis. Kč (14 250 EUR) byl hrazen ještě jako závazek ze starého programového období.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opatření 16</w:t>
            </w:r>
            <w:r>
              <w:rPr>
                <w:rFonts w:ascii="Times New Roman" w:eastAsia="Times New Roman" w:hAnsi="Times New Roman" w:cs="Times New Roman"/>
                <w:szCs w:val="24"/>
              </w:rPr>
              <w:t xml:space="preserve"> bylo k 31. 12. 2025 zaregistrováno celkem 524 projektů v celkové výši 5 367 mil. Kč (221 mil. EUR), z nich 249 mělo ke konci roku 2025 uzavřenou Dohodu s celkovou částkou dotace 2 911 mil. Kč (120 mil. EUR). Realizováno a proplaceno bylo 249 projektů s vyplacenou částkou dotace 2 874 mil. Kč (112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 xml:space="preserve">V rámci prioritní oblasti 1A byl stanoven cílový ukazatel </w:t>
            </w:r>
            <w:r>
              <w:rPr>
                <w:rFonts w:ascii="Times New Roman" w:eastAsia="Times New Roman" w:hAnsi="Times New Roman" w:cs="Times New Roman"/>
                <w:szCs w:val="24"/>
              </w:rPr>
              <w:t xml:space="preserve">pro rok 2025 </w:t>
            </w:r>
            <w:r>
              <w:rPr>
                <w:rFonts w:ascii="Times New Roman" w:eastAsia="Times New Roman" w:hAnsi="Times New Roman" w:cs="Times New Roman"/>
                <w:b/>
                <w:bCs/>
                <w:szCs w:val="24"/>
              </w:rPr>
              <w:t>T1</w:t>
            </w:r>
            <w:r>
              <w:rPr>
                <w:rFonts w:ascii="Times New Roman" w:eastAsia="Times New Roman" w:hAnsi="Times New Roman" w:cs="Times New Roman"/>
                <w:szCs w:val="24"/>
              </w:rPr>
              <w:t>: podíl výdajů podle článků 14, 15 a 35 nařízení (EU) č. 1305/2013 v poměru k celkovým výdajům na Program rozvoje venkova na 2,69 %, přičemž k 31. 12. 2025 bylo dosaženo hodnoty 2,42 %, tzn. ukazatel je plněn na 90 %.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1B byl stanoven cílový ukazatel</w:t>
            </w:r>
            <w:r>
              <w:rPr>
                <w:rFonts w:ascii="Times New Roman" w:eastAsia="Times New Roman" w:hAnsi="Times New Roman" w:cs="Times New Roman"/>
                <w:szCs w:val="24"/>
              </w:rPr>
              <w:t xml:space="preserve"> pro rok 2025 </w:t>
            </w:r>
            <w:r>
              <w:rPr>
                <w:rFonts w:ascii="Times New Roman" w:eastAsia="Times New Roman" w:hAnsi="Times New Roman" w:cs="Times New Roman"/>
                <w:b/>
                <w:bCs/>
                <w:szCs w:val="24"/>
              </w:rPr>
              <w:t>T2</w:t>
            </w:r>
            <w:r>
              <w:rPr>
                <w:rFonts w:ascii="Times New Roman" w:eastAsia="Times New Roman" w:hAnsi="Times New Roman" w:cs="Times New Roman"/>
                <w:szCs w:val="24"/>
              </w:rPr>
              <w:t>: Celkový počet operací spolupráce podpořených v rámci opatření „Spolupráce“ na 192 operací, přičemž k 31. 12. 2025 bylo dosaženo hodnoty 251 operací. Cílová hodnota tedy byla dosažena.</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1C byl stanoven cílový ukazatel</w:t>
            </w:r>
            <w:r>
              <w:rPr>
                <w:rFonts w:ascii="Times New Roman" w:eastAsia="Times New Roman" w:hAnsi="Times New Roman" w:cs="Times New Roman"/>
                <w:szCs w:val="24"/>
              </w:rPr>
              <w:t xml:space="preserve"> pro rok 2025 </w:t>
            </w:r>
            <w:r>
              <w:rPr>
                <w:rFonts w:ascii="Times New Roman" w:eastAsia="Times New Roman" w:hAnsi="Times New Roman" w:cs="Times New Roman"/>
                <w:b/>
                <w:bCs/>
                <w:szCs w:val="24"/>
              </w:rPr>
              <w:t>T3</w:t>
            </w:r>
            <w:r>
              <w:rPr>
                <w:rFonts w:ascii="Times New Roman" w:eastAsia="Times New Roman" w:hAnsi="Times New Roman" w:cs="Times New Roman"/>
                <w:szCs w:val="24"/>
              </w:rPr>
              <w:t>: Celkový počet vyškolených účastníků podle článku 14 nařízení na 28 559 účastníků, přičemž k 31. 12. 2025 bylo dosaženo hodnoty 21 665 účastníků, tzn. ukazatel je plněn na 76 %.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u w:val="single"/>
              </w:rPr>
              <w:t>PRIORITA 2 Zvýšení životaschopnosti zemědělských podniků a konkurenceschopnosti všech druhů zemědělské činnosti ve všech regionech a podpora inovativních zemědělských technologií a udržitelného obhospodařování lesů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i/>
                <w:iCs/>
                <w:szCs w:val="24"/>
              </w:rPr>
              <w:t xml:space="preserve">Prioritní oblast 2A </w:t>
            </w:r>
            <w:r>
              <w:rPr>
                <w:rFonts w:ascii="Times New Roman" w:eastAsia="Times New Roman" w:hAnsi="Times New Roman" w:cs="Times New Roman"/>
                <w:b/>
                <w:bCs/>
                <w:szCs w:val="24"/>
              </w:rPr>
              <w:t>Zvýšení ekonomické výkonnosti všech zemědělských podniků a usnadnění restrukturalizace a modernizace, zejména s ohledem na zvýšení účasti na trhu a tržní orientace, stejně jako zemědělskou diverzifikaci</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rámci prioritní oblasti 2A jsou implementována následující opatření / operace:</w:t>
            </w:r>
            <w:r>
              <w:rPr>
                <w:rFonts w:ascii="Times New Roman" w:eastAsia="Times New Roman" w:hAnsi="Times New Roman" w:cs="Times New Roman"/>
                <w:b/>
                <w:bCs/>
                <w:szCs w:val="24"/>
              </w:rPr>
              <w:t xml:space="preserve"> opatření 1 Předávání znalostí a informační akce, opatření 4 Investice do hmotného majetku/operace 4.1.1 Investice do zemědělských podniků a operace 4.3.1 Pozemkové úpravy a opatření 16 Spolupráce/ operace 16.1.1 Podpora operačních skupin a projektů EIP, 16.2.1 Podpora vývoje nových produktů, postupů a technologií v zemědělské prvovýrobě a 16.3.1 Sdílení zařízení a zdrojů.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Podpora v dané prioritní oblasti je směrována především na investice v zemědělských podnicích, a to v živočišné a rostlinné výrobě. U pozemkových úprav podpora zajišťuje zejména zpřístupnění pozemků, opatření k ochraně životního prostředí a zachování krajinného rázu, opatření pro ochranu půdního fondu a vodohospodářská opatření. K naplnění cíle dané prioritní oblasti napomáhají i vzdělávací aktivity a projekty spolupráce mezi zemědělskými subjekty a výzkumnými institucemi.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opatření 1 bylo k 31. 12. 2025 zaregistrováno celkem 185 žádostí o dotaci ve vazbě na prioritní oblast 2A s požadavkem ve výši cca 67,1 mil. Kč (2,8 mil. EUR). Do konce prosince 2025 bylo uzavřeno 70 Dohod v částce 26,8 mil. Kč (1,1 mil. EUR). Realizováno a proplaceno bylo 70 projektů, 44 zaměřených na vzdělávání v celkové výši 15,8 mil. Kč (627,8 tis. EUR) a 26 projektů cílených na informační akce s tématem priority 2A celkem za 7 mil. Kč (278,3 tis. EUR). Jeden projekt v částce dotace 377 tis. Kč (14 250 EUR) byl hrazen ještě jako závazek ze starého programového období.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4.1.1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roce 2025 nebyl vyhlášen nový příjem žádostí o dotaci, pokračovala administrace, realizace projektů a proplácení žádostí o dotaci z příjmu předchozích let. K 31. 12. 2025 bylo za všechna kola příjmu podáno 17 430 žádostí za 38 171 mil. Kč (1 575 mil. EUR). Z těchto žádostí bylo k 31. 12. 2025 uzavřeno 8 995 Dohod v celkové částce 14 924 mil. Kč (615,8 mil. EUR), realizováno a proplaceno bylo k tomuto datu 8 993 projektů v celkové částce 14 765 mil. Kč (580,8 mil. EUR). Z toho bylo podpořeno 784 projektů v rámci národních doplňkových plateb (TOP-UP) ve výši 1 785 mil. Kč (73,2 mil. EUR).  Z rozpočtu operace byly hrazeny i staré závazky z období 2007–2013 ve výši 192 mil. Kč (7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Podle právní subjektivity převažovali žadatelé – fyzické osoby. Z realizovaných projektů byla ve 5 934 případech žadatelem fyzická osoba (FO), přičemž výrazně převyšovali žadatelé muži (4 795) nad ženami (1 139), viz graf č. 1. Žadatelů do 40 let bylo 62 %. V rámci realizovaných projektů převažovaly podniky z oblastí s přírodním znevýhodněním (5 651 podniků) nad podniky mimo tyto oblasti (3 342). V oblastech s přírodním znevýhodněním byly vyplaceny dotace v částce cca 7,7 mld. Kč (303,3 mil. EUR). Distribuce vyplacených prostředků podle typu oblastí je patrná z grafu č. 2.</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Z hlediska výrobního zaměření bylo nejvíce investováno do smíšené výroby (50 % finančních prostředků), chovu prasat a drůbeže (15 %) a chovu skotu (13 %), podrobnější členění viz graf č. 3. Při porovnání počtu projektů bylo nejvíce projektů podpořeno v oblasti smíšené výroby (36 % všech podpořených projektů) a v oblasti chovu skotu (34 % všech podpořených projektů). Podpora v rámci této operace cílí zejména na modernizaci farem, výstavbu, rekonstrukci, stavební a technologické úpravy stájí, pastevních areálů, skladů krmiv a steliv, pořízení techniky a technologií pro živočišnou a rostlinou výrobu.</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Nad rámec společných indikátorů sleduje ČR i dva další specifické ukazatele týkající se počtu inovativních projektů a počtu projektů zaměřených na dobré životní podmínky zvířat. K 31. 12. 2025 bylo v rámci operace 4.1.1 podpořeno 763 inovativních projektů v celkové částce téměř 1,5 mld. Kč, což představuje výrazné překročení plánu. V podpořených podnicích bylo realizováno 3 025 projektů, které zlepšily životní podmínky zvířat (welfare).</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4.3.1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roce 2025 pokračoval kontinuální příjem žádostí a realizace projektů pozemkových úprav. K 31. 12. 2025 bylo v rámci kontinuální výzvy zaregistrováno 473 žádostí o podporu v celkové částce 4 828 mil. Kč (cca 200 mil. EUR), uzavřeno bylo 460 Dohod v částce 4 711 mil. Kč (194 mil. EUR). Realizováno a proplaceno bylo k tomuto datu 455 projektů v celkové částce 4 658 mil. Kč (182,9 mil. EUR). 1,2 mil. EUR bylo vyplaceno na dva projekty z předchozího programového období.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rámci pozemkových úprav bylo k 31. 12. 2025 vybudováno 608 km polních cest, které zajišťují zpřístupnění pozemků. K realizaci plošných opatření došlo celkem na 392 ha, z toho ekologických opatření na 141 ha, vodohospodářských opatření na 146 ha a protierozních opatření na 105 ha. Proplacené pozemkové úpravy v rámci PRV měly dopad na území o celkové rozloze 361 612 ha, což představuje 8,6 % zemědělského půdního fondu v ČR.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Příjemcem podpory je Státní pozemkový úřad – resp. pobočky krajských pozemkových úřadů.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16.1.1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Operace 16.1.1 je specifická mimo jiné i výběrem brokerů, kteří zajišťují založení operační skupiny v oblasti zemědělství a potravinářství a ve spolupráci se členy operační skupiny vypracovávají projekt v souladu s podmínkami EIP. Jejich podpůrná/facilitační činnost byla hrazena prostřednictvím TP PRV. V rámci programového období byly dle plánu vyhlášeny pouze dvě výzvy (první v roce 2016 a druhá v roce 2017). Celkem bylo v této operaci k 31. 12. 2025 zaregistrováno 29 žádostí o podporu v celkové částce 180 mil. Kč (7,4 mil. EUR). K 31. 12. 2025 bylo uzavřeno 10 Dohod v celkové částce 54 mil. Kč (2,2 mil. EUR). Proplaceno bylo k tomuto datu 10 projektů v celkové částce 44 mil. Kč (1,7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16.2.1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Příjem žádostí o dotace proběhl v letech 2016–2018, celkem zaregistrováno 153 žádostí v celkové částce 1 170 mil. Kč (48,3 mil. EUR), přičemž z hlediska výrobního zaměření podniku bylo žadatelů nejvíce v oblasti smíšené výroby (67 % žadatelů), dále pak polní výroby (12 %) a v oblasti produkce mléka (9 %). K 31. 12. 2025 bylo uzavřených 51 Dohod v celkové částce téměř 309 mil. Kč (12,7 mil. EUR), z toho 35 projektů s podepsanou Dohodou v celkovém objemu 213,8 mil. Kč (8,7 mil. EUR) je směřováno do smíšené výroby.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31. 12. 2025 bylo realizovaných a proplacených 51 projektů v celkové výši 306,6 mil. Kč (12 mil. EUR). Jednalo se zejména o procesní inovace (45 projektů), v 12 projektech pak šlo o inovaci výrobkovou a 6 projektů zahrnuje kombinaci výrobkové a procesní inovace. Část projektů byla zaměřena na inovace v oblasti chovu skotu, prasat a koz (např. rekonstrukce odchovny dojnic, monitoringu chování dojnic s ohledem na plodnost a prevenci onemocnění, aplikace inovativních postupů ve výrobě kvalitnějších krmiv), další projekty pak podpořily zavedení nových technologií do zemědělské praxe pro lepší zadržení vody v půdě a v krajině, nižší utužení půdního profilu a z toho vyplývající snížení eroze, inovace v oblasti precizního zemědělství s pořízením technologie pro přesné dávkování hnojiv, posklizňové technologie ošetření osiva k eliminaci patogenů přenosných osivem a škodlivých příměsí.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16.3.1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Příjem žádostí o dotace proběhl v letech 2016–2019. K 31. 12. 2025 bylo zaregistrovaných celkem 227 žádostí v celkové částce téměř 380 mil. Kč (15,7 mil. EUR), uzavřených 134 Dohod v celkové částce 256,2 mil. Kč (10,6 mil. EUR). Do konce roku 2025 bylo proplacených 134 projektů v celkové částce 254,5 mil. Kč (cca 10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 xml:space="preserve">V rámci prioritní oblasti 2A celkové platby </w:t>
            </w:r>
            <w:r>
              <w:rPr>
                <w:rFonts w:ascii="Times New Roman" w:eastAsia="Times New Roman" w:hAnsi="Times New Roman" w:cs="Times New Roman"/>
                <w:szCs w:val="24"/>
              </w:rPr>
              <w:t>k 31. 12. 2025 dosáhly 20 278 mil. Kč (cca 796,8 mil. EUR), včetně úhrady závazků ze starého programového období.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2A byl stanoven</w:t>
            </w:r>
            <w:r>
              <w:rPr>
                <w:rFonts w:ascii="Times New Roman" w:eastAsia="Times New Roman" w:hAnsi="Times New Roman" w:cs="Times New Roman"/>
                <w:szCs w:val="24"/>
              </w:rPr>
              <w:t xml:space="preserve"> </w:t>
            </w:r>
            <w:r>
              <w:rPr>
                <w:rFonts w:ascii="Times New Roman" w:eastAsia="Times New Roman" w:hAnsi="Times New Roman" w:cs="Times New Roman"/>
                <w:b/>
                <w:bCs/>
                <w:szCs w:val="24"/>
              </w:rPr>
              <w:t>cílový ukazatel</w:t>
            </w:r>
            <w:r>
              <w:rPr>
                <w:rFonts w:ascii="Times New Roman" w:eastAsia="Times New Roman" w:hAnsi="Times New Roman" w:cs="Times New Roman"/>
                <w:szCs w:val="24"/>
              </w:rPr>
              <w:t xml:space="preserve"> pro rok 2025 </w:t>
            </w:r>
            <w:r>
              <w:rPr>
                <w:rFonts w:ascii="Times New Roman" w:eastAsia="Times New Roman" w:hAnsi="Times New Roman" w:cs="Times New Roman"/>
                <w:b/>
                <w:bCs/>
                <w:szCs w:val="24"/>
              </w:rPr>
              <w:t>T4</w:t>
            </w:r>
            <w:r>
              <w:rPr>
                <w:rFonts w:ascii="Times New Roman" w:eastAsia="Times New Roman" w:hAnsi="Times New Roman" w:cs="Times New Roman"/>
                <w:szCs w:val="24"/>
              </w:rPr>
              <w:t>: podíl zemědělských podniků s podporou z programu rozvoje venkova na investice do restrukturalizace nebo modernizace na 26,45 %, přičemž k 31. 12. 2025 bylo dosaženo hodnoty 34,26 %. Cílová hodnota tedy byla dosažena.</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i/>
                <w:iCs/>
                <w:szCs w:val="24"/>
              </w:rPr>
              <w:t xml:space="preserve">Prioritní oblast 2B </w:t>
            </w:r>
            <w:r>
              <w:rPr>
                <w:rFonts w:ascii="Times New Roman" w:eastAsia="Times New Roman" w:hAnsi="Times New Roman" w:cs="Times New Roman"/>
                <w:b/>
                <w:bCs/>
                <w:szCs w:val="24"/>
              </w:rPr>
              <w:t>Usnadnění vstupu dostatečně kvalifikovaných zemědělců do zemědělského odvětví a zejména generační obnovy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V rámci prioritní oblasti 2B jsou implementována následující opatření/operace: </w:t>
            </w:r>
            <w:r>
              <w:rPr>
                <w:rFonts w:ascii="Times New Roman" w:eastAsia="Times New Roman" w:hAnsi="Times New Roman" w:cs="Times New Roman"/>
                <w:b/>
                <w:bCs/>
                <w:szCs w:val="24"/>
              </w:rPr>
              <w:t xml:space="preserve">opatření 1 Předávání znalostí a informační akce </w:t>
            </w:r>
            <w:r>
              <w:rPr>
                <w:rFonts w:ascii="Times New Roman" w:eastAsia="Times New Roman" w:hAnsi="Times New Roman" w:cs="Times New Roman"/>
                <w:szCs w:val="24"/>
              </w:rPr>
              <w:t xml:space="preserve">a opatření </w:t>
            </w:r>
            <w:r>
              <w:rPr>
                <w:rFonts w:ascii="Times New Roman" w:eastAsia="Times New Roman" w:hAnsi="Times New Roman" w:cs="Times New Roman"/>
                <w:b/>
                <w:bCs/>
                <w:szCs w:val="24"/>
              </w:rPr>
              <w:t>6 Rozvoj zemědělských podniků a podnikatelské činnosti/operace 6.1.1 Zahájení činnosti mladých zemědělců.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Podpora v dané prioritní oblasti je směrována k usnadnění vstupu dostatečně kvalifikovaných zemědělců do zemědělského odvětví a zejména generační obnovy.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opatření 1 bylo zaregistrovaných k 31. 12. 2025 celkem 22 žádostí o dotaci ve vazbě na prioritní oblast 2B s požadavkem ve výši 9 mil. Kč (374,7 tis. EUR). Podepsané Dohody byly u 8 projektů ve výši 4,8 mil. Kč (cca 200 tis. EUR). Realizováno a proplaceno bylo k 31. 12. 2025 8 projektů v celkové částce 4,3 mil. Kč (172,6 tis.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6.1.1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31. 12. 2025 bylo zaregistrovaných 1 910 žádostí v celkové částce 2 342 mil. Kč (96,6 mil. EUR), uzavřených 1 222 Dohod v celkové částce 1 496 mil. Kč (cca 62 mil. EUR). Na podnikatelské plány bylo vynaloženo celkem 1 406 mil. Kč (54,6 mil. EUR).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Z celkového počtu 1 910 žádostí byla žadatelem fyzická osoba (FO) v 1 650 zaregistrovaných podnikatelských plánech, přičemž převyšovali žadatelé muži (1 034). Ve 260 případech byla žadatelem právnická osoba (PO). Z pohledu výrobního zaměření podniku se jednalo o 841 podnikatelských plánů zaměřených na chov skotu, 395 na smíšenou výrobu, 355 na polní výrobu, 101 na zahradnictví, 92 na vinohradnictví, 56 podnikatelských plánů bylo v oblasti ovocnářství, 38 se týkalo chovu prasat a drůbeže a 17 oblasti produkce mléka. 47 % proplacených prostředků bylo směrováno do podniků s výrobním zaměřením na chov skotu (cca 663 mil. Kč), smíšenou výrobu 21 % (cca 294 mil. Kč) a polní výrobu 18 % (cca 256 mil. Kč), viz graf č. 4. V rámci realizovaných podnikatelských plánů byly podpořené podniky jak v oblastech s přírodním znevýhodněním (820), tak bez přírodního znevýhodnění (402).</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2B c</w:t>
            </w:r>
            <w:r>
              <w:rPr>
                <w:rFonts w:ascii="Times New Roman" w:eastAsia="Times New Roman" w:hAnsi="Times New Roman" w:cs="Times New Roman"/>
                <w:szCs w:val="24"/>
              </w:rPr>
              <w:t>elkové platby k 31. 12. 2025 dosáhly 1 410 mil. Kč (54,8 mil. EUR) včetně úhrady závazků ze starého programového období.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2B byl stanoven cílový ukazatel</w:t>
            </w:r>
            <w:r>
              <w:rPr>
                <w:rFonts w:ascii="Times New Roman" w:eastAsia="Times New Roman" w:hAnsi="Times New Roman" w:cs="Times New Roman"/>
                <w:szCs w:val="24"/>
              </w:rPr>
              <w:t xml:space="preserve"> pro rok 2025 </w:t>
            </w:r>
            <w:r>
              <w:rPr>
                <w:rFonts w:ascii="Times New Roman" w:eastAsia="Times New Roman" w:hAnsi="Times New Roman" w:cs="Times New Roman"/>
                <w:b/>
                <w:bCs/>
                <w:szCs w:val="24"/>
              </w:rPr>
              <w:t>T5</w:t>
            </w:r>
            <w:r>
              <w:rPr>
                <w:rFonts w:ascii="Times New Roman" w:eastAsia="Times New Roman" w:hAnsi="Times New Roman" w:cs="Times New Roman"/>
                <w:szCs w:val="24"/>
              </w:rPr>
              <w:t>: podíl zemědělských podniků s podporou z Programu rozvoje venkova na plán rozvoje podnikatelské činnosti / investice pro mladé zemědělce na 4,80 %, přičemž k 31. 12. 2025 bylo dosaženo hodnoty 4,66 %, tzn. ukazatel je plněn na 97 %.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i/>
                <w:iCs/>
                <w:szCs w:val="24"/>
              </w:rPr>
              <w:t xml:space="preserve">Prioritní oblast 2C </w:t>
            </w:r>
            <w:r>
              <w:rPr>
                <w:rFonts w:ascii="Times New Roman" w:eastAsia="Times New Roman" w:hAnsi="Times New Roman" w:cs="Times New Roman"/>
                <w:b/>
                <w:bCs/>
                <w:szCs w:val="24"/>
              </w:rPr>
              <w:t>Zlepšení ekonomické výkonnosti lesního hospodářství)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V rámci prioritní oblasti 2C jsou implementována následující opatření: </w:t>
            </w:r>
            <w:r>
              <w:rPr>
                <w:rFonts w:ascii="Times New Roman" w:eastAsia="Times New Roman" w:hAnsi="Times New Roman" w:cs="Times New Roman"/>
                <w:b/>
                <w:bCs/>
                <w:szCs w:val="24"/>
              </w:rPr>
              <w:t xml:space="preserve">opatření 1 Předávání znalostí a informační akce, opatření 4 Investice do hmotného majetku/operace 4.3.2 Lesnická infrastruktura </w:t>
            </w:r>
            <w:r>
              <w:rPr>
                <w:rFonts w:ascii="Times New Roman" w:eastAsia="Times New Roman" w:hAnsi="Times New Roman" w:cs="Times New Roman"/>
                <w:szCs w:val="24"/>
              </w:rPr>
              <w:t>a </w:t>
            </w:r>
            <w:r>
              <w:rPr>
                <w:rFonts w:ascii="Times New Roman" w:eastAsia="Times New Roman" w:hAnsi="Times New Roman" w:cs="Times New Roman"/>
                <w:b/>
                <w:bCs/>
                <w:szCs w:val="24"/>
              </w:rPr>
              <w:t>opatření 8 Investice do rozvoje lesních oblastí a zlepšování životaschopnosti lesů/operace 8.6.1 Technika a technologie pro lesní hospodářství a 8.6.2 Technické vybavení dřevozpracujících provozoven.</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Podpora v operaci 4.3.2 je zaměřena na rekonstrukce a budování lesnické infrastruktury vedoucí ke zlepšení kvality či zvýšení hustoty lesních cest. V operaci 8.6.1 pak podpora cílí na</w:t>
            </w:r>
            <w:r>
              <w:rPr>
                <w:rFonts w:ascii="Times New Roman" w:eastAsia="Times New Roman" w:hAnsi="Times New Roman" w:cs="Times New Roman"/>
                <w:b/>
                <w:bCs/>
                <w:szCs w:val="24"/>
              </w:rPr>
              <w:t xml:space="preserve"> </w:t>
            </w:r>
            <w:r>
              <w:rPr>
                <w:rFonts w:ascii="Times New Roman" w:eastAsia="Times New Roman" w:hAnsi="Times New Roman" w:cs="Times New Roman"/>
                <w:szCs w:val="24"/>
              </w:rPr>
              <w:t>investice do lesní techniky a postupů práce zvyšujících hospodářskou hodnotu lesů.</w:t>
            </w:r>
            <w:r>
              <w:rPr>
                <w:rFonts w:ascii="Times New Roman" w:eastAsia="Times New Roman" w:hAnsi="Times New Roman" w:cs="Times New Roman"/>
                <w:b/>
                <w:bCs/>
                <w:szCs w:val="24"/>
              </w:rPr>
              <w:t xml:space="preserve"> </w:t>
            </w:r>
            <w:r>
              <w:rPr>
                <w:rFonts w:ascii="Times New Roman" w:eastAsia="Times New Roman" w:hAnsi="Times New Roman" w:cs="Times New Roman"/>
                <w:szCs w:val="24"/>
              </w:rPr>
              <w:t>Kromě moderní techniky pro obnovu, výchovu a těžbu lesních porostů je možné podpořit také pořízení koní pro vyvážení dříví, kteří umožňují těžbu i v náročném terénu nebo v obtížném probírkovém porostu. Podpora se dále vztahuje na stroje ke zpracování potěžebních zbytků, stroje pro přípravu půdy před zalesněním, stroje, technologie, zařízení a stavby pro lesní školkařskou činnost, stroje a zařízení pro údržbu a opravy lesních cest, mobilní stroje pro sortimentaci a pořez dříví. Podpora v rámci operace 8.6.2 směřuje na podporu investic do strojů, technologií a zařízení v malých dřevozpracujících provozovnách, včetně souvisejících stavebních výdajů a investic do mokrého skladování dříví.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opatření 1 bylo k 31. 12. 2025 zaregistrováno 31 žádostí o dotaci ve vazbě na prioritní oblast 2C s požadavkem ve výši 9 mil. Kč (376,8 tis. EUR). K 31. 12. 2025 byla uzavřena 1 Dohoda ve výši 206,4 tis. Kč (8,5 tis. EUR), realizován a proplacen byl 1 projekt v částce 206,4 tis. Kč (8,2 tis.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4.3.2</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Poslední příjem žádostí pro danou operaci byl vyhlášen v rámci 13. kola příjmu žádostí o dotaci v roce 2021. K 31. 12. 2025 bylo zaregistrováno celkem 1 043 žádostí v celkové výši 2 978 mil. Kč (122,9 mil. EUR). Na konci roku 2025 pak bylo uzavřeno 494 Dohod v celkové částce 1 327 mil. Kč (54,7 mil. EUR). Realizováno a proplaceno bylo 494 projektů v celkové částce 1 312 mil. Kč (51,6 mil. EUR), v jejichž rámci bylo upraveno celkem 540 km lesních cest. Z rozpočtu operace byly hrazeny i staré závazky ve výši 3,5 mil. Kč (129 tis.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8.6.1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Poslední příjem žádostí pro danou operaci byl vyhlášen v rámci 15. kola příjmu žádostí o dotaci v roce 2022. K 31. 12. 2025 bylo od roku 2015 registrováno celkem 3 290 žádostí ve výši cca 1 691 mil. Kč (69,8 mil. EUR), ke konci roku 2025 bylo uzavřených 1 912 Dohod v celkové částce 1 094 mil. Kč (45 mil. EUR). Realizováno bylo 1 911 projektů v celkové částce cca 1 077 mil. Kč (42 mil. EUR). Konkrétní stroje, které žadatelé nejčastěji pořizují, jsou navijáky, rampovače, vyvážecí vleky, traktory pro práci v lese, nebo štípače a štěpkovače.</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Standardní techniku a technologie pro lesní hospodářství doplnila ještě dočasná uložiště vyzvednutého sadebního materiálu lesních dřevin. Tzv. sněžné jámy pomohou uchovat vyzvednuté sazenice v optimálním prostředí a co nejblíže místu výsadby, dokud nenastane vhodné počasí pro výsadbu.</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Dále jsou podporovány mokré sklady dříví, které byly do operace doplněny z důvodu nutnosti podpořit možnost dlouhodobého skládkování dříví při probíhající víceleté kůrovcové kalamitě (lesní hospodářství produkuje zvýšené množství smrkového dříví, které dřevozpracující průmysl při stávajících způsobech skládkování nedokáže včas zpracovat. Způsobilými výdaji jsou zejména náklady na zdroj vody, zajištění elektřiny, na techniku pro čerpání a rozvod vody i vlastní postřikování dříví nebo související stavební náklady.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Pokračující kůrovcová kalamita a potřeba včasného odvozu napadeného dříví byla důvodem pro zařazení odvozních souprav, které byly do způsobilých výdajů doplněny od 7. kola příjmu žádostí. Podporovány jsou především jízdní soupravy tahače a oplenového návěsu, přívěsu nebo polopřívěsu, a dále také samostatná nákladní vozidla a samostatné přívěsy s oplenovou ložnou plochou.</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8.6.2</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Poslední příjem žádostí byl pro danou operaci vyhlášen v rámci 15. kola příjmu žádostí o dotaci v roce 2022. Ke konci prosince 2025 bylo celkem zaregistrováno 350 žádostí v celkové částce cca 404 mil. Kč (16,7 mil. EUR). K 31. 12. 2025 bylo uzavřeno 133 Dohod v celkové částce cca 158 mil. Kč (6,5 mil. EUR) a realizováno bylo 133 projektů v celkové částce 156 mil. Kč (6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2C c</w:t>
            </w:r>
            <w:r>
              <w:rPr>
                <w:rFonts w:ascii="Times New Roman" w:eastAsia="Times New Roman" w:hAnsi="Times New Roman" w:cs="Times New Roman"/>
                <w:szCs w:val="24"/>
              </w:rPr>
              <w:t>elkové platby k 31. 12. 2025 dosáhly 2 591 mil. Kč (101,5 mil. EUR) včetně úhrady závazků ze starého programového období, téměř 46 mil. Kč (1,7 mil. EUR) činily staré závazky.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2C byl stanoven</w:t>
            </w:r>
            <w:r>
              <w:rPr>
                <w:rFonts w:ascii="Times New Roman" w:eastAsia="Times New Roman" w:hAnsi="Times New Roman" w:cs="Times New Roman"/>
                <w:szCs w:val="24"/>
              </w:rPr>
              <w:t xml:space="preserve"> </w:t>
            </w:r>
            <w:r>
              <w:rPr>
                <w:rFonts w:ascii="Times New Roman" w:eastAsia="Times New Roman" w:hAnsi="Times New Roman" w:cs="Times New Roman"/>
                <w:b/>
                <w:bCs/>
                <w:szCs w:val="24"/>
              </w:rPr>
              <w:t>cílový ukazatel</w:t>
            </w:r>
            <w:r>
              <w:rPr>
                <w:rFonts w:ascii="Times New Roman" w:eastAsia="Times New Roman" w:hAnsi="Times New Roman" w:cs="Times New Roman"/>
                <w:szCs w:val="24"/>
              </w:rPr>
              <w:t xml:space="preserve"> pro rok 2025 Zlepšení struktury LDS - navýšení hustoty (m/ha) na 0,23 m/ha, přičemž k 31. 12. 2025 bylo dosaženo hodnoty 0,09 m/ha, tzn. ukazatel je plněn na 39 %.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u w:val="single"/>
              </w:rPr>
              <w:t>PRIORITA 3 podpora organizace potravinového řetězce, včetně zpracovávání zemědělských produktů a jejich uvádění na trh, dobrých životních podmínek zvířat a řízení rizik v zemědělství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i/>
                <w:iCs/>
                <w:szCs w:val="24"/>
              </w:rPr>
              <w:t xml:space="preserve">Prioritní oblast 3A </w:t>
            </w:r>
            <w:r>
              <w:rPr>
                <w:rFonts w:ascii="Times New Roman" w:eastAsia="Times New Roman" w:hAnsi="Times New Roman" w:cs="Times New Roman"/>
                <w:b/>
                <w:bCs/>
                <w:szCs w:val="24"/>
              </w:rPr>
              <w:t>Zlepšení konkurenceschopnosti prvovýrobců jejich lepším začleněním do zemědělsko-potravinářského řetězce prostřednictvím programů jakosti, přidáváním hodnoty zemědělských produktů, a podporou místních trhů a krátkých dodavatelských řetězců, seskupení producentů a mezioborových organizací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V rámci prioritní oblasti 3A jsou implementována následující projektová opatření / operace: </w:t>
            </w:r>
            <w:r>
              <w:rPr>
                <w:rFonts w:ascii="Times New Roman" w:eastAsia="Times New Roman" w:hAnsi="Times New Roman" w:cs="Times New Roman"/>
                <w:b/>
                <w:bCs/>
                <w:szCs w:val="24"/>
              </w:rPr>
              <w:t>opatření 1 Předávání znalostí a informační akce</w:t>
            </w:r>
            <w:r>
              <w:rPr>
                <w:rFonts w:ascii="Times New Roman" w:eastAsia="Times New Roman" w:hAnsi="Times New Roman" w:cs="Times New Roman"/>
                <w:szCs w:val="24"/>
              </w:rPr>
              <w:t xml:space="preserve">, </w:t>
            </w:r>
            <w:r>
              <w:rPr>
                <w:rFonts w:ascii="Times New Roman" w:eastAsia="Times New Roman" w:hAnsi="Times New Roman" w:cs="Times New Roman"/>
                <w:b/>
                <w:bCs/>
                <w:szCs w:val="24"/>
              </w:rPr>
              <w:t xml:space="preserve">opatření 4 Investice do hmotného majetku/operace 4.2.1 Zpracování a uvádění na trh zemědělských produktů </w:t>
            </w:r>
            <w:r>
              <w:rPr>
                <w:rFonts w:ascii="Times New Roman" w:eastAsia="Times New Roman" w:hAnsi="Times New Roman" w:cs="Times New Roman"/>
                <w:szCs w:val="24"/>
              </w:rPr>
              <w:t>a </w:t>
            </w:r>
            <w:r>
              <w:rPr>
                <w:rFonts w:ascii="Times New Roman" w:eastAsia="Times New Roman" w:hAnsi="Times New Roman" w:cs="Times New Roman"/>
                <w:b/>
                <w:bCs/>
                <w:szCs w:val="24"/>
              </w:rPr>
              <w:t>opatření 16 Spolupráce/operace 16.2.2 Podpora vývoje nových produktů, postupů a technologií při zpracování zemědělských produktů a jejich uvádění na trh a 16.4.1 Horizontální a vertikální spolupráce mezi účastníky krátkých dodavatelských řetězců a místních trhů. Dále je prováděno opatření 14 Dobré životní podmínky zvířat.</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Podpora je zaměřena jednak na investice do zařízení souvisejících se zpracováním zemědělských produktů a uvedením výrobků na trh a s rozvojem jejich inovací a dále na platby s cílem zabezpečit vyšší standardy v chovech dojeného skotu a prasat jdoucí nad požadavky dané právními předpisy.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opatření 1 bylo k 31. 12. 2025 zaregistrováno 175 žádostí o dotaci ve vazbě na prioritní oblast 3A ve výši téměř 55 mil. Kč (2,3 mil. EUR). Do konce prosince 2025 bylo s žadateli uzavřeno 70 Dohod ve výši 23 mil. Kč (cca 960 tis. EUR), proplaceno bylo 70 projektů ve výši téměř 20 mil. Kč (793 tis. EUR). Z celkového počtu realizovaných projektů bylo 39 směřováno na vzdělávací akce a 15 na akce informační.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4.2.1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31. 12. 2025 bylo zaregistrovaných 3 989 žádostí o dotaci ve výši 11 293 mil. Kč (466 mil. EUR), uzavřených bylo 1 784 Dohod v celkové částce 5 223 mil. Kč (215 mil. EUR), přičemž realizováno bylo celkem 1 783 projektů v celkové částce 5 107 mil. Kč (203,6 mil. EUR). Z toho bylo podpořeno 112 projektů z národních doplňkových plateb (TOP-UP) ve výši 948,2 mil. Kč (cca 39 mil. EUR). Z rozpočtu operace byly hrazeny i staré závazky ve výši 447 tis. Kč (16,5 tis. EUR). Většina podniků je v oblastech bez přírodního omezení (71 % podniků). 74 % proplacených prostředků bylo směrováno do zpracování v potravinářských podnicích, 10 % do smíšené výroby a 7 % do podniků činných v oblasti vinohradnictví (podrobnější přehled graf č. 5).</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Nad rámec povinných ukazatelů ČR sleduje i výši výdajů směřujících na podporu zavedení inovací, což k 31. 12. 2025 činilo celkem 726,3 mil. Kč (30 mil. EUR) u projektů s podepsanou Dohodou. U realizovaných proplacených projektů to bylo 713 mil. Kč (28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16.2.2</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Na základě 97 žádostí předložených v 1., 3. a 5. kole příjmu bylo k 31.12. 2025 uzavřených 56 Dohod o poskytnutí dotace v celkové částce 2 306 mil. Kč (95 mil. EUR). Realizováno bylo 56 projektů ve výši 2 281 mil. Kč (88,6 mil. EUR). Podpořené projekty byly v 16 případech zaměřeny na inovace v oblasti zpracování masa, v 15 případech na inovace ve zpracování mléčných výrobků, v 10 případech na inovace v oblasti produkce výrobků z ovoce a zeleniny, v 6 případech na oblast krmiv, ve 6 případech na oblast mlýnských a škrobárenských výrobků, ve 2 případech na výrobu vína a v 1 případě na výrobu ostatních potravinářských výrobků.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16.4.1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Příjem žádostí byl pro danou operaci vyhlášen poprvé v roce 2016, kdy byla zaregistrována pouze jediná žádost, v roce 2017 jich bylo zaregistrováno sedm. Ve snaze o zlepšení implementace operace bylo kromě jiných kroků v roce 2018 otevřeno kolo příjmu v jarním i podzimním termínu. V 6. a 7. kole dohromady bylo i přes další úpravy registrováno celkem pět žádostí v celkové hodnotě cca 2,4 mil. Kč (94 tis. EUR). V roce 2019 byla zaregistrována v 8. kole 1 žádost. V roce 2020 byly zaregistrovány v 9. kole čtyři žádosti v celkové výši 2,7 mil. Kč (105 tis. EUR), ale i přes prvotní doporučení byla ve všech čtyřech případech platební agenturou předčasně ukončena administrace.</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31. 12. 2025 bylo celkem zaregistrováno 18 žádostí v celkové částce 15,9 mil. Kč (654 tis. EUR), ke konci roku 2025 nebyla evidována žádná uzavřená Dohoda ani realizovaný projekt, neboť u všech žádostí došlo k ukončení administrace.</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Operace 16.4.1 vykazuje nízkou absorpční kapacitu od začátku implementace, a to navzdory rozsáhlé propagační kampani a snaze zjednodušit pravidla pro žadatele. Celkem bylo ukončeno všech 18 žádostí o podporu z několika různých důvodů. Žadatelé nepředložili povinné přílohy (4) nebo neodstranili zjištěný nedostatek žádosti o podporu (4). Sedm žadatelů nesplnilo některé podmínky nebo preferenční kritéria. Tři žadatelé ukončili žádost o podporu na vlastní žádost.</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14</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rámci implementace opatření 14 Dobré životní podmínky zvířat je zajištěn vyšší komfort zvířat, a zároveň se zvyšuje povědomí chovatelů, ale i spotřebitelů a očekává se větší poptávka veřejnosti po produktech vykazujících vyšší jakost.</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Celková částka vyplacených finančních prostředků z PRV 2014-2022 od začátku programového období do konce roku 2024 na opatření 14 Dobré životní podmínky zvířat činí 5,67 mld. Kč (cca 222 mil. EUR), což znamená, že celková alokovaná částka na opatření 14 (222 mil. EUR) byla k 31. 12. 2025 vyčerpána ze 100 %.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rámci prioritní oblasti 3A celkové platby k 31. 12. 2025 představují cca 12 488 mil. Kč (cca 492 mil. EUR) včetně úhrady závazků ze starého programového období.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3A byl stanoven</w:t>
            </w:r>
            <w:r>
              <w:rPr>
                <w:rFonts w:ascii="Times New Roman" w:eastAsia="Times New Roman" w:hAnsi="Times New Roman" w:cs="Times New Roman"/>
                <w:szCs w:val="24"/>
              </w:rPr>
              <w:t xml:space="preserve"> </w:t>
            </w:r>
            <w:r>
              <w:rPr>
                <w:rFonts w:ascii="Times New Roman" w:eastAsia="Times New Roman" w:hAnsi="Times New Roman" w:cs="Times New Roman"/>
                <w:b/>
                <w:bCs/>
                <w:szCs w:val="24"/>
              </w:rPr>
              <w:t>cílový ukazatel</w:t>
            </w:r>
            <w:r>
              <w:rPr>
                <w:rFonts w:ascii="Times New Roman" w:eastAsia="Times New Roman" w:hAnsi="Times New Roman" w:cs="Times New Roman"/>
                <w:szCs w:val="24"/>
              </w:rPr>
              <w:t xml:space="preserve"> pro rok 2025 </w:t>
            </w:r>
            <w:r>
              <w:rPr>
                <w:rFonts w:ascii="Times New Roman" w:eastAsia="Times New Roman" w:hAnsi="Times New Roman" w:cs="Times New Roman"/>
                <w:b/>
                <w:bCs/>
                <w:szCs w:val="24"/>
              </w:rPr>
              <w:t>T6</w:t>
            </w:r>
            <w:r>
              <w:rPr>
                <w:rFonts w:ascii="Times New Roman" w:eastAsia="Times New Roman" w:hAnsi="Times New Roman" w:cs="Times New Roman"/>
                <w:szCs w:val="24"/>
              </w:rPr>
              <w:t>: podíl zemědělských podniků pobírajících podporu na účast v krátkých dodavatelských řetězcích na 0,01 %. K 31. 12. 2025 bylo dosaženo hodnoty 0,004 %, ukazatel je tedy plněn na 40 %. Pro specifický ukazatel Podíl potravinářských podniků s podporou z PRV na investice do přidávání hodnoty vůči všem potravinářským podnikům byla stanovena cílová hodnota na 4,42 %, přičemž k 31. 12. 2025 bylo dosaženo hodnoty 5,5 %, cílová hodnota již tedy byla dosažena. Specifický cíl pro opatření 14 byl stanoven na 4 800 podpořených žádostí v rámci plateb zajišťujících dobré podmínky zvířat, k 31. 12. 2024 bylo dosaženo počtu 6 888 podpořených žádostí, cílová hodnota byla již tedy dosažena.</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u w:val="single"/>
              </w:rPr>
              <w:t>PRIORITA 4 Obnova, zachování a zlepšení ekosystémů souvisejících se zemědělstvím a lesnictvím</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V rámci Priority 4 jsou implementována následující opatření / operace: </w:t>
            </w:r>
            <w:r>
              <w:rPr>
                <w:rFonts w:ascii="Times New Roman" w:eastAsia="Times New Roman" w:hAnsi="Times New Roman" w:cs="Times New Roman"/>
                <w:b/>
                <w:bCs/>
                <w:szCs w:val="24"/>
              </w:rPr>
              <w:t>opatření 1 Předávání znalostí a informační akce, Opatření 10 Agroenvironmentálně-klimatické opatření (dále jen „AEKO“) (v rámci prioritních oblastí 4A a 4C), Opatření 11 Ekologické zemědělství (v rámci prioritních oblasti 4A, 4B, 4C), Opatření 12 Platby v rámci sítě Natura 2000 a podle rámcové směrnice o vodě/ Operace 12.1.1 Kompenzační platby pro zemědělské oblasti Natura 2000 (v rámci prioritní oblasti 4A), Opatření 13 Platby pro oblasti s přírodními či jinými zvláštními omezeními (v rámci prioritní oblasti 4A) a Opatření 15 Lesnicko-environmentální a klimatické služby a ochrana lesů (v rámci prioritní oblasti 4A)</w:t>
            </w:r>
            <w:r>
              <w:rPr>
                <w:rFonts w:ascii="Times New Roman" w:eastAsia="Times New Roman" w:hAnsi="Times New Roman" w:cs="Times New Roman"/>
                <w:szCs w:val="24"/>
              </w:rPr>
              <w:t xml:space="preserve">, </w:t>
            </w:r>
            <w:r>
              <w:rPr>
                <w:rFonts w:ascii="Times New Roman" w:eastAsia="Times New Roman" w:hAnsi="Times New Roman" w:cs="Times New Roman"/>
                <w:b/>
                <w:bCs/>
                <w:szCs w:val="24"/>
              </w:rPr>
              <w:t>Podopatření 8.3 Podpora předcházení poškozování lesů lesními požáry, přírodními katastrofami. Podopatření 8.4 Podpora obnovy poškozených lesů lesními požáry, přírodními katastrofami a katastrofickými událostmi. Podopatření 8.5 Podpora investic ke zvýšení odolnosti a ekologické hodnoty lesních ekosystémů.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opatření 1 bylo zaregistrováno 156 žádostí o dotaci ve vazbě na prioritní oblast 4 s požadavkem ve výši 61 mil. Kč (cca 2,5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31. 12. 2025 bylo uzavřených 56 Dohod v částce 23,8 mil. Kč. (cca 1 mil. EUR). Realizováno a proplaceno bylo celkem 56 projektů v celkové částce 19,8 mil. Kč (782 tis. EUR).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10</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Celková částka vyplacených prostředků z PRV 2014-2022 v rámci opatření 10 AEKO činí od počátku programového období do konce roku 2025 přibližně 30 mld. Kč (cca 1,16 mld.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Finanční alokace na opatření AEKO (1 160 mil. EUR) byla k 31. 12. 2024 vyčerpána z 100 %.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br/>
            </w:r>
            <w:r>
              <w:rPr>
                <w:rFonts w:ascii="Times New Roman" w:eastAsia="Times New Roman" w:hAnsi="Times New Roman" w:cs="Times New Roman"/>
                <w:b/>
                <w:bCs/>
                <w:szCs w:val="24"/>
              </w:rPr>
              <w:t>Opatření 11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Celková částka vyplacených prostředků z PRV 2014-2022 v rámci opatření 11 EZ činí od počátku programového období do konce roku 2025 přibližně 13 mld. Kč (cca 501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Celková částka alokovaná na opatření 11 Ekologické zemědělství (501 mil. EUR) byla k 31. 12. 2024 vyčerpána ze 100 %.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12</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Pod opatřením </w:t>
            </w:r>
            <w:r>
              <w:rPr>
                <w:rFonts w:ascii="Times New Roman" w:eastAsia="Times New Roman" w:hAnsi="Times New Roman" w:cs="Times New Roman"/>
                <w:b/>
                <w:bCs/>
                <w:szCs w:val="24"/>
              </w:rPr>
              <w:t>12 Platby v rámci sítě Natura 2000 a podle rámcové směrnice o vodě</w:t>
            </w:r>
            <w:r>
              <w:rPr>
                <w:rFonts w:ascii="Times New Roman" w:eastAsia="Times New Roman" w:hAnsi="Times New Roman" w:cs="Times New Roman"/>
                <w:szCs w:val="24"/>
              </w:rPr>
              <w:t xml:space="preserve"> byly v průběhu programového období PRV 2014-2022 kromě nových závazků propláceny také žádosti o dotaci v rámci víceletých závazků opatření dle kódu 224 v období 2007-2013. Jedná se o plochu cca 2,5 tis. ha lesního porostu zařazeného do závazku v průběhu předchozího programového období.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Od začátku programového období do konce roku 2025 bylo z prostředků z PRV 2014-2022 v rámci opatření 12 (vč. starých závazků) vyplaceno celkem 177 mil. Kč (cca 6,9 mil. EUR). Celková alokovaná částka na opatření 12 Platby v rámci sítě Natura 2000 a podle rámcové směrnice o vodě (6,9 mil. EUR) byla k 31. 12. 2025 vyčerpána ze 100 %.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13</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Od začátku programového období do konce roku 2025 bylo z prostředků PRV 2014-2022 na opatření 13 celkem vyplaceno 30 mld. Kč (cca 1 151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Celková alokovaná částka na opatření 13 Platby pro oblasti s přírodními či jinými zvláštními omezeními (1 151 mil. EUR), byla k 31. 12. 2025 vyčerpána ze 100 %.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Opatření 15</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Prostřednictvím opatření </w:t>
            </w:r>
            <w:r>
              <w:rPr>
                <w:rFonts w:ascii="Times New Roman" w:eastAsia="Times New Roman" w:hAnsi="Times New Roman" w:cs="Times New Roman"/>
                <w:b/>
                <w:bCs/>
                <w:szCs w:val="24"/>
              </w:rPr>
              <w:t xml:space="preserve">15 Lesnicko-environmentální a klimatické služby a ochrana lesů </w:t>
            </w:r>
            <w:r>
              <w:rPr>
                <w:rFonts w:ascii="Times New Roman" w:eastAsia="Times New Roman" w:hAnsi="Times New Roman" w:cs="Times New Roman"/>
                <w:szCs w:val="24"/>
              </w:rPr>
              <w:t>byly v programovém období 2014-2022 kromě nových závazků (Ochrana a reprodukce genofondu lesních dřevin, Zachování porostního typu hospodářského souboru) propláceny rovněž žádosti o dotaci v rámci víceletých závazků opatření II.2.3 Lesnicko-environmentální platby (kód 225) z období let 2007-2013. Jedná se o plochu cca 3,5 tis. ha lesního porostu zařazeného do víceletého závazku v průběhu předchozího programového období, na kterou byla vyplácena dotace v průběhu celého období 2014-2022.</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Od začátku programového období do konce roku 2025 bylo celkem na opatření 15 (vč. starých závazků) vyplaceno 336 mil. Kč (cca 13,1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Vzhledem k celkové alokaci (13,2 mil. EUR) představuje uvedený stav implementace v roce 2025 čerpání rozpočtu na úrovni 100 %.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S ohledem na konec programového období PRV 2014-2022 v roce 2025 již neprobíhal příjem projektových lesnických environmentálních podpor. Nicméně v průběhu roku 2025 byly propláceny zrealizované projekty zaregistrované v předchozích letech. U podopatření 8.4 Podpora obnovy poškozených lesů lesními požáry, přírodními katastrofami a katastrofickými událostmi bylo proplaceno 27 projektů ve výši 144,8 Kč (cca 6 mil. EUR). U podopatření 8.5 Podpora investic ke zvýšení odolnosti a ekologické hodnoty lesních ekosystémů bylo proplaceno 15 projektů ve výši cca 5,5 mil. Kč (cca 226 tis.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u w:val="single"/>
              </w:rPr>
              <w:t>PRIORITA 5 Podpora účinného využívání zdrojů a podpora přechodu na nízkouhlíkovou ekonomiku v odvětvích zemědělství, potravinářství a lesnictví, která je odolná vůči klimatu</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i/>
                <w:iCs/>
                <w:szCs w:val="24"/>
              </w:rPr>
              <w:t xml:space="preserve">Prioritní oblast 5C </w:t>
            </w:r>
            <w:r>
              <w:rPr>
                <w:rFonts w:ascii="Times New Roman" w:eastAsia="Times New Roman" w:hAnsi="Times New Roman" w:cs="Times New Roman"/>
                <w:b/>
                <w:bCs/>
                <w:szCs w:val="24"/>
              </w:rPr>
              <w:t>Usnadnění dodávek a využívání energie z obnovitelných zdrojů, vedlejších produktů, odpadů a reziduí a z jiných nepotravinářských surovin pro účely biologického hospodářství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V rámci prioritní oblasti 5C jsou implementována následující opatření/operace: </w:t>
            </w:r>
            <w:r>
              <w:rPr>
                <w:rFonts w:ascii="Times New Roman" w:eastAsia="Times New Roman" w:hAnsi="Times New Roman" w:cs="Times New Roman"/>
                <w:b/>
                <w:bCs/>
                <w:szCs w:val="24"/>
              </w:rPr>
              <w:t xml:space="preserve">opatření 6 Rozvoj zemědělských podniků a podnikatelské činnosti/operace 6.4.1 Investice do nezemědělských činností, záměr c) a 6.4.3 Investice na podporu energie z obnovitelných zdrojů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Podpora je směřována na diverzifikaci činností zemědělských subjektů do nezemědělských činností vedoucí k diverzifikaci příjmů a využívání vedlejších produktů a surovin pro účely biologického hospodářství.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6.4.1 c)</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rámci prioritní oblasti 5C byla v roce 2018 podpora zaměřená na tvarovaná biopaliva přesunuta z operace 6.4.3 do záměru c) operace 6.4.1. V 6. kole v roce 2018 bylo zaregistrováno 7 projektů za 8,5 mil Kč (336 tis. EUR). V roce 2020 v 11. kole byly zaregistrovány další 3 projekty za 5,3 mil. Kč (207 tis. EUR).  V roce 2021 byly ve 13. kole zaregistrovány další 3 projekty v částce 9,6 mil. Kč (389 tis. EUR). V roce 2022 bylo zaregistrováno v rámci 14. a 15. kola dalších 22 projektů ve výši téměř 45 mil. Kč (1,9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31. 12. 2025 byla u 23 projektů ukončena administrace, u 12 projektů podepsána Dohoda za 28,5 mil. Kč (1,2 mil. EUR) a realizováno bylo 12 projektů za 28,3 mil. Kč (cca 1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6.4.3</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Příjem žádostí pro danou operaci byl vyhlášen v roce 2016 v rámci 2. kola a v roce 2017 v rámci 4. kola příjmu žádostí o dotaci, celkem bylo v obou kolech zaregistrováno 33 žádostí o podporu v celkové částce 58 mil. Kč (2,4 mil. EUR), na základě kterých bylo k 31. 12. 2025 uzavřeno 14 Dohod v celkové částce 23 mil. Kč (953 tis. EUR), realizováno a proplaceno bylo celkem 14 projektů o celkové částce 21,9 mil. Kč (852,4 tis. EUR).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5C</w:t>
            </w:r>
            <w:r>
              <w:rPr>
                <w:rFonts w:ascii="Times New Roman" w:eastAsia="Times New Roman" w:hAnsi="Times New Roman" w:cs="Times New Roman"/>
                <w:szCs w:val="24"/>
              </w:rPr>
              <w:t xml:space="preserve"> bylo k 31. 12. 2025 proplaceno celkem 26 projektů v částce 50,2 mil. Kč (cca 2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5C byl stanoven</w:t>
            </w:r>
            <w:r>
              <w:rPr>
                <w:rFonts w:ascii="Times New Roman" w:eastAsia="Times New Roman" w:hAnsi="Times New Roman" w:cs="Times New Roman"/>
                <w:szCs w:val="24"/>
              </w:rPr>
              <w:t xml:space="preserve"> </w:t>
            </w:r>
            <w:r>
              <w:rPr>
                <w:rFonts w:ascii="Times New Roman" w:eastAsia="Times New Roman" w:hAnsi="Times New Roman" w:cs="Times New Roman"/>
                <w:b/>
                <w:bCs/>
                <w:szCs w:val="24"/>
              </w:rPr>
              <w:t>cílový ukazatel</w:t>
            </w:r>
            <w:r>
              <w:rPr>
                <w:rFonts w:ascii="Times New Roman" w:eastAsia="Times New Roman" w:hAnsi="Times New Roman" w:cs="Times New Roman"/>
                <w:szCs w:val="24"/>
              </w:rPr>
              <w:t xml:space="preserve"> pro rok 2025 </w:t>
            </w:r>
            <w:r>
              <w:rPr>
                <w:rFonts w:ascii="Times New Roman" w:eastAsia="Times New Roman" w:hAnsi="Times New Roman" w:cs="Times New Roman"/>
                <w:b/>
                <w:bCs/>
                <w:szCs w:val="24"/>
              </w:rPr>
              <w:t>T16</w:t>
            </w:r>
            <w:r>
              <w:rPr>
                <w:rFonts w:ascii="Times New Roman" w:eastAsia="Times New Roman" w:hAnsi="Times New Roman" w:cs="Times New Roman"/>
                <w:szCs w:val="24"/>
              </w:rPr>
              <w:t>: celkové investice do výroby energie z obnovitelných zdrojů na 6 572 805 EUR, přičemž k 31. 12. 2025 je ukazatel plněn na 71 % kvůli skutečnosti, že k tomuto datu je evidováno 26 realizovaných a proplacených projektů s celkovými investicemi 4 635 450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i/>
                <w:iCs/>
                <w:szCs w:val="24"/>
              </w:rPr>
              <w:t xml:space="preserve">Prioritní oblast 5E </w:t>
            </w:r>
            <w:r>
              <w:rPr>
                <w:rFonts w:ascii="Times New Roman" w:eastAsia="Times New Roman" w:hAnsi="Times New Roman" w:cs="Times New Roman"/>
                <w:b/>
                <w:bCs/>
                <w:szCs w:val="24"/>
              </w:rPr>
              <w:t>Podpora ukládání a pohlcování uhlíku v zemědělství a lesnictví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V rámci prioritní oblasti 5E jsou implementována následující opatření/operace: </w:t>
            </w:r>
            <w:r>
              <w:rPr>
                <w:rFonts w:ascii="Times New Roman" w:eastAsia="Times New Roman" w:hAnsi="Times New Roman" w:cs="Times New Roman"/>
                <w:b/>
                <w:bCs/>
                <w:szCs w:val="24"/>
              </w:rPr>
              <w:t xml:space="preserve">opatření 1 Předávání znalostí a informační akce a opatření 8 Investice do rozvoje lesních oblastí a zlepšování životaschopnosti lesů/ operace 8.1.1 Zalesňování a zakládání lesů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Podpora je směřována na zmírnění klimatických změn zvýšením schopnosti absorpce atmosférického CO2, posílení biodiverzity krajiny rozšířením zalesněných ploch, zlepšení ekologické rovnováhy krajiny, stabilizace hydrologických a klimatických podmínek v krajině, ochrana půdy a ochrana vod.</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V </w:t>
            </w:r>
            <w:r>
              <w:rPr>
                <w:rFonts w:ascii="Times New Roman" w:eastAsia="Times New Roman" w:hAnsi="Times New Roman" w:cs="Times New Roman"/>
                <w:b/>
                <w:bCs/>
                <w:szCs w:val="24"/>
              </w:rPr>
              <w:t>opatření 1</w:t>
            </w:r>
            <w:r>
              <w:rPr>
                <w:rFonts w:ascii="Times New Roman" w:eastAsia="Times New Roman" w:hAnsi="Times New Roman" w:cs="Times New Roman"/>
                <w:szCs w:val="24"/>
              </w:rPr>
              <w:t xml:space="preserve"> bylo k 31. 12. 2025 zaregistrováno 16 projektů v částce 5 mil. Kč (198,5 tis. EUR). Z důvodu ukončení administrací u všech žádostí nebyla k 31. 12. 2025 uzavřena žádná Dohoda ani proplacen žádný projekt.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8.1.1</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Od začátku programového období do konce roku 2025 bylo celkem v rámci operace 8.1.1 vyplaceno 236 mil. Kč (cca 9,1 mil. EUR) na celkovou výměru 215 ha.</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Vzhledem k celkové alokaci (9,1 mil. EUR) odpovídá uvedená míra čerpání finančních prostředků 100 % celkové alokace.</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rámci prioritní oblasti 5E bylo k 31. 12. 2025 proplaceno celkem 236,4 mil. Kč (9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u w:val="single"/>
              </w:rPr>
              <w:t>PRIORITA 6 Podpora sociálního začleňování, snižování chudoby a hospodářského rozvoje ve venkovských oblastech</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i/>
                <w:iCs/>
                <w:szCs w:val="24"/>
              </w:rPr>
              <w:t xml:space="preserve">Prioritní oblast 6A </w:t>
            </w:r>
            <w:r>
              <w:rPr>
                <w:rFonts w:ascii="Times New Roman" w:eastAsia="Times New Roman" w:hAnsi="Times New Roman" w:cs="Times New Roman"/>
                <w:b/>
                <w:bCs/>
                <w:szCs w:val="24"/>
              </w:rPr>
              <w:t>Usnadnění diverzifikace, vytváření malých podniků a pracovních míst</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V rámci prioritní oblasti 6A jsou implementována následující opatření/operace: </w:t>
            </w:r>
            <w:r>
              <w:rPr>
                <w:rFonts w:ascii="Times New Roman" w:eastAsia="Times New Roman" w:hAnsi="Times New Roman" w:cs="Times New Roman"/>
                <w:b/>
                <w:bCs/>
                <w:szCs w:val="24"/>
              </w:rPr>
              <w:t>opatření 6 Rozvoj zemědělských podniků a podnikatelské činnosti/operace 6.4.1 Investice do nezemědělských činností a operace 6.4.2 Podpora agroturistiky.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Podpora je směřována na založení nebo rozvoj nezemědělských činností vedoucí k diverzifikaci příjmů zemědělských podnikatelů, vytváření nových pracovních míst a posílení ekonomického potenciálu ve venkovských oblastech.</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6.4.1 záměr a) a b)</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Příjem žádostí byl pro danou operaci vyhlášen v rámci 2., 4., 6., 8., 11. a 13. kola příjmu. K 31. 12. 2025 bylo zaregistrováno 2 329 žádostí v celkové částce 2 698 mil. Kč (111,3 mil. EUR). K 31. 12. 2025 bylo uzavřeno 1 319 Dohod v celkové částce 1 494 mil. Kč (61,6 mil. EUR), realizováno bylo 1 319 projektů za 1 472 mil. Kč (58,4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Z realizovaných projektů byla ve více než polovině případů žadatelem fyzická osoba (celkem 732 fyzických osob a 522 osob právnických), přičemž výrazně převyšovali žadatelé muži (640) nad ženami (92) a žadatelů do 40 let bylo 361 (49 %). Z hlediska typu ekonomických činností bylo 71 % vyplacených finančních prostředků směřováno na specializované stavební činnosti, 15 % na zpracování dřeva, 6 % finančních prostředků podpořilo maloobchod a opravy motorových vozidel, 5 % opravy a instalace strojů a zařízení a 3 % výrobu kovových konstrukcí a kovodělných výrobků.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Operace 6.4.2</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Příjem žádostí byl pro danou operaci vyhlášen v rámci 2., 4., 6., 8. a 11. kola příjmu. Zaregistrováno bylo 602 žádostí v celkové částce 1 444 mil. Kč (59,6 mil. EUR). K 31. 12. 2025 bylo uzavřeno 176 Dohod v celkové částce 423 mil. Kč (17,5 mil. EUR). Realizováno a proplaceno k 31. 12. 2025 bylo 176 projektů za 411 mil. Kč (cca 16,1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 xml:space="preserve">V rámci prioritní oblasti 6A </w:t>
            </w:r>
            <w:r>
              <w:rPr>
                <w:rFonts w:ascii="Times New Roman" w:eastAsia="Times New Roman" w:hAnsi="Times New Roman" w:cs="Times New Roman"/>
                <w:szCs w:val="24"/>
              </w:rPr>
              <w:t>celkové platby k 31. 12. 2025 dosáhly 1 951 mil. Kč (cca 77 mil. EUR) včetně závazků ze starého programového období ve výši 67,9 mil. Kč (2,5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6A byl stanoven</w:t>
            </w:r>
            <w:r>
              <w:rPr>
                <w:rFonts w:ascii="Times New Roman" w:eastAsia="Times New Roman" w:hAnsi="Times New Roman" w:cs="Times New Roman"/>
                <w:szCs w:val="24"/>
              </w:rPr>
              <w:t xml:space="preserve"> </w:t>
            </w:r>
            <w:r>
              <w:rPr>
                <w:rFonts w:ascii="Times New Roman" w:eastAsia="Times New Roman" w:hAnsi="Times New Roman" w:cs="Times New Roman"/>
                <w:b/>
                <w:bCs/>
                <w:szCs w:val="24"/>
              </w:rPr>
              <w:t>cílový ukazatel</w:t>
            </w:r>
            <w:r>
              <w:rPr>
                <w:rFonts w:ascii="Times New Roman" w:eastAsia="Times New Roman" w:hAnsi="Times New Roman" w:cs="Times New Roman"/>
                <w:szCs w:val="24"/>
              </w:rPr>
              <w:t xml:space="preserve"> pro rok 2025 </w:t>
            </w:r>
            <w:r>
              <w:rPr>
                <w:rFonts w:ascii="Times New Roman" w:eastAsia="Times New Roman" w:hAnsi="Times New Roman" w:cs="Times New Roman"/>
                <w:b/>
                <w:bCs/>
                <w:szCs w:val="24"/>
              </w:rPr>
              <w:t>T20</w:t>
            </w:r>
            <w:r>
              <w:rPr>
                <w:rFonts w:ascii="Times New Roman" w:eastAsia="Times New Roman" w:hAnsi="Times New Roman" w:cs="Times New Roman"/>
                <w:szCs w:val="24"/>
              </w:rPr>
              <w:t>: pracovní místa vytvořená v rámci podpořených projektů na 657 pracovních míst, přičemž k 31. 12. 2025 bylo vytvořeno 644 pracovních míst (98 % cílové hodnoty). 429 pracovních pozic obsadili muži, 215 pracovních pozic pak obsadily ženy.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i/>
                <w:iCs/>
                <w:szCs w:val="24"/>
              </w:rPr>
              <w:t xml:space="preserve">Prioritní oblast 6B </w:t>
            </w:r>
            <w:r>
              <w:rPr>
                <w:rFonts w:ascii="Times New Roman" w:eastAsia="Times New Roman" w:hAnsi="Times New Roman" w:cs="Times New Roman"/>
                <w:b/>
                <w:bCs/>
                <w:szCs w:val="24"/>
              </w:rPr>
              <w:t>Posílení místního rozvoje ve venkovských oblastech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V rámci prioritní oblasti 6B jsou implementována následující opatření/operace: </w:t>
            </w:r>
            <w:r>
              <w:rPr>
                <w:rFonts w:ascii="Times New Roman" w:eastAsia="Times New Roman" w:hAnsi="Times New Roman" w:cs="Times New Roman"/>
                <w:b/>
                <w:bCs/>
                <w:szCs w:val="24"/>
              </w:rPr>
              <w:t>opatření 19 LEADER/operace 19.2.1 Podpora provádění operací v rámci strategie komunitně vedeného místního rozvoje a operace 19.3.1 Příprava a provádění činností spolupráce místní akční skupiny.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 xml:space="preserve">Operace 19.2.1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rámci úspěšně schválených strategií komunitně vedeného místního rozvoje (SCLLD) bylo k 31. 12. 2025 vyhlášeno celkem 1 310 výzev na předkládání projektů, které vyhlásily Místní akční skupiny (MAS), přičemž v roce 2025 neproběhly v rámci PRV žádné výzvy.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Prostřednictvím MAS bylo celkem podáno 23 395 žádostí v celkové částce 8 934 mil. Kč (369 mil. EUR). K 31. 12. 2025 bylo uzavřeno 15 405 Dohod v celkové částce 5 579 mil. Kč (230 mil. EUR), realizováno a proplaceno bylo 15 404 projektů a výše podpory v rámci operace dosáhla 5 440 mil. Kč (216,7 mil.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rámci SCLLD bylo nejvíce finančních prostředků ve výši 2 059 mil. Kč (81,4 mil. EUR) cíleno na prioritní oblast 2A (Zvýšení výkonnosti, usnadnění restrukturalizace a modernizace) což činí 38 % z celkových finančních výdajů. Další převažující PO, ke které projekty LEADER přispěly, je 6B (Občanská vybavenost) ve výši 1 651 mil. Kč (67 mil. EUR), tj. 31 %, dále 6A (Diverzifikace činností, podpora malých podniků, pracovních míst) ve výši 1 084 mil. Kč (42,8 mil. EUR), což činí 20 %, 2C (Zlepšení ekonomické výkonnosti lesnictví) ve výši 238,4 mil. Kč (9,4 mil. EUR), tj. 4 %, a 3A (Zlepšení konkurenceschopnosti zpracovatelů zemědělských produktů) ve výši 229,6 mil. Kč (9 mil. EUR), tj. 4 %.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prioritní oblasti 2A přispělo celkem 5 457 projektů, 4 926 projektů k PO 6B, k PO 6A přispělo 3 514 projektů, 679 projektů k PO 3A a 564 projektů k PO 2C. Podíl jednotlivých PO podle počtu proplacených projektů je znázorněn ve grafu č. 6.</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 xml:space="preserve">Operace 19.3.1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31. 12. 2025 bylo zaregistrováno 23 žádostí v celkové částce cca 23,4 mil. Kč (963 tis. EUR). K 31. 12. 2025 bylo podepsaných 16 Dohod. Celkový objem prostředků v uzavřených  dohodách činil 17,5 mil. Kč (722 tis. EUR). Podávání žádostí o dotaci pro operaci 19.3.1 bylo ukončeno dne 31. 10. 2024.</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31.12.2025 bylo proplaceno 16 projektů ve výši 16,9 mil. Kč (672 tis. EUR).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V rámci prioritní oblasti 6B celkové platby</w:t>
            </w:r>
            <w:r>
              <w:rPr>
                <w:rFonts w:ascii="Times New Roman" w:eastAsia="Times New Roman" w:hAnsi="Times New Roman" w:cs="Times New Roman"/>
                <w:szCs w:val="24"/>
              </w:rPr>
              <w:t xml:space="preserve"> k 31. 12. 2025 dosáhly cca 5 459 mil. Kč (217,5 mil. EUR) z toho 1,9 mil. Kč (74,8 tis. EUR) za staré závazky.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Cílová hodnota ukazatele T21</w:t>
            </w:r>
            <w:r>
              <w:rPr>
                <w:rFonts w:ascii="Times New Roman" w:eastAsia="Times New Roman" w:hAnsi="Times New Roman" w:cs="Times New Roman"/>
                <w:szCs w:val="24"/>
              </w:rPr>
              <w:t>: podíl venkovské populace pokryté strategiemi místního rozvoje byla stanovena na 66,51 %. K 31. 12. 2025 bylo dosaženo hodnoty 79,42 %. Cílová hodnota tedy byla dosažena.</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Pro prioritní oblast 6B</w:t>
            </w:r>
            <w:r>
              <w:rPr>
                <w:rFonts w:ascii="Times New Roman" w:eastAsia="Times New Roman" w:hAnsi="Times New Roman" w:cs="Times New Roman"/>
                <w:szCs w:val="24"/>
              </w:rPr>
              <w:t xml:space="preserve"> byl stanoven cílový ukazatel  </w:t>
            </w:r>
            <w:r>
              <w:rPr>
                <w:rFonts w:ascii="Times New Roman" w:eastAsia="Times New Roman" w:hAnsi="Times New Roman" w:cs="Times New Roman"/>
                <w:b/>
                <w:bCs/>
                <w:szCs w:val="24"/>
              </w:rPr>
              <w:t>T23:</w:t>
            </w:r>
            <w:r>
              <w:rPr>
                <w:rFonts w:ascii="Times New Roman" w:eastAsia="Times New Roman" w:hAnsi="Times New Roman" w:cs="Times New Roman"/>
                <w:szCs w:val="24"/>
              </w:rPr>
              <w:t xml:space="preserve"> pracovní místa vytvořená v rámci podpořených projektů (Leader) na 750 pracovních míst, přičemž k 31. 12. 2025 bylo vytvořeno celkem 1 408 nových pracovních míst. Cílová hodnota tedy byla dosažena.</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Pro prioritní oblast 6B</w:t>
            </w:r>
            <w:r>
              <w:rPr>
                <w:rFonts w:ascii="Times New Roman" w:eastAsia="Times New Roman" w:hAnsi="Times New Roman" w:cs="Times New Roman"/>
                <w:szCs w:val="24"/>
              </w:rPr>
              <w:t xml:space="preserve"> byl dodatečně v rámci 12. modifikace stanoven cílový ukazatel </w:t>
            </w:r>
            <w:r>
              <w:rPr>
                <w:rFonts w:ascii="Times New Roman" w:eastAsia="Times New Roman" w:hAnsi="Times New Roman" w:cs="Times New Roman"/>
                <w:b/>
                <w:bCs/>
                <w:szCs w:val="24"/>
              </w:rPr>
              <w:t>T22</w:t>
            </w:r>
            <w:r>
              <w:rPr>
                <w:rFonts w:ascii="Times New Roman" w:eastAsia="Times New Roman" w:hAnsi="Times New Roman" w:cs="Times New Roman"/>
                <w:szCs w:val="24"/>
              </w:rPr>
              <w:t>: podíl venkovského obyvatelstva majícího prospěch z lepších služeb/infrastruktury (prioritní oblast 6B) na 30,56 %. K 31. 12. 2025 bylo dosaženo 71, 44 %. Cílová hodnota tedy byla dosažena.</w:t>
            </w:r>
          </w:p>
          <w:p>
            <w:pPr>
              <w:pStyle w:val="BodyText"/>
              <w:jc w:val="both"/>
            </w:pPr>
          </w:p>
          <w:p>
            <w:pPr>
              <w:pStyle w:val="BodyText3"/>
              <w:jc w:val="center"/>
            </w:pPr>
            <w:r>
              <w:drawing>
                <wp:inline>
                  <wp:extent cx="5867400" cy="4057650"/>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0"/>
                          <a:stretch>
                            <a:fillRect/>
                          </a:stretch>
                        </pic:blipFill>
                        <pic:spPr>
                          <a:xfrm>
                            <a:off x="0" y="0"/>
                            <a:ext cx="5867400" cy="4057650"/>
                          </a:xfrm>
                          <a:prstGeom prst="rect">
                            <a:avLst/>
                          </a:prstGeom>
                        </pic:spPr>
                      </pic:pic>
                    </a:graphicData>
                  </a:graphic>
                </wp:inline>
              </w:drawing>
            </w:r>
          </w:p>
          <w:p>
            <w:pPr>
              <w:pStyle w:val="Footer"/>
              <w:jc w:val="center"/>
            </w:pPr>
            <w:r>
              <w:t>graf č. 1 - Operace 4.1.1  Porovnání fyzických a právnických osob</w:t>
            </w:r>
          </w:p>
          <w:p>
            <w:pPr>
              <w:pStyle w:val="Footer"/>
              <w:jc w:val="center"/>
            </w:pPr>
            <w:r>
              <w:drawing>
                <wp:inline>
                  <wp:extent cx="6581775" cy="4257675"/>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11"/>
                          <a:stretch>
                            <a:fillRect/>
                          </a:stretch>
                        </pic:blipFill>
                        <pic:spPr>
                          <a:xfrm>
                            <a:off x="0" y="0"/>
                            <a:ext cx="6581775" cy="4257675"/>
                          </a:xfrm>
                          <a:prstGeom prst="rect">
                            <a:avLst/>
                          </a:prstGeom>
                        </pic:spPr>
                      </pic:pic>
                    </a:graphicData>
                  </a:graphic>
                </wp:inline>
              </w:drawing>
            </w:r>
          </w:p>
          <w:p>
            <w:pPr>
              <w:pStyle w:val="Footer"/>
              <w:jc w:val="center"/>
            </w:pPr>
            <w:r>
              <w:t>graf č. 2 - Operace 4.1.1 Rozložení investic pro oblasti s přírodním omezeními (ANC) a mimo ně</w:t>
            </w:r>
          </w:p>
          <w:p>
            <w:pPr>
              <w:pStyle w:val="Footer"/>
              <w:jc w:val="center"/>
            </w:pPr>
            <w:r>
              <w:drawing>
                <wp:inline>
                  <wp:extent cx="6400800" cy="4810125"/>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12"/>
                          <a:stretch>
                            <a:fillRect/>
                          </a:stretch>
                        </pic:blipFill>
                        <pic:spPr>
                          <a:xfrm>
                            <a:off x="0" y="0"/>
                            <a:ext cx="6400800" cy="4810125"/>
                          </a:xfrm>
                          <a:prstGeom prst="rect">
                            <a:avLst/>
                          </a:prstGeom>
                        </pic:spPr>
                      </pic:pic>
                    </a:graphicData>
                  </a:graphic>
                </wp:inline>
              </w:drawing>
            </w:r>
          </w:p>
          <w:p>
            <w:pPr>
              <w:pStyle w:val="Footer"/>
              <w:jc w:val="center"/>
            </w:pPr>
            <w:r>
              <w:t>graf č. 3 - Operace 4.1.1 Objem dotace dle výrobního zaměření podniku</w:t>
            </w:r>
          </w:p>
          <w:p>
            <w:pPr>
              <w:pStyle w:val="Footer"/>
              <w:jc w:val="left"/>
            </w:pPr>
            <w:r>
              <w:drawing>
                <wp:inline>
                  <wp:extent cx="6629400" cy="4662025"/>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13"/>
                          <a:stretch>
                            <a:fillRect/>
                          </a:stretch>
                        </pic:blipFill>
                        <pic:spPr>
                          <a:xfrm>
                            <a:off x="0" y="0"/>
                            <a:ext cx="6629400" cy="4662025"/>
                          </a:xfrm>
                          <a:prstGeom prst="rect">
                            <a:avLst/>
                          </a:prstGeom>
                        </pic:spPr>
                      </pic:pic>
                    </a:graphicData>
                  </a:graphic>
                </wp:inline>
              </w:drawing>
            </w:r>
          </w:p>
          <w:p>
            <w:pPr>
              <w:pStyle w:val="Footer"/>
              <w:jc w:val="center"/>
            </w:pPr>
            <w:r>
              <w:t>graf č. 4 - Operace 6.1.1 Objem dotace dle výrobního zaměření podniku</w:t>
            </w:r>
          </w:p>
          <w:p>
            <w:pPr>
              <w:pStyle w:val="Footer"/>
              <w:jc w:val="left"/>
            </w:pPr>
            <w:r>
              <w:drawing>
                <wp:inline>
                  <wp:extent cx="6629400" cy="4358602"/>
                  <wp:docPr id="1000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14"/>
                          <a:stretch>
                            <a:fillRect/>
                          </a:stretch>
                        </pic:blipFill>
                        <pic:spPr>
                          <a:xfrm>
                            <a:off x="0" y="0"/>
                            <a:ext cx="6629400" cy="4358602"/>
                          </a:xfrm>
                          <a:prstGeom prst="rect">
                            <a:avLst/>
                          </a:prstGeom>
                        </pic:spPr>
                      </pic:pic>
                    </a:graphicData>
                  </a:graphic>
                </wp:inline>
              </w:drawing>
            </w:r>
          </w:p>
          <w:p>
            <w:pPr>
              <w:pStyle w:val="Footer"/>
              <w:jc w:val="center"/>
            </w:pPr>
            <w:r>
              <w:t>graf č. 5 - Operace 4.2.1 Objem dotace dle výrobního zaměření podniku</w:t>
            </w:r>
          </w:p>
          <w:p>
            <w:pPr>
              <w:pStyle w:val="Footer"/>
              <w:jc w:val="center"/>
            </w:pPr>
            <w:r>
              <w:drawing>
                <wp:inline>
                  <wp:extent cx="5753100" cy="4562475"/>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15"/>
                          <a:stretch>
                            <a:fillRect/>
                          </a:stretch>
                        </pic:blipFill>
                        <pic:spPr>
                          <a:xfrm>
                            <a:off x="0" y="0"/>
                            <a:ext cx="5753100" cy="4562475"/>
                          </a:xfrm>
                          <a:prstGeom prst="rect">
                            <a:avLst/>
                          </a:prstGeom>
                        </pic:spPr>
                      </pic:pic>
                    </a:graphicData>
                  </a:graphic>
                </wp:inline>
              </w:drawing>
            </w:r>
          </w:p>
          <w:p>
            <w:pPr>
              <w:pStyle w:val="Footer"/>
              <w:jc w:val="center"/>
            </w:pPr>
            <w:r>
              <w:t xml:space="preserve">graf č. 6 - Počet projektů LEADER podle jednotlivých prioritních oblastí </w:t>
            </w:r>
          </w:p>
          <w:p>
            <w:pPr>
              <w:pStyle w:val="Footer"/>
              <w:jc w:val="center"/>
            </w:pPr>
          </w:p>
        </w:tc>
      </w:tr>
    </w:tbl>
    <w:p>
      <w:pPr>
        <w:pStyle w:val="Heading2"/>
      </w:pPr>
      <w:bookmarkStart w:id="5" w:name="_Toc256000005"/>
      <w:r>
        <w:t>Klíčové informace týkající se dosažených výsledků s ohledem na milníky stanovené ve výkonnostním rámci na základě tabulky F</w:t>
      </w:r>
      <w:bookmarkEnd w:id="5"/>
    </w:p>
    <w:p>
      <w:r>
        <w:t>Tento oddíl se vztahuje pouze na výroční zprávu/zprávy o provádění za rok(y) 2016, 2017, 2018</w:t>
      </w:r>
    </w:p>
    <w:p>
      <w:pPr>
        <w:sectPr>
          <w:pgMar w:top="900" w:right="900" w:bottom="900" w:left="900" w:header="720" w:footer="720"/>
          <w:cols w:space="720"/>
        </w:sectPr>
      </w:pPr>
    </w:p>
    <w:p>
      <w:pPr>
        <w:pStyle w:val="Heading2"/>
      </w:pPr>
      <w:bookmarkStart w:id="6" w:name="_Toc256000006"/>
      <w:r>
        <w:t>Jiný prvek specifický pro program rozvoje venkova [nepovinné]</w:t>
      </w:r>
      <w:bookmarkEnd w:id="6"/>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656"/>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vAlign w:val="center"/>
          </w:tcPr>
          <w:p>
            <w:pPr>
              <w:spacing w:before="0" w:after="240"/>
              <w:jc w:val="left"/>
              <w:rPr>
                <w:rFonts w:ascii="Times New Roman" w:eastAsia="Times New Roman" w:hAnsi="Times New Roman" w:cs="Times New Roman"/>
                <w:szCs w:val="24"/>
              </w:rPr>
            </w:pPr>
            <w:r>
              <w:rPr>
                <w:rFonts w:ascii="Times New Roman" w:eastAsia="Times New Roman" w:hAnsi="Times New Roman" w:cs="Times New Roman"/>
                <w:szCs w:val="24"/>
              </w:rPr>
              <w:t>není relevantní</w:t>
            </w:r>
          </w:p>
          <w:p>
            <w:pPr>
              <w:pStyle w:val="BodyText"/>
              <w:jc w:val="both"/>
            </w:pPr>
          </w:p>
        </w:tc>
      </w:tr>
    </w:tbl>
    <w:p/>
    <w:p w:rsidR="000C0F34" w:rsidP="000C0F34"/>
    <w:p w:rsidR="000C0F34" w:rsidP="000C0F34">
      <w:pPr>
        <w:pStyle w:val="Heading2"/>
        <w:tabs>
          <w:tab w:val="clear" w:pos="0"/>
          <w:tab w:val="num" w:pos="708"/>
        </w:tabs>
        <w:ind w:left="708" w:hanging="850"/>
      </w:pPr>
      <w:bookmarkStart w:id="7" w:name="_Toc256000007"/>
      <w:r>
        <w:rPr>
          <w:noProof/>
        </w:rPr>
        <w:t>Případně přínos k makroregionálním strategiím a strategiím pro pobřežní oblasti</w:t>
      </w:r>
      <w:bookmarkEnd w:id="7"/>
    </w:p>
    <w:p w:rsidR="000C0F34" w:rsidP="000C0F34">
      <w:pPr>
        <w:pStyle w:val="Text1"/>
        <w:ind w:left="0"/>
      </w:pPr>
    </w:p>
    <w:p w:rsidR="000C0F34" w:rsidP="000C0F34">
      <w:pPr>
        <w:pStyle w:val="Text1"/>
        <w:ind w:left="0"/>
      </w:pPr>
      <w:r>
        <w:rPr>
          <w:noProof/>
        </w:rPr>
        <w:t>Jak stanoví nařízení (EU) č. 1303/2013, čl. 27 odst. 3 týkající se obsahu programů, čl. 96 odst. 3 písm. e) týkající se obsahu, přijetí a změny operačních programů v rámci cíle Investice pro růst a zaměstnanost, čl. 111 odst. 3, odst. 4 písm. d) týkající se prováděcí zprávy pro cíl Investice pro růst a zaměstnanost a příloha 1 oddíl 7.3 týkající se příspěvku hlavních programů k makroregionálním strategiím a strategiím pro přímořské oblasti, má tento program přínos ke strategiím pro makroregiony a/nebo přímořské oblasti:</w:t>
      </w:r>
    </w:p>
    <w:p w:rsidR="000C0F34" w:rsidP="000C0F34">
      <w:pPr>
        <w:pStyle w:val="Text1"/>
        <w:ind w:left="0"/>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42"/>
      </w:tblGrid>
      <w:tr w:rsidTr="00344C66">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shd w:val="clear" w:color="auto" w:fill="auto"/>
          </w:tcPr>
          <w:p w:rsidR="000C0F34" w:rsidP="00344C66">
            <w:pPr>
              <w:pStyle w:val="Text1"/>
              <w:ind w:left="0"/>
            </w:pPr>
          </w:p>
        </w:tc>
      </w:tr>
    </w:tbl>
    <w:p w:rsidR="000C0F34" w:rsidP="000C0F34">
      <w:pPr>
        <w:pStyle w:val="Text1"/>
        <w:ind w:left="0"/>
      </w:pPr>
    </w:p>
    <w:p w:rsidR="000C0F34" w:rsidP="000C0F34">
      <w:pPr>
        <w:autoSpaceDE w:val="0"/>
        <w:autoSpaceDN w:val="0"/>
        <w:adjustRightInd w:val="0"/>
        <w:spacing w:before="0" w:after="0"/>
      </w:pPr>
      <w:r>
        <w:rPr>
          <w:rFonts w:ascii="Wingdings" w:hAnsi="Wingdings" w:cs="Wingdings"/>
          <w:sz w:val="26"/>
          <w:szCs w:val="26"/>
          <w:lang w:val="en-US"/>
        </w:rPr>
        <w:sym w:font="Wingdings" w:char="F0A8"/>
      </w:r>
      <w:r>
        <w:t xml:space="preserve">  </w:t>
      </w:r>
      <w:r>
        <w:rPr>
          <w:noProof/>
        </w:rPr>
        <w:t>Strategie EU pro region Baltského moře (EUSBSR)</w:t>
      </w:r>
    </w:p>
    <w:p w:rsidR="000C0F34" w:rsidP="000C0F34">
      <w:r>
        <w:rPr>
          <w:rFonts w:ascii="Wingdings" w:hAnsi="Wingdings" w:cs="Wingdings"/>
          <w:sz w:val="26"/>
          <w:szCs w:val="26"/>
          <w:lang w:val="en-US"/>
        </w:rPr>
        <w:sym w:font="Wingdings" w:char="F0A8"/>
      </w:r>
      <w:r>
        <w:t xml:space="preserve">  </w:t>
      </w:r>
      <w:r>
        <w:rPr>
          <w:noProof/>
        </w:rPr>
        <w:t>Strategie EU pro Podunají (EUSDR)</w:t>
      </w:r>
    </w:p>
    <w:p w:rsidR="000C0F34" w:rsidP="000C0F34">
      <w:pPr>
        <w:pStyle w:val="Text1"/>
        <w:ind w:left="0"/>
      </w:pPr>
      <w:r>
        <w:rPr>
          <w:rFonts w:ascii="Wingdings" w:hAnsi="Wingdings" w:cs="Wingdings"/>
          <w:sz w:val="26"/>
          <w:szCs w:val="26"/>
          <w:lang w:val="en-US"/>
        </w:rPr>
        <w:sym w:font="Wingdings" w:char="F0A8"/>
      </w:r>
      <w:r>
        <w:t xml:space="preserve">  </w:t>
      </w:r>
      <w:r>
        <w:rPr>
          <w:noProof/>
        </w:rPr>
        <w:t>Strategie EU pro jadransko-jónský region (EUSAIR)</w:t>
      </w:r>
    </w:p>
    <w:p w:rsidR="000C0F34" w:rsidP="000C0F34">
      <w:pPr>
        <w:pStyle w:val="Text1"/>
        <w:ind w:left="0"/>
      </w:pPr>
      <w:r>
        <w:rPr>
          <w:rFonts w:ascii="Wingdings" w:hAnsi="Wingdings" w:cs="Wingdings"/>
          <w:sz w:val="26"/>
          <w:szCs w:val="26"/>
          <w:lang w:val="en-US"/>
        </w:rPr>
        <w:sym w:font="Wingdings" w:char="F0A8"/>
      </w:r>
      <w:r>
        <w:t xml:space="preserve">  </w:t>
      </w:r>
      <w:r>
        <w:rPr>
          <w:noProof/>
        </w:rPr>
        <w:t>Strategie EU pro alpský region (EUSALP)</w:t>
      </w:r>
    </w:p>
    <w:p w:rsidR="000C0F34" w:rsidRPr="00F70AEC" w:rsidP="000C0F34">
      <w:pPr>
        <w:pStyle w:val="Text1"/>
        <w:ind w:left="0"/>
        <w:rPr>
          <w:sz w:val="8"/>
          <w:szCs w:val="8"/>
        </w:rPr>
      </w:pPr>
      <w:r>
        <w:rPr>
          <w:rFonts w:ascii="Wingdings" w:hAnsi="Wingdings" w:cs="Wingdings"/>
          <w:sz w:val="26"/>
          <w:szCs w:val="26"/>
          <w:lang w:val="en-US"/>
        </w:rPr>
        <w:sym w:font="Wingdings" w:char="F0A8"/>
      </w:r>
      <w:r>
        <w:t xml:space="preserve">  </w:t>
      </w:r>
      <w:r>
        <w:rPr>
          <w:noProof/>
        </w:rPr>
        <w:t>Strategie pro přímořské oblasti Atlantského oceánu (ATLSBS)</w:t>
      </w:r>
    </w:p>
    <w:p w:rsidR="000C0F34" w:rsidRPr="00F70AEC" w:rsidP="000C0F34">
      <w:pPr>
        <w:rPr>
          <w:sz w:val="8"/>
          <w:szCs w:val="8"/>
        </w:rPr>
      </w:pPr>
      <w:r>
        <w:br w:type="page"/>
      </w:r>
    </w:p>
    <w:p w:rsidR="000C0F34" w:rsidRPr="00E97D08" w:rsidP="000C0F34">
      <w:r>
        <w:br w:type="page"/>
      </w:r>
    </w:p>
    <w:p w:rsidR="00D522C8" w:rsidRPr="000C0F34" w:rsidP="000C0F34">
      <w:pPr>
        <w:sectPr>
          <w:pgMar w:top="900" w:right="900" w:bottom="900" w:left="900" w:header="720" w:footer="720"/>
          <w:cols w:space="720"/>
        </w:sectPr>
      </w:pPr>
    </w:p>
    <w:p>
      <w:pPr>
        <w:pStyle w:val="Heading2"/>
      </w:pPr>
      <w:bookmarkStart w:id="8" w:name="_Toc256000008"/>
      <w:r>
        <w:t>Kurz měny použitý pro přepočet částek zobrazených ve výroční zprávě o provádění (země mimo eurozónu)</w:t>
      </w:r>
      <w:bookmarkEnd w:id="8"/>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656"/>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vAlign w:val="center"/>
          </w:tcPr>
          <w:p>
            <w:pPr>
              <w:spacing w:before="0" w:after="240"/>
              <w:jc w:val="left"/>
              <w:rPr>
                <w:rFonts w:ascii="Times New Roman" w:eastAsia="Times New Roman" w:hAnsi="Times New Roman" w:cs="Times New Roman"/>
                <w:szCs w:val="24"/>
              </w:rPr>
            </w:pPr>
            <w:r>
              <w:rPr>
                <w:rFonts w:ascii="Times New Roman" w:eastAsia="Times New Roman" w:hAnsi="Times New Roman" w:cs="Times New Roman"/>
                <w:szCs w:val="24"/>
              </w:rPr>
              <w:t>24,237 Kč/EUR</w:t>
            </w:r>
          </w:p>
          <w:p>
            <w:pPr>
              <w:pStyle w:val="BodyText"/>
              <w:jc w:val="both"/>
            </w:pPr>
          </w:p>
        </w:tc>
      </w:tr>
    </w:tbl>
    <w:p>
      <w:pPr>
        <w:sectPr>
          <w:pgMar w:top="900" w:right="900" w:bottom="900" w:left="900" w:header="720" w:footer="720"/>
          <w:cols w:space="720"/>
        </w:sectPr>
      </w:pPr>
    </w:p>
    <w:p>
      <w:pPr>
        <w:pStyle w:val="Heading1"/>
      </w:pPr>
      <w:bookmarkStart w:id="9" w:name="_Toc256000009"/>
      <w:r>
        <w:t>Pokrok při provádění plánu hodnocení.</w:t>
      </w:r>
      <w:bookmarkEnd w:id="9"/>
    </w:p>
    <w:p>
      <w:pPr>
        <w:pStyle w:val="Heading2"/>
      </w:pPr>
      <w:bookmarkStart w:id="10" w:name="_Toc256000010"/>
      <w:r>
        <w:t>Popis případných úprav plánu hodnocení v rámci programu rozvoje venkova během roku a jejich odůvodnění</w:t>
      </w:r>
      <w:bookmarkEnd w:id="10"/>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656"/>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vAlign w:val="center"/>
          </w:tcPr>
          <w:p>
            <w:pPr>
              <w:spacing w:before="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roce 2025 nebyl upravován plán hodnocení v rámci programového dokumentu (kapitola 9). Pro konkrétní aktivity hodnocení PRV byl pro rok 2025 vypracován Roční prováděcí plán 2025.</w:t>
            </w:r>
          </w:p>
          <w:p>
            <w:pPr>
              <w:pStyle w:val="BodyText"/>
              <w:jc w:val="both"/>
            </w:pPr>
          </w:p>
        </w:tc>
      </w:tr>
    </w:tbl>
    <w:p>
      <w:pPr>
        <w:pStyle w:val="Heading2"/>
      </w:pPr>
      <w:bookmarkStart w:id="11" w:name="_Toc256000011"/>
      <w:r>
        <w:t>Popis hodnotících činností, jež byly provedeny v průběhu roku (ve vztahu k oddílu 3 plánu hodnocení)</w:t>
      </w:r>
      <w:bookmarkEnd w:id="11"/>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656"/>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vAlign w:val="center"/>
          </w:tcPr>
          <w:p>
            <w:pPr>
              <w:spacing w:before="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Na úrovni PRV je ustanovena evaluační jednotka (dále jen „EJ PRV“), která průřezově zahrnuje pracovníky odborů 14110 a 14130 (resp. pracovníky oddělení obecné strategie, analýz, monitoringu a hodnocení Řídicího orgánu RV a oddělení monitoringu a hodnocení environmentálních podpor RV). Činností EJ PRV je zejména koordinace a provádění evaluační činnosti, zpracování, aktualizace a naplňování hodnotícího plánu PRV (kapitola 9 programového dokumentu), zajištění zpracování ročních prováděcích plánů hodnocení PRV jejich aktualizace a naplňování. V rámci Celostátní sítě pro venkov funguje Tematická pracovní skupina pro monitoring a hodnocení PRV (dále jen „TPS PRV“) tvořená zástupci řídicího orgánu RV, SZIF, ÚZEI, odbornými útvary MZe.</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Pro nezávislé hodnocení v průběhu programového období včetně ex-post hodnocení byla uzavřena v roce 2016 smlouva s vybraným hodnotitelem - konsorcium společností Naviga 4 s.r.o. a Naviga Advisory and Evaluation s.r.o. (uzavřeno pod starým názvem společnosti Hope Group, od září 2021 Naviga Advisory and Evaluation s.r.o.).</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Pro relevantní kalendářní rok je zpracováván jako rámcový plán evaluačních aktivit prováděných či zajišťovaných evaluační jednotkou Řídícího orgánu Roční prováděcí plán. Cílem plánu hodnocení je zajistit provádění dostatečných a vhodných hodnotících činností a zajištění dostatečných zdrojů.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Externě prováděné činnosti zajišťované hodnotitelem</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roce 2025 byly odevzdány dvě zprávy z průběžného hodnocení (zpracovány s daty dostupnými k 31. 12. 2024 a s daty k 30. 6. 2025). Zprávy o hodnocení zahrnují finanční a věcný pokrok realizace PRV a vyhodnocují jej v rámci odpovědí na společné a specifické evaluační otázky. Další hodnotící činnosti zajišťované externím hodnotitelem pro rok 2025 představovaly spolupráci na přípravě Evaluačního plánu PRV na rok 2026 – roční prováděcí plán včetně nastavení organizace hodnocení v rámci Řídícího orgánu PRV.</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Co se týká plnění aktivit plánovaných na rok 2025, tak dle povahy provedení byly aktivity prováděny buď interně (evaluační jednotkou PRV) nebo externě v rámci zakázky pro průběžné hodnocení PRV (viz výše zmíněné průběžné zprávy o hodnocení), případně v rámci dílčích specifických zakázek.</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Externě prováděné hodnotící činnosti (zajišťované ad hoc – specifické činnosti)</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roce 2025 nebyly realizovány v rámci specifických zakázek žádné dílčí monitorovací aktivity.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Činnosti zajišťované ÚZEI v rámci tematických úkolů</w:t>
            </w:r>
          </w:p>
          <w:p>
            <w:pPr>
              <w:numPr>
                <w:ilvl w:val="0"/>
                <w:numId w:val="24"/>
              </w:numPr>
              <w:spacing w:before="240" w:after="0"/>
              <w:ind w:left="720" w:hanging="280"/>
              <w:jc w:val="left"/>
              <w:rPr>
                <w:rFonts w:ascii="Times New Roman" w:eastAsia="Times New Roman" w:hAnsi="Times New Roman" w:cs="Times New Roman"/>
                <w:szCs w:val="24"/>
              </w:rPr>
            </w:pPr>
            <w:r>
              <w:rPr>
                <w:rFonts w:ascii="Times New Roman" w:eastAsia="Times New Roman" w:hAnsi="Times New Roman" w:cs="Times New Roman"/>
                <w:szCs w:val="24"/>
              </w:rPr>
              <w:t>Rozvoj systému pro hodnocení vlivu PRV na období 2014-2020 (včetně přechodného období) a Strategického plánu pro období 2023-2027</w:t>
            </w:r>
          </w:p>
          <w:p>
            <w:pPr>
              <w:numPr>
                <w:ilvl w:val="0"/>
                <w:numId w:val="24"/>
              </w:numPr>
              <w:spacing w:before="0" w:after="240"/>
              <w:ind w:left="720" w:hanging="280"/>
              <w:jc w:val="left"/>
              <w:rPr>
                <w:rFonts w:ascii="Times New Roman" w:eastAsia="Times New Roman" w:hAnsi="Times New Roman" w:cs="Times New Roman"/>
                <w:szCs w:val="24"/>
              </w:rPr>
            </w:pPr>
            <w:r>
              <w:rPr>
                <w:rFonts w:ascii="Times New Roman" w:eastAsia="Times New Roman" w:hAnsi="Times New Roman" w:cs="Times New Roman"/>
                <w:szCs w:val="24"/>
              </w:rPr>
              <w:t>Zjištění hodnoty monitorovacích indikátorů Hrubá přidaná hodnota podniku a Výkony pro účely hodnocení Programu rozvoje venkova za rok 2024</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pStyle w:val="BodyText"/>
              <w:jc w:val="both"/>
            </w:pPr>
          </w:p>
        </w:tc>
      </w:tr>
    </w:tbl>
    <w:p>
      <w:pPr>
        <w:pStyle w:val="Heading2"/>
      </w:pPr>
      <w:bookmarkStart w:id="12" w:name="_Toc256000012"/>
      <w:r>
        <w:t>Popis činností, které byly provedeny v souvislosti s poskytováním a správou údajů (ve vztahu k oddílu 4 plánu hodnocení)</w:t>
      </w:r>
      <w:bookmarkEnd w:id="12"/>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656"/>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vAlign w:val="center"/>
          </w:tcPr>
          <w:p>
            <w:pPr>
              <w:spacing w:before="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Sběr dat k zajištění vyhodnocení programu obecně probíhá z několika zdrojů v závislosti na typu opatření.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Primárními zdroji dat jsou údaje získané z jednotné žádosti na plochu pro plošná opatření, žádostí o dotaci, žádostí o platbu, resp. monitorovacích listů pro projektová opatření. Doplněná jsou daty pro kontextové ukazatele z ČSÚ, Eurostatu či jiných specifických databází. Samostatnou skupinou jsou data z cílených monitoringů provádění jednotlivých opatření / operací / managementů plošných opatření zacílených na zajištění dat pro hodnocení dopadů poskytovaných podpor.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Údaje pro projektová opatření vyplňují příjemci dotace před zahájením realizace projektu (v žádostech o dotaci) a po jeho ukončení (v žádostech o platbu) a jsou průběžně vkládány do informačního systému platební agentury pro administraci a sledování PRV. Ten pak na základě takto získaných dat umožňuje generovat podklady pro závazné monitorovací tabulky výstupů stanovené vodítky Komise, které jsou nedílnou součástí výroční zprávy. Nad rámec zmíněných formulářů žádostí jsou ukazatele o realizovaných projektech sbírány po dobu udržitelnosti projektu v monitorovacích listech. Stejným způsobem eviduje systém platební agentury podklady z jednotné žádosti, kdy žadatel v žádosti o dotaci uvádí opatření a management (výměru obhospodařované plochy), v rámci kterého žádá o podporu. Na základě toho jsou pro potřeby dalšího hodnocení dostupné podklady o regionálním rozložení jednotlivých poskytovaných podpor (včetně výše směřované finanční podpory).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Ve spolupráci se SAP SZIF byl připraven a testován nový operativní reporting dat z žádostí o platbu v IS SZIF.</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Sekundární data budou získávána v rámci evaluačního projektu šetřením u podpořených či nepodpořených subjektů, vzdělávacích a výzkumných institucí, apod. Informace budou získávány formou terénních šetření (dotazníkovým šetřením, řízenými rozhovory, apod.).</w:t>
            </w:r>
          </w:p>
          <w:p>
            <w:pPr>
              <w:pStyle w:val="BodyText"/>
              <w:jc w:val="both"/>
            </w:pPr>
          </w:p>
        </w:tc>
      </w:tr>
    </w:tbl>
    <w:p>
      <w:pPr>
        <w:sectPr>
          <w:pgMar w:top="900" w:right="900" w:bottom="900" w:left="900" w:header="720" w:footer="720"/>
          <w:cols w:space="720"/>
        </w:sectPr>
      </w:pPr>
    </w:p>
    <w:p>
      <w:pPr>
        <w:pStyle w:val="Heading2"/>
      </w:pPr>
      <w:bookmarkStart w:id="13" w:name="_Toc256000013"/>
      <w:r>
        <w:t>Seznam dokončených hodnocení, včetně odkazů na internetové stránky, na nichž byla hodnocení zveřejněna</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324"/>
        <w:gridCol w:w="532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Vydavatel/editor</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MZe</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Autor/autoři</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kolektiv odboru Řídicí orgán RV, odboru environmentálních podpor RV, Naviga 4 s.r.o. a Naviga Advisory and Evaluation s.r.o.</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Název</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Výroční zpráva o provádění 2024</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Shrnutí</w:t>
            </w:r>
          </w:p>
        </w:tc>
        <w:tc>
          <w:tcPr>
            <w:tcW w:w="3750" w:type="pct"/>
            <w:shd w:val="clear" w:color="auto" w:fill="FFFFFF"/>
            <w:noWrap w:val="0"/>
            <w:tcMar>
              <w:top w:w="20" w:type="dxa"/>
              <w:left w:w="100" w:type="dxa"/>
              <w:bottom w:w="20" w:type="dxa"/>
            </w:tcMar>
            <w:vAlign w:val="top"/>
          </w:tcPr>
          <w:p>
            <w:pPr>
              <w:rPr>
                <w:rFonts w:ascii="Times New Roman" w:eastAsia="Times New Roman" w:hAnsi="Times New Roman" w:cs="Times New Roman"/>
                <w:sz w:val="24"/>
              </w:rPr>
            </w:pPr>
            <w:r>
              <w:rPr>
                <w:rFonts w:ascii="Times New Roman" w:eastAsia="Times New Roman" w:hAnsi="Times New Roman" w:cs="Times New Roman"/>
                <w:sz w:val="24"/>
              </w:rPr>
              <w:t>VZ o provádění PRV vypracovaná v roce 2025 zahrnuje informace o aktivitách prováděných v roce 2024 a kumulativní data od počátku programového období.</w:t>
            </w:r>
          </w:p>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Adresa URL</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https://mze.gov.cz/public/portal/mze/dotace/program-rozvoje-venkova-na-obdobi-2014/hodnoceni-a-monitoring/vyrocni-zpravy/vyrocni-zprava-za-rok-2024-soubor-generovany-z-informacniho-systemu-sfc</w:t>
            </w:r>
          </w:p>
        </w:tc>
      </w:tr>
    </w:tbl>
    <w:p>
      <w:pPr>
        <w:jc w:val="center"/>
        <w:rPr>
          <w:b w:val="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324"/>
        <w:gridCol w:w="532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Vydavatel/editor</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MZe</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Autor/autoři</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Naviga 4 s.r.o. a Naviga Advisory and Evaluation s.r.o.</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Název</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Průběžná zpráva o hodnocení PRV – září 2025</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Shrnutí</w:t>
            </w:r>
          </w:p>
        </w:tc>
        <w:tc>
          <w:tcPr>
            <w:tcW w:w="3750" w:type="pct"/>
            <w:shd w:val="clear" w:color="auto" w:fill="FFFFFF"/>
            <w:noWrap w:val="0"/>
            <w:tcMar>
              <w:top w:w="20" w:type="dxa"/>
              <w:left w:w="100" w:type="dxa"/>
              <w:bottom w:w="20" w:type="dxa"/>
            </w:tcMar>
            <w:vAlign w:val="top"/>
          </w:tcPr>
          <w:p>
            <w:pPr>
              <w:ind w:left="0" w:right="0"/>
              <w:rPr>
                <w:rFonts w:ascii="Times New Roman" w:eastAsia="Times New Roman" w:hAnsi="Times New Roman" w:cs="Times New Roman"/>
                <w:sz w:val="24"/>
              </w:rPr>
            </w:pPr>
            <w:r>
              <w:rPr>
                <w:rFonts w:ascii="Times New Roman" w:eastAsia="Times New Roman" w:hAnsi="Times New Roman" w:cs="Times New Roman"/>
                <w:sz w:val="24"/>
              </w:rPr>
              <w:t>Průběžné hodnocení za 1. pololetí 2025 je celkově osmnáctým výstupem projektu Hodnocení Programu rozvoje venkova na období 2014-2020. Zpráva shrnuje finanční a věcný pokrok realizace PRV k 30. 6. 2025 a vyhodnocuje jej v rámci odpovědí na společné a specifické evaluační otázky.</w:t>
            </w:r>
          </w:p>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Adresa URL</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https://mze.gov.cz/public/portal/mze/dotace/program-rozvoje-venkova-na-obdobi-2014/hodnoceni-a-monitoring/hodnoceni/prubezna-zprava-o-hodnoceni-prv-zari-2025</w:t>
            </w:r>
          </w:p>
        </w:tc>
      </w:tr>
    </w:tbl>
    <w:p>
      <w:pPr>
        <w:jc w:val="center"/>
        <w:rPr>
          <w:b w:val="0"/>
          <w:sz w:val="16"/>
        </w:rPr>
      </w:pPr>
    </w:p>
    <w:p>
      <w:pPr>
        <w:sectPr>
          <w:pgMar w:top="900" w:right="900" w:bottom="900" w:left="900" w:header="720" w:footer="720"/>
          <w:cols w:space="720"/>
        </w:sectPr>
      </w:pPr>
    </w:p>
    <w:p>
      <w:pPr>
        <w:pStyle w:val="Heading2"/>
      </w:pPr>
      <w:bookmarkStart w:id="14" w:name="_Toc256000014"/>
      <w:r>
        <w:t>Shrnutí dokončených hodnocení se zaměřením na zjištění z hodnocení</w:t>
      </w:r>
      <w:bookmarkEnd w:id="14"/>
    </w:p>
    <w:p>
      <w:r>
        <w:t xml:space="preserve">Shrňte zjištění z hodnocení dokončených v roce 2020, podle cíle SZP (nebo případně priority programu rozvoje venkova). </w:t>
      </w:r>
    </w:p>
    <w:p>
      <w:r>
        <w:t xml:space="preserve">Uveďte pozitivní nebo negativní účinky/dopady (včetně příslušných důkazů). Nezapomeňte uvést zdroj zjištění. </w:t>
      </w:r>
    </w:p>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648"/>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noWrap w:val="0"/>
            <w:tcMar>
              <w:top w:w="20" w:type="dxa"/>
              <w:left w:w="100" w:type="dxa"/>
              <w:bottom w:w="20" w:type="dxa"/>
            </w:tcMar>
            <w:vAlign w:val="top"/>
          </w:tcPr>
          <w:p>
            <w:pPr>
              <w:spacing w:before="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září 2025 byla odevzdána 18. zpráva průběžného hodnocení PRV 2014-2020. Zpráva shrnuje finanční a věcný pokrok realizace PRV k 30. 6. 2025 a vyhodnocuje jej v rámci odpovědí na společné a specifické evaluační otázky.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Obdobně jako v minulém hodnoceném období (k 31. 12. 2024), nejvyšší věcný pokrok u projektových operací dosahují operace 4.1.1 Investice do zemědělských podniků, 6.1.1 Zahájení činnosti mladých zemědělců a opatření M16. U výše zmíněných operací / opatření byla zaznamenána i nejvyšší míra čerpání dotace vůči dané alokaci. Implementace projektů opatření M19 je již na vysoce nadprůměrné úrovni.</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Podprůměrný implementační pokrok k 30. 6. 2025 vykazují i nadále počty účastníků na vzdělávacích akcích (1.1.1), s výjimkou prioritní oblasti 2B mladí zemědělci.</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Celkové výměry závazků opatření M10, resp. analogických opatření Strategického plánu SZP se v porovnání s rokem 2024 velmi mírně zvýšily (v řádu setin %). Významný pokles byl znovu zaznamenán u závazků zaměřených na zatravňování orné půdy, u kterých došlo k meziročnímu poklesu výměry o 9 %, absolutně 777 ha. Důvodem je především skutečnost, že závazky z uzavřené v rámci PRV, které byly ke konci roku 2023 ukončeny, jsou nahrazovány novými závazky uzavřeným v SP SZP ve výrazně menší míře, než tomu je u ostatních titulů AEKO.</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Pokračuje také pokles závazků Integrované produkce ovoce, což souvisí s celkovým poklesem výměry sadů v ČR. Naopak výrazně vyšší je meziročně výměra závazků AEKO zaměřených na integrovanou produkci zeleniny a jahodníku.</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případě výměry závazků ekologického zemědělství (opatření M11) byl také zaznamenán mírný nárůst, způsobený především vyššími výměrami závazků na trvalých travních porostech a ve vinicích.</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Naopak závazky na orné půdě mírně klesly a stejně tak již několikátý rok v řadě poklesly závazky v sadech. Dynamika tohoto poklesu je sice ve srovnání s předchozími lety pomalejší, přesto je ale aktuálně pod závazkem EZ nejmenší výměra sadů od roku 2017. Obě opatření dosahují cílových hodnot ploch pod závazkem, které naplňují z cca 107 %.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případě opatření M15 byl zaznamenán výrazný nárůst závazkovaných ploch po otevření nového programu v roce 2023 a mírný nárůst pokračoval i v roce 2024.</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Intenzita celkového příspěvku PRV k podpoře rozvoje znalostní základny, spolupráce a inovací, celoživotního vzdělávání a posílení vazeb na výzkum a vývoj se v průběhu první poloviny roku 2025 dále zvýšila zejména díky i úspěšné realizaci opatření M16 Spolupráce.</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Informační a vzdělávací akce podpořené programem navštívilo již přibližně polovina pracovníků sektoru. Celkový počet účastníků vzdělávacích akcí, s výjimkou PO 2B, zůstává podprůměrný (70,5 % u všech realizovaných akcí).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Vzhledem k průběhu implementace PRV v operaci 4.1.1 Investice do zemědělských podniků lze konstatovat, že PRV přispívá k modernizaci podpořených zemědělských podniků v očekávané míře. Z vyhodnocení nárůstu HPH a výkonu u podpořených zemědělských podniků lze konstatovat, že byl zaznamenán pozitivní vývoj, resp. efekt u podpořených subjektů.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Z probíhající implementace PRV je patrné, že tento program přispívá ke vstupu mladých zemědělců do odvětví zemědělství. Bylo podpořeno 1226 mladých zemědělců v rámci operace 6.1.1 Zahájení činnosti mladých zemědělců, což představuje 4,67 % všech zemědělských podniků v ČR.</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Proplacené projekty, které v rámci operace 4.2.1 Zpracování a uvádění na trh zemědělských produktů realizovaly potravinářské podniky (459 jedinečných žadatelů), představují 6,4 % všech potravinářských podniků v ČR, což znamená překročení cílové hodnoty podílu počtu podpořených podniků z PRV vůči všem potravinářským podnikům, která činí 4,4 %.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Intervence PRV tak přispěly ke zlepšení konkurenceschopnosti potravinářských podniků ve vyšší než zamýšlené míře. Z tohoto pohledu lze hodnotit příspěvek PRV na investice do přidávání hodnoty při zpracování zemědělských výrobků za přínosný.</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Pokrok v realizaci intervencí, které by měly přispět ke zvýšení ekonomické výkonnosti subjektů podnikajících v lesním hospodářství, je zřejmý, a to díky udržitelné dynamice v obou operacích souběžně.</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Počet podpořených podniků v rámci diverzifikace podnikání je uspokojivý a lze předpokládat, že PRV přispěje k diverzifikaci činností v zemědělství přibližně v zamýšlené míře.</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přípravě na ex-post hodnocení byl realizován ad-hoc sběr dat o populacích ptáků zemědělské krajiny na 15 párech ploch, které byly vymezeny párovacím algoritmem s využitím metody Propensity Score Matching. Vyhodnocení dat ovšem neprokázalo měřitelný dopad závazků AEKO a ekologického zemědělství na biodiverzitu měřenou tímto indikátorem.</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rámci hodnocení operace Integrovaná produkce révy vinné v opatření M10 AEKO byla vyhodnocena data o využívání titulů základní a nadstavbová ochrana vinic. Je možné jednoznačně pozorovat, že zemědělci – vinaři se v této operaci často přesouvají do nadstavbového titulu s přísnějšími limity na používání přípravků na ochranu rostlin kompenzovanými vyšší jednotkovou platbou. Význam základního titulu postupem času klesá.</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hodnocení opatření na podporu zalesňování zemědělské půdy byly analyzovány dlouhodobé trendy využívání a zájmu o opatření. Zájem zemědělců o toto opatření po počáteční dynamice poklesl a potenciál opatření v podobě, jak bylo implementováno v PRV, se pravděpodobně vyčerpal. Bez zásadní změny podmínek opatření proto nelze očekávat změnu tohoto trendu.</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V hlavních oblastech podpory PRV, především v opatřeních investičního charakteru, v opatření M04, odpovídá implementační pokrok současné fázi programu. Lze konstatovat, že realizace opatření podporující rozvoj a zvyšování konkurenceschopnosti zemědělských a lesnických podniků úspěšně pokračuje a výrazně přispívá ke zlepšování mikroekonomické situace i stability těchto podniků.</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Na základě zjištění Podzimního průběžného hodnocení 2025 doporučil hodnotitel znovu podrobně posoudit reálnost naplnění stanovených hodnot v opatřeních M01 a přistoupit k realokaci prostředků. Dále hodnotitel doporučil podporovat vstup zemědělců do nadstavbových titulů AEKO zaměřených na podporu biodiverzity.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Dále hodnotitel doporučil vzhledem k omezené možnosti revize cílových hodnot u věcných indikátorů 4.3.1 Pozemkové úpravy, především u ekologických a protierozních opatření, v tomto programovém období se zaměřit na důkladnější analýzu při nastavení cílových hodnot pro příští programové období.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S ohledem na pozorovaný trend přesunu k titulu nadstavbové ochrany v operaci Integrovaná produkce révy vinné je vhodné dle hodnotitele vyhodnotit, zda je účelné a relevantní nadále zachovávat základní titul.</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Poslední doporučení se týká implementace opatření na zalesňování zemědělské půdy - ta není, v podobě, ve které bylo implementováno v PRV, do budoucna účelná - bez zásadní změny klíčových podmínek opatření (založených na důkladné analýze potřeb a zájmu cílových skupin) nelze předpokládat změnu pozorovaného trendu.</w:t>
            </w:r>
          </w:p>
          <w:p>
            <w:pPr>
              <w:pStyle w:val="BodyText"/>
              <w:jc w:val="both"/>
            </w:pPr>
          </w:p>
        </w:tc>
      </w:tr>
    </w:tbl>
    <w:p>
      <w:pPr>
        <w:pStyle w:val="Heading2"/>
      </w:pPr>
      <w:bookmarkStart w:id="15" w:name="_Toc256000015"/>
      <w:r>
        <w:t>Popis provedených komunikačních činností v souvislosti se zveřejněním zjištění z hodnocení (ve vztahu k oddílu 6 plánu hodnocení)</w:t>
      </w:r>
      <w:bookmarkEnd w:id="15"/>
    </w:p>
    <w:p>
      <w:r>
        <w:t>Uvede se odkaz na plán hodnocení a popíší se případné problémy, které se během provádění vyskytly, společně s přijatými nebo navrhovanými řešeními.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324"/>
        <w:gridCol w:w="532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Datum/období</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01/01/2025 - 31/12/2025</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Název komunikační činnosti/akce a téma projednávaného/šířeného zjištění z hodnocení</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 xml:space="preserve">Výstupy hodnocení jsou prezentovány na jednáních TPS, MV PRV a zveřejněny na webu MZe – www.mze.gov.cz </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Obecný pořadatel činnosti/akce</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Ministerstvo zemědělství</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Použité informační kanály / použitý formát</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Webové stránky MZe – www.mze.gov.cz, jednání TPS, komunikace s EK – koordinace modifikací programu, interní komunikace v rámci MZe (policy maker)</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Typ cílové skupiny</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Členové TPS: MPSV, MMR, MŽP, MPO, Státní zemědělský intervenční fond, Ústav zeměděl. ekonomiky a informací, Národní síť místních akčních skupin, AK ČR, PK ČR, SPOV ČR, SVOL v ČR, SMA, ASZ ČR, ZS ČR, ČMSZP, ÚHUL</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Přibližný počet informovaných zúčastněných stran</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521</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Adresa URL</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https://mze.gov.cz/public/portal/mze/dotace/program-rozvoje-venkova-na-obdobi-2014/hodnoceni-a-monitoring</w:t>
            </w:r>
          </w:p>
        </w:tc>
      </w:tr>
    </w:tbl>
    <w:p/>
    <w:p>
      <w:pPr>
        <w:sectPr>
          <w:pgMar w:top="900" w:right="900" w:bottom="900" w:left="900" w:header="720" w:footer="720"/>
          <w:cols w:space="720"/>
        </w:sectPr>
      </w:pPr>
    </w:p>
    <w:p>
      <w:pPr>
        <w:pStyle w:val="Heading2"/>
      </w:pPr>
      <w:bookmarkStart w:id="16" w:name="_Toc256000016"/>
      <w:r>
        <w:t>Popis opatření přijatých v návaznosti na výsledky hodnocení (ve vztahu k oddílu 6 plánu hodnocení)</w:t>
      </w:r>
      <w:bookmarkEnd w:id="16"/>
    </w:p>
    <w:p>
      <w:r>
        <w:t>Uvede se odkaz na plán hodnocení a popíší se případné problémy, které se během provádění vyskytly, společně s přijatými nebo navrhovanými řešeními.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324"/>
        <w:gridCol w:w="532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Výsledek hodnocení pro následná opatření (popište zjištění a uveďte zdroj v závorkách)</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 xml:space="preserve">CEQ08-4A D: S ohledem na pozorovaný trend (zemědělci se přesouvají do nadstavbového titulu a význam základního titulu Integrovaná produkce révy vinné postupem času klesá) je otázkou, zda je účelné a relevantní nadále zachovávat základní titul v operaci. </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Následná opatření provedena</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V současném programovém období Strategického plánu SZP dané opatření pokračuje bez výrazného snižování výměry oproti plánovaným hodnotám. I když je pozorován pokles výměry vinic v ČR, tento trend spíše odráží celkové strukturální změny v sektoru pěstování révy vinné, než důsledek neefektivnosti konkrétního opatření. Opatření v rámci integrované produkce révy vinné nadále zůstává relevantní, neboť podporuje udržitelné zemědělské praktiky. S ohledem na tento kontext je vhodné ověřit účelnost případně daný titul zrušit.</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Orgán odpovědný za následná opatření</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Řídicí orgán</w:t>
            </w:r>
          </w:p>
        </w:tc>
      </w:tr>
    </w:tb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324"/>
        <w:gridCol w:w="532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Výsledek hodnocení pro následná opatření (popište zjištění a uveďte zdroj v závorkách)</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 xml:space="preserve">CEQ03-1C Stav finanční implementace programu představuje významné riziko pro vyčerpání plánované alokace. Nízký je nejen objem proplacených prostředků, ale také objem prostředků v závazkovaných a registrovaných projektech. Provést realokaci přibližně 50 % alokace opatření M01 ve prospěch operací s vyšší absorpční kapacitou. </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Následná opatření provedena</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Proběhla změna indikátorů resp. přesun prostředků v rámci priorit.oblastí (z PO 4Z na PO 2B) a zavedení jednotkov.nákladů (zjednoduš. s cílem zvýšit zájem o operaci). Podpora on-line seminářů a rozšíření možnosti se akce účastnit, tj. zvýšit zájem účastníků, došlo k navýšení míry podpory na 100%. Změny propag.na webu MZe např.v rámci info o výzvách. Podpora demonstračních farem v rámci 16. kola a 17. kola příjmu žádostí.</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Orgán odpovědný za následná opatření</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Řídicí orgán</w:t>
            </w:r>
          </w:p>
        </w:tc>
      </w:tr>
    </w:tb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324"/>
        <w:gridCol w:w="532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Výsledek hodnocení pro následná opatření (popište zjištění a uveďte zdroj v závorkách)</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CEQ17-6B Vyhledávat možná zlepšení pro snížení délky a zjednodušení administrace projektů ve výzvách MAS.</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Následná opatření provedena</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O: Pro SP SZP a operaci 19.3.1 byly nastaveny jednodušší podmínky pro podání ŽoD.</w:t>
            </w:r>
          </w:p>
        </w:tc>
      </w:tr>
      <w:tr>
        <w:tblPrEx>
          <w:tblW w:w="5000" w:type="pct"/>
          <w:tblCellMar>
            <w:left w:w="108" w:type="dxa"/>
            <w:right w:w="108" w:type="dxa"/>
          </w:tblCellMar>
        </w:tblPrEx>
        <w:trPr>
          <w:trHeight w:hRule="auto" w:val="0"/>
        </w:trPr>
        <w:tc>
          <w:tcPr>
            <w:tcW w:w="1250" w:type="pct"/>
            <w:shd w:val="clear" w:color="auto" w:fill="C0C0C0"/>
            <w:noWrap w:val="0"/>
            <w:tcMar>
              <w:top w:w="20" w:type="dxa"/>
              <w:left w:w="100" w:type="dxa"/>
              <w:bottom w:w="20" w:type="dxa"/>
            </w:tcMar>
            <w:vAlign w:val="top"/>
          </w:tcPr>
          <w:p>
            <w:r>
              <w:rPr>
                <w:rFonts w:ascii="Times New Roman" w:eastAsia="Times New Roman" w:hAnsi="Times New Roman" w:cs="Times New Roman"/>
                <w:b/>
                <w:sz w:val="24"/>
              </w:rPr>
              <w:t>Orgán odpovědný za následná opatření</w:t>
            </w:r>
          </w:p>
        </w:tc>
        <w:tc>
          <w:tcPr>
            <w:tcW w:w="3750" w:type="pct"/>
            <w:shd w:val="clear" w:color="auto" w:fill="FFFFFF"/>
            <w:noWrap w:val="0"/>
            <w:tcMar>
              <w:top w:w="20" w:type="dxa"/>
              <w:left w:w="100" w:type="dxa"/>
              <w:bottom w:w="20" w:type="dxa"/>
            </w:tcMar>
            <w:vAlign w:val="top"/>
          </w:tcPr>
          <w:p>
            <w:r>
              <w:rPr>
                <w:rFonts w:ascii="Times New Roman" w:eastAsia="Times New Roman" w:hAnsi="Times New Roman" w:cs="Times New Roman"/>
                <w:sz w:val="24"/>
              </w:rPr>
              <w:t>Řídicí orgán</w:t>
            </w:r>
          </w:p>
        </w:tc>
      </w:tr>
    </w:tbl>
    <w:p/>
    <w:p>
      <w:pPr>
        <w:sectPr>
          <w:pgMar w:top="900" w:right="900" w:bottom="900" w:left="900" w:header="720" w:footer="720"/>
          <w:cols w:space="720"/>
        </w:sectPr>
      </w:pPr>
    </w:p>
    <w:p>
      <w:pPr>
        <w:pStyle w:val="Heading1"/>
      </w:pPr>
      <w:bookmarkStart w:id="17" w:name="_Toc256000017"/>
      <w:r>
        <w:t>Záležitosti, které ovlivňují výkonnost programu, a přijatá opatření</w:t>
      </w:r>
      <w:bookmarkEnd w:id="17"/>
    </w:p>
    <w:p>
      <w:pPr>
        <w:pStyle w:val="Heading2"/>
      </w:pPr>
      <w:bookmarkStart w:id="18" w:name="_Toc256000018"/>
      <w:r>
        <w:t>Popis kroků přijatých k zajištění kvality a účelnosti provádění programu</w:t>
      </w:r>
      <w:bookmarkEnd w:id="18"/>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648"/>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noWrap w:val="0"/>
            <w:tcMar>
              <w:top w:w="20" w:type="dxa"/>
              <w:left w:w="100" w:type="dxa"/>
              <w:bottom w:w="20" w:type="dxa"/>
            </w:tcMar>
            <w:vAlign w:val="top"/>
          </w:tcPr>
          <w:p>
            <w:pPr>
              <w:spacing w:before="0" w:after="240"/>
              <w:jc w:val="left"/>
              <w:rPr>
                <w:rFonts w:ascii="Times New Roman" w:eastAsia="Times New Roman" w:hAnsi="Times New Roman" w:cs="Times New Roman"/>
                <w:szCs w:val="24"/>
              </w:rPr>
            </w:pPr>
            <w:r>
              <w:rPr>
                <w:rFonts w:ascii="Times New Roman" w:eastAsia="Times New Roman" w:hAnsi="Times New Roman" w:cs="Times New Roman"/>
                <w:b/>
                <w:bCs/>
                <w:szCs w:val="24"/>
              </w:rPr>
              <w:t>Popis celkové zodpovědnosti za řízení a kontrolu PRV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V souladu s nařízením Evropského parlamentu a Rady (EU) č. 1305/2013 o podpoře rozvoje venkova z Evropského zemědělského fondu pro rozvoj venkova (EZFRV) a o zrušení nařízení Rady (ES) č. 1698/2005 byl v České republice určen Řídicí orgán, který je zodpovědný za účinné a správné řízení a provádění PRV. Řídicím orgánem je Ministerstvo zemědělství. V rámci Ministerstva zemědělství se na implementaci opatření PRV podílí zejména odbor Řídicí orgán rozvoje venkova a odbor environmentálních podpor rozvoje venkova spolu s odbornými útvary.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Na realizaci PRV se podílí Státní zemědělský intervenční fond (dále jen „SZIF“) jako platební agentura akreditovaná v souladu s nařízením Rady (ES) č. 1290/2005 ze dne 21. června 2005 o financování společné zemědělské politiky. Dočasná akreditace byla SZIF udělena rozhodnutím náměstka ministra financí podle článku 7 nařízení Evropského parlamentu a Rady (EU) č. 1306/2013 a čl. 1 prováděcího nařízení Komise (EU) č. 908/2014 dne 9. září 2015. Následně dne 21. července 2016 bylo náměstkem ministra financí vydáno Rozhodnutí o udělení akreditace Státnímu zemědělskému intervenčnímu fondu jako platební agentuře určené k provádění opatření Společné zemědělské politiky financovaných z Evropského zemědělského záručního fondu a Evropského zemědělského fondu pro rozvoj venkova podle čl. 7 nařízení Evropského parlamentu a Rady (EU) č. 1306/2013 a čl. 1 prováděcího nařízení Komise (EU) č. 908/2014. Platební agentura (PA) provádí administraci a kontrolu žádostí o podporu v rámci opatření PRV a zajišťuje také platby všech opatření PRV.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Činnost SZIF zabezpečuje sedm regionálních odborů na úrovni NUTS 2 (v Praze, Brně, Českých Budějovicích, Hradci Králové, Ústí nad Labem, Olomouci a Opavě) a centrální pracoviště v Praze.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Každý program pro rozvoj venkova by měl být náležitě monitorován monitorovacím výborem. Z tohoto důvodu a v souladu s článkem 47 nařízení EP a Rady (EU) č. 1303/2013 byl zřízen Monitorovací výbor PRV (dále „MV PRV“). Jeho hlavním úkolem je dohlížet na řádnou implementaci PRV. MV PRV proto zejména sleduje naplňování cílů stanovených v programovém dokumentu, včetně naplňování milníků dle výkonnostního rámce. Projednává preferenční kritéria pro jednotlivá opatření PRV či úpravy programového dokumentu. Dále projednává a schvaluje výroční zprávy a účastní se aktivit Celostátní sítě pro venkov. Na svých jednáních je také informován o aktivitách a výstupech ve vztahu k hodnocení PRV.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Statut MV PRV byl schválen jeho předsedou dne 25. června 2015, aktualizace 5. června 2020, Jednací řád MV PRV projednal a schválil MV PRV na svém prvním zasedání dne 23. června 2015 a podepsal předseda MV PRV dne 25. června 2015. Aktualizované znění Jednacího řádu vstoupilo v platnost 26. 11. 2020. MV PRV má aktuálně celkem 41 hlasujících členů a jsou v něm zastoupeny jak vládní organizace (zejména resorty poskytující doplňkové podpory k PRV), tak i nevládní partnerské organizace. Z nevládních organizací je významné zastoupení zejména zemědělských organizací (Agrární komora ČR, Potravinářská komora ČR) a dále také organizací zastupujících regionální rozvoj a samosprávu. Přehled jednání MV PRV v roce 2025 shrnuje následující tabulka č. 1.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Posledním rokem monitoringu implementace ESI fondů optikou řízení rizik ze strany MMR-NOK byl rok 2023. K plnému ukončení Integrovaného systému řízení rizik programového období 2014-2020 (ISŘR 14-20) došlo dne 31. března 2024.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u w:val="single"/>
              </w:rPr>
              <w:t>Aktualizace Pravidel schválené v roce 2025</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Dne 8. 4. 2025 schválil ministr zemědělství změnu Pravidel, kterými se stanovují podmínky pro poskytování dotace na projekty Programu rozvoje venkova na období 2014 – 2020 a změnu Pravidel, kterými se stanovují podmínky pro poskytování dotace na projekty rozvoje venkova v rámci Strategického plánu SZP na období 2023 – 2027. V rámci této změny došlo ke snížení četnosti dokládání monitorovacích zpráv k projektu dle jednotlivých operací PRV a intervencí SP SZP.</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Dne 30. 6. 2025 schválil ministr zemědělství zpřesnění Pravidel, kterými se stanovují podmínky pro poskytování dotace na projekty Programu rozvoje venkova ČR pro období 2014–2020, pro kontinuální příjem žádostí v operaci 4.3.1 Pozemkové úpravy. V rámci zpřesnění Pravidel došlo u Žádostí o dotaci s podepsanou Dohodou o poskytnutí dotace po 30. 6. 2023 k prodloužení termínu pro realizaci projektu a předložení Žádosti o platbu z původního termínu 30. 6. 2025 na 31. 10. 2025.</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u w:val="single"/>
              </w:rPr>
              <w:t>Příprava prováděcích předpisů pro environmentální opatření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Administrace probíhala standardně na základě národních prováděcích předpisů schválených v přechozích letech.</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u w:val="single"/>
              </w:rPr>
              <w:t>Výroční jednání s DG AGRI</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Dne 24. listopadu 2025 se uskutečnilo Výroční přezkumné jednání v souladu s článkem 51 nařízení (EU) č. 1303/2013 za účelem posouzení výkonnosti PRV, a to s ohledem na poslední Zprávu o provádění (AIR) za rok 2024, předloženou v červnu 2025 a schválenou EK.</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Jednání se účastnili zástupci Evropské komise DG AGRI (EK), Řídícího orgánu PRV z MZe (ŘO) a platební agentury SZIF (PA).</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Hlavní body agendy jsou shrnuty níže.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 xml:space="preserve">1. Navazující kroky k Výroční zprávě o provádění za rok 2024 a aspekty provádění programu </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EK ocenila českou implementaci v průběhu celého programového období a uvedla, že z hlediska čerpání se ČR často umisťovala na druhém místě v EU (po Lucembursku). Nicméně celková realizace aktuálně dosahuje pouze 98,34 % (EAFRD + EURI). EK připomněla, že zbývající prostředky musí být plně vyplaceny do konce roku 2025, a dotázala se, zda se očekávají nějaké zrušené závazky (de-commitments). ŘO uvedl, že všechny žádosti o platbu již byly obdrženy a cílem je plně využít dostupnou alokaci. Přesto některá opatření zůstanou nevyužita a jiná bude nutné pokrýt z národního rozpočtu. Očekává se, že zrušené závazky budou činit přibližně 5 mil. EUR u EZFRV a 10 mil. EUR u EURI. Důvodem je mimo jiné nemožnost převést prostředky z opatření LEADER, aby byla zachována 5% alokace pro toto opatření, a také nemožnost přesunu prostředků mezi opatřeními EURI. PA dodala, že vyhnout se zrušeným závazkům na konci programového období je stále obtížnější, protože logika programu je složitější a vyžaduje pečlivé predikce čerpání napříč všemi opatřeními.</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EK se dále dotázala na opatření 1 a 2, která nebyla v ČR příliš úspěšná, přičemž značné prostředky byly přesunuty jinam, včetně poslední změny programu. EK dále zajímalo, jak ČR plánuje zlepšit implementaci v příštím programovém období. ŘO vysvětlil, že zájem o tato opatření byl nižší, než se očekávalo. Byly podniknuty kroky ke zvýšení poptávky, včetně demonstračních farem, a v budoucnu budou realizována další opatření inspirovaná příklady z jiných členských států, aby se podpořil zájem o tyto intervence v rámci SZP.</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 výkonnostnímu rámci EK uvedla, že nehrozí riziko závažného nesplnění při uzavření. Nicméně se dotázala na plnění u prioritní oblasti 5E, kde bylo dosaženo pouze 30,79 % cílové hodnoty indikátoru T19. Dále EK uvedla, že cíle pro rok 2025 byly splněny jen z 38,4 % u 2C a z 50 % u 3A. ŘO potvrdil, že cíl zalesňování nebyl splněn. Původní cíl, vycházející z předchozího období, byl příliš ambiciózní a ČR jej chtěla dodatečně snížit (což nebylo možné). Navzdory snahám, včetně komunikační strategie a nové výzvy na zalesňování, zůstal pokrok omezený. V rámci SP SZP je cíl realističtější, ale zájem je stále nízký.</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3. Uzavření programu</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EK se dotázala, zda jsou všechny aspekty procesu uzavření programu ŘO jasné a zda má ŘO, PA a externí dodavatelé dostatečné administrativní kapacity k dokončení programového období bez větších problémů. ŘO potvrdil, že proces je jasný, a uvedl, že disponují dostatečnými zdroji k úspěšnému dokončení procesu uzavření.</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4. Nedávné audity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ŘO informoval o národním auditu v oblasti lesnictví. Byly identifikovány některé problémy a byl připraven závěrečný auditní protokol. Ministerstvo uvedlo, že nebyly zohledněny všechny okolnosti, a proběhnou follow</w:t>
            </w:r>
            <w:r>
              <w:rPr>
                <w:rFonts w:ascii="Times New Roman" w:eastAsia="Times New Roman" w:hAnsi="Times New Roman" w:cs="Times New Roman"/>
                <w:szCs w:val="24"/>
              </w:rPr>
              <w:noBreakHyphen/>
              <w:t>up aktivity.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5. Jiné otázky</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ŘO uvedl, že komunikační aktivity probíhají podle plánu a informoval, že budou přesunuty pod SP SZP. Současné úsilí se zaměřuje na sdílení výsledků a příkladů dobré praxe z PRV.</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EK připomněla, že ex</w:t>
            </w:r>
            <w:r>
              <w:rPr>
                <w:rFonts w:ascii="Times New Roman" w:eastAsia="Times New Roman" w:hAnsi="Times New Roman" w:cs="Times New Roman"/>
                <w:szCs w:val="24"/>
              </w:rPr>
              <w:noBreakHyphen/>
              <w:t>post evaluace musí být dokončena do konce roku 2026.</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b/>
                <w:bCs/>
                <w:szCs w:val="24"/>
              </w:rPr>
              <w:t>6. Různé</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Komise uvedla, že v roce 2026 bude možné uspořádat fyzické zasedání Monitorovacího výboru, ale nebude povinné, ke schválení poslední Výroční zpávy postačí písemný postup.</w:t>
            </w:r>
          </w:p>
          <w:p>
            <w:pPr>
              <w:spacing w:before="240" w:after="240"/>
              <w:ind w:left="0" w:right="0"/>
              <w:jc w:val="left"/>
              <w:rPr>
                <w:rFonts w:ascii="Times New Roman" w:eastAsia="Times New Roman" w:hAnsi="Times New Roman" w:cs="Times New Roman"/>
                <w:szCs w:val="24"/>
              </w:rPr>
            </w:pPr>
            <w:r>
              <w:rPr>
                <w:rFonts w:ascii="Times New Roman" w:eastAsia="Times New Roman" w:hAnsi="Times New Roman" w:cs="Times New Roman"/>
                <w:szCs w:val="24"/>
              </w:rPr>
              <w:t>PA zdůraznil význam toho, aby budoucí IT systémy (zejména SFC) byly připraveny co nejdříve.</w:t>
            </w:r>
          </w:p>
          <w:p>
            <w:pPr>
              <w:pStyle w:val="BodyText"/>
              <w:jc w:val="both"/>
            </w:pPr>
          </w:p>
          <w:p>
            <w:pPr>
              <w:pStyle w:val="BodyText3"/>
              <w:jc w:val="center"/>
            </w:pPr>
            <w:r>
              <w:drawing>
                <wp:inline>
                  <wp:extent cx="5743575" cy="6562725"/>
                  <wp:docPr id="1000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16"/>
                          <a:stretch>
                            <a:fillRect/>
                          </a:stretch>
                        </pic:blipFill>
                        <pic:spPr>
                          <a:xfrm>
                            <a:off x="0" y="0"/>
                            <a:ext cx="5743575" cy="6562725"/>
                          </a:xfrm>
                          <a:prstGeom prst="rect">
                            <a:avLst/>
                          </a:prstGeom>
                        </pic:spPr>
                      </pic:pic>
                    </a:graphicData>
                  </a:graphic>
                </wp:inline>
              </w:drawing>
            </w:r>
          </w:p>
          <w:p>
            <w:pPr>
              <w:pStyle w:val="Footer"/>
              <w:jc w:val="center"/>
            </w:pPr>
            <w:r>
              <w:t xml:space="preserve">Tab. č. 1 - Zasedání MV PRV v roce 2025 </w:t>
            </w:r>
          </w:p>
          <w:p>
            <w:pPr>
              <w:pStyle w:val="Footer"/>
              <w:jc w:val="center"/>
            </w:pPr>
          </w:p>
        </w:tc>
      </w:tr>
    </w:tbl>
    <w:p>
      <w:pPr>
        <w:pStyle w:val="Heading2"/>
      </w:pPr>
      <w:bookmarkStart w:id="19" w:name="_Toc256000019"/>
      <w:r>
        <w:t>Kvalitní a účinné mechanismy plnění</w:t>
      </w:r>
      <w:bookmarkEnd w:id="19"/>
    </w:p>
    <w:p>
      <w:r>
        <w:rPr>
          <w:rFonts w:ascii="Times New Roman" w:eastAsia="Times New Roman" w:hAnsi="Times New Roman" w:cs="Times New Roman"/>
          <w:szCs w:val="24"/>
        </w:rPr>
        <w:t xml:space="preserve">Zjednodušené vykazování nákladů </w:t>
      </w:r>
      <w:r>
        <w:rPr>
          <w:rFonts w:ascii="Times New Roman" w:eastAsia="Times New Roman" w:hAnsi="Times New Roman" w:cs="Times New Roman"/>
          <w:sz w:val="30"/>
          <w:szCs w:val="30"/>
          <w:vertAlign w:val="superscript"/>
        </w:rPr>
        <w:t>1</w:t>
      </w:r>
      <w:r>
        <w:rPr>
          <w:rFonts w:ascii="Times New Roman" w:eastAsia="Times New Roman" w:hAnsi="Times New Roman" w:cs="Times New Roman"/>
          <w:szCs w:val="24"/>
        </w:rPr>
        <w:t>, automaticky vypočítáno na základě zástupných ukazatelů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642"/>
        <w:gridCol w:w="2642"/>
        <w:gridCol w:w="2642"/>
        <w:gridCol w:w="264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2000" w:type="dxa"/>
            <w:shd w:val="clear" w:color="auto" w:fill="C0C0C0"/>
            <w:noWrap w:val="0"/>
            <w:tcMar>
              <w:top w:w="20" w:type="dxa"/>
              <w:left w:w="20" w:type="dxa"/>
              <w:bottom w:w="20" w:type="dxa"/>
            </w:tcMar>
            <w:vAlign w:val="center"/>
          </w:tcPr>
          <w:p>
            <w:pPr>
              <w:jc w:val="center"/>
              <w:rPr>
                <w:b w:val="0"/>
                <w:sz w:val="16"/>
              </w:rPr>
            </w:pPr>
            <w:r>
              <w:rPr>
                <w:rFonts w:ascii="Times New Roman" w:eastAsia="Times New Roman" w:hAnsi="Times New Roman" w:cs="Times New Roman"/>
                <w:szCs w:val="24"/>
              </w:rPr>
              <w:t>            </w:t>
            </w:r>
          </w:p>
        </w:tc>
        <w:tc>
          <w:tcPr>
            <w:tcW w:w="12000" w:type="dxa"/>
            <w:shd w:val="clear" w:color="auto" w:fill="C0C0C0"/>
            <w:noWrap w:val="0"/>
            <w:tcMar>
              <w:top w:w="20" w:type="dxa"/>
              <w:left w:w="20" w:type="dxa"/>
              <w:bottom w:w="20" w:type="dxa"/>
            </w:tcMar>
            <w:vAlign w:val="center"/>
          </w:tcPr>
          <w:p>
            <w:pPr>
              <w:jc w:val="center"/>
              <w:rPr>
                <w:b w:val="0"/>
                <w:sz w:val="16"/>
              </w:rPr>
            </w:pPr>
            <w:r>
              <w:rPr>
                <w:b w:val="0"/>
                <w:sz w:val="16"/>
              </w:rPr>
              <w:t>Celkový finanční příděl programu rozvoje venkova [EAFRD + EURI]</w:t>
            </w:r>
          </w:p>
        </w:tc>
        <w:tc>
          <w:tcPr>
            <w:tcW w:w="12000" w:type="dxa"/>
            <w:shd w:val="clear" w:color="auto" w:fill="C0C0C0"/>
            <w:noWrap w:val="0"/>
            <w:tcMar>
              <w:top w:w="20" w:type="dxa"/>
              <w:left w:w="20" w:type="dxa"/>
              <w:bottom w:w="20" w:type="dxa"/>
            </w:tcMar>
            <w:vAlign w:val="center"/>
          </w:tcPr>
          <w:p>
            <w:pPr>
              <w:jc w:val="center"/>
              <w:rPr>
                <w:b w:val="0"/>
                <w:sz w:val="16"/>
              </w:rPr>
            </w:pPr>
            <w:r>
              <w:rPr>
                <w:rFonts w:ascii="Times New Roman" w:eastAsia="Times New Roman" w:hAnsi="Times New Roman" w:cs="Times New Roman"/>
                <w:sz w:val="17"/>
                <w:szCs w:val="17"/>
              </w:rPr>
              <w:t>[%] plánovaného pokrytí zjednodušeného vykazování nákladů z celkového přídělu programu rozvoje venkova</w:t>
            </w:r>
            <w:r>
              <w:rPr>
                <w:rFonts w:ascii="Times New Roman" w:eastAsia="Times New Roman" w:hAnsi="Times New Roman" w:cs="Times New Roman"/>
                <w:sz w:val="21"/>
                <w:szCs w:val="21"/>
                <w:vertAlign w:val="superscript"/>
              </w:rPr>
              <w:t>2</w:t>
            </w:r>
          </w:p>
        </w:tc>
        <w:tc>
          <w:tcPr>
            <w:tcW w:w="12000" w:type="dxa"/>
            <w:shd w:val="clear" w:color="auto" w:fill="C0C0C0"/>
            <w:noWrap w:val="0"/>
            <w:tcMar>
              <w:top w:w="20" w:type="dxa"/>
              <w:left w:w="20" w:type="dxa"/>
              <w:bottom w:w="20" w:type="dxa"/>
            </w:tcMar>
            <w:vAlign w:val="center"/>
          </w:tcPr>
          <w:p>
            <w:pPr>
              <w:jc w:val="center"/>
              <w:rPr>
                <w:b w:val="0"/>
                <w:sz w:val="16"/>
              </w:rPr>
            </w:pPr>
            <w:r>
              <w:rPr>
                <w:rFonts w:ascii="Times New Roman" w:eastAsia="Times New Roman" w:hAnsi="Times New Roman" w:cs="Times New Roman"/>
                <w:sz w:val="17"/>
                <w:szCs w:val="17"/>
              </w:rPr>
              <w:t>[%] uskutečněných výdajů prostřednictvím zjednodušeného vykazování nákladů z celkového přídělu programu rozvoje venkova (kumulativní</w:t>
            </w:r>
            <w:r>
              <w:rPr>
                <w:rFonts w:ascii="Times New Roman" w:eastAsia="Times New Roman" w:hAnsi="Times New Roman" w:cs="Times New Roman"/>
                <w:sz w:val="21"/>
                <w:szCs w:val="21"/>
                <w:vertAlign w:val="superscript"/>
              </w:rPr>
              <w:t>3</w:t>
            </w:r>
          </w:p>
        </w:tc>
      </w:tr>
      <w:tr>
        <w:tblPrEx>
          <w:tblW w:w="5000" w:type="pct"/>
          <w:tblCellMar>
            <w:left w:w="108" w:type="dxa"/>
            <w:right w:w="108" w:type="dxa"/>
          </w:tblCellMar>
        </w:tblPrEx>
        <w:trPr>
          <w:trHeight w:hRule="auto" w:val="0"/>
        </w:trPr>
        <w:tc>
          <w:tcPr>
            <w:tcW w:w="1250" w:type="pct"/>
            <w:shd w:val="clear" w:color="auto" w:fill="FFFFFF"/>
            <w:noWrap w:val="0"/>
            <w:tcMar>
              <w:top w:w="20" w:type="dxa"/>
              <w:left w:w="20" w:type="dxa"/>
              <w:bottom w:w="20" w:type="dxa"/>
            </w:tcMar>
            <w:vAlign w:val="center"/>
          </w:tcPr>
          <w:p>
            <w:pPr>
              <w:spacing w:before="20" w:after="20"/>
              <w:jc w:val="left"/>
              <w:rPr>
                <w:b w:val="0"/>
                <w:sz w:val="16"/>
              </w:rPr>
            </w:pPr>
            <w:r>
              <w:rPr>
                <w:b w:val="0"/>
                <w:sz w:val="16"/>
              </w:rPr>
              <w:t>Metody specifické pro jednotlivé fondy podle čl. 67 odst. 5 písm. e) nařízení o společných ustanoveních</w:t>
            </w:r>
          </w:p>
        </w:tc>
        <w:tc>
          <w:tcPr>
            <w:tcW w:w="1250" w:type="pct"/>
            <w:shd w:val="clear" w:color="auto" w:fill="FFFFFF"/>
            <w:noWrap w:val="0"/>
            <w:tcMar>
              <w:top w:w="20" w:type="dxa"/>
              <w:left w:w="20" w:type="dxa"/>
              <w:bottom w:w="20" w:type="dxa"/>
            </w:tcMar>
            <w:vAlign w:val="center"/>
          </w:tcPr>
          <w:p>
            <w:pPr>
              <w:spacing w:before="20" w:after="20"/>
              <w:jc w:val="right"/>
              <w:rPr>
                <w:b w:val="0"/>
                <w:sz w:val="16"/>
              </w:rPr>
            </w:pPr>
            <w:r>
              <w:rPr>
                <w:b w:val="0"/>
                <w:sz w:val="16"/>
              </w:rPr>
              <w:t>3 075 728 199,00</w:t>
            </w:r>
          </w:p>
        </w:tc>
        <w:tc>
          <w:tcPr>
            <w:tcW w:w="1250" w:type="pct"/>
            <w:shd w:val="clear" w:color="auto" w:fill="FFFFFF"/>
            <w:noWrap w:val="0"/>
            <w:tcMar>
              <w:top w:w="20" w:type="dxa"/>
              <w:left w:w="20" w:type="dxa"/>
              <w:bottom w:w="20" w:type="dxa"/>
            </w:tcMar>
            <w:vAlign w:val="center"/>
          </w:tcPr>
          <w:p>
            <w:pPr>
              <w:spacing w:before="20" w:after="20"/>
              <w:jc w:val="right"/>
              <w:rPr>
                <w:b w:val="0"/>
                <w:sz w:val="16"/>
              </w:rPr>
            </w:pPr>
            <w:r>
              <w:rPr>
                <w:b w:val="0"/>
                <w:sz w:val="16"/>
              </w:rPr>
              <w:t>74,51</w:t>
            </w:r>
          </w:p>
        </w:tc>
        <w:tc>
          <w:tcPr>
            <w:tcW w:w="1250" w:type="pct"/>
            <w:shd w:val="clear" w:color="auto" w:fill="FFFFFF"/>
            <w:noWrap w:val="0"/>
            <w:tcMar>
              <w:top w:w="20" w:type="dxa"/>
              <w:left w:w="20" w:type="dxa"/>
              <w:bottom w:w="20" w:type="dxa"/>
            </w:tcMar>
            <w:vAlign w:val="center"/>
          </w:tcPr>
          <w:p>
            <w:pPr>
              <w:spacing w:before="20" w:after="20"/>
              <w:jc w:val="right"/>
              <w:rPr>
                <w:b w:val="0"/>
                <w:sz w:val="16"/>
              </w:rPr>
            </w:pPr>
            <w:r>
              <w:rPr>
                <w:b w:val="0"/>
                <w:sz w:val="16"/>
              </w:rPr>
              <w:t>75,21</w:t>
            </w:r>
          </w:p>
        </w:tc>
      </w:tr>
    </w:tbl>
    <w:p>
      <w:r>
        <w:rPr>
          <w:rFonts w:ascii="Times New Roman" w:eastAsia="Times New Roman" w:hAnsi="Times New Roman" w:cs="Times New Roman"/>
          <w:sz w:val="21"/>
          <w:szCs w:val="21"/>
          <w:vertAlign w:val="superscript"/>
        </w:rPr>
        <w:t>1</w:t>
      </w:r>
      <w:r>
        <w:rPr>
          <w:rFonts w:ascii="Times New Roman" w:eastAsia="Times New Roman" w:hAnsi="Times New Roman" w:cs="Times New Roman"/>
          <w:sz w:val="17"/>
          <w:szCs w:val="17"/>
        </w:rPr>
        <w:t xml:space="preserve"> Za způsoby zjednodušeného vykazování nákladů se považují jednotkové náklady / paušální sazby / jednorázové částky podle čl. 67 odst. 5 nařízení o společných ustanoveních včetně zvláštních metod pro EZFRV uvedených v písmeni e) zmíněného odstavce, jako jsou jednorázové částky pro zahájení podnikatelské činnosti, paušální platby organizacím producentů a jednotkové náklady týkající se oblasti a zvířat.</w:t>
      </w:r>
    </w:p>
    <w:p>
      <w:r>
        <w:rPr>
          <w:rFonts w:ascii="Times New Roman" w:eastAsia="Times New Roman" w:hAnsi="Times New Roman" w:cs="Times New Roman"/>
          <w:sz w:val="21"/>
          <w:szCs w:val="21"/>
          <w:vertAlign w:val="superscript"/>
        </w:rPr>
        <w:t>2</w:t>
      </w:r>
      <w:r>
        <w:rPr>
          <w:rFonts w:ascii="Times New Roman" w:eastAsia="Times New Roman" w:hAnsi="Times New Roman" w:cs="Times New Roman"/>
          <w:sz w:val="17"/>
          <w:szCs w:val="17"/>
        </w:rPr>
        <w:t xml:space="preserve"> Automaticky vypočítáno z opatření 06, 09, 10, 11, 12, 13, 14, 15, 18 verze programu</w:t>
      </w:r>
    </w:p>
    <w:p>
      <w:r>
        <w:rPr>
          <w:rFonts w:ascii="Times New Roman" w:eastAsia="Times New Roman" w:hAnsi="Times New Roman" w:cs="Times New Roman"/>
          <w:sz w:val="21"/>
          <w:szCs w:val="21"/>
          <w:vertAlign w:val="superscript"/>
        </w:rPr>
        <w:t>3</w:t>
      </w:r>
      <w:r>
        <w:rPr>
          <w:rFonts w:ascii="Times New Roman" w:eastAsia="Times New Roman" w:hAnsi="Times New Roman" w:cs="Times New Roman"/>
          <w:sz w:val="17"/>
          <w:szCs w:val="17"/>
        </w:rPr>
        <w:t xml:space="preserve"> Automaticky vypočítáno z opatření 06, 09, 10, 11, 12, 13, 14, 15, 18 výkazu výdajů</w:t>
      </w:r>
    </w:p>
    <w:p>
      <w:r>
        <w:rPr>
          <w:rFonts w:ascii="Times New Roman" w:eastAsia="Times New Roman" w:hAnsi="Times New Roman" w:cs="Times New Roman"/>
          <w:szCs w:val="24"/>
        </w:rPr>
        <w:t>Zjednodušené vykazování nákladů, na základě konkrétních podrobných údajů členských států [nepovinné]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642"/>
        <w:gridCol w:w="2642"/>
        <w:gridCol w:w="2642"/>
        <w:gridCol w:w="264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250" w:type="pct"/>
            <w:shd w:val="clear" w:color="auto" w:fill="C0C0C0"/>
            <w:noWrap w:val="0"/>
            <w:tcMar>
              <w:top w:w="20" w:type="dxa"/>
              <w:left w:w="20" w:type="dxa"/>
              <w:bottom w:w="20" w:type="dxa"/>
            </w:tcMar>
            <w:vAlign w:val="center"/>
          </w:tcPr>
          <w:p>
            <w:pPr>
              <w:jc w:val="center"/>
              <w:rPr>
                <w:b w:val="0"/>
                <w:sz w:val="16"/>
              </w:rPr>
            </w:pPr>
            <w:r>
              <w:rPr>
                <w:rFonts w:ascii="Times New Roman" w:eastAsia="Times New Roman" w:hAnsi="Times New Roman" w:cs="Times New Roman"/>
                <w:szCs w:val="24"/>
              </w:rPr>
              <w:t>            </w:t>
            </w:r>
          </w:p>
        </w:tc>
        <w:tc>
          <w:tcPr>
            <w:tcW w:w="1250" w:type="pct"/>
            <w:shd w:val="clear" w:color="auto" w:fill="C0C0C0"/>
            <w:noWrap w:val="0"/>
            <w:tcMar>
              <w:top w:w="20" w:type="dxa"/>
              <w:left w:w="20" w:type="dxa"/>
              <w:bottom w:w="20" w:type="dxa"/>
            </w:tcMar>
            <w:vAlign w:val="center"/>
          </w:tcPr>
          <w:p>
            <w:pPr>
              <w:jc w:val="center"/>
              <w:rPr>
                <w:b w:val="0"/>
                <w:sz w:val="16"/>
              </w:rPr>
            </w:pPr>
            <w:r>
              <w:rPr>
                <w:b w:val="0"/>
                <w:sz w:val="16"/>
              </w:rPr>
              <w:t>Celkový finanční příděl programu rozvoje venkova [EAFRD + EURI]</w:t>
            </w:r>
          </w:p>
        </w:tc>
        <w:tc>
          <w:tcPr>
            <w:tcW w:w="1250" w:type="pct"/>
            <w:shd w:val="clear" w:color="auto" w:fill="C0C0C0"/>
            <w:noWrap w:val="0"/>
            <w:tcMar>
              <w:top w:w="20" w:type="dxa"/>
              <w:left w:w="20" w:type="dxa"/>
              <w:bottom w:w="20" w:type="dxa"/>
            </w:tcMar>
            <w:vAlign w:val="center"/>
          </w:tcPr>
          <w:p>
            <w:pPr>
              <w:jc w:val="center"/>
              <w:rPr>
                <w:b w:val="0"/>
                <w:sz w:val="16"/>
              </w:rPr>
            </w:pPr>
            <w:r>
              <w:rPr>
                <w:rFonts w:ascii="Times New Roman" w:eastAsia="Times New Roman" w:hAnsi="Times New Roman" w:cs="Times New Roman"/>
                <w:sz w:val="17"/>
                <w:szCs w:val="17"/>
              </w:rPr>
              <w:t>[%] plánovaného pokrytí zjednodušeného vykazování nákladů z celkového přídělu programu rozvoje venkova</w:t>
            </w:r>
          </w:p>
        </w:tc>
        <w:tc>
          <w:tcPr>
            <w:tcW w:w="1250" w:type="pct"/>
            <w:shd w:val="clear" w:color="auto" w:fill="C0C0C0"/>
            <w:noWrap w:val="0"/>
            <w:tcMar>
              <w:top w:w="20" w:type="dxa"/>
              <w:left w:w="20" w:type="dxa"/>
              <w:bottom w:w="20" w:type="dxa"/>
            </w:tcMar>
            <w:vAlign w:val="center"/>
          </w:tcPr>
          <w:p>
            <w:pPr>
              <w:jc w:val="center"/>
              <w:rPr>
                <w:b w:val="0"/>
                <w:sz w:val="16"/>
              </w:rPr>
            </w:pPr>
            <w:r>
              <w:rPr>
                <w:rFonts w:ascii="Times New Roman" w:eastAsia="Times New Roman" w:hAnsi="Times New Roman" w:cs="Times New Roman"/>
                <w:sz w:val="17"/>
                <w:szCs w:val="17"/>
              </w:rPr>
              <w:t>[%] uskutečněných výdajů prostřednictvím zjednodušeného vykazování nákladů z celkového přídělu programu rozvoje venkova (kumulativní</w:t>
            </w:r>
          </w:p>
        </w:tc>
      </w:tr>
      <w:tr>
        <w:tblPrEx>
          <w:tblW w:w="5000" w:type="pct"/>
          <w:tblCellMar>
            <w:left w:w="108" w:type="dxa"/>
            <w:right w:w="108" w:type="dxa"/>
          </w:tblCellMar>
        </w:tblPrEx>
        <w:trPr>
          <w:trHeight w:hRule="auto" w:val="0"/>
        </w:trPr>
        <w:tc>
          <w:tcPr>
            <w:tcW w:w="1250" w:type="pct"/>
            <w:shd w:val="clear" w:color="auto" w:fill="FFFFFF"/>
            <w:noWrap w:val="0"/>
            <w:tcMar>
              <w:top w:w="20" w:type="dxa"/>
              <w:left w:w="20" w:type="dxa"/>
              <w:bottom w:w="20" w:type="dxa"/>
            </w:tcMar>
            <w:vAlign w:val="center"/>
          </w:tcPr>
          <w:p>
            <w:pPr>
              <w:spacing w:before="20" w:after="20"/>
              <w:jc w:val="left"/>
              <w:rPr>
                <w:b w:val="0"/>
                <w:sz w:val="16"/>
              </w:rPr>
            </w:pPr>
            <w:r>
              <w:rPr>
                <w:b w:val="0"/>
                <w:sz w:val="16"/>
              </w:rPr>
              <w:t>Součet čl. 67 odst. 1 písm. b), c) a d) +  čl. 67 odst. 5 písm. e) nařízení o společných ustanoveních</w:t>
            </w:r>
          </w:p>
        </w:tc>
        <w:tc>
          <w:tcPr>
            <w:tcW w:w="1250" w:type="pct"/>
            <w:shd w:val="clear" w:color="auto" w:fill="FFFFFF"/>
            <w:noWrap w:val="0"/>
            <w:tcMar>
              <w:top w:w="20" w:type="dxa"/>
              <w:left w:w="20" w:type="dxa"/>
              <w:bottom w:w="20" w:type="dxa"/>
            </w:tcMar>
            <w:vAlign w:val="center"/>
          </w:tcPr>
          <w:p>
            <w:pPr>
              <w:spacing w:before="20" w:after="20"/>
              <w:jc w:val="right"/>
              <w:rPr>
                <w:b w:val="0"/>
                <w:sz w:val="16"/>
              </w:rPr>
            </w:pPr>
            <w:r>
              <w:rPr>
                <w:b w:val="0"/>
                <w:sz w:val="16"/>
              </w:rPr>
              <w:t>3 075 728 199,00</w:t>
            </w: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r>
      <w:tr>
        <w:tblPrEx>
          <w:tblW w:w="5000" w:type="pct"/>
          <w:tblCellMar>
            <w:left w:w="108" w:type="dxa"/>
            <w:right w:w="108" w:type="dxa"/>
          </w:tblCellMar>
        </w:tblPrEx>
        <w:trPr>
          <w:trHeight w:hRule="auto" w:val="0"/>
        </w:trPr>
        <w:tc>
          <w:tcPr>
            <w:tcW w:w="1250" w:type="pct"/>
            <w:shd w:val="clear" w:color="auto" w:fill="FFFFFF"/>
            <w:noWrap w:val="0"/>
            <w:tcMar>
              <w:top w:w="20" w:type="dxa"/>
              <w:left w:w="20" w:type="dxa"/>
              <w:bottom w:w="20" w:type="dxa"/>
            </w:tcMar>
            <w:vAlign w:val="center"/>
          </w:tcPr>
          <w:p>
            <w:pPr>
              <w:spacing w:before="20" w:after="20"/>
              <w:jc w:val="left"/>
              <w:rPr>
                <w:b w:val="0"/>
                <w:sz w:val="16"/>
              </w:rPr>
            </w:pPr>
            <w:r>
              <w:rPr>
                <w:b w:val="0"/>
                <w:sz w:val="16"/>
              </w:rPr>
              <w:t>Metody specifické pro jednotlivé fondy podle čl. 67 odst. 5 písm. e) nařízení o společných ustanoveních</w:t>
            </w:r>
          </w:p>
        </w:tc>
        <w:tc>
          <w:tcPr>
            <w:tcW w:w="1250" w:type="pct"/>
            <w:shd w:val="clear" w:color="auto" w:fill="FFFFFF"/>
            <w:noWrap w:val="0"/>
            <w:tcMar>
              <w:top w:w="20" w:type="dxa"/>
              <w:left w:w="20" w:type="dxa"/>
              <w:bottom w:w="20" w:type="dxa"/>
            </w:tcMar>
            <w:vAlign w:val="center"/>
          </w:tcPr>
          <w:p>
            <w:pPr>
              <w:spacing w:before="20" w:after="20"/>
              <w:jc w:val="right"/>
              <w:rPr>
                <w:b w:val="0"/>
                <w:sz w:val="16"/>
              </w:rPr>
            </w:pPr>
            <w:r>
              <w:rPr>
                <w:b w:val="0"/>
                <w:sz w:val="16"/>
              </w:rPr>
              <w:t>3 075 728 199,00</w:t>
            </w: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r>
    </w:tbl>
    <w:p>
      <w:r>
        <w:t>E-správa pro příjemce [nepovinné]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23"/>
        <w:gridCol w:w="3523"/>
        <w:gridCol w:w="352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250" w:type="pct"/>
            <w:shd w:val="clear" w:color="auto" w:fill="C0C0C0"/>
            <w:noWrap w:val="0"/>
            <w:tcMar>
              <w:top w:w="20" w:type="dxa"/>
              <w:left w:w="20" w:type="dxa"/>
              <w:bottom w:w="20" w:type="dxa"/>
            </w:tcMar>
            <w:vAlign w:val="center"/>
          </w:tcPr>
          <w:p>
            <w:pPr>
              <w:jc w:val="center"/>
              <w:rPr>
                <w:b w:val="0"/>
                <w:sz w:val="16"/>
              </w:rPr>
            </w:pPr>
            <w:r>
              <w:rPr>
                <w:rFonts w:ascii="Times New Roman" w:eastAsia="Times New Roman" w:hAnsi="Times New Roman" w:cs="Times New Roman"/>
                <w:szCs w:val="24"/>
              </w:rPr>
              <w:t>            </w:t>
            </w:r>
          </w:p>
        </w:tc>
        <w:tc>
          <w:tcPr>
            <w:tcW w:w="1250" w:type="pct"/>
            <w:shd w:val="clear" w:color="auto" w:fill="C0C0C0"/>
            <w:noWrap w:val="0"/>
            <w:tcMar>
              <w:top w:w="20" w:type="dxa"/>
              <w:left w:w="20" w:type="dxa"/>
              <w:bottom w:w="20" w:type="dxa"/>
            </w:tcMar>
            <w:vAlign w:val="center"/>
          </w:tcPr>
          <w:p>
            <w:pPr>
              <w:jc w:val="center"/>
              <w:rPr>
                <w:b w:val="0"/>
                <w:sz w:val="16"/>
              </w:rPr>
            </w:pPr>
            <w:r>
              <w:rPr>
                <w:b w:val="0"/>
                <w:sz w:val="16"/>
              </w:rPr>
              <w:t>[%] financování z EZFRV + EURI</w:t>
            </w:r>
          </w:p>
        </w:tc>
        <w:tc>
          <w:tcPr>
            <w:tcW w:w="1250" w:type="pct"/>
            <w:shd w:val="clear" w:color="auto" w:fill="C0C0C0"/>
            <w:noWrap w:val="0"/>
            <w:tcMar>
              <w:top w:w="20" w:type="dxa"/>
              <w:left w:w="20" w:type="dxa"/>
              <w:bottom w:w="20" w:type="dxa"/>
            </w:tcMar>
            <w:vAlign w:val="center"/>
          </w:tcPr>
          <w:p>
            <w:pPr>
              <w:jc w:val="center"/>
              <w:rPr>
                <w:b w:val="0"/>
                <w:sz w:val="16"/>
              </w:rPr>
            </w:pPr>
            <w:r>
              <w:rPr>
                <w:b w:val="0"/>
                <w:sz w:val="16"/>
              </w:rPr>
              <w:t>[%] dotčených operací</w:t>
            </w:r>
          </w:p>
        </w:tc>
      </w:tr>
      <w:tr>
        <w:tblPrEx>
          <w:tblW w:w="5000" w:type="pct"/>
          <w:tblCellMar>
            <w:left w:w="108" w:type="dxa"/>
            <w:right w:w="108" w:type="dxa"/>
          </w:tblCellMar>
        </w:tblPrEx>
        <w:trPr>
          <w:trHeight w:hRule="auto" w:val="0"/>
        </w:trPr>
        <w:tc>
          <w:tcPr>
            <w:tcW w:w="1250" w:type="pct"/>
            <w:shd w:val="clear" w:color="auto" w:fill="FFFFFF"/>
            <w:noWrap w:val="0"/>
            <w:tcMar>
              <w:top w:w="20" w:type="dxa"/>
              <w:left w:w="20" w:type="dxa"/>
              <w:bottom w:w="20" w:type="dxa"/>
            </w:tcMar>
            <w:vAlign w:val="center"/>
          </w:tcPr>
          <w:p>
            <w:pPr>
              <w:spacing w:before="20" w:after="20"/>
              <w:jc w:val="left"/>
              <w:rPr>
                <w:b w:val="0"/>
                <w:sz w:val="16"/>
              </w:rPr>
            </w:pPr>
            <w:r>
              <w:rPr>
                <w:b w:val="0"/>
                <w:sz w:val="16"/>
              </w:rPr>
              <w:t>Žádost o podporu</w:t>
            </w: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r>
      <w:tr>
        <w:tblPrEx>
          <w:tblW w:w="5000" w:type="pct"/>
          <w:tblCellMar>
            <w:left w:w="108" w:type="dxa"/>
            <w:right w:w="108" w:type="dxa"/>
          </w:tblCellMar>
        </w:tblPrEx>
        <w:trPr>
          <w:trHeight w:hRule="auto" w:val="0"/>
        </w:trPr>
        <w:tc>
          <w:tcPr>
            <w:tcW w:w="1250" w:type="pct"/>
            <w:shd w:val="clear" w:color="auto" w:fill="FFFFFF"/>
            <w:noWrap w:val="0"/>
            <w:tcMar>
              <w:top w:w="20" w:type="dxa"/>
              <w:left w:w="20" w:type="dxa"/>
              <w:bottom w:w="20" w:type="dxa"/>
            </w:tcMar>
            <w:vAlign w:val="center"/>
          </w:tcPr>
          <w:p>
            <w:pPr>
              <w:spacing w:before="20" w:after="20"/>
              <w:jc w:val="left"/>
              <w:rPr>
                <w:b w:val="0"/>
                <w:sz w:val="16"/>
              </w:rPr>
            </w:pPr>
            <w:r>
              <w:rPr>
                <w:b w:val="0"/>
                <w:sz w:val="16"/>
              </w:rPr>
              <w:t>Žádosti o platbu</w:t>
            </w: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r>
      <w:tr>
        <w:tblPrEx>
          <w:tblW w:w="5000" w:type="pct"/>
          <w:tblCellMar>
            <w:left w:w="108" w:type="dxa"/>
            <w:right w:w="108" w:type="dxa"/>
          </w:tblCellMar>
        </w:tblPrEx>
        <w:trPr>
          <w:trHeight w:hRule="auto" w:val="0"/>
        </w:trPr>
        <w:tc>
          <w:tcPr>
            <w:tcW w:w="1250" w:type="pct"/>
            <w:shd w:val="clear" w:color="auto" w:fill="FFFFFF"/>
            <w:noWrap w:val="0"/>
            <w:tcMar>
              <w:top w:w="20" w:type="dxa"/>
              <w:left w:w="20" w:type="dxa"/>
              <w:bottom w:w="20" w:type="dxa"/>
            </w:tcMar>
            <w:vAlign w:val="center"/>
          </w:tcPr>
          <w:p>
            <w:pPr>
              <w:spacing w:before="20" w:after="20"/>
              <w:jc w:val="left"/>
              <w:rPr>
                <w:b w:val="0"/>
                <w:sz w:val="16"/>
              </w:rPr>
            </w:pPr>
            <w:r>
              <w:rPr>
                <w:b w:val="0"/>
                <w:sz w:val="16"/>
              </w:rPr>
              <w:t>Kontroly a podmíněnost</w:t>
            </w:r>
          </w:p>
        </w:tc>
        <w:tc>
          <w:tcPr>
            <w:tcW w:w="1250" w:type="pct"/>
            <w:shd w:val="clear" w:color="auto" w:fill="808080"/>
            <w:noWrap w:val="0"/>
            <w:tcMar>
              <w:top w:w="20" w:type="dxa"/>
              <w:left w:w="20" w:type="dxa"/>
              <w:bottom w:w="20" w:type="dxa"/>
            </w:tcMar>
            <w:vAlign w:val="center"/>
          </w:tcPr>
          <w:p>
            <w:pPr>
              <w:spacing w:before="20" w:after="20"/>
              <w:jc w:val="left"/>
              <w:rPr>
                <w:b w:val="0"/>
                <w:sz w:val="16"/>
              </w:rPr>
            </w:pP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r>
      <w:tr>
        <w:tblPrEx>
          <w:tblW w:w="5000" w:type="pct"/>
          <w:tblCellMar>
            <w:left w:w="108" w:type="dxa"/>
            <w:right w:w="108" w:type="dxa"/>
          </w:tblCellMar>
        </w:tblPrEx>
        <w:trPr>
          <w:trHeight w:hRule="auto" w:val="0"/>
        </w:trPr>
        <w:tc>
          <w:tcPr>
            <w:tcW w:w="1250" w:type="pct"/>
            <w:shd w:val="clear" w:color="auto" w:fill="FFFFFF"/>
            <w:noWrap w:val="0"/>
            <w:tcMar>
              <w:top w:w="20" w:type="dxa"/>
              <w:left w:w="20" w:type="dxa"/>
              <w:bottom w:w="20" w:type="dxa"/>
            </w:tcMar>
            <w:vAlign w:val="center"/>
          </w:tcPr>
          <w:p>
            <w:pPr>
              <w:spacing w:before="20" w:after="20"/>
              <w:jc w:val="left"/>
              <w:rPr>
                <w:b w:val="0"/>
                <w:sz w:val="16"/>
              </w:rPr>
            </w:pPr>
            <w:r>
              <w:rPr>
                <w:b w:val="0"/>
                <w:sz w:val="16"/>
              </w:rPr>
              <w:t>Monitorování a podávání zpráv řídicímu orgánu / platební agentuře</w:t>
            </w:r>
          </w:p>
        </w:tc>
        <w:tc>
          <w:tcPr>
            <w:tcW w:w="1250" w:type="pct"/>
            <w:shd w:val="clear" w:color="auto" w:fill="808080"/>
            <w:noWrap w:val="0"/>
            <w:tcMar>
              <w:top w:w="20" w:type="dxa"/>
              <w:left w:w="20" w:type="dxa"/>
              <w:bottom w:w="20" w:type="dxa"/>
            </w:tcMar>
            <w:vAlign w:val="center"/>
          </w:tcPr>
          <w:p>
            <w:pPr>
              <w:spacing w:before="20" w:after="20"/>
              <w:jc w:val="left"/>
              <w:rPr>
                <w:b w:val="0"/>
                <w:sz w:val="16"/>
              </w:rPr>
            </w:pPr>
          </w:p>
        </w:tc>
        <w:tc>
          <w:tcPr>
            <w:tcW w:w="1250" w:type="pct"/>
            <w:shd w:val="clear" w:color="auto" w:fill="FFFFFF"/>
            <w:noWrap w:val="0"/>
            <w:tcMar>
              <w:top w:w="20" w:type="dxa"/>
              <w:left w:w="20" w:type="dxa"/>
              <w:bottom w:w="20" w:type="dxa"/>
            </w:tcMar>
            <w:vAlign w:val="center"/>
          </w:tcPr>
          <w:p>
            <w:pPr>
              <w:spacing w:before="20" w:after="20"/>
              <w:jc w:val="left"/>
              <w:rPr>
                <w:b w:val="0"/>
                <w:sz w:val="16"/>
              </w:rPr>
            </w:pPr>
          </w:p>
        </w:tc>
      </w:tr>
    </w:tbl>
    <w:p>
      <w:r>
        <w:t>Průměrné lhůty, během kterých mají příjemci obdržet platby [nepovinné]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23"/>
        <w:gridCol w:w="3523"/>
        <w:gridCol w:w="352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1000" w:type="pct"/>
            <w:shd w:val="clear" w:color="auto" w:fill="C0C0C0"/>
            <w:noWrap w:val="0"/>
            <w:tcMar>
              <w:top w:w="20" w:type="dxa"/>
              <w:left w:w="20" w:type="dxa"/>
              <w:bottom w:w="20" w:type="dxa"/>
            </w:tcMar>
            <w:vAlign w:val="center"/>
          </w:tcPr>
          <w:p>
            <w:pPr>
              <w:jc w:val="center"/>
              <w:rPr>
                <w:b w:val="0"/>
                <w:sz w:val="16"/>
              </w:rPr>
            </w:pPr>
            <w:r>
              <w:rPr>
                <w:rFonts w:ascii="Times New Roman" w:eastAsia="Times New Roman" w:hAnsi="Times New Roman" w:cs="Times New Roman"/>
                <w:sz w:val="17"/>
                <w:szCs w:val="17"/>
              </w:rPr>
              <w:t>[Dny]</w:t>
            </w:r>
            <w:r>
              <w:rPr>
                <w:rFonts w:ascii="Times New Roman" w:eastAsia="Times New Roman" w:hAnsi="Times New Roman" w:cs="Times New Roman"/>
                <w:sz w:val="17"/>
                <w:szCs w:val="17"/>
              </w:rPr>
              <w:br/>
            </w:r>
            <w:r>
              <w:rPr>
                <w:rFonts w:ascii="Times New Roman" w:eastAsia="Times New Roman" w:hAnsi="Times New Roman" w:cs="Times New Roman"/>
                <w:sz w:val="17"/>
                <w:szCs w:val="17"/>
              </w:rPr>
              <w:t>Případně lhůta členského státu pro platby příjemcům</w:t>
            </w:r>
          </w:p>
        </w:tc>
        <w:tc>
          <w:tcPr>
            <w:tcW w:w="1000" w:type="pct"/>
            <w:shd w:val="clear" w:color="auto" w:fill="C0C0C0"/>
            <w:noWrap w:val="0"/>
            <w:tcMar>
              <w:top w:w="20" w:type="dxa"/>
              <w:left w:w="20" w:type="dxa"/>
              <w:bottom w:w="20" w:type="dxa"/>
            </w:tcMar>
            <w:vAlign w:val="center"/>
          </w:tcPr>
          <w:p>
            <w:pPr>
              <w:jc w:val="center"/>
              <w:rPr>
                <w:b w:val="0"/>
                <w:sz w:val="16"/>
              </w:rPr>
            </w:pPr>
            <w:r>
              <w:rPr>
                <w:rFonts w:ascii="Times New Roman" w:eastAsia="Times New Roman" w:hAnsi="Times New Roman" w:cs="Times New Roman"/>
                <w:sz w:val="17"/>
                <w:szCs w:val="17"/>
              </w:rPr>
              <w:t>[Dny]</w:t>
            </w:r>
            <w:r>
              <w:rPr>
                <w:rFonts w:ascii="Times New Roman" w:eastAsia="Times New Roman" w:hAnsi="Times New Roman" w:cs="Times New Roman"/>
                <w:sz w:val="17"/>
                <w:szCs w:val="17"/>
              </w:rPr>
              <w:br/>
            </w:r>
            <w:r>
              <w:rPr>
                <w:rFonts w:ascii="Times New Roman" w:eastAsia="Times New Roman" w:hAnsi="Times New Roman" w:cs="Times New Roman"/>
                <w:sz w:val="17"/>
                <w:szCs w:val="17"/>
              </w:rPr>
              <w:t>Průměrná lhůta pro platby příjemcům</w:t>
            </w:r>
          </w:p>
        </w:tc>
        <w:tc>
          <w:tcPr>
            <w:tcW w:w="3000" w:type="pct"/>
            <w:shd w:val="clear" w:color="auto" w:fill="C0C0C0"/>
            <w:noWrap w:val="0"/>
            <w:tcMar>
              <w:top w:w="20" w:type="dxa"/>
              <w:left w:w="20" w:type="dxa"/>
              <w:bottom w:w="20" w:type="dxa"/>
            </w:tcMar>
            <w:vAlign w:val="center"/>
          </w:tcPr>
          <w:p>
            <w:pPr>
              <w:jc w:val="center"/>
              <w:rPr>
                <w:b w:val="0"/>
                <w:sz w:val="16"/>
              </w:rPr>
            </w:pPr>
            <w:r>
              <w:rPr>
                <w:b w:val="0"/>
                <w:sz w:val="16"/>
              </w:rPr>
              <w:t>Připomínky</w:t>
            </w:r>
          </w:p>
        </w:tc>
      </w:tr>
      <w:tr>
        <w:tblPrEx>
          <w:tblW w:w="5000" w:type="pct"/>
          <w:tblCellMar>
            <w:left w:w="108" w:type="dxa"/>
            <w:right w:w="108" w:type="dxa"/>
          </w:tblCellMar>
        </w:tblPrEx>
        <w:trPr>
          <w:trHeight w:hRule="auto" w:val="0"/>
        </w:trPr>
        <w:tc>
          <w:tcPr>
            <w:tcW w:w="1000" w:type="pct"/>
            <w:shd w:val="clear" w:color="auto" w:fill="FFFFFF"/>
            <w:noWrap w:val="0"/>
            <w:tcMar>
              <w:top w:w="20" w:type="dxa"/>
              <w:left w:w="20" w:type="dxa"/>
              <w:bottom w:w="20" w:type="dxa"/>
            </w:tcMar>
            <w:vAlign w:val="center"/>
          </w:tcPr>
          <w:p>
            <w:pPr>
              <w:spacing w:before="20" w:after="20"/>
              <w:jc w:val="left"/>
              <w:rPr>
                <w:b w:val="0"/>
                <w:sz w:val="16"/>
              </w:rPr>
            </w:pPr>
          </w:p>
        </w:tc>
        <w:tc>
          <w:tcPr>
            <w:tcW w:w="1000" w:type="pct"/>
            <w:shd w:val="clear" w:color="auto" w:fill="FFFFFF"/>
            <w:noWrap w:val="0"/>
            <w:tcMar>
              <w:top w:w="20" w:type="dxa"/>
              <w:left w:w="20" w:type="dxa"/>
              <w:bottom w:w="20" w:type="dxa"/>
            </w:tcMar>
            <w:vAlign w:val="center"/>
          </w:tcPr>
          <w:p>
            <w:pPr>
              <w:spacing w:before="20" w:after="20"/>
              <w:jc w:val="left"/>
              <w:rPr>
                <w:b w:val="0"/>
                <w:sz w:val="16"/>
              </w:rPr>
            </w:pPr>
          </w:p>
        </w:tc>
        <w:tc>
          <w:tcPr>
            <w:tcW w:w="3000" w:type="pct"/>
            <w:shd w:val="clear" w:color="auto" w:fill="FFFFFF"/>
            <w:noWrap w:val="0"/>
            <w:tcMar>
              <w:top w:w="20" w:type="dxa"/>
              <w:left w:w="20" w:type="dxa"/>
              <w:bottom w:w="20" w:type="dxa"/>
            </w:tcMar>
            <w:vAlign w:val="center"/>
          </w:tcPr>
          <w:p>
            <w:pPr>
              <w:spacing w:before="20" w:after="20"/>
              <w:jc w:val="left"/>
              <w:rPr>
                <w:b w:val="0"/>
                <w:sz w:val="16"/>
              </w:rPr>
            </w:pPr>
          </w:p>
        </w:tc>
      </w:tr>
    </w:tbl>
    <w:p>
      <w:pPr>
        <w:jc w:val="center"/>
        <w:rPr>
          <w:b w:val="0"/>
          <w:sz w:val="16"/>
        </w:rPr>
        <w:sectPr>
          <w:pgMar w:top="900" w:right="900" w:bottom="900" w:left="900" w:header="720" w:footer="720"/>
          <w:cols w:space="720"/>
        </w:sectPr>
      </w:pPr>
    </w:p>
    <w:p>
      <w:pPr>
        <w:pStyle w:val="Heading1"/>
      </w:pPr>
      <w:bookmarkStart w:id="20" w:name="_Toc256000020"/>
      <w:r>
        <w:t>Opatření přijatá v souvislosti s technickou pomocí a požadavky na propagaci programu</w:t>
      </w:r>
      <w:bookmarkEnd w:id="20"/>
    </w:p>
    <w:p>
      <w:pPr>
        <w:pStyle w:val="Heading2"/>
      </w:pPr>
      <w:bookmarkStart w:id="21" w:name="_Toc256000021"/>
      <w:r>
        <w:t>Přijatá opatření a současný stav, pokud jde o zřizování celostátní sítě pro venkov a provádění jejího akčního plánu</w:t>
      </w:r>
      <w:bookmarkEnd w:id="21"/>
    </w:p>
    <w:p>
      <w:pPr>
        <w:pStyle w:val="Heading3"/>
        <w:jc w:val="left"/>
        <w:rPr>
          <w:b w:val="0"/>
        </w:rPr>
      </w:pPr>
      <w:bookmarkStart w:id="22" w:name="_Toc256000022"/>
      <w:r>
        <w:rPr>
          <w:b w:val="0"/>
        </w:rPr>
        <w:t>Přijatá opatření a současný stav, pokud jde o zřizování celostátní sítě pro venkov (řídicí struktura a síťová podpůrná jednotka)</w:t>
      </w:r>
      <w:bookmarkEnd w:id="22"/>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568"/>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noWrap w:val="0"/>
            <w:tcMar>
              <w:top w:w="20" w:type="dxa"/>
              <w:left w:w="20" w:type="dxa"/>
              <w:bottom w:w="20" w:type="dxa"/>
            </w:tcMar>
            <w:vAlign w:val="center"/>
          </w:tcPr>
          <w:p>
            <w:pPr>
              <w:spacing w:before="0" w:after="240"/>
              <w:jc w:val="left"/>
              <w:rPr>
                <w:rFonts w:ascii="Times New Roman" w:eastAsia="Times New Roman" w:hAnsi="Times New Roman" w:cs="Times New Roman"/>
                <w:szCs w:val="24"/>
              </w:rPr>
            </w:pPr>
            <w:r>
              <w:rPr>
                <w:rFonts w:ascii="Times New Roman" w:eastAsia="Times New Roman" w:hAnsi="Times New Roman" w:cs="Times New Roman"/>
                <w:szCs w:val="24"/>
              </w:rPr>
              <w:t>Na podporu přípravy, řízení, monitoringu, hodnocení, informovanosti a kontroly ve vztahu k PRV a zdokonalování opatření obsažených v tomto programu je využíváno opatření 20 Technická pomoc. Opatření je rozděleno na dvě podopatření, přičemž podopatření 20.1 Podpora na technickou pomoc (kromě CSV) se zaměřuje na vlastní řízení, implementaci, monitoring, hodnocení a kontrolu PRV a podopatření 20.2 Podpora na zřízení a provoz Celostátní sítě pro venkov slouží k financování aktivit Celostátní sítě pro venkov. Příjemcem dotace je řídicí orgán (Ministerstvo zemědělství – odbor Řídicí orgán rozvoje venkova, odbor environmentálních podpor rozvoje venkova), Platební agentura (Státní zemědělský intervenční fond) a subjekt zajišťující implementaci Celostátní sítě pro venkov.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Dotace v rámci podopatření 20.1 Podpora na technickou pomoc (kromě CSV) je poskytována na podporu aktivit nezbytných pro implementaci jednotlivých opatření PRV, jejich monitoring a hodnocení a dále k zajištění informačních a propagačních akcí. Aktivity mají převážně formu odborných studií, sběrů a analýz dat, vypracování informačních materiálů. Jsou také realizovány projekty zajišťující přípravu a spuštění implementace Strategického plánu SZP. K 31. 12. 2025 bylo v rámci tohoto podopatření zaregistrováno celkem 343 projektů v celkové částce 1 003,9 mil. Kč (41 420 tis. EUR). Celkem 139 projektů za 186,3 mil. Kč (7 690 tis. EUR) bylo zaregistrováno MZe a 204 projektů za 817,6 mil. Kč (33 730 tis. EUR) zaregistroval SZIF. V roce 2025 bylo proplaceno 56 projektů v částce 253,85 mil. Kč (10 470 tis. EUR), z toho se jednalo o 5 etapových projektů, u kterých proběhly částečné platby.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Technická pomoc je dále využívána pro akce v rámci zřízení a provozu Celostátní sítě pro venkov (dále také „Síť“ nebo „CSV“), a to v rámci podopatření 20.2 Podpora na zřízení a provoz Celostátní sítě pro venkov. Finanční podpora může být poskytována na pokrytí nákladů spojených s přípravou odborných studií, seminářů na národní i mezinárodní úrovni, aktivit spojených se shromažďováním, analýzou a šířením informací o opatřeních Programu rozvoje venkova, zejména příkladech dobré praxe. Realizovány jsou také akce v oblasti národní i mezinárodní spolupráce a přenosu inovací. K 31. 12. 2025 bylo v rámci podopatření 20.2 zaregistrováno celkem 192 projektů v celkové částce cca 155,56 mil. Kč (6 420 tis. EUR). Celkem 98 projektů za 54,82 mil. Kč (2 260 tis. EUR) bylo zaregistrováno MZe a 94 projektů za 100,74 mil. Kč (4 160 tis. EUR) bylo zaregistrováno SZIF. V roce 2025 bylo proplaceno 24 projektů v částce 23 mil. Kč (950 tis. EUR), z toho nebyl žádný etapový projekt.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Síť byla v České republice zřízena Ministerstvem zemědělství v roce 2008 jako komunikační platforma PRV, která seskupuje organizace a správní orgány podílející se na rozvoji venkova a zemědělství. Síť je podřízena společné Evropské síti pro rozvoj venkova, která byla v roce 2023 nahrazena Evropskou sítí SZP. Organizační struktura Sítě je rozdělena na centrální a regionální úroveň. Řídicím orgánem Sítě (Ministerstvo zemědělství, odbor Řídicí orgán rozvoje venkova) je zajišťována funkce rozhodovací a kontrolní, Sekretariátem Sítě (Regionální pracoviště Sítě), pak funkce výkonná. Poradní funkci zastává Koordinační skupina MZe (koordinace aktivit v rámci resortu) a Koordinační výbor Sítě (složený ze zástupců partnerů z řad vládních a nevládních organizací), který na svém každoročním zasedání projednává roční prováděcí plány Sítě (RRPP) a je informován o výsledcích dosud realizovaných aktivit. Aktivity Sítě jsou realizovány na centrální a regionální úrovni. Na centrální úrovni se jedná o projekty s celorepublikovým dopadem, na regionální úrovni jsou aktivity stanovovány dle priorit po konzultaci s partnery na úrovni regionů NUTS 2. Regionální aktivity Sítě zajišťují pracovníci Státního zemědělského intervenčního fondu (dále také „SZIF“).</w:t>
            </w:r>
          </w:p>
          <w:p>
            <w:pPr>
              <w:pStyle w:val="BodyText"/>
              <w:jc w:val="both"/>
              <w:rPr>
                <w:b w:val="0"/>
              </w:rPr>
            </w:pPr>
          </w:p>
        </w:tc>
      </w:tr>
    </w:tbl>
    <w:p>
      <w:pPr>
        <w:pStyle w:val="Heading3"/>
        <w:jc w:val="left"/>
        <w:rPr>
          <w:b w:val="0"/>
        </w:rPr>
      </w:pPr>
      <w:bookmarkStart w:id="23" w:name="_Toc256000023"/>
      <w:r>
        <w:rPr>
          <w:b w:val="0"/>
        </w:rPr>
        <w:t>Přijatá opatření a současný stav, pokud jde o provádění akčního plánu</w:t>
      </w:r>
      <w:bookmarkEnd w:id="23"/>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568"/>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noWrap w:val="0"/>
            <w:tcMar>
              <w:top w:w="20" w:type="dxa"/>
              <w:left w:w="20" w:type="dxa"/>
              <w:bottom w:w="20" w:type="dxa"/>
            </w:tcMar>
            <w:vAlign w:val="center"/>
          </w:tcPr>
          <w:p>
            <w:pPr>
              <w:spacing w:before="0" w:after="240"/>
              <w:jc w:val="left"/>
              <w:rPr>
                <w:rFonts w:ascii="Times New Roman" w:eastAsia="Times New Roman" w:hAnsi="Times New Roman" w:cs="Times New Roman"/>
                <w:szCs w:val="24"/>
              </w:rPr>
            </w:pPr>
            <w:r>
              <w:rPr>
                <w:rFonts w:ascii="Times New Roman" w:eastAsia="Times New Roman" w:hAnsi="Times New Roman" w:cs="Times New Roman"/>
                <w:szCs w:val="24"/>
              </w:rPr>
              <w:t>Od roku 2024 zajišťuje Celostátní síť pro venkov plně úkoly stanovené v nařízení Evropského parlamentu a Rady (EU) 2021/2115 národní síti SZP. Pro sdílení příkladů dobré praxe jsou využívány projekty podpořené z PRV, čímž dochází k plynulému přechodu mezi oběma programovacími obdobími. V roce 2025 byly dokončovány aktivity Celostátní sítě pro venkov schválené v rámci ročních prováděcích plánů v letech předchozích.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V roce 2025 byly schválené RRPP pro regionální úroveň na akce realizovány již s finanční podporou Technické pomoci Strategického plánu Společné zemědělské politiky na období 2023–</w:t>
            </w:r>
            <w:r>
              <w:rPr>
                <w:rFonts w:ascii="Times New Roman" w:eastAsia="Times New Roman" w:hAnsi="Times New Roman" w:cs="Times New Roman"/>
                <w:szCs w:val="24"/>
              </w:rPr>
              <w:t>⁠</w:t>
            </w:r>
            <w:r>
              <w:rPr>
                <w:rFonts w:ascii="Times New Roman" w:eastAsia="Times New Roman" w:hAnsi="Times New Roman" w:cs="Times New Roman"/>
                <w:szCs w:val="24"/>
              </w:rPr>
              <w:t>2027 (dále SP SZP) a dle aktuálního Akčního plánu Celostátní sítě pro venkov pro období 2023–2027.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Celkem bylo v roce 2025 prostřednictvím krajských koordinátorů CSV realizováno 169 aktivit ve formě seminářů, workshopů, exkurzí, prezentačních aktivit a informačních materiálů. Na většině z uvedených akcí proběhlo představení příkladů projektů z PRV a zároveň představení podobných možností projektů ze SP SZP. Všechny aktivity byly prezentovány prostřednictvím facebookového profilu Celostátní sítě pro venkov a Instagramu, který byl v roce 2025 založen. Vznikla také brožura „Evropské zkušenosti pro český venkov“, věnovaná vybraným zahraničním exkurzím CSV v letech 2023–2025. Zároveň Centrální pracoviště SZIF začalo od ledna 2025 vydávat měsíčně newsletter s názvem „Síťoviny“, kde také probíhá prezentace projektů PRV.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V roce 2025 pokračovala s činností tematická pracovní skupina (TPS) „Uplatnění lokálních potravin ve veřejném stravování“. V průběhu roku 2025 bylo v regionech ČR realizováno 10 setkání členů TPS se zástupci státní správy, zemědělci, podnikateli v oblasti potravinářství, se zástupci školních jídelen a veřejných stravovacích zařízení. Pro zájemce z řad školních jídelen byly připraveny inspirativní návody na přípravu pokrmů s využitím regionálních surovin.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Pokud jde o aktivity na centrální úrovni, byly zrealizovány následující akce, kde proběhla prezentace projektů PRV v různých formách:   </w:t>
            </w:r>
          </w:p>
          <w:p>
            <w:pPr>
              <w:numPr>
                <w:ilvl w:val="0"/>
                <w:numId w:val="25"/>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únor 2025: konference „Výměna know-how a zkušeností mezi mladými lidmi na venkově VII.“, </w:t>
            </w:r>
          </w:p>
          <w:p>
            <w:pPr>
              <w:numPr>
                <w:ilvl w:val="0"/>
                <w:numId w:val="26"/>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březen 2025: exkurze Příklady dobré praxe z čerpání evropský dotačních prostředků v rámci mezinárodní konference CLLD “Prosperující komunity – příležitost pro společnou budoucnost 28+“ – dvě trasy nejen po projektech PRV na území dvou MAS ve Středočeském kraji. </w:t>
            </w:r>
          </w:p>
          <w:p>
            <w:pPr>
              <w:numPr>
                <w:ilvl w:val="0"/>
                <w:numId w:val="27"/>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červen 2025: podpora setkání místních akčních skupin LEADERfest v Táboře, kde byly představeny projekty PRV na videích, v rámci exkurzí a na panelech, </w:t>
            </w:r>
          </w:p>
          <w:p>
            <w:pPr>
              <w:numPr>
                <w:ilvl w:val="0"/>
                <w:numId w:val="28"/>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červen 2025: aktualizace série informačních plakátů pro vstupní vestibul MZe s inspirativními projekty z PRV 2014–2020 </w:t>
            </w:r>
          </w:p>
          <w:p>
            <w:pPr>
              <w:numPr>
                <w:ilvl w:val="0"/>
                <w:numId w:val="29"/>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srpen 2025: prezentace PRV, CSV a jejích partnerů na agrosalonu Země živitelka (prezentace fotografií projektů v rámci expozice), </w:t>
            </w:r>
          </w:p>
          <w:p>
            <w:pPr>
              <w:numPr>
                <w:ilvl w:val="0"/>
                <w:numId w:val="30"/>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září 2025: prezentace PRV, CSV a partnerů na agrosalonu Agrokomplex v Nitře, Slovensko, </w:t>
            </w:r>
          </w:p>
          <w:p>
            <w:pPr>
              <w:numPr>
                <w:ilvl w:val="0"/>
                <w:numId w:val="30"/>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září 2025: „PORTA APERTA – brány dílen, farem a výroben certifikovaných produktů dokořán“ – prezentace realizovaných projektů PRV a aktivit CSV přímo na farmách v rámci dne otevřených dveří,   </w:t>
            </w:r>
          </w:p>
          <w:p>
            <w:pPr>
              <w:numPr>
                <w:ilvl w:val="0"/>
                <w:numId w:val="30"/>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září 2025: Exkurze „Příklady dobré praxe z Programu rozvoje venkova, Strategického plánu SZP a výměna zkušeností s hospodařením v lesích ve Zlínském kraji“ s tematickou ukázkou projektů PRV v navštívených oblastech </w:t>
            </w:r>
          </w:p>
          <w:p>
            <w:pPr>
              <w:numPr>
                <w:ilvl w:val="0"/>
                <w:numId w:val="30"/>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září 2025: Konference k pozemkovým úpravám – příklady dobré praxe z PRV byly představeny v aktualizovaném Manuálu 2025 pro obce a vlastníky pozemků; v rámci exkurze byl navštíven projekt z PRV, </w:t>
            </w:r>
          </w:p>
          <w:p>
            <w:pPr>
              <w:numPr>
                <w:ilvl w:val="0"/>
                <w:numId w:val="30"/>
              </w:numPr>
              <w:spacing w:before="240" w:after="240"/>
              <w:ind w:left="720" w:hanging="210"/>
              <w:jc w:val="left"/>
              <w:rPr>
                <w:rFonts w:ascii="Times New Roman" w:eastAsia="Times New Roman" w:hAnsi="Times New Roman" w:cs="Times New Roman"/>
                <w:szCs w:val="24"/>
              </w:rPr>
            </w:pPr>
            <w:r>
              <w:rPr>
                <w:rFonts w:ascii="Times New Roman" w:eastAsia="Times New Roman" w:hAnsi="Times New Roman" w:cs="Times New Roman"/>
                <w:szCs w:val="24"/>
              </w:rPr>
              <w:t>říjen 2025: Konference Venkov 2025 v Jihočeském kraji představila projekty PRV v rámci workshopů, exkurzí a dalších částí programu.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Významným komunikačním nástrojem směrem k veřejnosti jsou nadále webové stránky mze.gov.cz/venkov (subportál Venkov). Na webových stránkách jsou zveřejňovány veškeré pozvánky na připravované akce CSV a jsou zde prezentovány i další články o úspěšných žadatelích z PRV.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Další sdílení informací o projektech probíhalo díky zveřejňovaným článkům na Facebooku CSV. Facebook CSV sleduje od jeho vzniku k dnešnímu dni 1 300 lidí. </w:t>
            </w:r>
          </w:p>
          <w:p>
            <w:pPr>
              <w:pStyle w:val="BodyText"/>
              <w:jc w:val="both"/>
              <w:rPr>
                <w:b w:val="0"/>
              </w:rPr>
            </w:pPr>
          </w:p>
        </w:tc>
      </w:tr>
    </w:tbl>
    <w:p>
      <w:pPr>
        <w:pStyle w:val="Heading2"/>
      </w:pPr>
      <w:bookmarkStart w:id="24" w:name="_Toc256000024"/>
      <w:r>
        <w:t>Opatření přijatá k zajištění propagace programu (článek 13 prováděcího nařízení Komise (EU) č. 808/2014)</w:t>
      </w:r>
      <w:bookmarkEnd w:id="24"/>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
      <w:tblGrid>
        <w:gridCol w:w="10568"/>
      </w:tblGrid>
      <w:tr>
        <w:tblPrEx>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108" w:type="dxa"/>
            <w:bottom w:w="120" w:type="dxa"/>
            <w:right w:w="108" w:type="dxa"/>
          </w:tblCellMar>
        </w:tblPrEx>
        <w:trPr>
          <w:trHeight w:hRule="auto" w:val="0"/>
        </w:trPr>
        <w:tc>
          <w:tcPr>
            <w:tcW w:w="12000" w:type="dxa"/>
            <w:shd w:val="clear" w:color="auto" w:fill="auto"/>
            <w:noWrap w:val="0"/>
            <w:tcMar>
              <w:top w:w="20" w:type="dxa"/>
              <w:left w:w="20" w:type="dxa"/>
              <w:bottom w:w="20" w:type="dxa"/>
            </w:tcMar>
            <w:vAlign w:val="center"/>
          </w:tcPr>
          <w:p>
            <w:pPr>
              <w:spacing w:before="0" w:after="240"/>
              <w:jc w:val="left"/>
              <w:rPr>
                <w:rFonts w:ascii="Times New Roman" w:eastAsia="Times New Roman" w:hAnsi="Times New Roman" w:cs="Times New Roman"/>
                <w:szCs w:val="24"/>
              </w:rPr>
            </w:pPr>
            <w:r>
              <w:rPr>
                <w:rFonts w:ascii="Times New Roman" w:eastAsia="Times New Roman" w:hAnsi="Times New Roman" w:cs="Times New Roman"/>
                <w:szCs w:val="24"/>
              </w:rPr>
              <w:t>Monitorovací výbor Programu rozvoje venkova 2014–2020 (dále „MV PRV“) na svém 1. jednání dne 23. června 2015 schválil Informační a propagační strategii PRV.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V roce 2025 se informování veřejnosti o PRV zaměřilo na prezentaci realizovaných projektů, a to zejména prostřednictvím aktivit Celostátní sítě pro venkov popsaných v kapitole 4.a2). Od roku 2024 vykonává Celostátní síť pro venkov úkoly národní sítě SZP dle nařízení Evropského parlamentu a Rady (EU) 2021/2115.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Důležitou roli při plnění komunikační strategie hrají webové stránky mze.gov.cz/prv, kde jsou pro veřejnost k dispozici všechny informace potřebné pro podání žádosti o dotaci, ať se již jedná o přehledné popisy postupů administrace, legislativní požadavky, vlastní Pravidla pro žadatele a nařízení vlády včetně metodik pro environmentální opatření PRV nebo příručky pro specifické oblasti administrace. Především do záložky Aktuality jsou vkládány tiskové zprávy, aktuální sdělení, pozvánky na pořádané akce apod. S ohledem na ukončování implementace PRV nebyla v roce 2025 vyhlášena již žádná kola příjmu žádostí. Na internetových stránkách tak byly zveřejňovány metodické informace pro příjemce dotace a dále zpřesnění Pravidel pro žadatele.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Informace o podmínkách administrace včetně Pravidel pro žadatele a dalších dokumentů jsou také k dispozici na internetových stránkách platební agentury https://szif.gov.cz. </w:t>
            </w:r>
          </w:p>
          <w:p>
            <w:pPr>
              <w:spacing w:before="240" w:after="240"/>
              <w:jc w:val="left"/>
              <w:rPr>
                <w:rFonts w:ascii="Times New Roman" w:eastAsia="Times New Roman" w:hAnsi="Times New Roman" w:cs="Times New Roman"/>
                <w:szCs w:val="24"/>
              </w:rPr>
            </w:pPr>
            <w:r>
              <w:rPr>
                <w:rFonts w:ascii="Times New Roman" w:eastAsia="Times New Roman" w:hAnsi="Times New Roman" w:cs="Times New Roman"/>
                <w:szCs w:val="24"/>
              </w:rPr>
              <w:t>Pro zajištění řádného naplňování podmínek povinné publicity ze strany příjemců dotace stanovených prováděcím nařízením Komise č. 808/2014 byla vypracována a schválena Příručka pro publicitu PRV 2014–2020. Tato příručka stanoví základní povinnosti příjemců dotace v oblasti povinné publicity PRV a dále odkazuje na Manuál jednotného vizuálního stylu ESI fondů, který vydalo Ministerstvo pro místní rozvoj.</w:t>
            </w:r>
          </w:p>
          <w:p>
            <w:pPr>
              <w:pStyle w:val="BodyText"/>
              <w:jc w:val="both"/>
            </w:pPr>
          </w:p>
        </w:tc>
      </w:tr>
    </w:tbl>
    <w:p>
      <w:pPr>
        <w:sectPr>
          <w:pgMar w:top="900" w:right="900" w:bottom="900" w:left="900" w:header="720" w:footer="720"/>
          <w:cols w:space="720"/>
        </w:sectPr>
      </w:pPr>
    </w:p>
    <w:p>
      <w:pPr>
        <w:pStyle w:val="Heading1"/>
      </w:pPr>
      <w:bookmarkStart w:id="25" w:name="_Toc256000025"/>
      <w:r>
        <w:t>Opatření přijatá ke splnění předběžných podmínek</w:t>
      </w:r>
      <w:bookmarkEnd w:id="25"/>
    </w:p>
    <w:p>
      <w:r>
        <w:t>Tento oddíl se vztahuje pouze na výroční zprávu/zprávy o provádění za rok(y) 2015, 2016</w:t>
      </w:r>
    </w:p>
    <w:p>
      <w:pPr>
        <w:sectPr>
          <w:pgMar w:top="900" w:right="900" w:bottom="900" w:left="900" w:header="720" w:footer="720"/>
          <w:cols w:space="720"/>
        </w:sectPr>
      </w:pPr>
    </w:p>
    <w:p>
      <w:pPr>
        <w:pStyle w:val="Heading1"/>
      </w:pPr>
      <w:bookmarkStart w:id="26" w:name="_Toc256000026"/>
      <w:r>
        <w:t>Popis provádění podprogramů</w:t>
      </w:r>
      <w:bookmarkEnd w:id="26"/>
    </w:p>
    <w:p>
      <w:r>
        <w:t>Tento oddíl se vztahuje pouze na výroční zprávu/zprávy o provádění za rok(y) 2016, 2018</w:t>
      </w:r>
    </w:p>
    <w:p>
      <w:pPr>
        <w:sectPr>
          <w:pgMar w:top="900" w:right="900" w:bottom="900" w:left="900" w:header="720" w:footer="720"/>
          <w:cols w:space="720"/>
        </w:sectPr>
      </w:pPr>
    </w:p>
    <w:p>
      <w:pPr>
        <w:pStyle w:val="Heading1"/>
      </w:pPr>
      <w:bookmarkStart w:id="27" w:name="_Toc256000027"/>
      <w:r>
        <w:t>Posouzení informací a pokroku při plnění cílů programu</w:t>
      </w:r>
      <w:bookmarkEnd w:id="27"/>
    </w:p>
    <w:p>
      <w:r>
        <w:t>Tento oddíl se vztahuje pouze na výroční zprávu/zprávy o provádění za rok(y) 2016, 2018</w:t>
      </w:r>
    </w:p>
    <w:p>
      <w:pPr>
        <w:sectPr>
          <w:pgMar w:top="900" w:right="900" w:bottom="900" w:left="900" w:header="720" w:footer="720"/>
          <w:cols w:space="720"/>
        </w:sectPr>
      </w:pPr>
    </w:p>
    <w:p>
      <w:pPr>
        <w:pStyle w:val="Heading1"/>
      </w:pPr>
      <w:r>
        <w:t xml:space="preserve"> </w:t>
      </w:r>
      <w:bookmarkStart w:id="28" w:name="_Toc256000028"/>
      <w:r>
        <w:t>Provádění opatření zohledňujících zásady uvedené v článcích 5, 7 a 8 nařízení (EU) č. 1303/2013</w:t>
      </w:r>
      <w:bookmarkEnd w:id="28"/>
    </w:p>
    <w:p>
      <w:r>
        <w:t>Tento oddíl se vztahuje pouze na výroční zprávu/zprávy o provádění za rok(y) 2016, 2018</w:t>
      </w:r>
    </w:p>
    <w:p>
      <w:pPr>
        <w:sectPr>
          <w:pgMar w:top="900" w:right="900" w:bottom="900" w:left="900" w:header="720" w:footer="720"/>
          <w:cols w:space="720"/>
        </w:sectPr>
      </w:pPr>
    </w:p>
    <w:p>
      <w:pPr>
        <w:pStyle w:val="Heading1"/>
      </w:pPr>
      <w:r>
        <w:br w:type="page"/>
      </w:r>
      <w:bookmarkStart w:id="29" w:name="_Toc256000029"/>
      <w:r>
        <w:t>Pokrok, jehož bylo dosaženo při zajišťování integrovaného přístupu k využívání EZFRV a jiných finančních nástrojů Unie</w:t>
      </w:r>
      <w:bookmarkEnd w:id="29"/>
    </w:p>
    <w:p>
      <w:r>
        <w:t>Tento oddíl se vztahuje pouze na výroční zprávu/zprávy o provádění za rok(y) 2018</w:t>
      </w:r>
    </w:p>
    <w:p>
      <w:pPr>
        <w:sectPr>
          <w:pgMar w:top="900" w:right="900" w:bottom="900" w:left="900" w:header="720" w:footer="720"/>
          <w:cols w:space="720"/>
        </w:sectPr>
      </w:pPr>
    </w:p>
    <w:p>
      <w:pPr>
        <w:pStyle w:val="Heading1"/>
      </w:pPr>
      <w:bookmarkStart w:id="30" w:name="_Toc256000030"/>
      <w:r>
        <w:t>Zpráva o provádění finančních nástrojů (článek 46 nařízení (EU) č. 1303/2013)</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284"/>
        <w:gridCol w:w="528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3300" w:type="pct"/>
            <w:shd w:val="clear" w:color="auto" w:fill="auto"/>
            <w:noWrap w:val="0"/>
            <w:tcMar>
              <w:top w:w="20" w:type="dxa"/>
              <w:left w:w="20" w:type="dxa"/>
              <w:bottom w:w="20" w:type="dxa"/>
            </w:tcMar>
            <w:vAlign w:val="center"/>
          </w:tcPr>
          <w:p>
            <w:pPr>
              <w:spacing w:before="20" w:after="20"/>
              <w:jc w:val="left"/>
              <w:rPr>
                <w:sz w:val="24"/>
              </w:rPr>
            </w:pPr>
            <w:r>
              <w:rPr>
                <w:sz w:val="24"/>
              </w:rPr>
              <w:t>30A. Bylo předběžné posouzení zahájeno?</w:t>
            </w:r>
          </w:p>
        </w:tc>
        <w:tc>
          <w:tcPr>
            <w:tcW w:w="0" w:type="auto"/>
            <w:shd w:val="clear" w:color="auto" w:fill="auto"/>
            <w:noWrap w:val="0"/>
            <w:tcMar>
              <w:top w:w="20" w:type="dxa"/>
              <w:left w:w="20" w:type="dxa"/>
              <w:bottom w:w="20" w:type="dxa"/>
            </w:tcMar>
            <w:vAlign w:val="center"/>
          </w:tcPr>
          <w:p>
            <w:pPr>
              <w:spacing w:before="20" w:after="20"/>
              <w:jc w:val="left"/>
              <w:rPr>
                <w:sz w:val="24"/>
              </w:rPr>
            </w:pPr>
            <w:r>
              <w:rPr>
                <w:sz w:val="24"/>
              </w:rPr>
              <w:t>Ne</w:t>
            </w:r>
          </w:p>
        </w:tc>
      </w:tr>
      <w:tr>
        <w:tblPrEx>
          <w:tblW w:w="5000" w:type="pct"/>
          <w:tblCellMar>
            <w:left w:w="108" w:type="dxa"/>
            <w:right w:w="108" w:type="dxa"/>
          </w:tblCellMar>
        </w:tblPrEx>
        <w:trPr>
          <w:trHeight w:hRule="auto" w:val="0"/>
        </w:trPr>
        <w:tc>
          <w:tcPr>
            <w:tcW w:w="3300" w:type="pct"/>
            <w:shd w:val="clear" w:color="auto" w:fill="auto"/>
            <w:noWrap w:val="0"/>
            <w:tcMar>
              <w:top w:w="20" w:type="dxa"/>
              <w:left w:w="20" w:type="dxa"/>
              <w:bottom w:w="20" w:type="dxa"/>
            </w:tcMar>
            <w:vAlign w:val="center"/>
          </w:tcPr>
          <w:p>
            <w:pPr>
              <w:spacing w:before="20" w:after="20"/>
              <w:jc w:val="left"/>
              <w:rPr>
                <w:sz w:val="24"/>
              </w:rPr>
            </w:pPr>
            <w:r>
              <w:rPr>
                <w:sz w:val="24"/>
              </w:rPr>
              <w:t>30B. Bylo předběžné posouzení dokončeno?</w:t>
            </w:r>
          </w:p>
        </w:tc>
        <w:tc>
          <w:tcPr>
            <w:tcW w:w="0" w:type="auto"/>
            <w:shd w:val="clear" w:color="auto" w:fill="auto"/>
            <w:noWrap w:val="0"/>
            <w:tcMar>
              <w:top w:w="20" w:type="dxa"/>
              <w:left w:w="20" w:type="dxa"/>
              <w:bottom w:w="20" w:type="dxa"/>
            </w:tcMar>
            <w:vAlign w:val="center"/>
          </w:tcPr>
          <w:p>
            <w:pPr>
              <w:spacing w:before="20" w:after="20"/>
              <w:jc w:val="left"/>
              <w:rPr>
                <w:sz w:val="24"/>
              </w:rPr>
            </w:pPr>
            <w:r>
              <w:rPr>
                <w:sz w:val="24"/>
              </w:rPr>
              <w:t>Ne</w:t>
            </w:r>
          </w:p>
        </w:tc>
      </w:tr>
      <w:tr>
        <w:tblPrEx>
          <w:tblW w:w="5000" w:type="pct"/>
          <w:tblCellMar>
            <w:left w:w="108" w:type="dxa"/>
            <w:right w:w="108" w:type="dxa"/>
          </w:tblCellMar>
        </w:tblPrEx>
        <w:trPr>
          <w:trHeight w:hRule="auto" w:val="0"/>
        </w:trPr>
        <w:tc>
          <w:tcPr>
            <w:tcW w:w="3300" w:type="pct"/>
            <w:shd w:val="clear" w:color="auto" w:fill="auto"/>
            <w:noWrap w:val="0"/>
            <w:tcMar>
              <w:top w:w="20" w:type="dxa"/>
              <w:left w:w="20" w:type="dxa"/>
              <w:bottom w:w="20" w:type="dxa"/>
            </w:tcMar>
            <w:vAlign w:val="center"/>
          </w:tcPr>
          <w:p>
            <w:pPr>
              <w:spacing w:before="20" w:after="20"/>
              <w:jc w:val="left"/>
              <w:rPr>
                <w:sz w:val="24"/>
              </w:rPr>
            </w:pPr>
            <w:r>
              <w:rPr>
                <w:sz w:val="24"/>
              </w:rPr>
              <w:t>30. Datum dokončení předběžného posouzení</w:t>
            </w:r>
          </w:p>
        </w:tc>
        <w:tc>
          <w:tcPr>
            <w:tcW w:w="0" w:type="auto"/>
            <w:shd w:val="clear" w:color="auto" w:fill="auto"/>
            <w:noWrap w:val="0"/>
            <w:tcMar>
              <w:top w:w="20" w:type="dxa"/>
              <w:left w:w="20" w:type="dxa"/>
              <w:bottom w:w="20" w:type="dxa"/>
            </w:tcMar>
            <w:vAlign w:val="center"/>
          </w:tcPr>
          <w:p>
            <w:pPr>
              <w:spacing w:before="20" w:after="20"/>
              <w:jc w:val="left"/>
              <w:rPr>
                <w:sz w:val="24"/>
              </w:rPr>
            </w:pPr>
            <w:r>
              <w:rPr>
                <w:sz w:val="24"/>
              </w:rPr>
              <w:t xml:space="preserve"> - </w:t>
            </w:r>
          </w:p>
        </w:tc>
      </w:tr>
      <w:tr>
        <w:tblPrEx>
          <w:tblW w:w="5000" w:type="pct"/>
          <w:tblCellMar>
            <w:left w:w="108" w:type="dxa"/>
            <w:right w:w="108" w:type="dxa"/>
          </w:tblCellMar>
        </w:tblPrEx>
        <w:trPr>
          <w:trHeight w:hRule="auto" w:val="0"/>
        </w:trPr>
        <w:tc>
          <w:tcPr>
            <w:tcW w:w="3300" w:type="pct"/>
            <w:shd w:val="clear" w:color="auto" w:fill="auto"/>
            <w:noWrap w:val="0"/>
            <w:tcMar>
              <w:top w:w="20" w:type="dxa"/>
              <w:left w:w="20" w:type="dxa"/>
              <w:bottom w:w="20" w:type="dxa"/>
            </w:tcMar>
            <w:vAlign w:val="center"/>
          </w:tcPr>
          <w:p>
            <w:pPr>
              <w:spacing w:before="20" w:after="20"/>
              <w:jc w:val="left"/>
              <w:rPr>
                <w:sz w:val="24"/>
              </w:rPr>
            </w:pPr>
            <w:r>
              <w:rPr>
                <w:sz w:val="24"/>
              </w:rPr>
              <w:t>31.1 Byl proces výběru nebo určení již zahájen?</w:t>
            </w:r>
          </w:p>
        </w:tc>
        <w:tc>
          <w:tcPr>
            <w:tcW w:w="0" w:type="auto"/>
            <w:shd w:val="clear" w:color="auto" w:fill="auto"/>
            <w:noWrap w:val="0"/>
            <w:tcMar>
              <w:top w:w="20" w:type="dxa"/>
              <w:left w:w="20" w:type="dxa"/>
              <w:bottom w:w="20" w:type="dxa"/>
            </w:tcMar>
            <w:vAlign w:val="center"/>
          </w:tcPr>
          <w:p>
            <w:pPr>
              <w:spacing w:before="20" w:after="20"/>
              <w:jc w:val="left"/>
              <w:rPr>
                <w:sz w:val="24"/>
              </w:rPr>
            </w:pPr>
            <w:r>
              <w:rPr>
                <w:sz w:val="24"/>
              </w:rPr>
              <w:t>Ne</w:t>
            </w:r>
          </w:p>
        </w:tc>
      </w:tr>
      <w:tr>
        <w:tblPrEx>
          <w:tblW w:w="5000" w:type="pct"/>
          <w:tblCellMar>
            <w:left w:w="108" w:type="dxa"/>
            <w:right w:w="108" w:type="dxa"/>
          </w:tblCellMar>
        </w:tblPrEx>
        <w:trPr>
          <w:trHeight w:hRule="auto" w:val="0"/>
        </w:trPr>
        <w:tc>
          <w:tcPr>
            <w:tcW w:w="3300" w:type="pct"/>
            <w:shd w:val="clear" w:color="auto" w:fill="auto"/>
            <w:noWrap w:val="0"/>
            <w:tcMar>
              <w:top w:w="20" w:type="dxa"/>
              <w:left w:w="20" w:type="dxa"/>
              <w:bottom w:w="20" w:type="dxa"/>
            </w:tcMar>
            <w:vAlign w:val="center"/>
          </w:tcPr>
          <w:p>
            <w:pPr>
              <w:spacing w:before="20" w:after="20"/>
              <w:jc w:val="left"/>
              <w:rPr>
                <w:sz w:val="24"/>
              </w:rPr>
            </w:pPr>
            <w:r>
              <w:rPr>
                <w:sz w:val="24"/>
              </w:rPr>
              <w:t>13A. Byla dohoda o financování podepsána?</w:t>
            </w:r>
          </w:p>
        </w:tc>
        <w:tc>
          <w:tcPr>
            <w:tcW w:w="0" w:type="auto"/>
            <w:shd w:val="clear" w:color="auto" w:fill="auto"/>
            <w:noWrap w:val="0"/>
            <w:tcMar>
              <w:top w:w="20" w:type="dxa"/>
              <w:left w:w="20" w:type="dxa"/>
              <w:bottom w:w="20" w:type="dxa"/>
            </w:tcMar>
            <w:vAlign w:val="center"/>
          </w:tcPr>
          <w:p>
            <w:pPr>
              <w:spacing w:before="20" w:after="20"/>
              <w:jc w:val="left"/>
              <w:rPr>
                <w:sz w:val="24"/>
              </w:rPr>
            </w:pPr>
            <w:r>
              <w:rPr>
                <w:sz w:val="24"/>
              </w:rPr>
              <w:t>Ne</w:t>
            </w:r>
          </w:p>
        </w:tc>
      </w:tr>
      <w:tr>
        <w:tblPrEx>
          <w:tblW w:w="5000" w:type="pct"/>
          <w:tblCellMar>
            <w:left w:w="108" w:type="dxa"/>
            <w:right w:w="108" w:type="dxa"/>
          </w:tblCellMar>
        </w:tblPrEx>
        <w:trPr>
          <w:trHeight w:hRule="auto" w:val="0"/>
        </w:trPr>
        <w:tc>
          <w:tcPr>
            <w:tcW w:w="3300" w:type="pct"/>
            <w:shd w:val="clear" w:color="auto" w:fill="auto"/>
            <w:noWrap w:val="0"/>
            <w:tcMar>
              <w:top w:w="20" w:type="dxa"/>
              <w:left w:w="20" w:type="dxa"/>
              <w:bottom w:w="20" w:type="dxa"/>
            </w:tcMar>
            <w:vAlign w:val="center"/>
          </w:tcPr>
          <w:p>
            <w:pPr>
              <w:spacing w:before="20" w:after="20"/>
              <w:jc w:val="left"/>
              <w:rPr>
                <w:sz w:val="24"/>
              </w:rPr>
            </w:pPr>
            <w:r>
              <w:rPr>
                <w:sz w:val="24"/>
              </w:rPr>
              <w:t>13. Datum podpisu dohody o financování se subjektem provádějícím finanční nástroj</w:t>
            </w:r>
          </w:p>
        </w:tc>
        <w:tc>
          <w:tcPr>
            <w:tcW w:w="0" w:type="auto"/>
            <w:shd w:val="clear" w:color="auto" w:fill="auto"/>
            <w:noWrap w:val="0"/>
            <w:tcMar>
              <w:top w:w="20" w:type="dxa"/>
              <w:left w:w="20" w:type="dxa"/>
              <w:bottom w:w="20" w:type="dxa"/>
            </w:tcMar>
            <w:vAlign w:val="center"/>
          </w:tcPr>
          <w:p>
            <w:pPr>
              <w:spacing w:before="20" w:after="20"/>
              <w:jc w:val="left"/>
              <w:rPr>
                <w:sz w:val="24"/>
              </w:rPr>
            </w:pPr>
            <w:r>
              <w:rPr>
                <w:sz w:val="24"/>
              </w:rPr>
              <w:t xml:space="preserve"> - </w:t>
            </w:r>
          </w:p>
        </w:tc>
      </w:tr>
    </w:tbl>
    <w:p>
      <w:pPr>
        <w:rPr>
          <w:sz w:val="28"/>
        </w:rPr>
        <w:sectPr>
          <w:pgMar w:top="900" w:right="900" w:bottom="900" w:left="900" w:header="720" w:footer="720"/>
          <w:cols w:space="720"/>
        </w:sectPr>
      </w:pPr>
    </w:p>
    <w:p>
      <w:pPr>
        <w:pStyle w:val="Heading1"/>
      </w:pPr>
      <w:bookmarkStart w:id="31" w:name="_Toc256000031"/>
      <w:r>
        <w:t>Zadávací tabulky pro společné a specifické programové ukazatele a vyčíslené cílové hodnoty</w:t>
      </w:r>
      <w:bookmarkEnd w:id="31"/>
    </w:p>
    <w:p>
      <w:r>
        <w:t>Viz Příloha pro účely monitorování</w:t>
      </w:r>
    </w:p>
    <w:p>
      <w:pPr>
        <w:pStyle w:val="Subtitle"/>
        <w:rPr>
          <w:sz w:val="24"/>
        </w:rPr>
      </w:pPr>
      <w:r>
        <w:br w:type="page"/>
      </w:r>
      <w:bookmarkStart w:id="32" w:name="_Toc256000032"/>
      <w:r>
        <w:rPr>
          <w:sz w:val="24"/>
        </w:rPr>
        <w:t>Příloha II</w:t>
      </w:r>
      <w:bookmarkEnd w:id="32"/>
    </w:p>
    <w:p>
      <w:pPr>
        <w:rPr>
          <w:sz w:val="24"/>
        </w:rPr>
      </w:pPr>
      <w:r>
        <w:rPr>
          <w:sz w:val="24"/>
        </w:rPr>
        <w:t>Tabulka podrobně znázorňující úroveň provádění podle prioritních oblastí včetně ukazatelů výstupů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0" w:type="auto"/>
            <w:gridSpan w:val="8"/>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1A</w:t>
            </w:r>
          </w:p>
        </w:tc>
      </w:tr>
      <w:tr>
        <w:tblPrEx>
          <w:tblW w:w="5000" w:type="pct"/>
          <w:tblCellMar>
            <w:left w:w="108" w:type="dxa"/>
            <w:right w:w="108" w:type="dxa"/>
          </w:tblCellMar>
        </w:tblPrEx>
        <w:trPr>
          <w:trHeight w:hRule="auto" w:val="0"/>
        </w:trPr>
        <w:tc>
          <w:tcPr>
            <w:tcW w:w="200" w:type="pct"/>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1A</w:t>
            </w:r>
          </w:p>
        </w:tc>
        <w:tc>
          <w:tcPr>
            <w:tcW w:w="1050" w:type="pct"/>
            <w:vMerge w:val="restart"/>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T1: podíl výdajů podle článků 14, 15 a 35 nařízení (EU) č. 1305/2013 v poměru k celkovým výdajům na program rozvoje venkova (prioritní oblast 1A)</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2,42</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99,91</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2,42</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2,42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99,91</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2,36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97,44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2,29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94,55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1,96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80,92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76,38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46,65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0,61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25,18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0,24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9,91</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1B</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1B</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T2: Celkový počet operací spolupráce podpořených v rámci opatření „spolupráce“ (článek 35 nařízení (EU) č. 1305/2013) (seskupení, sítě/klastry, pilotní projekty …) (prioritní oblast 1B)</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251,00</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132,80</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189,00</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253,00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133,86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252,00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133,33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241,00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127,51</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201,00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106,35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91,00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48,15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48,00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25,40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2,65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1C</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1C</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T3: Celkový počet vyškolených účastníků podle článku 14 nařízení (EU) č. 1305/2013 (prioritní oblast 1C)</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21 665,00</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104,23</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20 786,00</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17 873,00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85,99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12 232,00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58,85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9 934,00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47,79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6 707,00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32,27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5 941,00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28,58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3 841,00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18,48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1 739,00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8,37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388,00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2A</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2A</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T4: podíl zemědělských podniků s podporou z programu rozvoje venkova na investice do restrukturalizace nebo modernizace (prioritní oblast 2A)</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34,26</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129,55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34,26</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129,55</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26,45</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34,34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129,85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33,93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128,30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34,77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131,48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32,21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121,80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35,15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132,91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27,00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102,10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27,30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103,23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23,04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87,12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27,04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102,25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20,12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76,08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24,77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93,66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15,27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57,74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19,06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72,07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10,86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41,06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12,54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47,42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4,02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15,20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5,58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21,10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0,23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Ukazatel výstupů</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sz w:val="16"/>
              </w:rPr>
              <w:t>2A</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877 593 295,49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108,58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796 819 313,41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98,58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808 259 241,09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1 332 176,39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142,63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920 315,14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98,53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934 002,90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642 027,52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98,73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650 293,40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O12 - Počet účastníků odborné přípravy</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8 015,00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102,14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7 847,00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860 284 337,35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109,81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772 041 315,50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98,55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783 407 499,57</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O2 - Celkové investice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1 425 865 221,29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1 452 695 263,52</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587 897 370,72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98,04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599 628 104,99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O4 - Počet podporovaných zemědělských podniků / příjemců</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8 993,00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129,56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6 941,00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M04.3</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184 143 944,78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183 779 394,58</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M16</w:t>
            </w:r>
          </w:p>
        </w:tc>
        <w:tc>
          <w:tcPr>
            <w:tcW w:w="105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15 976 781,75</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66,80</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23 857 682,77</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99,75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23 917 738,62</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2B</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2B</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T5: podíl zemědělských podniků s podporou z programu rozvoje venkova na plán rozvoje podnikatelské činnosti / investice pro mladé zemědělce (prioritní oblast 2B)</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4,66</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98,32</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4,66</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98,32</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4,74</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4,68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98,74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4,68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98,74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100,22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4,80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101,27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4,80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101,27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4,34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91,57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4,34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91,57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3,89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82,07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3,89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82,07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4,02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84,81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4,02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84,81</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2,99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63,08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2,99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63,08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2,07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43,67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2,06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43,46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Ukazatel výstupů</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sz w:val="16"/>
              </w:rPr>
              <w:t>2B</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63 391 324,36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112,82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54 787 797,30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97,50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56 189 931,15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126 820,05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73,63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172 601,64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172 246,03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142 019,25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141 663,64</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O12 - Počet účastníků odborné přípravy</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2 123,00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2 123,00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63 264 504,31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112,94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54 615 195,66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97,50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56 017 685,12</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O2 - Celkové investice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58 118 628,59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64 420 337,89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54 615 195,66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97,50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56 017 685,12</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M06.1</w:t>
            </w:r>
          </w:p>
        </w:tc>
        <w:tc>
          <w:tcPr>
            <w:tcW w:w="105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O4 - Počet podporovaných zemědělských podniků / příjemců</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1 222,00</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98,23</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1 244,00</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2C+</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2C+</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Zlepšení struktury LDS - navýšení hustoty (m/ha)</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0,09</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39,13</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0,23</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39,13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30,43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26,09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21,74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26,09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39,13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17,39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4,35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Ukazatel výstupů</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sz w:val="16"/>
              </w:rPr>
              <w:t>2C+</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113 963 407,87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111,28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101 512 493,80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99,13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102 408 534,78</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191 733,94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2 338,62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8 198,61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8 198,60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8 198,61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8 198,60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O12 - Počet účastníků odborné přípravy</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61,00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78,21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78,00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57 255 625,45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110,40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51 777 992,56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99,84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51 861 049,89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O2 - Celkové investice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62 220 522,87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95,98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64 826 312,36</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56 516 048,48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111,83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49 726 302,63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98,39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50 539 286,29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M08.6</w:t>
            </w:r>
          </w:p>
        </w:tc>
        <w:tc>
          <w:tcPr>
            <w:tcW w:w="105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49 726 302,63</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98,39</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50 539 286,29</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3A</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3A</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T6: podíl zemědělských podniků pobírajících podporu na účast v režimech jakosti, na místních trzích nebo v krátkých dodavatelských řetězcích a seskupeních/organizacích producentů (prioritní oblast 3A)</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0,01</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131,23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131,23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131,23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Podíl potravinářských podniků s podporou z PRV na investice do přidávání hodnoty vůči všem potravinářským podnikům (%)</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5,50</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124,43</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4,42</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5,47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123,76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5,32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120,36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4,81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108,82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4,51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102,04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4,10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92,76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8,55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193,44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135,75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2,30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52,04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Ukazatel výstupů</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sz w:val="16"/>
              </w:rPr>
              <w:t>3A</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571 949 394,61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109,30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514 644 882,17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98,35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523 278 194,29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1 087 966,20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135,76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793 436,04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801 411,45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583 195,75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98,68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590 982,72</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O12 - Počet účastníků odborné přípravy</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6 600,00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114,80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5 749,00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230 414 606,29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108,58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203 579 824,78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95,93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212 214 369,38</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O2 - Celkové investice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471 501 575,92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99,36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474 540 181,97</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M04.1</w:t>
            </w:r>
          </w:p>
          <w:p>
            <w:pPr>
              <w:keepNext/>
              <w:spacing w:before="60" w:after="60"/>
              <w:jc w:val="left"/>
              <w:rPr>
                <w:b w:val="0"/>
                <w:sz w:val="16"/>
              </w:rPr>
            </w:pPr>
            <w:r>
              <w:rPr>
                <w:b w:val="0"/>
                <w:sz w:val="16"/>
              </w:rPr>
              <w:t>M04.2</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O3 - Počet podpořených akcí/operací</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1 783,00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117,77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1 514,00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222 011 227,72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100,14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221 648 335,38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99,98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221 700 639,55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O4 - Počet podporovaných zemědělských podniků / příjemců</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1 400,00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M16</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118 435 594,40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133,73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88 623 285,97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100,07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88 561 773,91</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M16.4</w:t>
            </w:r>
          </w:p>
        </w:tc>
        <w:tc>
          <w:tcPr>
            <w:tcW w:w="105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O9 - Počet podniků účastnících se podpořených režimů</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2,00</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Priorita P4</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P4</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T13: podíl lesní půdy pod závazkem obhospodařování zlepšujícím hospodaření s půdou a/nebo předcházení erozi půdy (prioritní oblast 4C)</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0,79</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150,98</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0,52</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0,79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150,98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0,79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150,98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0,75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143,33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0,69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131,87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0,53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101,29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0,39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74,53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0,24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45,87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11,47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T8: podíl lesní půdy / jiných zalesněných ploch, na něž se vztahují smlouvy o obhospodařování podporující biologickou rozmanitost (prioritní oblast 4A)</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0,60</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519,83</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0,12</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0,60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519,83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0,60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519,83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0,60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519,83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0,60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519,83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0,44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381,21</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0,53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459,18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69,31</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51,98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T12: podíl zemědělské půdy pod závazkem obhospodařování zlepšujícím hospodaření s půdou a/nebo předcházení erozi půdy (prioritní oblast 4C)</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16,49</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98,02</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16,82</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16,49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98,02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16,44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97,73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15,91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94,58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15,62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92,85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7,71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45,83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45,59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7,20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42,80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7,02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41,73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5,49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32,63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T10: podíl zemědělské půdy pod závazkem obhospodařování zlepšujícím hospodaření s vodou (prioritní oblast 4B)</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15,97</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101,13</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15,79</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15,97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101,13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15,92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100,81</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15,40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97,52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15,11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95,68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48,19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7,40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46,86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6,97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44,14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6,87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43,50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5,48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34,70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T9: podíl zemědělské půdy pod závazkem obhospodařování podporujícím biologickou rozmanitost a/nebo krajinu (prioritní oblast 4A)</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41,93</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145,84</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28,75</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41,93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145,84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41,73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145,15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36,32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126,33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34,30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119,30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33,37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116,07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32,47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112,94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30,99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107,79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24,23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84,28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18,86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65,60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Ukazatel výstupů</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sz w:val="16"/>
              </w:rPr>
              <w:t>P4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3 126 382 040,04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108,15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3 033 630 351,17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104,94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2 890 732 937,66</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1 356 494,47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173,24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781 950,03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99,86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783 033,56</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283 564,87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99,59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284 721,03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O12 - Počet účastníků odborné přípravy</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4 866,00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97,53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4 989,00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50 712 208,94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88,83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55 614 807,77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97,41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57 090 979,68</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M08.3</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2 544 246,71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77,98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3 262 630,40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M08.3</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O4 - Počet podporovaných zemědělských podniků / příjemců</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63,00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M08.4</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26 403 682,89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97,46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27 092 600,50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M08.5</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26 666 878,17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99,74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26 735 748,78</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M08.5</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O3 - Počet podpořených akcí/operací</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597,00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995,00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M08.5</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12 976,00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95,41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13 600,00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M10</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1 321 202 806,50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113,94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1 304 534 042,32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112,50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1 159 564 904,61</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M10.1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868 000,00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559 352 172,20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111,59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501 812 537,76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100,11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501 276 979,60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M11.1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57 027,00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M11.2</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494 386,00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M12</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6 929 395,29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99,74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6 928 854,54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99,73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6 947 446,79</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M12.1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13 000,00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M13</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1 173 380 466,29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101,87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1 150 737 658,35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99,91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1 151 800 799,00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M13.1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515 000,00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M13.2</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1 250 000,00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M13.3</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220 000,00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M15</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13 448 496,35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101,35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13 220 500,40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99,64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13 268 794,42</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M15.1</w:t>
            </w:r>
          </w:p>
        </w:tc>
        <w:tc>
          <w:tcPr>
            <w:tcW w:w="105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0,00</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0,00</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3 000,00</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5C</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5C</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T16: celkové investice do výroby energie z obnovitelných zdrojů (v EUR) (prioritní oblast 5C)</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4 635 449,55</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98,77</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4 635 449,55</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98,77</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4 693 290,64</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4 654 344,50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4 364 397,36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92,99</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4 687 678,98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99,88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2 617 538,09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55,77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2 947 366,60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62,80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2 251 532,39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47,97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2 251 532,39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47,97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2 251 532,39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47,97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2 340 385,60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49,87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2 251 532,39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47,97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3 588 784,25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76,47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1 835 848,83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39,12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3 234 093,00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68,91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845 016,00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18,00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2 046 079,00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43,60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Ukazatel výstupů</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sz w:val="16"/>
              </w:rPr>
              <w:t>5C</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2 589 184,42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130,28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1 977 720,28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99,51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1 987 397,70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2 589 184,42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130,28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1 977 720,28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99,51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1 987 397,70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O2 - Celkové investice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4 635 449,55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98,77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4 693 290,64</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O3 - Počet podpořených akcí/operací</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26,00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81,25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32,00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M06.2</w:t>
            </w:r>
          </w:p>
          <w:p>
            <w:pPr>
              <w:spacing w:before="60" w:after="60"/>
              <w:jc w:val="left"/>
              <w:rPr>
                <w:b w:val="0"/>
                <w:sz w:val="16"/>
              </w:rPr>
            </w:pPr>
            <w:r>
              <w:rPr>
                <w:b w:val="0"/>
                <w:sz w:val="16"/>
              </w:rPr>
              <w:t>M06.4</w:t>
            </w:r>
          </w:p>
        </w:tc>
        <w:tc>
          <w:tcPr>
            <w:tcW w:w="105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O4 - Počet podporovaných zemědělských podniků / příjemců</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26,00</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81,25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32,00</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5E</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5E</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T19: podíl zemědělské a lesní půdy pod závazkem obhospodařování přispívajícím k pohlcování a ukládání uhlíku (prioritní oblast 5E)</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0,02</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Ukazatel výstupů</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sz w:val="16"/>
              </w:rPr>
              <w:t>5E</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8 161 261,50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89,47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8 681 900,41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9 121 748,05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113 601,29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8 047 660,21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88,22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8 681 900,41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9 121 748,05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M08.1</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8 681 900,41</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9 121 748,05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M08.1</w:t>
            </w:r>
          </w:p>
        </w:tc>
        <w:tc>
          <w:tcPr>
            <w:tcW w:w="105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O5 - Celková plocha (ha)</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215,00</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23,37</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920,00</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6A</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6A</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T20: pracovní místa vytvořená v rámci podpořených projektů (prioritní oblast 6A)</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644,00</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99,54</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647,00</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618,00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95,52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567,00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87,64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507,00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78,36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408,00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63,06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307,00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47,45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203,00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31,38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109,00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16,85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Ukazatel výstupů</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sz w:val="16"/>
              </w:rPr>
              <w:t>6A</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95 880 305,00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123,08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77 064 313,05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98,93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77 898 118,66</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95 880 305,00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123,08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77 064 313,05</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98,93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77 898 118,66</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O2 - Celkové investice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174 793 310,88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91,43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191 182 877,65</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M06.2</w:t>
            </w:r>
          </w:p>
          <w:p>
            <w:pPr>
              <w:spacing w:before="60" w:after="60"/>
              <w:jc w:val="left"/>
              <w:rPr>
                <w:b w:val="0"/>
                <w:sz w:val="16"/>
              </w:rPr>
            </w:pPr>
            <w:r>
              <w:rPr>
                <w:b w:val="0"/>
                <w:sz w:val="16"/>
              </w:rPr>
              <w:t>M06.4</w:t>
            </w:r>
          </w:p>
        </w:tc>
        <w:tc>
          <w:tcPr>
            <w:tcW w:w="105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O4 - Počet podporovaných zemědělských podniků / příjemců</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1 495,00</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148,02</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1 010,00</w:t>
            </w:r>
          </w:p>
        </w:tc>
      </w:tr>
    </w:tbl>
    <w:p>
      <w:pPr>
        <w:spacing w:before="60" w:after="60"/>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321"/>
        <w:gridCol w:w="1321"/>
        <w:gridCol w:w="1321"/>
        <w:gridCol w:w="1321"/>
        <w:gridCol w:w="1321"/>
        <w:gridCol w:w="1321"/>
        <w:gridCol w:w="1321"/>
        <w:gridCol w:w="132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gridSpan w:val="8"/>
            <w:tcBorders>
              <w:bottom w:val="single" w:sz="4" w:space="0" w:color="auto"/>
            </w:tcBorders>
            <w:shd w:val="clear" w:color="auto" w:fill="808080"/>
            <w:noWrap w:val="0"/>
            <w:tcMar>
              <w:top w:w="20" w:type="dxa"/>
              <w:left w:w="20" w:type="dxa"/>
              <w:bottom w:w="20" w:type="dxa"/>
            </w:tcMar>
            <w:vAlign w:val="center"/>
          </w:tcPr>
          <w:p>
            <w:pPr>
              <w:keepNext/>
              <w:spacing w:before="60" w:after="60"/>
              <w:jc w:val="center"/>
              <w:rPr>
                <w:b/>
                <w:sz w:val="20"/>
              </w:rPr>
            </w:pPr>
            <w:r>
              <w:rPr>
                <w:b/>
                <w:sz w:val="20"/>
              </w:rPr>
              <w:t>Prioritní oblast 6B</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Název cílového ukazatele</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Na základě schválených (v patřičných případech)</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750" w:type="pct"/>
            <w:tcBorders>
              <w:bottom w:val="single" w:sz="4" w:space="0" w:color="auto"/>
            </w:tcBorders>
            <w:shd w:val="clear" w:color="auto" w:fill="E6E6E6"/>
            <w:noWrap w:val="0"/>
            <w:tcMar>
              <w:top w:w="20" w:type="dxa"/>
              <w:left w:w="20" w:type="dxa"/>
              <w:bottom w:w="20" w:type="dxa"/>
            </w:tcMar>
            <w:vAlign w:val="center"/>
          </w:tcPr>
          <w:p>
            <w:pPr>
              <w:keepNext/>
              <w:spacing w:before="60" w:after="60"/>
              <w:jc w:val="center"/>
              <w:rPr>
                <w:b w:val="0"/>
                <w:sz w:val="16"/>
              </w:rPr>
            </w:pPr>
            <w:r>
              <w:rPr>
                <w:b w:val="0"/>
                <w:sz w:val="16"/>
              </w:rPr>
              <w:t>Cíl 2025</w:t>
            </w:r>
          </w:p>
        </w:tc>
      </w:tr>
      <w:tr>
        <w:tblPrEx>
          <w:tblW w:w="5000" w:type="pct"/>
          <w:tblCellMar>
            <w:left w:w="108" w:type="dxa"/>
            <w:right w:w="108" w:type="dxa"/>
          </w:tblCellMar>
        </w:tblPrEx>
        <w:trPr>
          <w:trHeight w:hRule="auto" w:val="0"/>
        </w:trPr>
        <w:tc>
          <w:tcPr>
            <w:tcW w:w="20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6B</w:t>
            </w: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T23: pracovní místa vytvořená v rámci podpořených projektů (Leader) (prioritní oblast 6B)</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1 407,82</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187,71</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750,00</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1 394,42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185,92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1 320,48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176,06</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1 157,62</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154,35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1 002,17</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133,62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788,88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105,18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454,79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60,64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126,30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16,84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T22: podíl venkovského obyvatelstva majícího prospěch z lepších služeb/infrastruktury (prioritní oblast 6B)</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82,05</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268,47</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30,56</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71,44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233,75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48,13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157,48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29,64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96,98</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76,70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250,97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T21: podíl venkovské populace pokryté strategiemi místního rozvoje (prioritní oblast 6B)</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79,48</w:t>
            </w:r>
          </w:p>
        </w:tc>
        <w:tc>
          <w:tcPr>
            <w:tcW w:w="500" w:type="pct"/>
            <w:tcBorders>
              <w:bottom w:val="dashSmallGap"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119,50</w:t>
            </w:r>
          </w:p>
        </w:tc>
        <w:tc>
          <w:tcPr>
            <w:tcW w:w="750" w:type="pct"/>
            <w:vMerge w:val="restar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66,51</w:t>
            </w: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79,48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119,50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2014-2023</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79,48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119,50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2014-2022</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79,48</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119,50</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79,46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119,47</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76,70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115,32</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2014-2019</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76,44</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114,93</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2014-2018</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76,39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114,85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2014-2017</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76,39</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114,85</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2014-2016</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14,46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21,74</w:t>
            </w: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r>
      <w:tr>
        <w:tblPrEx>
          <w:tblW w:w="5000" w:type="pct"/>
          <w:tblCellMar>
            <w:left w:w="108" w:type="dxa"/>
            <w:right w:w="108" w:type="dxa"/>
          </w:tblCellMar>
        </w:tblPrEx>
        <w:trPr>
          <w:trHeight w:hRule="auto" w:val="0"/>
        </w:trPr>
        <w:tc>
          <w:tcPr>
            <w:tcW w:w="20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10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2014-2015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vMerge/>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FA/M</w:t>
            </w:r>
          </w:p>
        </w:tc>
        <w:tc>
          <w:tcPr>
            <w:tcW w:w="105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Ukazatel výstupů</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Období</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Vyčleněno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Realizováno</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Využití (%)</w:t>
            </w:r>
          </w:p>
        </w:tc>
        <w:tc>
          <w:tcPr>
            <w:tcW w:w="500" w:type="pct"/>
            <w:tcBorders>
              <w:bottom w:val="single" w:sz="4" w:space="0" w:color="auto"/>
            </w:tcBorders>
            <w:shd w:val="clear" w:color="auto" w:fill="C0C0C0"/>
            <w:noWrap w:val="0"/>
            <w:tcMar>
              <w:top w:w="20" w:type="dxa"/>
              <w:left w:w="20" w:type="dxa"/>
              <w:bottom w:w="20" w:type="dxa"/>
            </w:tcMar>
            <w:vAlign w:val="center"/>
          </w:tcPr>
          <w:p>
            <w:pPr>
              <w:keepNext/>
              <w:spacing w:before="60" w:after="60"/>
              <w:jc w:val="center"/>
              <w:rPr>
                <w:b w:val="0"/>
                <w:sz w:val="16"/>
              </w:rPr>
            </w:pPr>
            <w:r>
              <w:rPr>
                <w:b w:val="0"/>
                <w:sz w:val="16"/>
              </w:rPr>
              <w:t>Plánováno na rok 2023</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sz w:val="16"/>
              </w:rPr>
              <w:t>6B</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195 252 625,73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86,74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217 462 901,66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96,60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225 106 293,40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M19</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195 252 625,73</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86,74</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217 462 901,66</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96,60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225 106 293,40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M19</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O18 - Počet obyvatel, na které se vztahuje MAS</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6 333 338,00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119,50</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5 300 000,00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M19</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O19 - Počet vybraných MAS</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178,00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111,25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160,00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M19.2</w:t>
            </w:r>
          </w:p>
        </w:tc>
        <w:tc>
          <w:tcPr>
            <w:tcW w:w="10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216 766 521,40</w:t>
            </w:r>
          </w:p>
        </w:tc>
        <w:tc>
          <w:tcPr>
            <w:tcW w:w="50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96,81</w:t>
            </w:r>
          </w:p>
        </w:tc>
        <w:tc>
          <w:tcPr>
            <w:tcW w:w="750" w:type="pct"/>
            <w:tcBorders>
              <w:bottom w:val="single" w:sz="4" w:space="0" w:color="auto"/>
            </w:tcBorders>
            <w:shd w:val="clear" w:color="auto" w:fill="FFFFFF"/>
            <w:noWrap w:val="0"/>
            <w:tcMar>
              <w:top w:w="20" w:type="dxa"/>
              <w:left w:w="20" w:type="dxa"/>
              <w:bottom w:w="20" w:type="dxa"/>
            </w:tcMar>
            <w:vAlign w:val="center"/>
          </w:tcPr>
          <w:p>
            <w:pPr>
              <w:keepNext/>
              <w:spacing w:before="60" w:after="60"/>
              <w:jc w:val="right"/>
              <w:rPr>
                <w:b w:val="0"/>
                <w:sz w:val="16"/>
              </w:rPr>
            </w:pPr>
            <w:r>
              <w:rPr>
                <w:b w:val="0"/>
                <w:sz w:val="16"/>
              </w:rPr>
              <w:t>223 906 293,40</w:t>
            </w:r>
          </w:p>
        </w:tc>
      </w:tr>
      <w:tr>
        <w:tblPrEx>
          <w:tblW w:w="5000" w:type="pct"/>
          <w:tblCellMar>
            <w:left w:w="108" w:type="dxa"/>
            <w:right w:w="108" w:type="dxa"/>
          </w:tblCellMar>
        </w:tblPrEx>
        <w:trPr>
          <w:trHeight w:hRule="auto" w:val="0"/>
        </w:trPr>
        <w:tc>
          <w:tcPr>
            <w:tcW w:w="20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M19.3</w:t>
            </w:r>
          </w:p>
        </w:tc>
        <w:tc>
          <w:tcPr>
            <w:tcW w:w="1050" w:type="pct"/>
            <w:tcBorders>
              <w:bottom w:val="single" w:sz="4" w:space="0" w:color="auto"/>
            </w:tcBorders>
            <w:shd w:val="clear" w:color="auto" w:fill="FFFFFF"/>
            <w:noWrap w:val="0"/>
            <w:tcMar>
              <w:top w:w="20" w:type="dxa"/>
              <w:left w:w="20" w:type="dxa"/>
              <w:bottom w:w="20" w:type="dxa"/>
            </w:tcMar>
            <w:vAlign w:val="center"/>
          </w:tcPr>
          <w:p>
            <w:pPr>
              <w:spacing w:before="60" w:after="60"/>
              <w:jc w:val="left"/>
              <w:rPr>
                <w:b w:val="0"/>
                <w:sz w:val="16"/>
              </w:rPr>
            </w:pPr>
            <w:r>
              <w:rPr>
                <w:b w:val="0"/>
                <w:sz w:val="16"/>
              </w:rPr>
              <w:t>O1 - Celkové veřejné výdaje</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center"/>
              <w:rPr>
                <w:b w:val="0"/>
                <w:sz w:val="16"/>
              </w:rPr>
            </w:pPr>
            <w:r>
              <w:rPr>
                <w:b w:val="0"/>
                <w:sz w:val="16"/>
              </w:rPr>
              <w:t>2014-2025</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696 380,26</w:t>
            </w:r>
          </w:p>
        </w:tc>
        <w:tc>
          <w:tcPr>
            <w:tcW w:w="50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58,03</w:t>
            </w:r>
          </w:p>
        </w:tc>
        <w:tc>
          <w:tcPr>
            <w:tcW w:w="750" w:type="pct"/>
            <w:tcBorders>
              <w:bottom w:val="single" w:sz="4" w:space="0" w:color="auto"/>
            </w:tcBorders>
            <w:shd w:val="clear" w:color="auto" w:fill="FFFFFF"/>
            <w:noWrap w:val="0"/>
            <w:tcMar>
              <w:top w:w="20" w:type="dxa"/>
              <w:left w:w="20" w:type="dxa"/>
              <w:bottom w:w="20" w:type="dxa"/>
            </w:tcMar>
            <w:vAlign w:val="center"/>
          </w:tcPr>
          <w:p>
            <w:pPr>
              <w:spacing w:before="60" w:after="60"/>
              <w:jc w:val="right"/>
              <w:rPr>
                <w:b w:val="0"/>
                <w:sz w:val="16"/>
              </w:rPr>
            </w:pPr>
            <w:r>
              <w:rPr>
                <w:b w:val="0"/>
                <w:sz w:val="16"/>
              </w:rPr>
              <w:t>1 200 000,00</w:t>
            </w:r>
          </w:p>
        </w:tc>
      </w:tr>
    </w:tbl>
    <w:p>
      <w:pPr>
        <w:spacing w:before="60" w:after="60"/>
        <w:jc w:val="center"/>
        <w:rPr>
          <w:b/>
          <w:sz w:val="20"/>
        </w:rPr>
      </w:pPr>
    </w:p>
    <w:p>
      <w:pPr>
        <w:spacing w:before="60" w:after="60"/>
        <w:jc w:val="center"/>
        <w:sectPr>
          <w:pgMar w:top="900" w:right="900" w:bottom="900" w:left="900" w:header="720" w:footer="720"/>
          <w:cols w:space="720"/>
        </w:sectPr>
      </w:pPr>
    </w:p>
    <w:p>
      <w:pPr>
        <w:pStyle w:val="Subtitle"/>
        <w:rPr>
          <w:b w:val="0"/>
          <w:i w:val="0"/>
        </w:rPr>
      </w:pPr>
      <w:bookmarkStart w:id="33" w:name="_Toc256000033"/>
      <w:r>
        <w:rPr>
          <w:b w:val="0"/>
          <w:i w:val="0"/>
        </w:rPr>
        <w:t>Dokumenty</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584"/>
        <w:gridCol w:w="1584"/>
        <w:gridCol w:w="1584"/>
        <w:gridCol w:w="1584"/>
        <w:gridCol w:w="1584"/>
        <w:gridCol w:w="1584"/>
        <w:gridCol w:w="1584"/>
        <w:gridCol w:w="1584"/>
        <w:gridCol w:w="158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auto" w:val="0"/>
        </w:trPr>
        <w:tc>
          <w:tcPr>
            <w:tcW w:w="750" w:type="pct"/>
            <w:shd w:val="clear" w:color="auto" w:fill="C0C0C0"/>
            <w:noWrap w:val="0"/>
            <w:tcMar>
              <w:top w:w="60" w:type="dxa"/>
            </w:tcMar>
            <w:vAlign w:val="top"/>
          </w:tcPr>
          <w:p>
            <w:pPr>
              <w:jc w:val="center"/>
              <w:rPr>
                <w:b/>
                <w:i w:val="0"/>
                <w:sz w:val="20"/>
              </w:rPr>
            </w:pPr>
            <w:r>
              <w:rPr>
                <w:b/>
                <w:i w:val="0"/>
                <w:sz w:val="20"/>
              </w:rPr>
              <w:t>Název dokumentu</w:t>
            </w:r>
          </w:p>
        </w:tc>
        <w:tc>
          <w:tcPr>
            <w:tcW w:w="750" w:type="pct"/>
            <w:shd w:val="clear" w:color="auto" w:fill="C0C0C0"/>
            <w:noWrap w:val="0"/>
            <w:tcMar>
              <w:top w:w="60" w:type="dxa"/>
            </w:tcMar>
            <w:vAlign w:val="top"/>
          </w:tcPr>
          <w:p>
            <w:pPr>
              <w:jc w:val="center"/>
              <w:rPr>
                <w:b/>
                <w:i w:val="0"/>
                <w:sz w:val="20"/>
              </w:rPr>
            </w:pPr>
            <w:r>
              <w:rPr>
                <w:b/>
                <w:i w:val="0"/>
                <w:sz w:val="20"/>
              </w:rPr>
              <w:t>Typ dokumentu</w:t>
            </w:r>
          </w:p>
        </w:tc>
        <w:tc>
          <w:tcPr>
            <w:tcW w:w="750" w:type="pct"/>
            <w:shd w:val="clear" w:color="auto" w:fill="C0C0C0"/>
            <w:noWrap w:val="0"/>
            <w:tcMar>
              <w:top w:w="60" w:type="dxa"/>
            </w:tcMar>
            <w:vAlign w:val="top"/>
          </w:tcPr>
          <w:p>
            <w:pPr>
              <w:jc w:val="center"/>
              <w:rPr>
                <w:b/>
                <w:i w:val="0"/>
                <w:sz w:val="20"/>
              </w:rPr>
            </w:pPr>
            <w:r>
              <w:rPr>
                <w:b/>
                <w:i w:val="0"/>
                <w:sz w:val="20"/>
              </w:rPr>
              <w:t>Datum dokumentu</w:t>
            </w:r>
          </w:p>
        </w:tc>
        <w:tc>
          <w:tcPr>
            <w:tcW w:w="750" w:type="pct"/>
            <w:shd w:val="clear" w:color="auto" w:fill="C0C0C0"/>
            <w:noWrap w:val="0"/>
            <w:tcMar>
              <w:top w:w="60" w:type="dxa"/>
            </w:tcMar>
            <w:vAlign w:val="top"/>
          </w:tcPr>
          <w:p>
            <w:pPr>
              <w:jc w:val="center"/>
              <w:rPr>
                <w:b/>
                <w:i w:val="0"/>
                <w:sz w:val="20"/>
              </w:rPr>
            </w:pPr>
            <w:r>
              <w:rPr>
                <w:b/>
                <w:i w:val="0"/>
                <w:sz w:val="20"/>
              </w:rPr>
              <w:t>Místní ref. č.</w:t>
            </w:r>
          </w:p>
        </w:tc>
        <w:tc>
          <w:tcPr>
            <w:tcW w:w="750" w:type="pct"/>
            <w:shd w:val="clear" w:color="auto" w:fill="C0C0C0"/>
            <w:noWrap w:val="0"/>
            <w:tcMar>
              <w:top w:w="60" w:type="dxa"/>
            </w:tcMar>
            <w:vAlign w:val="top"/>
          </w:tcPr>
          <w:p>
            <w:pPr>
              <w:jc w:val="center"/>
              <w:rPr>
                <w:b/>
                <w:i w:val="0"/>
                <w:sz w:val="20"/>
              </w:rPr>
            </w:pPr>
            <w:r>
              <w:rPr>
                <w:b/>
                <w:i w:val="0"/>
                <w:sz w:val="20"/>
              </w:rPr>
              <w:t>Ref. č. Komise</w:t>
            </w:r>
          </w:p>
        </w:tc>
        <w:tc>
          <w:tcPr>
            <w:tcW w:w="750" w:type="pct"/>
            <w:shd w:val="clear" w:color="auto" w:fill="C0C0C0"/>
            <w:noWrap w:val="0"/>
            <w:tcMar>
              <w:top w:w="60" w:type="dxa"/>
            </w:tcMar>
            <w:vAlign w:val="top"/>
          </w:tcPr>
          <w:p>
            <w:pPr>
              <w:jc w:val="center"/>
              <w:rPr>
                <w:b/>
                <w:i w:val="0"/>
                <w:sz w:val="20"/>
              </w:rPr>
            </w:pPr>
            <w:r>
              <w:rPr>
                <w:b/>
                <w:i w:val="0"/>
                <w:sz w:val="20"/>
              </w:rPr>
              <w:t>Kontrolní součet</w:t>
            </w:r>
          </w:p>
        </w:tc>
        <w:tc>
          <w:tcPr>
            <w:tcW w:w="750" w:type="pct"/>
            <w:shd w:val="clear" w:color="auto" w:fill="C0C0C0"/>
            <w:noWrap w:val="0"/>
            <w:tcMar>
              <w:top w:w="60" w:type="dxa"/>
            </w:tcMar>
            <w:vAlign w:val="top"/>
          </w:tcPr>
          <w:p>
            <w:pPr>
              <w:jc w:val="center"/>
              <w:rPr>
                <w:b/>
                <w:i w:val="0"/>
                <w:sz w:val="20"/>
              </w:rPr>
            </w:pPr>
            <w:r>
              <w:rPr>
                <w:b/>
                <w:i w:val="0"/>
                <w:sz w:val="20"/>
              </w:rPr>
              <w:t>Soubory</w:t>
            </w:r>
          </w:p>
        </w:tc>
        <w:tc>
          <w:tcPr>
            <w:tcW w:w="750" w:type="pct"/>
            <w:shd w:val="clear" w:color="auto" w:fill="C0C0C0"/>
            <w:noWrap w:val="0"/>
            <w:tcMar>
              <w:top w:w="60" w:type="dxa"/>
            </w:tcMar>
            <w:vAlign w:val="top"/>
          </w:tcPr>
          <w:p>
            <w:pPr>
              <w:jc w:val="center"/>
              <w:rPr>
                <w:b/>
                <w:i w:val="0"/>
                <w:sz w:val="20"/>
              </w:rPr>
            </w:pPr>
            <w:r>
              <w:rPr>
                <w:b/>
                <w:i w:val="0"/>
                <w:sz w:val="20"/>
              </w:rPr>
              <w:t>Datum odeslání</w:t>
            </w:r>
          </w:p>
        </w:tc>
        <w:tc>
          <w:tcPr>
            <w:tcW w:w="750" w:type="pct"/>
            <w:shd w:val="clear" w:color="auto" w:fill="C0C0C0"/>
            <w:noWrap w:val="0"/>
            <w:tcMar>
              <w:top w:w="60" w:type="dxa"/>
            </w:tcMar>
            <w:vAlign w:val="top"/>
          </w:tcPr>
          <w:p>
            <w:pPr>
              <w:jc w:val="center"/>
              <w:rPr>
                <w:b w:val="0"/>
                <w:i w:val="0"/>
                <w:sz w:val="20"/>
              </w:rPr>
            </w:pPr>
            <w:r>
              <w:rPr>
                <w:b/>
                <w:i w:val="0"/>
                <w:sz w:val="20"/>
              </w:rPr>
              <w:t>Odeslal(a)</w:t>
            </w:r>
          </w:p>
        </w:tc>
      </w:tr>
      <w:tr>
        <w:tblPrEx>
          <w:tblW w:w="5000" w:type="pct"/>
          <w:tblCellMar>
            <w:left w:w="108" w:type="dxa"/>
            <w:right w:w="108" w:type="dxa"/>
          </w:tblCellMar>
        </w:tblPrEx>
        <w:trPr>
          <w:trHeight w:hRule="auto" w:val="0"/>
        </w:trPr>
        <w:tc>
          <w:tcPr>
            <w:tcW w:w="750" w:type="pct"/>
            <w:shd w:val="clear" w:color="auto" w:fill="FFFFFF"/>
            <w:noWrap w:val="0"/>
            <w:tcMar>
              <w:top w:w="60" w:type="dxa"/>
            </w:tcMar>
            <w:vAlign w:val="top"/>
          </w:tcPr>
          <w:p>
            <w:pPr>
              <w:jc w:val="left"/>
              <w:rPr>
                <w:b w:val="0"/>
                <w:i w:val="0"/>
                <w:sz w:val="16"/>
              </w:rPr>
            </w:pPr>
            <w:r>
              <w:rPr>
                <w:b w:val="0"/>
                <w:i w:val="0"/>
                <w:sz w:val="16"/>
              </w:rPr>
              <w:t>AIR Financial Annex 2014CZ06RDNP001</w:t>
            </w:r>
          </w:p>
        </w:tc>
        <w:tc>
          <w:tcPr>
            <w:tcW w:w="750" w:type="pct"/>
            <w:shd w:val="clear" w:color="auto" w:fill="FFFFFF"/>
            <w:noWrap w:val="0"/>
            <w:tcMar>
              <w:top w:w="60" w:type="dxa"/>
            </w:tcMar>
            <w:vAlign w:val="top"/>
          </w:tcPr>
          <w:p>
            <w:pPr>
              <w:jc w:val="left"/>
              <w:rPr>
                <w:b w:val="0"/>
                <w:i w:val="0"/>
                <w:sz w:val="16"/>
              </w:rPr>
            </w:pPr>
            <w:r>
              <w:rPr>
                <w:b w:val="0"/>
                <w:i w:val="0"/>
                <w:sz w:val="16"/>
              </w:rPr>
              <w:t>Finanční příloha (systémová)</w:t>
            </w:r>
          </w:p>
        </w:tc>
        <w:tc>
          <w:tcPr>
            <w:tcW w:w="750" w:type="pct"/>
            <w:shd w:val="clear" w:color="auto" w:fill="FFFFFF"/>
            <w:noWrap w:val="0"/>
            <w:tcMar>
              <w:top w:w="60" w:type="dxa"/>
            </w:tcMar>
            <w:vAlign w:val="top"/>
          </w:tcPr>
          <w:p>
            <w:pPr>
              <w:jc w:val="left"/>
              <w:rPr>
                <w:b w:val="0"/>
                <w:i w:val="0"/>
                <w:sz w:val="16"/>
              </w:rPr>
            </w:pPr>
            <w:r>
              <w:rPr>
                <w:b w:val="0"/>
                <w:i w:val="0"/>
                <w:sz w:val="16"/>
              </w:rPr>
              <w:t>27-05-2026</w:t>
            </w:r>
          </w:p>
        </w:tc>
        <w:tc>
          <w:tcPr>
            <w:tcW w:w="750" w:type="pct"/>
            <w:shd w:val="clear" w:color="auto" w:fill="FFFFFF"/>
            <w:noWrap w:val="0"/>
            <w:tcMar>
              <w:top w:w="60" w:type="dxa"/>
            </w:tcMar>
            <w:vAlign w:val="top"/>
          </w:tcPr>
          <w:p>
            <w:pPr>
              <w:jc w:val="left"/>
              <w:rPr>
                <w:b w:val="0"/>
                <w:i w:val="0"/>
                <w:sz w:val="16"/>
              </w:rPr>
            </w:pPr>
          </w:p>
        </w:tc>
        <w:tc>
          <w:tcPr>
            <w:tcW w:w="750" w:type="pct"/>
            <w:shd w:val="clear" w:color="auto" w:fill="FFFFFF"/>
            <w:noWrap w:val="0"/>
            <w:tcMar>
              <w:top w:w="60" w:type="dxa"/>
            </w:tcMar>
            <w:vAlign w:val="top"/>
          </w:tcPr>
          <w:p>
            <w:pPr>
              <w:jc w:val="left"/>
              <w:rPr>
                <w:b w:val="0"/>
                <w:i w:val="0"/>
                <w:sz w:val="16"/>
              </w:rPr>
            </w:pPr>
          </w:p>
        </w:tc>
        <w:tc>
          <w:tcPr>
            <w:tcW w:w="750" w:type="pct"/>
            <w:shd w:val="clear" w:color="auto" w:fill="FFFFFF"/>
            <w:noWrap w:val="0"/>
            <w:tcMar>
              <w:top w:w="60" w:type="dxa"/>
            </w:tcMar>
            <w:vAlign w:val="top"/>
          </w:tcPr>
          <w:p>
            <w:pPr>
              <w:jc w:val="left"/>
              <w:rPr>
                <w:b w:val="0"/>
                <w:i w:val="0"/>
                <w:sz w:val="16"/>
              </w:rPr>
            </w:pPr>
            <w:r>
              <w:rPr>
                <w:b w:val="0"/>
                <w:i w:val="0"/>
                <w:sz w:val="16"/>
              </w:rPr>
              <w:t>2592984915</w:t>
            </w:r>
          </w:p>
        </w:tc>
        <w:tc>
          <w:tcPr>
            <w:tcW w:w="750" w:type="pct"/>
            <w:shd w:val="clear" w:color="auto" w:fill="FFFFFF"/>
            <w:noWrap w:val="0"/>
            <w:tcMar>
              <w:top w:w="60" w:type="dxa"/>
            </w:tcMar>
            <w:vAlign w:val="top"/>
          </w:tcPr>
          <w:p>
            <w:pPr>
              <w:jc w:val="left"/>
              <w:rPr>
                <w:b w:val="0"/>
                <w:i w:val="0"/>
                <w:sz w:val="16"/>
              </w:rPr>
            </w:pPr>
            <w:r>
              <w:rPr>
                <w:b w:val="0"/>
                <w:i w:val="0"/>
                <w:sz w:val="16"/>
              </w:rPr>
              <w:t>AIRfinancialAnnex2014CZ06RDNP001_cs.pdf</w:t>
            </w:r>
          </w:p>
        </w:tc>
        <w:tc>
          <w:tcPr>
            <w:tcW w:w="750" w:type="pct"/>
            <w:shd w:val="clear" w:color="auto" w:fill="FFFFFF"/>
            <w:noWrap w:val="0"/>
            <w:tcMar>
              <w:top w:w="60" w:type="dxa"/>
            </w:tcMar>
            <w:vAlign w:val="top"/>
          </w:tcPr>
          <w:p>
            <w:pPr>
              <w:jc w:val="left"/>
              <w:rPr>
                <w:b w:val="0"/>
                <w:i w:val="0"/>
                <w:sz w:val="16"/>
              </w:rPr>
            </w:pPr>
          </w:p>
        </w:tc>
        <w:tc>
          <w:tcPr>
            <w:tcW w:w="750" w:type="pct"/>
            <w:shd w:val="clear" w:color="auto" w:fill="FFFFFF"/>
            <w:noWrap w:val="0"/>
            <w:tcMar>
              <w:top w:w="60" w:type="dxa"/>
            </w:tcMar>
            <w:vAlign w:val="top"/>
          </w:tcPr>
          <w:p>
            <w:pPr>
              <w:jc w:val="left"/>
              <w:rPr>
                <w:b w:val="0"/>
                <w:i w:val="0"/>
                <w:sz w:val="16"/>
              </w:rPr>
            </w:pPr>
          </w:p>
        </w:tc>
      </w:tr>
      <w:tr>
        <w:tblPrEx>
          <w:tblW w:w="5000" w:type="pct"/>
          <w:tblCellMar>
            <w:left w:w="108" w:type="dxa"/>
            <w:right w:w="108" w:type="dxa"/>
          </w:tblCellMar>
        </w:tblPrEx>
        <w:trPr>
          <w:trHeight w:hRule="auto" w:val="0"/>
        </w:trPr>
        <w:tc>
          <w:tcPr>
            <w:tcW w:w="750" w:type="pct"/>
            <w:shd w:val="clear" w:color="auto" w:fill="FFFFFF"/>
            <w:noWrap w:val="0"/>
            <w:tcMar>
              <w:top w:w="60" w:type="dxa"/>
            </w:tcMar>
            <w:vAlign w:val="top"/>
          </w:tcPr>
          <w:p>
            <w:pPr>
              <w:jc w:val="left"/>
              <w:rPr>
                <w:b w:val="0"/>
                <w:i w:val="0"/>
                <w:sz w:val="16"/>
              </w:rPr>
            </w:pPr>
            <w:r>
              <w:rPr>
                <w:b w:val="0"/>
                <w:i w:val="0"/>
                <w:sz w:val="16"/>
              </w:rPr>
              <w:t>VZ PRV 2025 - Shrnutí pro veřejnost</w:t>
            </w:r>
          </w:p>
        </w:tc>
        <w:tc>
          <w:tcPr>
            <w:tcW w:w="750" w:type="pct"/>
            <w:shd w:val="clear" w:color="auto" w:fill="FFFFFF"/>
            <w:noWrap w:val="0"/>
            <w:tcMar>
              <w:top w:w="60" w:type="dxa"/>
            </w:tcMar>
            <w:vAlign w:val="top"/>
          </w:tcPr>
          <w:p>
            <w:pPr>
              <w:jc w:val="left"/>
              <w:rPr>
                <w:b w:val="0"/>
                <w:i w:val="0"/>
                <w:sz w:val="16"/>
              </w:rPr>
            </w:pPr>
            <w:r>
              <w:rPr>
                <w:b w:val="0"/>
                <w:i w:val="0"/>
                <w:sz w:val="16"/>
              </w:rPr>
              <w:t>Shrnutí pro veřejnost</w:t>
            </w:r>
          </w:p>
        </w:tc>
        <w:tc>
          <w:tcPr>
            <w:tcW w:w="750" w:type="pct"/>
            <w:shd w:val="clear" w:color="auto" w:fill="FFFFFF"/>
            <w:noWrap w:val="0"/>
            <w:tcMar>
              <w:top w:w="60" w:type="dxa"/>
            </w:tcMar>
            <w:vAlign w:val="top"/>
          </w:tcPr>
          <w:p>
            <w:pPr>
              <w:jc w:val="left"/>
              <w:rPr>
                <w:b w:val="0"/>
                <w:i w:val="0"/>
                <w:sz w:val="16"/>
              </w:rPr>
            </w:pPr>
            <w:r>
              <w:rPr>
                <w:b w:val="0"/>
                <w:i w:val="0"/>
                <w:sz w:val="16"/>
              </w:rPr>
              <w:t>03-06-2026</w:t>
            </w:r>
          </w:p>
        </w:tc>
        <w:tc>
          <w:tcPr>
            <w:tcW w:w="750" w:type="pct"/>
            <w:shd w:val="clear" w:color="auto" w:fill="FFFFFF"/>
            <w:noWrap w:val="0"/>
            <w:tcMar>
              <w:top w:w="60" w:type="dxa"/>
            </w:tcMar>
            <w:vAlign w:val="top"/>
          </w:tcPr>
          <w:p>
            <w:pPr>
              <w:jc w:val="left"/>
              <w:rPr>
                <w:b w:val="0"/>
                <w:i w:val="0"/>
                <w:sz w:val="16"/>
              </w:rPr>
            </w:pPr>
          </w:p>
        </w:tc>
        <w:tc>
          <w:tcPr>
            <w:tcW w:w="750" w:type="pct"/>
            <w:shd w:val="clear" w:color="auto" w:fill="FFFFFF"/>
            <w:noWrap w:val="0"/>
            <w:tcMar>
              <w:top w:w="60" w:type="dxa"/>
            </w:tcMar>
            <w:vAlign w:val="top"/>
          </w:tcPr>
          <w:p>
            <w:pPr>
              <w:jc w:val="left"/>
              <w:rPr>
                <w:b w:val="0"/>
                <w:i w:val="0"/>
                <w:sz w:val="16"/>
              </w:rPr>
            </w:pPr>
          </w:p>
        </w:tc>
        <w:tc>
          <w:tcPr>
            <w:tcW w:w="750" w:type="pct"/>
            <w:shd w:val="clear" w:color="auto" w:fill="FFFFFF"/>
            <w:noWrap w:val="0"/>
            <w:tcMar>
              <w:top w:w="60" w:type="dxa"/>
            </w:tcMar>
            <w:vAlign w:val="top"/>
          </w:tcPr>
          <w:p>
            <w:pPr>
              <w:jc w:val="left"/>
              <w:rPr>
                <w:b w:val="0"/>
                <w:i w:val="0"/>
                <w:sz w:val="16"/>
              </w:rPr>
            </w:pPr>
            <w:r>
              <w:rPr>
                <w:b w:val="0"/>
                <w:i w:val="0"/>
                <w:sz w:val="16"/>
              </w:rPr>
              <w:t>3275812318</w:t>
            </w:r>
          </w:p>
        </w:tc>
        <w:tc>
          <w:tcPr>
            <w:tcW w:w="750" w:type="pct"/>
            <w:shd w:val="clear" w:color="auto" w:fill="FFFFFF"/>
            <w:noWrap w:val="0"/>
            <w:tcMar>
              <w:top w:w="60" w:type="dxa"/>
            </w:tcMar>
            <w:vAlign w:val="top"/>
          </w:tcPr>
          <w:p>
            <w:pPr>
              <w:jc w:val="left"/>
              <w:rPr>
                <w:b w:val="0"/>
                <w:i w:val="0"/>
                <w:sz w:val="16"/>
              </w:rPr>
            </w:pPr>
            <w:r>
              <w:rPr>
                <w:b w:val="0"/>
                <w:i w:val="0"/>
                <w:sz w:val="16"/>
              </w:rPr>
              <w:t>VZ 2025 - Shrnutí pro veřejnost</w:t>
            </w:r>
          </w:p>
        </w:tc>
        <w:tc>
          <w:tcPr>
            <w:tcW w:w="750" w:type="pct"/>
            <w:shd w:val="clear" w:color="auto" w:fill="FFFFFF"/>
            <w:noWrap w:val="0"/>
            <w:tcMar>
              <w:top w:w="60" w:type="dxa"/>
            </w:tcMar>
            <w:vAlign w:val="top"/>
          </w:tcPr>
          <w:p>
            <w:pPr>
              <w:jc w:val="left"/>
              <w:rPr>
                <w:b w:val="0"/>
                <w:i w:val="0"/>
                <w:sz w:val="16"/>
              </w:rPr>
            </w:pPr>
          </w:p>
        </w:tc>
        <w:tc>
          <w:tcPr>
            <w:tcW w:w="750" w:type="pct"/>
            <w:shd w:val="clear" w:color="auto" w:fill="FFFFFF"/>
            <w:noWrap w:val="0"/>
            <w:tcMar>
              <w:top w:w="60" w:type="dxa"/>
            </w:tcMar>
            <w:vAlign w:val="top"/>
          </w:tcPr>
          <w:p>
            <w:pPr>
              <w:jc w:val="left"/>
              <w:rPr>
                <w:b w:val="0"/>
                <w:i w:val="0"/>
                <w:sz w:val="16"/>
              </w:rPr>
            </w:pPr>
          </w:p>
        </w:tc>
      </w:tr>
    </w:tbl>
    <w:p>
      <w:pPr>
        <w:rPr>
          <w:b/>
          <w:i w:val="0"/>
        </w:rPr>
        <w:sectPr>
          <w:pgSz w:w="15840" w:h="12240" w:orient="landscape"/>
          <w:pgMar w:top="900" w:right="900" w:bottom="900" w:left="900" w:header="720" w:footer="720"/>
          <w:cols w:space="720"/>
        </w:sectPr>
      </w:pPr>
    </w:p>
    <w:p>
      <w:pPr>
        <w:rPr>
          <w:b/>
          <w:i w:val="0"/>
        </w:rPr>
      </w:pPr>
    </w:p>
    <w:sectPr>
      <w:type w:val="nextPage"/>
      <w:pgSz w:w="15840" w:h="12240" w:orient="landscape"/>
      <w:pgMar w:top="900" w:right="900" w:bottom="900" w:left="900"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13D6AC30-3D1B-4185-B4D1-F3646E18AFB9}"/>
    <w:embedBold r:id="rId2" w:fontKey="{566A58C7-DC44-4CAD-9A3D-016336D090CD}"/>
    <w:embedBoldItalic r:id="rId3" w:fontKey="{B27126D8-ABB7-4585-B97C-95F7DF826F6A}"/>
  </w:font>
  <w:font w:name="Symbol">
    <w:panose1 w:val="05050102010706020507"/>
    <w:charset w:val="02"/>
    <w:family w:val="roman"/>
    <w:pitch w:val="variable"/>
    <w:sig w:usb0="00000000" w:usb1="10000000" w:usb2="00000000" w:usb3="00000000" w:csb0="80000000" w:csb1="00000000"/>
    <w:embedRegular r:id="rId4" w:fontKey="{4D5F6715-EDCE-4CD5-B7F3-64326637B8E1}"/>
  </w:font>
  <w:font w:name="Arial">
    <w:panose1 w:val="020B0604020202020204"/>
    <w:charset w:val="00"/>
    <w:family w:val="swiss"/>
    <w:pitch w:val="variable"/>
    <w:sig w:usb0="E0002AFF" w:usb1="C0007843" w:usb2="00000009" w:usb3="00000000" w:csb0="000001FF" w:csb1="00000000"/>
    <w:embedRegular r:id="rId5" w:fontKey="{AD377C6F-91A3-498C-8BE1-455612377A50}"/>
  </w:font>
  <w:font w:name="Calibri">
    <w:panose1 w:val="020F0502020204030204"/>
    <w:charset w:val="00"/>
    <w:family w:val="swiss"/>
    <w:pitch w:val="variable"/>
    <w:sig w:usb0="E10002FF" w:usb1="4000ACFF" w:usb2="00000009" w:usb3="00000000" w:csb0="0000019F" w:csb1="00000000"/>
    <w:embedRegular r:id="rId6" w:fontKey="{8EC52334-056F-436F-8373-00AD8D3410D7}"/>
  </w:font>
  <w:font w:name="Tahoma">
    <w:panose1 w:val="020B0604030504040204"/>
    <w:charset w:val="00"/>
    <w:family w:val="swiss"/>
    <w:pitch w:val="variable"/>
    <w:sig w:usb0="E1002EFF" w:usb1="C000605B" w:usb2="00000029" w:usb3="00000000" w:csb0="000101FF" w:csb1="00000000"/>
    <w:embedRegular r:id="rId7" w:fontKey="{34360542-46A3-4F3D-ABAC-08A2428C8224}"/>
  </w:font>
  <w:font w:name="Courier New">
    <w:panose1 w:val="02070309020205020404"/>
    <w:charset w:val="00"/>
    <w:family w:val="modern"/>
    <w:pitch w:val="fixed"/>
    <w:sig w:usb0="E0002AFF" w:usb1="C0007843" w:usb2="00000009" w:usb3="00000000" w:csb0="000001FF" w:csb1="00000000"/>
    <w:embedRegular r:id="rId8" w:fontKey="{B1437866-B66D-48DA-A105-88791949A685}"/>
  </w:font>
  <w:font w:name="Wingdings">
    <w:panose1 w:val="05000000000000000000"/>
    <w:charset w:val="02"/>
    <w:family w:val="auto"/>
    <w:pitch w:val="variable"/>
    <w:sig w:usb0="00000000" w:usb1="10000000" w:usb2="00000000" w:usb3="00000000" w:csb0="80000000" w:csb1="00000000"/>
    <w:embedRegular r:id="rId9" w:fontKey="{0083DDB2-6459-44A0-B519-9D56DE8AD0F7}"/>
  </w:font>
  <w:font w:name="Cambria">
    <w:charset w:val="00"/>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E0A">
    <w:pPr>
      <w:pStyle w:val="Footer"/>
      <w:jc w:val="center"/>
    </w:pPr>
    <w:r>
      <w:fldChar w:fldCharType="begin"/>
    </w:r>
    <w:r>
      <w:instrText>PAGE</w:instrText>
    </w:r>
    <w:r>
      <w:fldChar w:fldCharType="separate"/>
    </w:r>
    <w:r>
      <w:t>84</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E0A">
    <w:pPr>
      <w:pStyle w:val="Footer"/>
      <w:jc w:val="center"/>
    </w:pPr>
    <w:r>
      <w:fldChar w:fldCharType="begin"/>
    </w:r>
    <w:r>
      <w:instrText xml:space="preserve"> PAGE   \* MERGEFORMAT </w:instrText>
    </w:r>
    <w:r>
      <w:fldChar w:fldCharType="separate"/>
    </w:r>
    <w:r w:rsidR="00ED13A4">
      <w:rPr>
        <w:noProof/>
      </w:rPr>
      <w:t>1</w:t>
    </w:r>
    <w:r>
      <w:rPr>
        <w:noProof/>
      </w:rPr>
      <w:fldChar w:fldCharType="end"/>
    </w:r>
  </w:p>
  <w:p w:rsidR="00B21E0A">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E0A" w:rsidRPr="004551CD">
    <w:pPr>
      <w:pStyle w:val="Header"/>
      <w:spacing w:after="0"/>
      <w:rPr>
        <w:lang w:val="fr-B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C7B624F"/>
    <w:multiLevelType w:val="singleLevel"/>
    <w:tmpl w:val="55144760"/>
    <w:name w:val="ListDash 1222"/>
    <w:lvl w:ilvl="0">
      <w:start w:val="1"/>
      <w:numFmt w:val="bullet"/>
      <w:lvlText w:val="-"/>
      <w:lvlJc w:val="left"/>
      <w:pPr>
        <w:tabs>
          <w:tab w:val="num" w:pos="283"/>
        </w:tabs>
        <w:ind w:left="283" w:hanging="283"/>
      </w:pPr>
      <w:rPr>
        <w:rFonts w:ascii="Symbol" w:hAnsi="Symbol" w:cs="Times New Roman" w:hint="default"/>
      </w:rPr>
    </w:lvl>
  </w:abstractNum>
  <w:abstractNum w:abstractNumId="4">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8">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6324F1E"/>
    <w:multiLevelType w:val="singleLevel"/>
    <w:tmpl w:val="E7764108"/>
    <w:name w:val="List Dash 1222"/>
    <w:lvl w:ilvl="0">
      <w:start w:val="1"/>
      <w:numFmt w:val="bullet"/>
      <w:lvlText w:val="-"/>
      <w:lvlJc w:val="left"/>
      <w:pPr>
        <w:tabs>
          <w:tab w:val="num" w:pos="283"/>
        </w:tabs>
        <w:ind w:left="283" w:hanging="283"/>
      </w:pPr>
      <w:rPr>
        <w:rFonts w:ascii="Symbol" w:hAnsi="Symbol" w:cs="Times New Roman" w:hint="default"/>
      </w:rPr>
    </w:lvl>
  </w:abstractNum>
  <w:abstractNum w:abstractNumId="10">
    <w:nsid w:val="37CB1E1C"/>
    <w:multiLevelType w:val="singleLevel"/>
    <w:tmpl w:val="628C12D0"/>
    <w:name w:val="List Dash 1223"/>
    <w:lvl w:ilvl="0">
      <w:start w:val="1"/>
      <w:numFmt w:val="bullet"/>
      <w:lvlText w:val="-"/>
      <w:lvlJc w:val="left"/>
      <w:pPr>
        <w:tabs>
          <w:tab w:val="num" w:pos="283"/>
        </w:tabs>
        <w:ind w:left="283" w:hanging="283"/>
      </w:pPr>
      <w:rPr>
        <w:rFonts w:ascii="Symbol" w:hAnsi="Symbol" w:cs="Times New Roman" w:hint="default"/>
      </w:rPr>
    </w:lvl>
  </w:abstractNum>
  <w:abstractNum w:abstractNumId="11">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2">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4">
    <w:nsid w:val="52264AB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3436603"/>
    <w:multiLevelType w:val="multilevel"/>
    <w:tmpl w:val="C23052C8"/>
    <w:lvl w:ilvl="0">
      <w:start w:val="1"/>
      <w:numFmt w:val="decimal"/>
      <w:pStyle w:val="Heading1"/>
      <w:suff w:val="space"/>
      <w:lvlText w:val="%1."/>
      <w:lvlJc w:val="left"/>
      <w:pPr>
        <w:ind w:left="0" w:firstLine="0"/>
      </w:pPr>
      <w:rPr>
        <w:rFonts w:hint="default"/>
      </w:rPr>
    </w:lvl>
    <w:lvl w:ilvl="1">
      <w:start w:val="1"/>
      <w:numFmt w:val="lowerLetter"/>
      <w:pStyle w:val="Heading2"/>
      <w:suff w:val="space"/>
      <w:lvlText w:val="%1.%2)"/>
      <w:lvlJc w:val="left"/>
      <w:pPr>
        <w:ind w:left="993" w:firstLine="0"/>
      </w:pPr>
      <w:rPr>
        <w:rFonts w:hint="default"/>
      </w:rPr>
    </w:lvl>
    <w:lvl w:ilvl="2">
      <w:start w:val="1"/>
      <w:numFmt w:val="decimal"/>
      <w:pStyle w:val="Heading3"/>
      <w:suff w:val="space"/>
      <w:lvlText w:val="%1.%2%3)"/>
      <w:lvlJc w:val="left"/>
      <w:pPr>
        <w:ind w:left="0" w:firstLine="0"/>
      </w:pPr>
      <w:rPr>
        <w:rFonts w:hint="default"/>
        <w:color w:val="auto"/>
      </w:rPr>
    </w:lvl>
    <w:lvl w:ilvl="3">
      <w:start w:val="1"/>
      <w:numFmt w:val="lowerLetter"/>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lowerLetter"/>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lowerLetter"/>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6">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7">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993"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nsid w:val="5B8B1E96"/>
    <w:multiLevelType w:val="multilevel"/>
    <w:tmpl w:val="C3AAD27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C405D49"/>
    <w:multiLevelType w:val="multilevel"/>
    <w:tmpl w:val="E3AE3AA0"/>
    <w:numStyleLink w:val="Headings"/>
  </w:abstractNum>
  <w:abstractNum w:abstractNumId="2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2">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3">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4">
    <w:nsid w:val="6E19044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22304D8"/>
    <w:multiLevelType w:val="multilevel"/>
    <w:tmpl w:val="722304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22304D9"/>
    <w:multiLevelType w:val="hybridMultilevel"/>
    <w:tmpl w:val="722304D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22304DA"/>
    <w:multiLevelType w:val="hybridMultilevel"/>
    <w:tmpl w:val="722304D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22304DB"/>
    <w:multiLevelType w:val="hybridMultilevel"/>
    <w:tmpl w:val="722304D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22304DC"/>
    <w:multiLevelType w:val="hybridMultilevel"/>
    <w:tmpl w:val="722304D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22304DD"/>
    <w:multiLevelType w:val="hybridMultilevel"/>
    <w:tmpl w:val="722304D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22304DE"/>
    <w:multiLevelType w:val="hybridMultilevel"/>
    <w:tmpl w:val="722304D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
  </w:num>
  <w:num w:numId="2">
    <w:abstractNumId w:val="0"/>
  </w:num>
  <w:num w:numId="3">
    <w:abstractNumId w:val="12"/>
  </w:num>
  <w:num w:numId="4">
    <w:abstractNumId w:val="5"/>
  </w:num>
  <w:num w:numId="5">
    <w:abstractNumId w:val="11"/>
  </w:num>
  <w:num w:numId="6">
    <w:abstractNumId w:val="22"/>
  </w:num>
  <w:num w:numId="7">
    <w:abstractNumId w:val="23"/>
  </w:num>
  <w:num w:numId="8">
    <w:abstractNumId w:val="7"/>
  </w:num>
  <w:num w:numId="9">
    <w:abstractNumId w:val="21"/>
  </w:num>
  <w:num w:numId="10">
    <w:abstractNumId w:val="20"/>
  </w:num>
  <w:num w:numId="11">
    <w:abstractNumId w:val="13"/>
  </w:num>
  <w:num w:numId="12">
    <w:abstractNumId w:val="16"/>
  </w:num>
  <w:num w:numId="13">
    <w:abstractNumId w:val="4"/>
  </w:num>
  <w:num w:numId="14">
    <w:abstractNumId w:val="8"/>
  </w:num>
  <w:num w:numId="15">
    <w:abstractNumId w:val="2"/>
  </w:num>
  <w:num w:numId="16">
    <w:abstractNumId w:val="6"/>
  </w:num>
  <w:num w:numId="17">
    <w:abstractNumId w:val="25"/>
  </w:num>
  <w:num w:numId="18">
    <w:abstractNumId w:val="17"/>
  </w:num>
  <w:num w:numId="19">
    <w:abstractNumId w:val="19"/>
  </w:num>
  <w:num w:numId="20">
    <w:abstractNumId w:val="15"/>
  </w:num>
  <w:num w:numId="21">
    <w:abstractNumId w:val="18"/>
  </w:num>
  <w:num w:numId="22">
    <w:abstractNumId w:val="14"/>
  </w:num>
  <w:num w:numId="23">
    <w:abstractNumId w:val="24"/>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SpellingErrors/>
  <w:zoom w:percent="100"/>
  <w:embedTrueTypeFonts/>
  <w:embedSystemFonts/>
  <w:proofState w:grammar="clean"/>
  <w:attachedTemplate r:id="rId1"/>
  <w:stylePaneFormatFilter w:val="3F01"/>
  <w:doNotTrackMoves/>
  <w:defaultTabStop w:val="720"/>
  <w:displayHorizontalDrawingGridEvery w:val="0"/>
  <w:displayVerticalDrawingGridEvery w:val="0"/>
  <w:doNotUseMarginsForDrawingGridOrigin/>
  <w:drawingGridHorizontalOrigin w:val="1701"/>
  <w:drawingGridVerticalOrigin w:val="1984"/>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538D8"/>
    <w:rsid w:val="00001E6E"/>
    <w:rsid w:val="000025C7"/>
    <w:rsid w:val="00002B97"/>
    <w:rsid w:val="00011C15"/>
    <w:rsid w:val="00013F30"/>
    <w:rsid w:val="000161D2"/>
    <w:rsid w:val="00027B3A"/>
    <w:rsid w:val="000465D1"/>
    <w:rsid w:val="000509CF"/>
    <w:rsid w:val="00052488"/>
    <w:rsid w:val="0005270A"/>
    <w:rsid w:val="000567D8"/>
    <w:rsid w:val="000610F9"/>
    <w:rsid w:val="000619C8"/>
    <w:rsid w:val="00062C4F"/>
    <w:rsid w:val="00063729"/>
    <w:rsid w:val="0006666A"/>
    <w:rsid w:val="00066936"/>
    <w:rsid w:val="000700A3"/>
    <w:rsid w:val="00070BF2"/>
    <w:rsid w:val="00073100"/>
    <w:rsid w:val="00077D84"/>
    <w:rsid w:val="00084750"/>
    <w:rsid w:val="00094BC2"/>
    <w:rsid w:val="00097749"/>
    <w:rsid w:val="00097AD4"/>
    <w:rsid w:val="000A1ABB"/>
    <w:rsid w:val="000A2719"/>
    <w:rsid w:val="000A3480"/>
    <w:rsid w:val="000A3CD6"/>
    <w:rsid w:val="000A612B"/>
    <w:rsid w:val="000B40D7"/>
    <w:rsid w:val="000B66B5"/>
    <w:rsid w:val="000B76DA"/>
    <w:rsid w:val="000C0F34"/>
    <w:rsid w:val="000C1FE8"/>
    <w:rsid w:val="000C269C"/>
    <w:rsid w:val="000C2E95"/>
    <w:rsid w:val="000C3217"/>
    <w:rsid w:val="000C494F"/>
    <w:rsid w:val="000C570C"/>
    <w:rsid w:val="000C778E"/>
    <w:rsid w:val="000D1F6A"/>
    <w:rsid w:val="000D49BF"/>
    <w:rsid w:val="000D6FA3"/>
    <w:rsid w:val="000E0B8E"/>
    <w:rsid w:val="000E0F54"/>
    <w:rsid w:val="000E1B5D"/>
    <w:rsid w:val="000E23C9"/>
    <w:rsid w:val="000E4C90"/>
    <w:rsid w:val="000F088C"/>
    <w:rsid w:val="000F1FF8"/>
    <w:rsid w:val="000F288D"/>
    <w:rsid w:val="000F2B29"/>
    <w:rsid w:val="000F4D07"/>
    <w:rsid w:val="000F77B2"/>
    <w:rsid w:val="00102D6F"/>
    <w:rsid w:val="00103CEE"/>
    <w:rsid w:val="00115C88"/>
    <w:rsid w:val="00116DD6"/>
    <w:rsid w:val="00117C66"/>
    <w:rsid w:val="00120799"/>
    <w:rsid w:val="001225A7"/>
    <w:rsid w:val="001233A5"/>
    <w:rsid w:val="00123B0C"/>
    <w:rsid w:val="00124612"/>
    <w:rsid w:val="00126C6E"/>
    <w:rsid w:val="00127FED"/>
    <w:rsid w:val="0013208A"/>
    <w:rsid w:val="00132A62"/>
    <w:rsid w:val="00135D7E"/>
    <w:rsid w:val="00136257"/>
    <w:rsid w:val="001404DA"/>
    <w:rsid w:val="001430E4"/>
    <w:rsid w:val="00147229"/>
    <w:rsid w:val="00153C72"/>
    <w:rsid w:val="00157E5A"/>
    <w:rsid w:val="00162E7B"/>
    <w:rsid w:val="00164810"/>
    <w:rsid w:val="00164D2A"/>
    <w:rsid w:val="001659FC"/>
    <w:rsid w:val="001677EA"/>
    <w:rsid w:val="00167F92"/>
    <w:rsid w:val="00170CD8"/>
    <w:rsid w:val="00171825"/>
    <w:rsid w:val="00171EBD"/>
    <w:rsid w:val="001755F5"/>
    <w:rsid w:val="00180BE9"/>
    <w:rsid w:val="001810DA"/>
    <w:rsid w:val="00192821"/>
    <w:rsid w:val="001934ED"/>
    <w:rsid w:val="00196DE7"/>
    <w:rsid w:val="001A0B3E"/>
    <w:rsid w:val="001A0F53"/>
    <w:rsid w:val="001A115C"/>
    <w:rsid w:val="001A6E77"/>
    <w:rsid w:val="001B284B"/>
    <w:rsid w:val="001B3243"/>
    <w:rsid w:val="001B4816"/>
    <w:rsid w:val="001B6D5B"/>
    <w:rsid w:val="001C0105"/>
    <w:rsid w:val="001C2C04"/>
    <w:rsid w:val="001C727B"/>
    <w:rsid w:val="001D0303"/>
    <w:rsid w:val="001D094F"/>
    <w:rsid w:val="001D32CC"/>
    <w:rsid w:val="001D35C9"/>
    <w:rsid w:val="001D534D"/>
    <w:rsid w:val="001D7835"/>
    <w:rsid w:val="001E1B85"/>
    <w:rsid w:val="001E1D5A"/>
    <w:rsid w:val="001F10DC"/>
    <w:rsid w:val="001F159E"/>
    <w:rsid w:val="001F4D52"/>
    <w:rsid w:val="001F7091"/>
    <w:rsid w:val="002031B8"/>
    <w:rsid w:val="00211D52"/>
    <w:rsid w:val="00213D61"/>
    <w:rsid w:val="00213F7E"/>
    <w:rsid w:val="00214CBA"/>
    <w:rsid w:val="0022049F"/>
    <w:rsid w:val="002217EF"/>
    <w:rsid w:val="002249E9"/>
    <w:rsid w:val="00230797"/>
    <w:rsid w:val="002318C0"/>
    <w:rsid w:val="00231B5F"/>
    <w:rsid w:val="002349C3"/>
    <w:rsid w:val="00236422"/>
    <w:rsid w:val="00252B51"/>
    <w:rsid w:val="0025435C"/>
    <w:rsid w:val="002559D7"/>
    <w:rsid w:val="00256893"/>
    <w:rsid w:val="0025740D"/>
    <w:rsid w:val="002643D8"/>
    <w:rsid w:val="002652D4"/>
    <w:rsid w:val="00270E99"/>
    <w:rsid w:val="0027265C"/>
    <w:rsid w:val="00273AB1"/>
    <w:rsid w:val="00275463"/>
    <w:rsid w:val="0027612B"/>
    <w:rsid w:val="00276253"/>
    <w:rsid w:val="00280E12"/>
    <w:rsid w:val="0029100A"/>
    <w:rsid w:val="00292B54"/>
    <w:rsid w:val="00296983"/>
    <w:rsid w:val="002A764E"/>
    <w:rsid w:val="002B150D"/>
    <w:rsid w:val="002B334D"/>
    <w:rsid w:val="002B57B0"/>
    <w:rsid w:val="002D1F0B"/>
    <w:rsid w:val="002E2EA7"/>
    <w:rsid w:val="002E2F12"/>
    <w:rsid w:val="002E457C"/>
    <w:rsid w:val="002F1A1E"/>
    <w:rsid w:val="002F21D8"/>
    <w:rsid w:val="002F399F"/>
    <w:rsid w:val="003000A8"/>
    <w:rsid w:val="00300F23"/>
    <w:rsid w:val="003039ED"/>
    <w:rsid w:val="00305BA4"/>
    <w:rsid w:val="00310935"/>
    <w:rsid w:val="0031284E"/>
    <w:rsid w:val="00313DB4"/>
    <w:rsid w:val="00314BC7"/>
    <w:rsid w:val="00317EAC"/>
    <w:rsid w:val="00320947"/>
    <w:rsid w:val="003269DC"/>
    <w:rsid w:val="003315A0"/>
    <w:rsid w:val="00335A6C"/>
    <w:rsid w:val="00341479"/>
    <w:rsid w:val="00344C66"/>
    <w:rsid w:val="00346BC2"/>
    <w:rsid w:val="00350D1F"/>
    <w:rsid w:val="003528C3"/>
    <w:rsid w:val="0035305C"/>
    <w:rsid w:val="003600B2"/>
    <w:rsid w:val="003616F6"/>
    <w:rsid w:val="0036424C"/>
    <w:rsid w:val="003677C2"/>
    <w:rsid w:val="00370BD4"/>
    <w:rsid w:val="003734F9"/>
    <w:rsid w:val="00373D3F"/>
    <w:rsid w:val="00373FCE"/>
    <w:rsid w:val="003800EA"/>
    <w:rsid w:val="003835F2"/>
    <w:rsid w:val="00387F2E"/>
    <w:rsid w:val="00390980"/>
    <w:rsid w:val="003930B0"/>
    <w:rsid w:val="0039384A"/>
    <w:rsid w:val="00395EBD"/>
    <w:rsid w:val="003A1DB6"/>
    <w:rsid w:val="003A4EA8"/>
    <w:rsid w:val="003B05E1"/>
    <w:rsid w:val="003B1046"/>
    <w:rsid w:val="003B4025"/>
    <w:rsid w:val="003B4FD5"/>
    <w:rsid w:val="003B5A4C"/>
    <w:rsid w:val="003B6D4A"/>
    <w:rsid w:val="003C5EE6"/>
    <w:rsid w:val="003C6C81"/>
    <w:rsid w:val="003C6E91"/>
    <w:rsid w:val="003D0D1A"/>
    <w:rsid w:val="003D2871"/>
    <w:rsid w:val="003D54AB"/>
    <w:rsid w:val="003D6038"/>
    <w:rsid w:val="003D6B97"/>
    <w:rsid w:val="003D7415"/>
    <w:rsid w:val="003E20E8"/>
    <w:rsid w:val="003F26A0"/>
    <w:rsid w:val="003F6BAD"/>
    <w:rsid w:val="00402C44"/>
    <w:rsid w:val="00403AEE"/>
    <w:rsid w:val="0041191E"/>
    <w:rsid w:val="0042065A"/>
    <w:rsid w:val="004247C1"/>
    <w:rsid w:val="004256BD"/>
    <w:rsid w:val="00426DE9"/>
    <w:rsid w:val="004333F7"/>
    <w:rsid w:val="00435642"/>
    <w:rsid w:val="00436740"/>
    <w:rsid w:val="00440C49"/>
    <w:rsid w:val="004410C4"/>
    <w:rsid w:val="004415DD"/>
    <w:rsid w:val="0044304C"/>
    <w:rsid w:val="00446CDB"/>
    <w:rsid w:val="0045367A"/>
    <w:rsid w:val="0045450B"/>
    <w:rsid w:val="004551CD"/>
    <w:rsid w:val="0045561B"/>
    <w:rsid w:val="0046183D"/>
    <w:rsid w:val="00463BDE"/>
    <w:rsid w:val="004653AB"/>
    <w:rsid w:val="004675DD"/>
    <w:rsid w:val="00471404"/>
    <w:rsid w:val="00472B70"/>
    <w:rsid w:val="00473930"/>
    <w:rsid w:val="00480D7E"/>
    <w:rsid w:val="00481510"/>
    <w:rsid w:val="004820D8"/>
    <w:rsid w:val="004837C9"/>
    <w:rsid w:val="00483C37"/>
    <w:rsid w:val="00487D45"/>
    <w:rsid w:val="00492969"/>
    <w:rsid w:val="00492BAA"/>
    <w:rsid w:val="004936B2"/>
    <w:rsid w:val="00493CD1"/>
    <w:rsid w:val="00495491"/>
    <w:rsid w:val="004A1010"/>
    <w:rsid w:val="004A30DD"/>
    <w:rsid w:val="004A339B"/>
    <w:rsid w:val="004A33F6"/>
    <w:rsid w:val="004A6135"/>
    <w:rsid w:val="004B6788"/>
    <w:rsid w:val="004D111A"/>
    <w:rsid w:val="004D174D"/>
    <w:rsid w:val="004D4465"/>
    <w:rsid w:val="004E0320"/>
    <w:rsid w:val="004E1EFA"/>
    <w:rsid w:val="004E4892"/>
    <w:rsid w:val="004E4F78"/>
    <w:rsid w:val="004F1344"/>
    <w:rsid w:val="004F3466"/>
    <w:rsid w:val="004F4163"/>
    <w:rsid w:val="004F5302"/>
    <w:rsid w:val="004F7AEA"/>
    <w:rsid w:val="004F7FCB"/>
    <w:rsid w:val="00500B0F"/>
    <w:rsid w:val="00500F47"/>
    <w:rsid w:val="0050247A"/>
    <w:rsid w:val="005031FD"/>
    <w:rsid w:val="00503BD6"/>
    <w:rsid w:val="005103F1"/>
    <w:rsid w:val="00513D98"/>
    <w:rsid w:val="00513DDF"/>
    <w:rsid w:val="0051429C"/>
    <w:rsid w:val="0051495D"/>
    <w:rsid w:val="00520A73"/>
    <w:rsid w:val="00522CDD"/>
    <w:rsid w:val="00523057"/>
    <w:rsid w:val="00533CE2"/>
    <w:rsid w:val="00533D94"/>
    <w:rsid w:val="005347FE"/>
    <w:rsid w:val="005351C4"/>
    <w:rsid w:val="00540728"/>
    <w:rsid w:val="0054420F"/>
    <w:rsid w:val="005507F0"/>
    <w:rsid w:val="0055080F"/>
    <w:rsid w:val="005526A1"/>
    <w:rsid w:val="00554619"/>
    <w:rsid w:val="0056286B"/>
    <w:rsid w:val="0056464E"/>
    <w:rsid w:val="0056504B"/>
    <w:rsid w:val="005708CD"/>
    <w:rsid w:val="005762A6"/>
    <w:rsid w:val="00577C7C"/>
    <w:rsid w:val="00581D46"/>
    <w:rsid w:val="00582465"/>
    <w:rsid w:val="005835DB"/>
    <w:rsid w:val="0058522A"/>
    <w:rsid w:val="00586587"/>
    <w:rsid w:val="00591357"/>
    <w:rsid w:val="005929CE"/>
    <w:rsid w:val="00592E64"/>
    <w:rsid w:val="005956D6"/>
    <w:rsid w:val="00596225"/>
    <w:rsid w:val="005A3E85"/>
    <w:rsid w:val="005A4E6C"/>
    <w:rsid w:val="005A7E2E"/>
    <w:rsid w:val="005B02DF"/>
    <w:rsid w:val="005B246C"/>
    <w:rsid w:val="005B64EE"/>
    <w:rsid w:val="005B6CAE"/>
    <w:rsid w:val="005B78CA"/>
    <w:rsid w:val="005C4370"/>
    <w:rsid w:val="005C5A7B"/>
    <w:rsid w:val="005C738E"/>
    <w:rsid w:val="005D2051"/>
    <w:rsid w:val="005D7F00"/>
    <w:rsid w:val="005E13F3"/>
    <w:rsid w:val="005E2F69"/>
    <w:rsid w:val="005E3AE2"/>
    <w:rsid w:val="005E62F8"/>
    <w:rsid w:val="005E7742"/>
    <w:rsid w:val="005F4C83"/>
    <w:rsid w:val="0060035A"/>
    <w:rsid w:val="00601990"/>
    <w:rsid w:val="00601CBC"/>
    <w:rsid w:val="006057F9"/>
    <w:rsid w:val="0060603B"/>
    <w:rsid w:val="00606455"/>
    <w:rsid w:val="006116E6"/>
    <w:rsid w:val="006124CE"/>
    <w:rsid w:val="00613117"/>
    <w:rsid w:val="00613798"/>
    <w:rsid w:val="006151DE"/>
    <w:rsid w:val="006157B8"/>
    <w:rsid w:val="006160A3"/>
    <w:rsid w:val="006166B9"/>
    <w:rsid w:val="006208A1"/>
    <w:rsid w:val="00622438"/>
    <w:rsid w:val="00623950"/>
    <w:rsid w:val="006241B1"/>
    <w:rsid w:val="006260BC"/>
    <w:rsid w:val="006351D9"/>
    <w:rsid w:val="0063550E"/>
    <w:rsid w:val="0064258E"/>
    <w:rsid w:val="006430A2"/>
    <w:rsid w:val="00645E72"/>
    <w:rsid w:val="00645FC2"/>
    <w:rsid w:val="00647B27"/>
    <w:rsid w:val="00652AB7"/>
    <w:rsid w:val="00653F17"/>
    <w:rsid w:val="00655A9D"/>
    <w:rsid w:val="00662B1F"/>
    <w:rsid w:val="00664580"/>
    <w:rsid w:val="00665CB5"/>
    <w:rsid w:val="0067352E"/>
    <w:rsid w:val="006752F0"/>
    <w:rsid w:val="006761F1"/>
    <w:rsid w:val="0067763F"/>
    <w:rsid w:val="00677D23"/>
    <w:rsid w:val="00681D22"/>
    <w:rsid w:val="006823E0"/>
    <w:rsid w:val="00682E0A"/>
    <w:rsid w:val="00684864"/>
    <w:rsid w:val="0068582F"/>
    <w:rsid w:val="00687A5D"/>
    <w:rsid w:val="0069064B"/>
    <w:rsid w:val="00697AF8"/>
    <w:rsid w:val="00697B88"/>
    <w:rsid w:val="006A1E7E"/>
    <w:rsid w:val="006A642E"/>
    <w:rsid w:val="006A6603"/>
    <w:rsid w:val="006A6ADF"/>
    <w:rsid w:val="006A79C6"/>
    <w:rsid w:val="006A7B34"/>
    <w:rsid w:val="006B2045"/>
    <w:rsid w:val="006B3D4E"/>
    <w:rsid w:val="006B5E16"/>
    <w:rsid w:val="006C2059"/>
    <w:rsid w:val="006C3E71"/>
    <w:rsid w:val="006C4BB2"/>
    <w:rsid w:val="006C66F2"/>
    <w:rsid w:val="006D1B2F"/>
    <w:rsid w:val="006D4255"/>
    <w:rsid w:val="006D51D2"/>
    <w:rsid w:val="006D7733"/>
    <w:rsid w:val="006E141E"/>
    <w:rsid w:val="006E38BC"/>
    <w:rsid w:val="006F043F"/>
    <w:rsid w:val="006F2890"/>
    <w:rsid w:val="006F3C3C"/>
    <w:rsid w:val="006F40C8"/>
    <w:rsid w:val="007008B0"/>
    <w:rsid w:val="00701CDF"/>
    <w:rsid w:val="00702D11"/>
    <w:rsid w:val="007114E3"/>
    <w:rsid w:val="00712477"/>
    <w:rsid w:val="00716B84"/>
    <w:rsid w:val="0071733B"/>
    <w:rsid w:val="00722F31"/>
    <w:rsid w:val="00730878"/>
    <w:rsid w:val="0073128E"/>
    <w:rsid w:val="0073361C"/>
    <w:rsid w:val="00733ECB"/>
    <w:rsid w:val="00735504"/>
    <w:rsid w:val="007400B0"/>
    <w:rsid w:val="00745828"/>
    <w:rsid w:val="00745E3B"/>
    <w:rsid w:val="007522B8"/>
    <w:rsid w:val="00753BD9"/>
    <w:rsid w:val="00754A4E"/>
    <w:rsid w:val="00762B8C"/>
    <w:rsid w:val="0076455A"/>
    <w:rsid w:val="007656FD"/>
    <w:rsid w:val="007660E6"/>
    <w:rsid w:val="007668A0"/>
    <w:rsid w:val="00767DB2"/>
    <w:rsid w:val="00770266"/>
    <w:rsid w:val="00774D6C"/>
    <w:rsid w:val="0078153C"/>
    <w:rsid w:val="007826C1"/>
    <w:rsid w:val="0078362A"/>
    <w:rsid w:val="007855B4"/>
    <w:rsid w:val="00792538"/>
    <w:rsid w:val="00796234"/>
    <w:rsid w:val="007A1805"/>
    <w:rsid w:val="007A3328"/>
    <w:rsid w:val="007A635F"/>
    <w:rsid w:val="007B1B62"/>
    <w:rsid w:val="007B1E8F"/>
    <w:rsid w:val="007B1FC4"/>
    <w:rsid w:val="007B576B"/>
    <w:rsid w:val="007B61BD"/>
    <w:rsid w:val="007C5188"/>
    <w:rsid w:val="007D587A"/>
    <w:rsid w:val="007D5D56"/>
    <w:rsid w:val="007D6D19"/>
    <w:rsid w:val="007D6E83"/>
    <w:rsid w:val="007E02B0"/>
    <w:rsid w:val="007E2E52"/>
    <w:rsid w:val="007E5AA1"/>
    <w:rsid w:val="007F4D3A"/>
    <w:rsid w:val="007F5425"/>
    <w:rsid w:val="007F550F"/>
    <w:rsid w:val="00804844"/>
    <w:rsid w:val="00806281"/>
    <w:rsid w:val="0080631C"/>
    <w:rsid w:val="00822331"/>
    <w:rsid w:val="00823970"/>
    <w:rsid w:val="00824932"/>
    <w:rsid w:val="00831875"/>
    <w:rsid w:val="00833149"/>
    <w:rsid w:val="0083323C"/>
    <w:rsid w:val="00835A48"/>
    <w:rsid w:val="008361C0"/>
    <w:rsid w:val="008377CE"/>
    <w:rsid w:val="00841108"/>
    <w:rsid w:val="00844188"/>
    <w:rsid w:val="008460C0"/>
    <w:rsid w:val="00852277"/>
    <w:rsid w:val="0085264B"/>
    <w:rsid w:val="00862C72"/>
    <w:rsid w:val="00865F4C"/>
    <w:rsid w:val="008675BB"/>
    <w:rsid w:val="0086766F"/>
    <w:rsid w:val="00872453"/>
    <w:rsid w:val="00877A08"/>
    <w:rsid w:val="00881CAB"/>
    <w:rsid w:val="00885932"/>
    <w:rsid w:val="00890D8C"/>
    <w:rsid w:val="008949E7"/>
    <w:rsid w:val="00896B8B"/>
    <w:rsid w:val="008A3813"/>
    <w:rsid w:val="008B0569"/>
    <w:rsid w:val="008B3D56"/>
    <w:rsid w:val="008B6933"/>
    <w:rsid w:val="008B7655"/>
    <w:rsid w:val="008C265C"/>
    <w:rsid w:val="008C5263"/>
    <w:rsid w:val="008C69A8"/>
    <w:rsid w:val="008D1DF1"/>
    <w:rsid w:val="008D20B7"/>
    <w:rsid w:val="008D22EB"/>
    <w:rsid w:val="008F6004"/>
    <w:rsid w:val="008F6F4D"/>
    <w:rsid w:val="009023C1"/>
    <w:rsid w:val="00904F66"/>
    <w:rsid w:val="00906244"/>
    <w:rsid w:val="0091298E"/>
    <w:rsid w:val="00917C39"/>
    <w:rsid w:val="00922575"/>
    <w:rsid w:val="009250B5"/>
    <w:rsid w:val="0093008E"/>
    <w:rsid w:val="00932D2B"/>
    <w:rsid w:val="00933977"/>
    <w:rsid w:val="00933AB3"/>
    <w:rsid w:val="0093544E"/>
    <w:rsid w:val="0093591A"/>
    <w:rsid w:val="00935975"/>
    <w:rsid w:val="00941838"/>
    <w:rsid w:val="009440D0"/>
    <w:rsid w:val="009479DA"/>
    <w:rsid w:val="00950DA3"/>
    <w:rsid w:val="00955CDC"/>
    <w:rsid w:val="00955D0B"/>
    <w:rsid w:val="00956014"/>
    <w:rsid w:val="009564CC"/>
    <w:rsid w:val="009567F1"/>
    <w:rsid w:val="0096173E"/>
    <w:rsid w:val="00961E83"/>
    <w:rsid w:val="0096308C"/>
    <w:rsid w:val="00963927"/>
    <w:rsid w:val="009649FC"/>
    <w:rsid w:val="00965273"/>
    <w:rsid w:val="009678C3"/>
    <w:rsid w:val="00967E22"/>
    <w:rsid w:val="0097024E"/>
    <w:rsid w:val="009719F1"/>
    <w:rsid w:val="00973C9F"/>
    <w:rsid w:val="009742F3"/>
    <w:rsid w:val="009757E4"/>
    <w:rsid w:val="0097740C"/>
    <w:rsid w:val="00981D73"/>
    <w:rsid w:val="00985132"/>
    <w:rsid w:val="00985272"/>
    <w:rsid w:val="00990D9F"/>
    <w:rsid w:val="00991CD2"/>
    <w:rsid w:val="00991EDD"/>
    <w:rsid w:val="00997D6B"/>
    <w:rsid w:val="009A45B6"/>
    <w:rsid w:val="009B31D3"/>
    <w:rsid w:val="009B3977"/>
    <w:rsid w:val="009C0DDE"/>
    <w:rsid w:val="009C1E4E"/>
    <w:rsid w:val="009C66D9"/>
    <w:rsid w:val="009C7B69"/>
    <w:rsid w:val="009D5849"/>
    <w:rsid w:val="009D6F5E"/>
    <w:rsid w:val="009E3C76"/>
    <w:rsid w:val="009E5C79"/>
    <w:rsid w:val="009E7D93"/>
    <w:rsid w:val="009F40F0"/>
    <w:rsid w:val="009F584F"/>
    <w:rsid w:val="009F60DB"/>
    <w:rsid w:val="009F7173"/>
    <w:rsid w:val="00A010F9"/>
    <w:rsid w:val="00A01402"/>
    <w:rsid w:val="00A03817"/>
    <w:rsid w:val="00A05415"/>
    <w:rsid w:val="00A056FC"/>
    <w:rsid w:val="00A07CBE"/>
    <w:rsid w:val="00A112AE"/>
    <w:rsid w:val="00A11929"/>
    <w:rsid w:val="00A1370F"/>
    <w:rsid w:val="00A20E9A"/>
    <w:rsid w:val="00A22775"/>
    <w:rsid w:val="00A24F4C"/>
    <w:rsid w:val="00A25A3B"/>
    <w:rsid w:val="00A32868"/>
    <w:rsid w:val="00A333C2"/>
    <w:rsid w:val="00A34070"/>
    <w:rsid w:val="00A35763"/>
    <w:rsid w:val="00A373F9"/>
    <w:rsid w:val="00A40DBE"/>
    <w:rsid w:val="00A41BAE"/>
    <w:rsid w:val="00A50A65"/>
    <w:rsid w:val="00A52742"/>
    <w:rsid w:val="00A60C30"/>
    <w:rsid w:val="00A65079"/>
    <w:rsid w:val="00A73622"/>
    <w:rsid w:val="00A7548C"/>
    <w:rsid w:val="00A80F3C"/>
    <w:rsid w:val="00A81C7B"/>
    <w:rsid w:val="00A845EB"/>
    <w:rsid w:val="00A85DE5"/>
    <w:rsid w:val="00A91087"/>
    <w:rsid w:val="00A930A3"/>
    <w:rsid w:val="00A9326B"/>
    <w:rsid w:val="00A94034"/>
    <w:rsid w:val="00AA05A9"/>
    <w:rsid w:val="00AA188B"/>
    <w:rsid w:val="00AA2E49"/>
    <w:rsid w:val="00AB0744"/>
    <w:rsid w:val="00AB0AF3"/>
    <w:rsid w:val="00AB36D7"/>
    <w:rsid w:val="00AC12E9"/>
    <w:rsid w:val="00AC73F5"/>
    <w:rsid w:val="00AD3BB9"/>
    <w:rsid w:val="00AD6E66"/>
    <w:rsid w:val="00AD7793"/>
    <w:rsid w:val="00AE0E87"/>
    <w:rsid w:val="00AE257B"/>
    <w:rsid w:val="00AE600B"/>
    <w:rsid w:val="00AE6F88"/>
    <w:rsid w:val="00AE709B"/>
    <w:rsid w:val="00AF0575"/>
    <w:rsid w:val="00AF1974"/>
    <w:rsid w:val="00AF2DC6"/>
    <w:rsid w:val="00AF341F"/>
    <w:rsid w:val="00AF41AE"/>
    <w:rsid w:val="00B00661"/>
    <w:rsid w:val="00B03C51"/>
    <w:rsid w:val="00B20D1D"/>
    <w:rsid w:val="00B21222"/>
    <w:rsid w:val="00B21E0A"/>
    <w:rsid w:val="00B2659E"/>
    <w:rsid w:val="00B27306"/>
    <w:rsid w:val="00B30A29"/>
    <w:rsid w:val="00B318F2"/>
    <w:rsid w:val="00B31D32"/>
    <w:rsid w:val="00B3222D"/>
    <w:rsid w:val="00B40BFF"/>
    <w:rsid w:val="00B443AB"/>
    <w:rsid w:val="00B45822"/>
    <w:rsid w:val="00B460D4"/>
    <w:rsid w:val="00B46162"/>
    <w:rsid w:val="00B476FF"/>
    <w:rsid w:val="00B538D8"/>
    <w:rsid w:val="00B55624"/>
    <w:rsid w:val="00B617BF"/>
    <w:rsid w:val="00B62C7C"/>
    <w:rsid w:val="00B634CE"/>
    <w:rsid w:val="00B6369C"/>
    <w:rsid w:val="00B715D7"/>
    <w:rsid w:val="00B72E62"/>
    <w:rsid w:val="00B73220"/>
    <w:rsid w:val="00B767CE"/>
    <w:rsid w:val="00B7764A"/>
    <w:rsid w:val="00B8133E"/>
    <w:rsid w:val="00B8350C"/>
    <w:rsid w:val="00B84E2F"/>
    <w:rsid w:val="00B85A61"/>
    <w:rsid w:val="00B86465"/>
    <w:rsid w:val="00B8703B"/>
    <w:rsid w:val="00B9026D"/>
    <w:rsid w:val="00B90745"/>
    <w:rsid w:val="00B92511"/>
    <w:rsid w:val="00B93020"/>
    <w:rsid w:val="00B93EA9"/>
    <w:rsid w:val="00B94542"/>
    <w:rsid w:val="00BA0280"/>
    <w:rsid w:val="00BA5FE9"/>
    <w:rsid w:val="00BB04AF"/>
    <w:rsid w:val="00BB0FFD"/>
    <w:rsid w:val="00BB2B5D"/>
    <w:rsid w:val="00BB66ED"/>
    <w:rsid w:val="00BB7D5C"/>
    <w:rsid w:val="00BC1F05"/>
    <w:rsid w:val="00BC3CD5"/>
    <w:rsid w:val="00BD1873"/>
    <w:rsid w:val="00BD365B"/>
    <w:rsid w:val="00BD37DC"/>
    <w:rsid w:val="00BD6214"/>
    <w:rsid w:val="00BD6D7E"/>
    <w:rsid w:val="00BE42BC"/>
    <w:rsid w:val="00BE7EFD"/>
    <w:rsid w:val="00BF23A6"/>
    <w:rsid w:val="00BF3502"/>
    <w:rsid w:val="00BF61CA"/>
    <w:rsid w:val="00BF6851"/>
    <w:rsid w:val="00BF70E8"/>
    <w:rsid w:val="00C02FD6"/>
    <w:rsid w:val="00C065A3"/>
    <w:rsid w:val="00C06E87"/>
    <w:rsid w:val="00C07A9C"/>
    <w:rsid w:val="00C11B5B"/>
    <w:rsid w:val="00C11BE8"/>
    <w:rsid w:val="00C239FD"/>
    <w:rsid w:val="00C24504"/>
    <w:rsid w:val="00C267DB"/>
    <w:rsid w:val="00C30808"/>
    <w:rsid w:val="00C31C13"/>
    <w:rsid w:val="00C32EA9"/>
    <w:rsid w:val="00C37449"/>
    <w:rsid w:val="00C4065C"/>
    <w:rsid w:val="00C431C7"/>
    <w:rsid w:val="00C44D42"/>
    <w:rsid w:val="00C513D9"/>
    <w:rsid w:val="00C51B09"/>
    <w:rsid w:val="00C53BBA"/>
    <w:rsid w:val="00C66855"/>
    <w:rsid w:val="00C679F5"/>
    <w:rsid w:val="00C7396B"/>
    <w:rsid w:val="00C77483"/>
    <w:rsid w:val="00C80F15"/>
    <w:rsid w:val="00C81F1C"/>
    <w:rsid w:val="00C839F9"/>
    <w:rsid w:val="00C8410C"/>
    <w:rsid w:val="00C850EC"/>
    <w:rsid w:val="00C93C45"/>
    <w:rsid w:val="00C94214"/>
    <w:rsid w:val="00C97CD8"/>
    <w:rsid w:val="00C97FEA"/>
    <w:rsid w:val="00CA254E"/>
    <w:rsid w:val="00CA3805"/>
    <w:rsid w:val="00CB4E82"/>
    <w:rsid w:val="00CB70B2"/>
    <w:rsid w:val="00CC4CA1"/>
    <w:rsid w:val="00CD41E8"/>
    <w:rsid w:val="00CE1876"/>
    <w:rsid w:val="00CE1AA3"/>
    <w:rsid w:val="00CE44E0"/>
    <w:rsid w:val="00CE634B"/>
    <w:rsid w:val="00CE6C7E"/>
    <w:rsid w:val="00CE765E"/>
    <w:rsid w:val="00CF2B79"/>
    <w:rsid w:val="00D016B2"/>
    <w:rsid w:val="00D01FDC"/>
    <w:rsid w:val="00D04457"/>
    <w:rsid w:val="00D06E66"/>
    <w:rsid w:val="00D07EF5"/>
    <w:rsid w:val="00D11F45"/>
    <w:rsid w:val="00D16293"/>
    <w:rsid w:val="00D1798C"/>
    <w:rsid w:val="00D2323A"/>
    <w:rsid w:val="00D270C6"/>
    <w:rsid w:val="00D3271A"/>
    <w:rsid w:val="00D3774A"/>
    <w:rsid w:val="00D41F31"/>
    <w:rsid w:val="00D43C96"/>
    <w:rsid w:val="00D45D54"/>
    <w:rsid w:val="00D463BB"/>
    <w:rsid w:val="00D47A59"/>
    <w:rsid w:val="00D50C8E"/>
    <w:rsid w:val="00D522C8"/>
    <w:rsid w:val="00D56401"/>
    <w:rsid w:val="00D56D3F"/>
    <w:rsid w:val="00D60EA7"/>
    <w:rsid w:val="00D61034"/>
    <w:rsid w:val="00D61818"/>
    <w:rsid w:val="00D6288E"/>
    <w:rsid w:val="00D62EBC"/>
    <w:rsid w:val="00D63037"/>
    <w:rsid w:val="00D63843"/>
    <w:rsid w:val="00D64824"/>
    <w:rsid w:val="00D665B4"/>
    <w:rsid w:val="00D66F31"/>
    <w:rsid w:val="00D678A6"/>
    <w:rsid w:val="00D84936"/>
    <w:rsid w:val="00D871EF"/>
    <w:rsid w:val="00D9564A"/>
    <w:rsid w:val="00DA1018"/>
    <w:rsid w:val="00DA300A"/>
    <w:rsid w:val="00DA519F"/>
    <w:rsid w:val="00DA7483"/>
    <w:rsid w:val="00DB08E2"/>
    <w:rsid w:val="00DB61FF"/>
    <w:rsid w:val="00DB6D70"/>
    <w:rsid w:val="00DB72E9"/>
    <w:rsid w:val="00DB7B69"/>
    <w:rsid w:val="00DC048E"/>
    <w:rsid w:val="00DC1DCF"/>
    <w:rsid w:val="00DD0126"/>
    <w:rsid w:val="00DD5A16"/>
    <w:rsid w:val="00DD666B"/>
    <w:rsid w:val="00DD688A"/>
    <w:rsid w:val="00DD6B00"/>
    <w:rsid w:val="00DD6F94"/>
    <w:rsid w:val="00DD7E0F"/>
    <w:rsid w:val="00DE0620"/>
    <w:rsid w:val="00DE23CD"/>
    <w:rsid w:val="00DE5B0F"/>
    <w:rsid w:val="00DE7057"/>
    <w:rsid w:val="00DF1C5A"/>
    <w:rsid w:val="00E00250"/>
    <w:rsid w:val="00E00BFB"/>
    <w:rsid w:val="00E02876"/>
    <w:rsid w:val="00E05D0C"/>
    <w:rsid w:val="00E102D6"/>
    <w:rsid w:val="00E131E4"/>
    <w:rsid w:val="00E218BC"/>
    <w:rsid w:val="00E25FF2"/>
    <w:rsid w:val="00E272CB"/>
    <w:rsid w:val="00E27E99"/>
    <w:rsid w:val="00E350C5"/>
    <w:rsid w:val="00E36839"/>
    <w:rsid w:val="00E36CFE"/>
    <w:rsid w:val="00E376EB"/>
    <w:rsid w:val="00E416F7"/>
    <w:rsid w:val="00E43039"/>
    <w:rsid w:val="00E433A3"/>
    <w:rsid w:val="00E44E08"/>
    <w:rsid w:val="00E539EA"/>
    <w:rsid w:val="00E56C80"/>
    <w:rsid w:val="00E74C34"/>
    <w:rsid w:val="00E75314"/>
    <w:rsid w:val="00E80DA9"/>
    <w:rsid w:val="00E837D9"/>
    <w:rsid w:val="00E840BF"/>
    <w:rsid w:val="00E908F6"/>
    <w:rsid w:val="00E9195D"/>
    <w:rsid w:val="00E92EA6"/>
    <w:rsid w:val="00E96710"/>
    <w:rsid w:val="00E97D08"/>
    <w:rsid w:val="00E97EDE"/>
    <w:rsid w:val="00EA1D65"/>
    <w:rsid w:val="00EA4436"/>
    <w:rsid w:val="00EB1612"/>
    <w:rsid w:val="00EB1A85"/>
    <w:rsid w:val="00EB41E9"/>
    <w:rsid w:val="00EC30C6"/>
    <w:rsid w:val="00EC46D1"/>
    <w:rsid w:val="00ED13A4"/>
    <w:rsid w:val="00ED6F6D"/>
    <w:rsid w:val="00EE0618"/>
    <w:rsid w:val="00EE2A9F"/>
    <w:rsid w:val="00EE44EE"/>
    <w:rsid w:val="00EF01EB"/>
    <w:rsid w:val="00EF053A"/>
    <w:rsid w:val="00EF0A6C"/>
    <w:rsid w:val="00EF187A"/>
    <w:rsid w:val="00EF3DBE"/>
    <w:rsid w:val="00EF61B7"/>
    <w:rsid w:val="00F01C6C"/>
    <w:rsid w:val="00F027A1"/>
    <w:rsid w:val="00F02EA4"/>
    <w:rsid w:val="00F04FBB"/>
    <w:rsid w:val="00F050FE"/>
    <w:rsid w:val="00F07103"/>
    <w:rsid w:val="00F15B9E"/>
    <w:rsid w:val="00F15C83"/>
    <w:rsid w:val="00F220A6"/>
    <w:rsid w:val="00F2218A"/>
    <w:rsid w:val="00F235A7"/>
    <w:rsid w:val="00F25280"/>
    <w:rsid w:val="00F31C52"/>
    <w:rsid w:val="00F3466D"/>
    <w:rsid w:val="00F42B41"/>
    <w:rsid w:val="00F44A31"/>
    <w:rsid w:val="00F521A2"/>
    <w:rsid w:val="00F522B6"/>
    <w:rsid w:val="00F56D48"/>
    <w:rsid w:val="00F57504"/>
    <w:rsid w:val="00F57F5E"/>
    <w:rsid w:val="00F60A85"/>
    <w:rsid w:val="00F62865"/>
    <w:rsid w:val="00F62EAE"/>
    <w:rsid w:val="00F63AA7"/>
    <w:rsid w:val="00F65987"/>
    <w:rsid w:val="00F70AEC"/>
    <w:rsid w:val="00F72192"/>
    <w:rsid w:val="00F726E0"/>
    <w:rsid w:val="00F75192"/>
    <w:rsid w:val="00F76731"/>
    <w:rsid w:val="00F827A1"/>
    <w:rsid w:val="00F830ED"/>
    <w:rsid w:val="00F84139"/>
    <w:rsid w:val="00F91EF7"/>
    <w:rsid w:val="00F924AA"/>
    <w:rsid w:val="00F93F14"/>
    <w:rsid w:val="00F96518"/>
    <w:rsid w:val="00F97D98"/>
    <w:rsid w:val="00FA170B"/>
    <w:rsid w:val="00FA3205"/>
    <w:rsid w:val="00FA5EC2"/>
    <w:rsid w:val="00FB0230"/>
    <w:rsid w:val="00FB49AA"/>
    <w:rsid w:val="00FB7A20"/>
    <w:rsid w:val="00FC0939"/>
    <w:rsid w:val="00FC227B"/>
    <w:rsid w:val="00FC31BC"/>
    <w:rsid w:val="00FC46D4"/>
    <w:rsid w:val="00FC48CA"/>
    <w:rsid w:val="00FC674B"/>
    <w:rsid w:val="00FD0D13"/>
    <w:rsid w:val="00FD4934"/>
    <w:rsid w:val="00FD6CA9"/>
    <w:rsid w:val="00FD7E3F"/>
    <w:rsid w:val="00FE0D41"/>
    <w:rsid w:val="00FE2152"/>
    <w:rsid w:val="00FE23A0"/>
    <w:rsid w:val="00FE3D9F"/>
    <w:rsid w:val="00FE549C"/>
    <w:rsid w:val="00FE668E"/>
    <w:rsid w:val="00FE7349"/>
    <w:rsid w:val="00FF0F7B"/>
    <w:rsid w:val="00FF7BFC"/>
  </w:rsids>
  <w:docVars>
    <w:docVar w:name="LW_DocType" w:val="REP"/>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Bullet" w:uiPriority="0"/>
    <w:lsdException w:name="List Number 4"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D6D7E"/>
    <w:pPr>
      <w:spacing w:before="120" w:after="120"/>
      <w:jc w:val="both"/>
    </w:pPr>
    <w:rPr>
      <w:sz w:val="24"/>
      <w:lang w:val="en-GB" w:eastAsia="en-US" w:bidi="ar-SA"/>
    </w:rPr>
  </w:style>
  <w:style w:type="paragraph" w:styleId="Heading1">
    <w:name w:val="heading 1"/>
    <w:basedOn w:val="Normal"/>
    <w:next w:val="Normal"/>
    <w:qFormat/>
    <w:rsid w:val="00162E7B"/>
    <w:pPr>
      <w:keepNext/>
      <w:numPr>
        <w:ilvl w:val="0"/>
        <w:numId w:val="20"/>
      </w:numPr>
      <w:spacing w:before="240" w:after="240"/>
      <w:outlineLvl w:val="0"/>
    </w:pPr>
    <w:rPr>
      <w:b/>
      <w:smallCaps/>
      <w:sz w:val="28"/>
      <w:lang w:val="fr-BE"/>
    </w:rPr>
  </w:style>
  <w:style w:type="paragraph" w:styleId="Heading2">
    <w:name w:val="heading 2"/>
    <w:basedOn w:val="Heading1"/>
    <w:next w:val="Normal"/>
    <w:link w:val="Heading2Char"/>
    <w:autoRedefine/>
    <w:qFormat/>
    <w:rsid w:val="00E272CB"/>
    <w:pPr>
      <w:numPr>
        <w:ilvl w:val="1"/>
        <w:numId w:val="20"/>
      </w:numPr>
      <w:ind w:left="0"/>
      <w:outlineLvl w:val="1"/>
    </w:pPr>
    <w:rPr>
      <w:smallCaps w:val="0"/>
      <w:sz w:val="24"/>
    </w:rPr>
  </w:style>
  <w:style w:type="paragraph" w:styleId="Heading3">
    <w:name w:val="heading 3"/>
    <w:basedOn w:val="Heading2"/>
    <w:next w:val="Normal"/>
    <w:link w:val="Heading3Char"/>
    <w:autoRedefine/>
    <w:qFormat/>
    <w:rsid w:val="00F235A7"/>
    <w:pPr>
      <w:numPr>
        <w:ilvl w:val="2"/>
        <w:numId w:val="20"/>
      </w:numPr>
      <w:outlineLvl w:val="2"/>
    </w:pPr>
    <w:rPr>
      <w:b w:val="0"/>
      <w:color w:val="000000"/>
    </w:rPr>
  </w:style>
  <w:style w:type="paragraph" w:styleId="Heading4">
    <w:name w:val="heading 4"/>
    <w:basedOn w:val="Heading3"/>
    <w:next w:val="Normal"/>
    <w:link w:val="Heading4Char"/>
    <w:qFormat/>
    <w:rsid w:val="00554619"/>
    <w:pPr>
      <w:numPr>
        <w:ilvl w:val="3"/>
        <w:numId w:val="20"/>
      </w:numPr>
      <w:outlineLvl w:val="3"/>
    </w:pPr>
    <w:rPr>
      <w:i/>
    </w:rPr>
  </w:style>
  <w:style w:type="paragraph" w:styleId="Heading5">
    <w:name w:val="heading 5"/>
    <w:basedOn w:val="Heading4"/>
    <w:next w:val="Normal"/>
    <w:qFormat/>
    <w:rsid w:val="001D534D"/>
    <w:pPr>
      <w:numPr>
        <w:ilvl w:val="4"/>
        <w:numId w:val="20"/>
      </w:numPr>
      <w:jc w:val="left"/>
      <w:outlineLvl w:val="4"/>
    </w:pPr>
    <w:rPr>
      <w:rFonts w:ascii="Arial" w:hAnsi="Arial"/>
      <w:b/>
      <w:i w:val="0"/>
      <w:noProof/>
      <w:sz w:val="22"/>
    </w:rPr>
  </w:style>
  <w:style w:type="paragraph" w:styleId="Heading6">
    <w:name w:val="heading 6"/>
    <w:basedOn w:val="Heading5"/>
    <w:next w:val="Normal"/>
    <w:qFormat/>
    <w:rsid w:val="00F235A7"/>
    <w:pPr>
      <w:numPr>
        <w:ilvl w:val="5"/>
        <w:numId w:val="20"/>
      </w:numPr>
      <w:spacing w:after="60"/>
      <w:outlineLvl w:val="5"/>
    </w:pPr>
    <w:rPr>
      <w:b w:val="0"/>
    </w:rPr>
  </w:style>
  <w:style w:type="paragraph" w:styleId="Heading7">
    <w:name w:val="heading 7"/>
    <w:basedOn w:val="Heading6"/>
    <w:next w:val="Normal"/>
    <w:qFormat/>
    <w:rsid w:val="00F235A7"/>
    <w:pPr>
      <w:numPr>
        <w:ilvl w:val="6"/>
        <w:numId w:val="20"/>
      </w:numPr>
      <w:outlineLvl w:val="6"/>
    </w:pPr>
    <w:rPr>
      <w:i/>
    </w:rPr>
  </w:style>
  <w:style w:type="paragraph" w:styleId="Heading8">
    <w:name w:val="heading 8"/>
    <w:basedOn w:val="Heading7"/>
    <w:next w:val="Normal"/>
    <w:qFormat/>
    <w:rsid w:val="001D534D"/>
    <w:pPr>
      <w:numPr>
        <w:ilvl w:val="7"/>
        <w:numId w:val="20"/>
      </w:numPr>
      <w:outlineLvl w:val="7"/>
    </w:pPr>
    <w:rPr>
      <w:rFonts w:ascii="Calibri" w:hAnsi="Calibri"/>
      <w:b/>
      <w:i w:val="0"/>
      <w:sz w:val="24"/>
    </w:rPr>
  </w:style>
  <w:style w:type="paragraph" w:styleId="Heading9">
    <w:name w:val="heading 9"/>
    <w:basedOn w:val="Heading8"/>
    <w:next w:val="Normal"/>
    <w:qFormat/>
    <w:rsid w:val="00F235A7"/>
    <w:pPr>
      <w:numPr>
        <w:ilvl w:val="8"/>
        <w:numId w:val="20"/>
      </w:numPr>
      <w:outlineLvl w:val="8"/>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link w:val="Text2Char"/>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vAnchor="margin"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rsid w:val="004A6135"/>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ilvl w:val="0"/>
        <w:numId w:val="3"/>
      </w:numPr>
    </w:pPr>
  </w:style>
  <w:style w:type="paragraph" w:styleId="ListBullet2">
    <w:name w:val="List Bullet 2"/>
    <w:basedOn w:val="Text2"/>
    <w:pPr>
      <w:numPr>
        <w:ilvl w:val="0"/>
        <w:numId w:val="5"/>
      </w:numPr>
      <w:tabs>
        <w:tab w:val="clear" w:pos="2302"/>
      </w:tabs>
    </w:pPr>
  </w:style>
  <w:style w:type="paragraph" w:styleId="ListBullet3">
    <w:name w:val="List Bullet 3"/>
    <w:basedOn w:val="Text3"/>
    <w:pPr>
      <w:numPr>
        <w:ilvl w:val="0"/>
        <w:numId w:val="6"/>
      </w:numPr>
      <w:tabs>
        <w:tab w:val="clear" w:pos="2302"/>
      </w:tabs>
    </w:pPr>
  </w:style>
  <w:style w:type="paragraph" w:styleId="ListBullet4">
    <w:name w:val="List Bullet 4"/>
    <w:basedOn w:val="Text4"/>
    <w:pPr>
      <w:numPr>
        <w:ilvl w:val="0"/>
        <w:numId w:val="7"/>
      </w:numPr>
      <w:tabs>
        <w:tab w:val="clear" w:pos="2302"/>
      </w:tabs>
    </w:pPr>
  </w:style>
  <w:style w:type="paragraph" w:styleId="ListBullet5">
    <w:name w:val="List Bullet 5"/>
    <w:basedOn w:val="Normal"/>
    <w:autoRedefine/>
    <w:pPr>
      <w:numPr>
        <w:ilvl w:val="0"/>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ilvl w:val="0"/>
        <w:numId w:val="13"/>
      </w:numPr>
    </w:pPr>
  </w:style>
  <w:style w:type="paragraph" w:styleId="ListNumber2">
    <w:name w:val="List Number 2"/>
    <w:basedOn w:val="Text2"/>
    <w:pPr>
      <w:numPr>
        <w:ilvl w:val="0"/>
        <w:numId w:val="15"/>
      </w:numPr>
      <w:tabs>
        <w:tab w:val="clear" w:pos="2302"/>
      </w:tabs>
    </w:pPr>
  </w:style>
  <w:style w:type="paragraph" w:styleId="ListNumber3">
    <w:name w:val="List Number 3"/>
    <w:basedOn w:val="Text3"/>
    <w:pPr>
      <w:numPr>
        <w:ilvl w:val="0"/>
        <w:numId w:val="16"/>
      </w:numPr>
      <w:tabs>
        <w:tab w:val="clear" w:pos="2302"/>
      </w:tabs>
    </w:pPr>
  </w:style>
  <w:style w:type="paragraph" w:styleId="ListNumber4">
    <w:name w:val="List Number 4"/>
    <w:basedOn w:val="Text4"/>
    <w:pPr>
      <w:numPr>
        <w:ilvl w:val="0"/>
        <w:numId w:val="17"/>
      </w:numPr>
      <w:tabs>
        <w:tab w:val="clear" w:pos="2302"/>
      </w:tabs>
    </w:pPr>
  </w:style>
  <w:style w:type="paragraph" w:styleId="ListNumber5">
    <w:name w:val="List Number 5"/>
    <w:basedOn w:val="Normal"/>
    <w:pPr>
      <w:numPr>
        <w:ilvl w:val="0"/>
        <w:numId w:val="2"/>
      </w:numPr>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bidi="ar-SA"/>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uiPriority w:val="99"/>
    <w:pPr>
      <w:ind w:left="480" w:hanging="480"/>
    </w:pPr>
  </w:style>
  <w:style w:type="paragraph" w:styleId="Title">
    <w:name w:val="Title"/>
    <w:basedOn w:val="Normal"/>
    <w:next w:val="SubTitle1"/>
    <w:link w:val="TitleChar"/>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qFormat/>
    <w:rsid w:val="00062C4F"/>
    <w:pPr>
      <w:tabs>
        <w:tab w:val="right" w:leader="dot" w:pos="10206"/>
      </w:tabs>
      <w:ind w:left="482" w:right="720" w:hanging="482"/>
    </w:pPr>
    <w:rPr>
      <w:caps/>
    </w:rPr>
  </w:style>
  <w:style w:type="paragraph" w:styleId="TOC2">
    <w:name w:val="toc 2"/>
    <w:basedOn w:val="Normal"/>
    <w:next w:val="Normal"/>
    <w:uiPriority w:val="39"/>
    <w:qFormat/>
    <w:rsid w:val="00681D22"/>
    <w:pPr>
      <w:tabs>
        <w:tab w:val="right" w:leader="dot" w:pos="10206"/>
      </w:tabs>
      <w:spacing w:before="60" w:after="60"/>
      <w:ind w:left="595" w:right="720" w:hanging="595"/>
    </w:pPr>
  </w:style>
  <w:style w:type="paragraph" w:styleId="TOC3">
    <w:name w:val="toc 3"/>
    <w:basedOn w:val="Normal"/>
    <w:next w:val="Normal"/>
    <w:uiPriority w:val="39"/>
    <w:qFormat/>
    <w:rsid w:val="00681D22"/>
    <w:pPr>
      <w:tabs>
        <w:tab w:val="right" w:leader="dot" w:pos="10206"/>
      </w:tabs>
      <w:spacing w:before="60" w:after="60"/>
      <w:ind w:left="839" w:right="720" w:hanging="839"/>
    </w:pPr>
  </w:style>
  <w:style w:type="paragraph" w:styleId="TOC4">
    <w:name w:val="toc 4"/>
    <w:basedOn w:val="Normal"/>
    <w:next w:val="Normal"/>
    <w:uiPriority w:val="39"/>
    <w:pPr>
      <w:tabs>
        <w:tab w:val="right" w:leader="dot" w:pos="8641"/>
      </w:tabs>
      <w:spacing w:before="60" w:after="60"/>
      <w:ind w:left="2880" w:right="720" w:hanging="964"/>
    </w:pPr>
  </w:style>
  <w:style w:type="paragraph" w:styleId="TOC5">
    <w:name w:val="toc 5"/>
    <w:basedOn w:val="Normal"/>
    <w:next w:val="Normal"/>
    <w:uiPriority w:val="39"/>
    <w:pPr>
      <w:tabs>
        <w:tab w:val="right" w:leader="dot" w:pos="8641"/>
      </w:tabs>
      <w:spacing w:before="240" w:after="120"/>
      <w:ind w:right="720"/>
    </w:pPr>
    <w:rPr>
      <w:caps/>
    </w:r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ilvl w:val="0"/>
        <w:numId w:val="4"/>
      </w:numPr>
    </w:pPr>
  </w:style>
  <w:style w:type="paragraph" w:customStyle="1" w:styleId="ListDash">
    <w:name w:val="List Dash"/>
    <w:basedOn w:val="Normal"/>
    <w:pPr>
      <w:numPr>
        <w:ilvl w:val="0"/>
        <w:numId w:val="8"/>
      </w:numPr>
    </w:pPr>
  </w:style>
  <w:style w:type="paragraph" w:customStyle="1" w:styleId="ListDash1">
    <w:name w:val="List Dash 1"/>
    <w:basedOn w:val="Text1"/>
    <w:pPr>
      <w:numPr>
        <w:ilvl w:val="0"/>
        <w:numId w:val="9"/>
      </w:numPr>
    </w:pPr>
  </w:style>
  <w:style w:type="paragraph" w:customStyle="1" w:styleId="ListDash2">
    <w:name w:val="List Dash 2"/>
    <w:basedOn w:val="Text2"/>
    <w:pPr>
      <w:numPr>
        <w:ilvl w:val="0"/>
        <w:numId w:val="10"/>
      </w:numPr>
      <w:tabs>
        <w:tab w:val="clear" w:pos="2302"/>
      </w:tabs>
    </w:pPr>
  </w:style>
  <w:style w:type="paragraph" w:customStyle="1" w:styleId="ListDash3">
    <w:name w:val="List Dash 3"/>
    <w:basedOn w:val="Text3"/>
    <w:pPr>
      <w:numPr>
        <w:ilvl w:val="0"/>
        <w:numId w:val="11"/>
      </w:numPr>
      <w:tabs>
        <w:tab w:val="clear" w:pos="2302"/>
      </w:tabs>
    </w:pPr>
  </w:style>
  <w:style w:type="paragraph" w:customStyle="1" w:styleId="ListDash4">
    <w:name w:val="List Dash 4"/>
    <w:basedOn w:val="Text4"/>
    <w:pPr>
      <w:numPr>
        <w:ilvl w:val="0"/>
        <w:numId w:val="12"/>
      </w:numPr>
      <w:tabs>
        <w:tab w:val="clear" w:pos="2302"/>
      </w:tabs>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ilvl w:val="0"/>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302"/>
      </w:tabs>
    </w:pPr>
  </w:style>
  <w:style w:type="paragraph" w:customStyle="1" w:styleId="ListNumber2Level3">
    <w:name w:val="List Number 2 (Level 3)"/>
    <w:basedOn w:val="Text2"/>
    <w:pPr>
      <w:numPr>
        <w:ilvl w:val="2"/>
        <w:numId w:val="15"/>
      </w:numPr>
      <w:tabs>
        <w:tab w:val="clear" w:pos="2302"/>
      </w:tabs>
    </w:pPr>
  </w:style>
  <w:style w:type="paragraph" w:customStyle="1" w:styleId="ListNumber2Level4">
    <w:name w:val="List Number 2 (Level 4)"/>
    <w:basedOn w:val="Text2"/>
    <w:pPr>
      <w:numPr>
        <w:ilvl w:val="3"/>
        <w:numId w:val="15"/>
      </w:numPr>
      <w:tabs>
        <w:tab w:val="clear" w:pos="2302"/>
      </w:tabs>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tabs>
        <w:tab w:val="clear" w:pos="2302"/>
      </w:tabs>
    </w:pPr>
  </w:style>
  <w:style w:type="paragraph" w:customStyle="1" w:styleId="ListNumber4Level3">
    <w:name w:val="List Number 4 (Level 3)"/>
    <w:basedOn w:val="Text4"/>
    <w:pPr>
      <w:numPr>
        <w:ilvl w:val="2"/>
        <w:numId w:val="17"/>
      </w:numPr>
      <w:tabs>
        <w:tab w:val="clear" w:pos="2302"/>
      </w:tabs>
    </w:pPr>
  </w:style>
  <w:style w:type="paragraph" w:customStyle="1" w:styleId="ListNumber4Level4">
    <w:name w:val="List Number 4 (Level 4)"/>
    <w:basedOn w:val="Text4"/>
    <w:pPr>
      <w:numPr>
        <w:ilvl w:val="3"/>
        <w:numId w:val="17"/>
      </w:numPr>
      <w:tabs>
        <w:tab w:val="clear" w:pos="2302"/>
      </w:tabs>
    </w:pPr>
  </w:style>
  <w:style w:type="paragraph" w:styleId="TOCHeading">
    <w:name w:val="TOC Heading"/>
    <w:basedOn w:val="Normal"/>
    <w:next w:val="Normal"/>
    <w:uiPriority w:val="39"/>
    <w:qFormat/>
    <w:pPr>
      <w:keepNext/>
      <w:spacing w:before="240"/>
      <w:jc w:val="center"/>
    </w:pPr>
    <w:rPr>
      <w:b/>
    </w:rPr>
  </w:style>
  <w:style w:type="paragraph" w:customStyle="1" w:styleId="Contact">
    <w:name w:val="Contact"/>
    <w:basedOn w:val="Normal"/>
    <w:next w:val="Normal"/>
    <w:uiPriority w:val="99"/>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character" w:customStyle="1" w:styleId="FooterChar">
    <w:name w:val="Footer Char"/>
    <w:link w:val="Footer"/>
    <w:uiPriority w:val="99"/>
    <w:rsid w:val="00B538D8"/>
    <w:rPr>
      <w:rFonts w:ascii="Arial" w:hAnsi="Arial"/>
      <w:sz w:val="16"/>
      <w:lang w:eastAsia="en-US"/>
    </w:rPr>
  </w:style>
  <w:style w:type="paragraph" w:customStyle="1" w:styleId="ZCom">
    <w:name w:val="Z_Com"/>
    <w:basedOn w:val="Normal"/>
    <w:next w:val="ZDGName"/>
    <w:uiPriority w:val="99"/>
    <w:rsid w:val="00B538D8"/>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uiPriority w:val="99"/>
    <w:rsid w:val="00B538D8"/>
    <w:pPr>
      <w:widowControl w:val="0"/>
      <w:autoSpaceDE w:val="0"/>
      <w:autoSpaceDN w:val="0"/>
      <w:spacing w:after="0"/>
      <w:ind w:right="85"/>
      <w:jc w:val="left"/>
    </w:pPr>
    <w:rPr>
      <w:rFonts w:ascii="Arial" w:hAnsi="Arial" w:cs="Arial"/>
      <w:sz w:val="16"/>
      <w:szCs w:val="16"/>
      <w:lang w:eastAsia="en-GB"/>
    </w:rPr>
  </w:style>
  <w:style w:type="character" w:customStyle="1" w:styleId="HeaderChar">
    <w:name w:val="Header Char"/>
    <w:link w:val="Header"/>
    <w:uiPriority w:val="99"/>
    <w:rsid w:val="00B538D8"/>
    <w:rPr>
      <w:sz w:val="24"/>
      <w:lang w:eastAsia="en-US"/>
    </w:rPr>
  </w:style>
  <w:style w:type="character" w:styleId="Hyperlink">
    <w:name w:val="Hyperlink"/>
    <w:uiPriority w:val="99"/>
    <w:unhideWhenUsed/>
    <w:rsid w:val="00BF61CA"/>
    <w:rPr>
      <w:color w:val="0000FF"/>
      <w:u w:val="single"/>
    </w:rPr>
  </w:style>
  <w:style w:type="paragraph" w:styleId="BalloonText">
    <w:name w:val="Balloon Text"/>
    <w:basedOn w:val="Normal"/>
    <w:link w:val="BalloonTextChar"/>
    <w:uiPriority w:val="99"/>
    <w:semiHidden/>
    <w:unhideWhenUsed/>
    <w:rsid w:val="00AF341F"/>
    <w:pPr>
      <w:spacing w:after="0"/>
    </w:pPr>
    <w:rPr>
      <w:rFonts w:ascii="Tahoma" w:hAnsi="Tahoma" w:cs="Tahoma"/>
      <w:sz w:val="16"/>
      <w:szCs w:val="16"/>
    </w:rPr>
  </w:style>
  <w:style w:type="character" w:customStyle="1" w:styleId="BalloonTextChar">
    <w:name w:val="Balloon Text Char"/>
    <w:link w:val="BalloonText"/>
    <w:uiPriority w:val="99"/>
    <w:semiHidden/>
    <w:rsid w:val="00AF341F"/>
    <w:rPr>
      <w:rFonts w:ascii="Tahoma" w:hAnsi="Tahoma" w:cs="Tahoma"/>
      <w:sz w:val="16"/>
      <w:szCs w:val="16"/>
      <w:lang w:eastAsia="en-US"/>
    </w:rPr>
  </w:style>
  <w:style w:type="character" w:customStyle="1" w:styleId="Heading4Char">
    <w:name w:val="Heading 4 Char"/>
    <w:link w:val="Heading4"/>
    <w:rsid w:val="00554619"/>
    <w:rPr>
      <w:i/>
      <w:color w:val="000000"/>
      <w:sz w:val="24"/>
      <w:lang w:val="fr-BE" w:eastAsia="en-US"/>
    </w:rPr>
  </w:style>
  <w:style w:type="paragraph" w:customStyle="1" w:styleId="FITTable">
    <w:name w:val="FIT Table"/>
    <w:basedOn w:val="Normal"/>
    <w:rsid w:val="00DB72E9"/>
    <w:pPr>
      <w:spacing w:before="60" w:after="60"/>
    </w:pPr>
    <w:rPr>
      <w:sz w:val="22"/>
    </w:rPr>
  </w:style>
  <w:style w:type="character" w:customStyle="1" w:styleId="TitleChar">
    <w:name w:val="Title Char"/>
    <w:link w:val="Title"/>
    <w:rsid w:val="00DB72E9"/>
    <w:rPr>
      <w:b/>
      <w:kern w:val="28"/>
      <w:sz w:val="48"/>
      <w:lang w:eastAsia="en-US"/>
    </w:rPr>
  </w:style>
  <w:style w:type="table" w:styleId="TableGrid">
    <w:name w:val="Table Grid"/>
    <w:basedOn w:val="TableNormal"/>
    <w:uiPriority w:val="59"/>
    <w:rsid w:val="00D63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120799"/>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120799"/>
    <w:rPr>
      <w:sz w:val="24"/>
      <w:lang w:eastAsia="en-US"/>
    </w:rPr>
  </w:style>
  <w:style w:type="character" w:customStyle="1" w:styleId="GuidelinesChar">
    <w:name w:val="Guidelines Char"/>
    <w:link w:val="Guidelines"/>
    <w:rsid w:val="00120799"/>
    <w:rPr>
      <w:color w:val="4F81BD"/>
      <w:sz w:val="24"/>
      <w:lang w:eastAsia="en-US"/>
    </w:rPr>
  </w:style>
  <w:style w:type="character" w:styleId="FootnoteReference">
    <w:name w:val="footnote reference"/>
    <w:uiPriority w:val="99"/>
    <w:semiHidden/>
    <w:unhideWhenUsed/>
    <w:rsid w:val="00D56D3F"/>
    <w:rPr>
      <w:vertAlign w:val="superscript"/>
    </w:rPr>
  </w:style>
  <w:style w:type="table" w:customStyle="1" w:styleId="TableGrid1">
    <w:name w:val="Table Grid1"/>
    <w:basedOn w:val="TableNormal"/>
    <w:next w:val="TableGrid"/>
    <w:rsid w:val="00990D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E272CB"/>
    <w:rPr>
      <w:b/>
      <w:sz w:val="24"/>
      <w:lang w:val="fr-BE" w:eastAsia="en-US"/>
    </w:rPr>
  </w:style>
  <w:style w:type="character" w:customStyle="1" w:styleId="Heading3Char">
    <w:name w:val="Heading 3 Char"/>
    <w:link w:val="Heading3"/>
    <w:rsid w:val="00F235A7"/>
    <w:rPr>
      <w:color w:val="000000"/>
      <w:sz w:val="24"/>
      <w:lang w:val="fr-BE" w:eastAsia="en-US"/>
    </w:rPr>
  </w:style>
  <w:style w:type="paragraph" w:styleId="ListParagraph">
    <w:name w:val="List Paragraph"/>
    <w:basedOn w:val="Normal"/>
    <w:uiPriority w:val="34"/>
    <w:qFormat/>
    <w:rsid w:val="00592E64"/>
    <w:pPr>
      <w:ind w:left="720"/>
      <w:contextualSpacing/>
    </w:pPr>
  </w:style>
  <w:style w:type="numbering" w:customStyle="1" w:styleId="Headings">
    <w:name w:val="Headings"/>
    <w:uiPriority w:val="99"/>
    <w:rsid w:val="00162E7B"/>
    <w:pPr>
      <w:numPr>
        <w:numId w:val="18"/>
      </w:numPr>
    </w:p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numbering" Target="numbering.xml"/><Relationship Id="rId8" Type="http://schemas.openxmlformats.org/officeDocument/2006/relationships/header" Target="header1.xml"/><Relationship Id="rId3" Type="http://schemas.openxmlformats.org/officeDocument/2006/relationships/fontTable" Target="fontTable.xml"/><Relationship Id="rId21" Type="http://schemas.openxmlformats.org/officeDocument/2006/relationships/customXml" Target="../customXml/item3.xml"/><Relationship Id="rId12" Type="http://schemas.openxmlformats.org/officeDocument/2006/relationships/image" Target="media/image5.jpeg"/><Relationship Id="rId17" Type="http://schemas.openxmlformats.org/officeDocument/2006/relationships/theme" Target="theme/theme1.xml"/><Relationship Id="rId7" Type="http://schemas.openxmlformats.org/officeDocument/2006/relationships/footer" Target="footer1.xml"/><Relationship Id="rId16" Type="http://schemas.openxmlformats.org/officeDocument/2006/relationships/image" Target="media/image9.jpeg"/><Relationship Id="rId2" Type="http://schemas.openxmlformats.org/officeDocument/2006/relationships/webSettings" Target="webSettings.xml"/><Relationship Id="rId20"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image" Target="media/image4.jpeg"/><Relationship Id="rId6" Type="http://schemas.openxmlformats.org/officeDocument/2006/relationships/image" Target="media/image2.png"/><Relationship Id="rId15" Type="http://schemas.openxmlformats.org/officeDocument/2006/relationships/image" Target="media/image8.jpeg"/><Relationship Id="rId5" Type="http://schemas.openxmlformats.org/officeDocument/2006/relationships/image" Target="media/image1.png"/><Relationship Id="rId10" Type="http://schemas.openxmlformats.org/officeDocument/2006/relationships/image" Target="media/image3.jpeg"/><Relationship Id="rId19" Type="http://schemas.openxmlformats.org/officeDocument/2006/relationships/styles" Target="styles.xml"/><Relationship Id="rId14" Type="http://schemas.openxmlformats.org/officeDocument/2006/relationships/image" Target="media/image7.jpeg"/><Relationship Id="rId4" Type="http://schemas.openxmlformats.org/officeDocument/2006/relationships/customXml" Target="../customXml/item1.xml"/><Relationship Id="rId9" Type="http://schemas.openxmlformats.org/officeDocument/2006/relationships/footer" Target="footer2.xml"/><Relationship Id="rId22" Type="http://schemas.openxmlformats.org/officeDocument/2006/relationships/customXml" Target="../customXml/item4.xml"/></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ublic\Documents\Templates\REP.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6A256F1CD52154A865CA173F6A3883B" ma:contentTypeVersion="12" ma:contentTypeDescription="Vytvoří nový dokument" ma:contentTypeScope="" ma:versionID="daa414a693f374f74812871f1f8a1c5e">
  <xsd:schema xmlns:xsd="http://www.w3.org/2001/XMLSchema" xmlns:xs="http://www.w3.org/2001/XMLSchema" xmlns:p="http://schemas.microsoft.com/office/2006/metadata/properties" xmlns:ns2="9374cf2d-fc4a-44fa-99f6-c2adc1ef1110" xmlns:ns3="16737be2-066d-4d8d-942d-85d7beb270d0" targetNamespace="http://schemas.microsoft.com/office/2006/metadata/properties" ma:root="true" ma:fieldsID="50ce8a5a7dbea1177e0c21c2fc2cef88" ns2:_="" ns3:_="">
    <xsd:import namespace="9374cf2d-fc4a-44fa-99f6-c2adc1ef1110"/>
    <xsd:import namespace="16737be2-066d-4d8d-942d-85d7beb27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4cf2d-fc4a-44fa-99f6-c2adc1ef1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737be2-066d-4d8d-942d-85d7beb270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23ad24-6e7b-420f-9f60-0eed0ad7f39f}" ma:internalName="TaxCatchAll" ma:showField="CatchAllData" ma:web="16737be2-066d-4d8d-942d-85d7beb27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737be2-066d-4d8d-942d-85d7beb270d0" xsi:nil="true"/>
    <lcf76f155ced4ddcb4097134ff3c332f xmlns="9374cf2d-fc4a-44fa-99f6-c2adc1ef11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5A5CCC-2329-4772-8C3A-1AB7F544E101}">
  <ds:schemaRefs>
    <ds:schemaRef ds:uri="http://schemas.openxmlformats.org/officeDocument/2006/bibliography"/>
  </ds:schemaRefs>
</ds:datastoreItem>
</file>

<file path=customXml/itemProps2.xml><?xml version="1.0" encoding="utf-8"?>
<ds:datastoreItem xmlns:ds="http://schemas.openxmlformats.org/officeDocument/2006/customXml" ds:itemID="{33100EDF-9427-4525-9884-CD485EED44F2}"/>
</file>

<file path=customXml/itemProps3.xml><?xml version="1.0" encoding="utf-8"?>
<ds:datastoreItem xmlns:ds="http://schemas.openxmlformats.org/officeDocument/2006/customXml" ds:itemID="{43D2ECE9-38B0-4385-9435-3C45E66EF571}"/>
</file>

<file path=customXml/itemProps4.xml><?xml version="1.0" encoding="utf-8"?>
<ds:datastoreItem xmlns:ds="http://schemas.openxmlformats.org/officeDocument/2006/customXml" ds:itemID="{7798E8C4-F5BA-4CC5-AC16-9525AFD133AD}"/>
</file>

<file path=docProps/app.xml><?xml version="1.0" encoding="utf-8"?>
<Properties xmlns="http://schemas.openxmlformats.org/officeDocument/2006/extended-properties" xmlns:vt="http://schemas.openxmlformats.org/officeDocument/2006/docPropsVTypes">
  <Template>REP.DOTM</Template>
  <TotalTime>1</TotalTime>
  <Pages>84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Title of the RDP</vt:lpstr>
    </vt:vector>
  </TitlesOfParts>
  <Company>Member State Name</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RDP</dc:title>
  <dc:creator>Member State Authority</dc:creator>
  <cp:keywords>EL4</cp:keywords>
  <cp:lastModifiedBy>MATHIEU Serge (AGRI-EXT)</cp:lastModifiedBy>
  <cp:revision>2</cp:revision>
  <cp:lastPrinted>2013-05-31T11:39:00Z</cp:lastPrinted>
  <dcterms:created xsi:type="dcterms:W3CDTF">2016-04-11T12:06:00Z</dcterms:created>
  <dcterms:modified xsi:type="dcterms:W3CDTF">2016-04-11T12:06:00Z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Contributor">
    <vt:lpwstr/>
  </property>
  <property fmtid="{D5CDD505-2E9C-101B-9397-08002B2CF9AE}" pid="4" name="Created using">
    <vt:lpwstr>EL 4.6 Build 21000</vt:lpwstr>
  </property>
  <property fmtid="{D5CDD505-2E9C-101B-9397-08002B2CF9AE}" pid="5" name="Creator">
    <vt:lpwstr/>
  </property>
  <property fmtid="{D5CDD505-2E9C-101B-9397-08002B2CF9AE}" pid="6" name="DateAlarm">
    <vt:lpwstr/>
  </property>
  <property fmtid="{D5CDD505-2E9C-101B-9397-08002B2CF9AE}" pid="7" name="DatePublication">
    <vt:lpwstr/>
  </property>
  <property fmtid="{D5CDD505-2E9C-101B-9397-08002B2CF9AE}" pid="8" name="Description">
    <vt:lpwstr/>
  </property>
  <property fmtid="{D5CDD505-2E9C-101B-9397-08002B2CF9AE}" pid="9" name="DocID_EU">
    <vt:lpwstr> </vt:lpwstr>
  </property>
  <property fmtid="{D5CDD505-2E9C-101B-9397-08002B2CF9AE}" pid="10" name="ELDocType">
    <vt:lpwstr>rep.dot</vt:lpwstr>
  </property>
  <property fmtid="{D5CDD505-2E9C-101B-9397-08002B2CF9AE}" pid="11" name="EL_Author">
    <vt:lpwstr>Vallet Marc (Everis)</vt:lpwstr>
  </property>
  <property fmtid="{D5CDD505-2E9C-101B-9397-08002B2CF9AE}" pid="12" name="EL_Language">
    <vt:lpwstr>EN</vt:lpwstr>
  </property>
  <property fmtid="{D5CDD505-2E9C-101B-9397-08002B2CF9AE}" pid="13" name="EurolookVersion">
    <vt:lpwstr>4.5</vt:lpwstr>
  </property>
  <property fmtid="{D5CDD505-2E9C-101B-9397-08002B2CF9AE}" pid="14" name="Formatting">
    <vt:lpwstr>4.1</vt:lpwstr>
  </property>
  <property fmtid="{D5CDD505-2E9C-101B-9397-08002B2CF9AE}" pid="15" name="Language">
    <vt:lpwstr>EN</vt:lpwstr>
  </property>
  <property fmtid="{D5CDD505-2E9C-101B-9397-08002B2CF9AE}" pid="16" name="Last edited using">
    <vt:lpwstr>EL 4.6 Build 34000</vt:lpwstr>
  </property>
  <property fmtid="{D5CDD505-2E9C-101B-9397-08002B2CF9AE}" pid="17" name="Publisher">
    <vt:lpwstr/>
  </property>
  <property fmtid="{D5CDD505-2E9C-101B-9397-08002B2CF9AE}" pid="18" name="Reference">
    <vt:lpwstr/>
  </property>
  <property fmtid="{D5CDD505-2E9C-101B-9397-08002B2CF9AE}" pid="19" name="Rights">
    <vt:lpwstr/>
  </property>
  <property fmtid="{D5CDD505-2E9C-101B-9397-08002B2CF9AE}" pid="20" name="TemplateVersion">
    <vt:lpwstr>4.5.0.2</vt:lpwstr>
  </property>
  <property fmtid="{D5CDD505-2E9C-101B-9397-08002B2CF9AE}" pid="21" name="Type">
    <vt:lpwstr>Eurolook Report</vt:lpwstr>
  </property>
  <property fmtid="{D5CDD505-2E9C-101B-9397-08002B2CF9AE}" pid="22" name="ContentTypeId">
    <vt:lpwstr>0x010100D6A256F1CD52154A865CA173F6A3883B</vt:lpwstr>
  </property>
</Properties>
</file>