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EC" w:rsidRDefault="00E44BBD">
      <w:r w:rsidRPr="00E44BBD">
        <w:drawing>
          <wp:inline distT="0" distB="0" distL="0" distR="0">
            <wp:extent cx="5760720" cy="3720644"/>
            <wp:effectExtent l="19050" t="0" r="1143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B0FEC" w:rsidSect="000B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E44BBD"/>
    <w:rsid w:val="00043A99"/>
    <w:rsid w:val="000B0FEC"/>
    <w:rsid w:val="001658F5"/>
    <w:rsid w:val="003D109C"/>
    <w:rsid w:val="007F4DB7"/>
    <w:rsid w:val="00995EC9"/>
    <w:rsid w:val="00CB722B"/>
    <w:rsid w:val="00E4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FEC"/>
  </w:style>
  <w:style w:type="paragraph" w:styleId="Nadpis1">
    <w:name w:val="heading 1"/>
    <w:basedOn w:val="Normln"/>
    <w:next w:val="Normln"/>
    <w:link w:val="Nadpis1Char"/>
    <w:uiPriority w:val="9"/>
    <w:qFormat/>
    <w:rsid w:val="00043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monitoring">
    <w:name w:val="nadpis 1 - monitoring"/>
    <w:basedOn w:val="Normln"/>
    <w:next w:val="Nadpis1"/>
    <w:qFormat/>
    <w:rsid w:val="00043A99"/>
    <w:pPr>
      <w:keepNext/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43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-monitoring0">
    <w:name w:val="Nadpis 1 - monitoring"/>
    <w:basedOn w:val="Nadpis1"/>
    <w:link w:val="Nadpis1-monitoringChar"/>
    <w:autoRedefine/>
    <w:qFormat/>
    <w:rsid w:val="003D109C"/>
    <w:pPr>
      <w:keepLines w:val="0"/>
      <w:spacing w:before="240" w:after="60" w:line="240" w:lineRule="auto"/>
      <w:jc w:val="center"/>
    </w:pPr>
    <w:rPr>
      <w:rFonts w:ascii="Arial" w:hAnsi="Arial" w:cs="Arial"/>
      <w:noProof/>
      <w:color w:val="auto"/>
      <w:kern w:val="32"/>
      <w:sz w:val="32"/>
      <w:szCs w:val="32"/>
    </w:rPr>
  </w:style>
  <w:style w:type="character" w:customStyle="1" w:styleId="Nadpis1-monitoringChar">
    <w:name w:val="Nadpis 1 - monitoring Char"/>
    <w:basedOn w:val="Nadpis1Char"/>
    <w:link w:val="Nadpis1-monitoring0"/>
    <w:rsid w:val="003D109C"/>
    <w:rPr>
      <w:rFonts w:ascii="Arial" w:hAnsi="Arial" w:cs="Arial"/>
      <w:b/>
      <w:bCs/>
      <w:noProof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ceny zemědělskýh výrobců (CZV) -  syrové kravské mléko mléko </a:t>
            </a:r>
            <a:endParaRPr lang="cs-CZ" sz="1200"/>
          </a:p>
          <a:p>
            <a:pPr>
              <a:defRPr/>
            </a:pPr>
            <a:r>
              <a:rPr lang="en-US" sz="1200"/>
              <a:t>I. tř. jakosti</a:t>
            </a:r>
            <a:r>
              <a:rPr lang="en-US"/>
              <a:t> </a:t>
            </a:r>
            <a:r>
              <a:rPr lang="cs-CZ"/>
              <a:t> </a:t>
            </a:r>
          </a:p>
          <a:p>
            <a:pPr>
              <a:defRPr/>
            </a:pPr>
            <a:r>
              <a:rPr lang="cs-CZ" sz="1000"/>
              <a:t>(Pramen: </a:t>
            </a:r>
            <a:r>
              <a:rPr lang="en-US" sz="1000" b="1" i="0" u="none" strike="noStrike" baseline="0"/>
              <a:t>rezortní statistika Mlék (MZe) 6 - 12, ČSÚ)</a:t>
            </a:r>
            <a:endParaRPr lang="en-US" sz="1000"/>
          </a:p>
        </c:rich>
      </c:tx>
      <c:layout>
        <c:manualLayout>
          <c:xMode val="edge"/>
          <c:yMode val="edge"/>
          <c:x val="0.13090273438042577"/>
          <c:y val="2.3893713023874611E-2"/>
        </c:manualLayout>
      </c:layout>
    </c:title>
    <c:plotArea>
      <c:layout>
        <c:manualLayout>
          <c:layoutTarget val="inner"/>
          <c:xMode val="edge"/>
          <c:yMode val="edge"/>
          <c:x val="8.1836124651085293E-2"/>
          <c:y val="0.23529340619527297"/>
          <c:w val="0.90493636212140149"/>
          <c:h val="0.67149262332005166"/>
        </c:manualLayout>
      </c:layout>
      <c:lineChart>
        <c:grouping val="standard"/>
        <c:ser>
          <c:idx val="0"/>
          <c:order val="0"/>
          <c:tx>
            <c:strRef>
              <c:f>List1!$C$287</c:f>
              <c:strCache>
                <c:ptCount val="1"/>
                <c:pt idx="0">
                  <c:v>CZV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cat>
            <c:strRef>
              <c:f>List1!$B$288:$B$411</c:f>
              <c:strCache>
                <c:ptCount val="12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</c:strCache>
            </c:strRef>
          </c:cat>
          <c:val>
            <c:numRef>
              <c:f>List1!$C$288:$C$411</c:f>
              <c:numCache>
                <c:formatCode>General</c:formatCode>
                <c:ptCount val="124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</c:numCache>
            </c:numRef>
          </c:val>
        </c:ser>
        <c:marker val="1"/>
        <c:axId val="88686976"/>
        <c:axId val="88688896"/>
      </c:lineChart>
      <c:catAx>
        <c:axId val="8868697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8688896"/>
        <c:crosses val="autoZero"/>
        <c:auto val="1"/>
        <c:lblAlgn val="ctr"/>
        <c:lblOffset val="100"/>
      </c:catAx>
      <c:valAx>
        <c:axId val="88688896"/>
        <c:scaling>
          <c:orientation val="minMax"/>
          <c:min val="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88686976"/>
        <c:crosses val="autoZero"/>
        <c:crossBetween val="between"/>
      </c:valAx>
    </c:plotArea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MZe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Žáček</dc:creator>
  <cp:keywords/>
  <dc:description/>
  <cp:lastModifiedBy>Jan Žáček</cp:lastModifiedBy>
  <cp:revision>1</cp:revision>
  <dcterms:created xsi:type="dcterms:W3CDTF">2012-06-26T10:51:00Z</dcterms:created>
  <dcterms:modified xsi:type="dcterms:W3CDTF">2012-06-26T10:52:00Z</dcterms:modified>
</cp:coreProperties>
</file>