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FEC" w:rsidRDefault="00E44BBD">
      <w:r w:rsidRPr="00E44BBD">
        <w:drawing>
          <wp:inline distT="0" distB="0" distL="0" distR="0">
            <wp:extent cx="5760720" cy="3720644"/>
            <wp:effectExtent l="19050" t="0" r="1143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0B0FEC" w:rsidSect="000B0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E44BBD"/>
    <w:rsid w:val="00043A99"/>
    <w:rsid w:val="000B0FEC"/>
    <w:rsid w:val="001658F5"/>
    <w:rsid w:val="003D109C"/>
    <w:rsid w:val="007F4DB7"/>
    <w:rsid w:val="00995EC9"/>
    <w:rsid w:val="00CB722B"/>
    <w:rsid w:val="00E44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0FEC"/>
  </w:style>
  <w:style w:type="paragraph" w:styleId="Nadpis1">
    <w:name w:val="heading 1"/>
    <w:basedOn w:val="Normln"/>
    <w:next w:val="Normln"/>
    <w:link w:val="Nadpis1Char"/>
    <w:uiPriority w:val="9"/>
    <w:qFormat/>
    <w:rsid w:val="00043A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-monitoring">
    <w:name w:val="nadpis 1 - monitoring"/>
    <w:basedOn w:val="Normln"/>
    <w:next w:val="Nadpis1"/>
    <w:qFormat/>
    <w:rsid w:val="00043A99"/>
    <w:pPr>
      <w:keepNext/>
      <w:spacing w:before="480" w:after="0" w:line="240" w:lineRule="auto"/>
      <w:jc w:val="center"/>
    </w:pPr>
    <w:rPr>
      <w:rFonts w:ascii="Arial" w:eastAsiaTheme="minorEastAsia" w:hAnsi="Arial" w:cs="Arial"/>
      <w:b/>
      <w:bCs/>
      <w:noProof/>
      <w:sz w:val="28"/>
      <w:szCs w:val="2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43A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adpis1-monitoring0">
    <w:name w:val="Nadpis 1 - monitoring"/>
    <w:basedOn w:val="Nadpis1"/>
    <w:link w:val="Nadpis1-monitoringChar"/>
    <w:autoRedefine/>
    <w:qFormat/>
    <w:rsid w:val="003D109C"/>
    <w:pPr>
      <w:keepLines w:val="0"/>
      <w:spacing w:before="240" w:after="60" w:line="240" w:lineRule="auto"/>
      <w:jc w:val="center"/>
    </w:pPr>
    <w:rPr>
      <w:rFonts w:ascii="Arial" w:hAnsi="Arial" w:cs="Arial"/>
      <w:noProof/>
      <w:color w:val="auto"/>
      <w:kern w:val="32"/>
      <w:sz w:val="32"/>
      <w:szCs w:val="32"/>
    </w:rPr>
  </w:style>
  <w:style w:type="character" w:customStyle="1" w:styleId="Nadpis1-monitoringChar">
    <w:name w:val="Nadpis 1 - monitoring Char"/>
    <w:basedOn w:val="Nadpis1Char"/>
    <w:link w:val="Nadpis1-monitoring0"/>
    <w:rsid w:val="003D109C"/>
    <w:rPr>
      <w:rFonts w:ascii="Arial" w:hAnsi="Arial" w:cs="Arial"/>
      <w:b/>
      <w:bCs/>
      <w:noProof/>
      <w:kern w:val="32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4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4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10000643\Dokumenty\ZDENA\KOZ&#193;K\ceny%20a%20zahr%20obch%20201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>
      <c:tx>
        <c:rich>
          <a:bodyPr/>
          <a:lstStyle/>
          <a:p>
            <a:pPr>
              <a:defRPr/>
            </a:pPr>
            <a:r>
              <a:rPr lang="en-US" sz="1200"/>
              <a:t>Vývoj ceny zemědělskýh výrobců (CZV) -  syrové kravské mléko mléko </a:t>
            </a:r>
            <a:endParaRPr lang="cs-CZ" sz="1200"/>
          </a:p>
          <a:p>
            <a:pPr>
              <a:defRPr/>
            </a:pPr>
            <a:r>
              <a:rPr lang="en-US" sz="1200"/>
              <a:t>I. tř. jakosti</a:t>
            </a:r>
            <a:r>
              <a:rPr lang="en-US"/>
              <a:t> </a:t>
            </a:r>
            <a:r>
              <a:rPr lang="cs-CZ"/>
              <a:t> </a:t>
            </a:r>
          </a:p>
          <a:p>
            <a:pPr>
              <a:defRPr/>
            </a:pPr>
            <a:r>
              <a:rPr lang="cs-CZ" sz="1000"/>
              <a:t>(Pramen: </a:t>
            </a:r>
            <a:r>
              <a:rPr lang="en-US" sz="1000" b="1" i="0" u="none" strike="noStrike" baseline="0"/>
              <a:t>rezortní statistika Mlék (MZe) 6 - 12, ČSÚ)</a:t>
            </a:r>
            <a:endParaRPr lang="en-US" sz="1000"/>
          </a:p>
        </c:rich>
      </c:tx>
      <c:layout>
        <c:manualLayout>
          <c:xMode val="edge"/>
          <c:yMode val="edge"/>
          <c:x val="0.13090273438042577"/>
          <c:y val="2.3893713023874611E-2"/>
        </c:manualLayout>
      </c:layout>
    </c:title>
    <c:plotArea>
      <c:layout>
        <c:manualLayout>
          <c:layoutTarget val="inner"/>
          <c:xMode val="edge"/>
          <c:yMode val="edge"/>
          <c:x val="8.1836124651085293E-2"/>
          <c:y val="0.23529340619527297"/>
          <c:w val="0.90493636212140149"/>
          <c:h val="0.67149262332005166"/>
        </c:manualLayout>
      </c:layout>
      <c:lineChart>
        <c:grouping val="standard"/>
        <c:ser>
          <c:idx val="0"/>
          <c:order val="0"/>
          <c:tx>
            <c:strRef>
              <c:f>List1!$C$287</c:f>
              <c:strCache>
                <c:ptCount val="1"/>
                <c:pt idx="0">
                  <c:v>CZV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prstClr val="black"/>
                </a:solidFill>
              </a:ln>
            </c:spPr>
          </c:marker>
          <c:cat>
            <c:strRef>
              <c:f>List1!$B$288:$B$411</c:f>
              <c:strCache>
                <c:ptCount val="124"/>
                <c:pt idx="0">
                  <c:v>I.02</c:v>
                </c:pt>
                <c:pt idx="1">
                  <c:v>II.02</c:v>
                </c:pt>
                <c:pt idx="2">
                  <c:v>III.02</c:v>
                </c:pt>
                <c:pt idx="3">
                  <c:v>IV.02</c:v>
                </c:pt>
                <c:pt idx="4">
                  <c:v>V.02</c:v>
                </c:pt>
                <c:pt idx="5">
                  <c:v>VI.02</c:v>
                </c:pt>
                <c:pt idx="6">
                  <c:v>VII.02</c:v>
                </c:pt>
                <c:pt idx="7">
                  <c:v>VIII.02</c:v>
                </c:pt>
                <c:pt idx="8">
                  <c:v>IX.02</c:v>
                </c:pt>
                <c:pt idx="9">
                  <c:v>X.02</c:v>
                </c:pt>
                <c:pt idx="10">
                  <c:v>XI.02</c:v>
                </c:pt>
                <c:pt idx="11">
                  <c:v>XII.02</c:v>
                </c:pt>
                <c:pt idx="12">
                  <c:v>I.03</c:v>
                </c:pt>
                <c:pt idx="13">
                  <c:v>II.03</c:v>
                </c:pt>
                <c:pt idx="14">
                  <c:v>III.03</c:v>
                </c:pt>
                <c:pt idx="15">
                  <c:v>IV.03</c:v>
                </c:pt>
                <c:pt idx="16">
                  <c:v>V.03</c:v>
                </c:pt>
                <c:pt idx="17">
                  <c:v>VI.03</c:v>
                </c:pt>
                <c:pt idx="18">
                  <c:v>VII.03</c:v>
                </c:pt>
                <c:pt idx="19">
                  <c:v>VIII.03</c:v>
                </c:pt>
                <c:pt idx="20">
                  <c:v>IX.03</c:v>
                </c:pt>
                <c:pt idx="21">
                  <c:v>X.03</c:v>
                </c:pt>
                <c:pt idx="22">
                  <c:v>XI.03</c:v>
                </c:pt>
                <c:pt idx="23">
                  <c:v>XII.03</c:v>
                </c:pt>
                <c:pt idx="24">
                  <c:v>I.04</c:v>
                </c:pt>
                <c:pt idx="25">
                  <c:v>II.04</c:v>
                </c:pt>
                <c:pt idx="26">
                  <c:v>III.04</c:v>
                </c:pt>
                <c:pt idx="27">
                  <c:v>IV.04</c:v>
                </c:pt>
                <c:pt idx="28">
                  <c:v>V.04</c:v>
                </c:pt>
                <c:pt idx="29">
                  <c:v>VI.04</c:v>
                </c:pt>
                <c:pt idx="30">
                  <c:v>VII.04</c:v>
                </c:pt>
                <c:pt idx="31">
                  <c:v>VIII.04</c:v>
                </c:pt>
                <c:pt idx="32">
                  <c:v>IX.04</c:v>
                </c:pt>
                <c:pt idx="33">
                  <c:v>X.04</c:v>
                </c:pt>
                <c:pt idx="34">
                  <c:v>XI.04</c:v>
                </c:pt>
                <c:pt idx="35">
                  <c:v>XII.04</c:v>
                </c:pt>
                <c:pt idx="36">
                  <c:v>I.05</c:v>
                </c:pt>
                <c:pt idx="37">
                  <c:v>II.05</c:v>
                </c:pt>
                <c:pt idx="38">
                  <c:v>III.05</c:v>
                </c:pt>
                <c:pt idx="39">
                  <c:v>IV.05</c:v>
                </c:pt>
                <c:pt idx="40">
                  <c:v>V.05</c:v>
                </c:pt>
                <c:pt idx="41">
                  <c:v>VI.05</c:v>
                </c:pt>
                <c:pt idx="42">
                  <c:v>VII.05</c:v>
                </c:pt>
                <c:pt idx="43">
                  <c:v>VIII.05</c:v>
                </c:pt>
                <c:pt idx="44">
                  <c:v>IX.05</c:v>
                </c:pt>
                <c:pt idx="45">
                  <c:v>X.05</c:v>
                </c:pt>
                <c:pt idx="46">
                  <c:v>XI.05</c:v>
                </c:pt>
                <c:pt idx="47">
                  <c:v>XII.05</c:v>
                </c:pt>
                <c:pt idx="48">
                  <c:v>I.06</c:v>
                </c:pt>
                <c:pt idx="49">
                  <c:v>II.06</c:v>
                </c:pt>
                <c:pt idx="50">
                  <c:v>III.06</c:v>
                </c:pt>
                <c:pt idx="51">
                  <c:v>IV.06</c:v>
                </c:pt>
                <c:pt idx="52">
                  <c:v>V.06</c:v>
                </c:pt>
                <c:pt idx="53">
                  <c:v>VI.06</c:v>
                </c:pt>
                <c:pt idx="54">
                  <c:v>VII.06</c:v>
                </c:pt>
                <c:pt idx="55">
                  <c:v>VIII.06</c:v>
                </c:pt>
                <c:pt idx="56">
                  <c:v>IX.06</c:v>
                </c:pt>
                <c:pt idx="57">
                  <c:v>X.06</c:v>
                </c:pt>
                <c:pt idx="58">
                  <c:v>XI.06</c:v>
                </c:pt>
                <c:pt idx="59">
                  <c:v>XII.06</c:v>
                </c:pt>
                <c:pt idx="60">
                  <c:v>I.07</c:v>
                </c:pt>
                <c:pt idx="61">
                  <c:v>II.07</c:v>
                </c:pt>
                <c:pt idx="62">
                  <c:v>III.07</c:v>
                </c:pt>
                <c:pt idx="63">
                  <c:v>IV.07</c:v>
                </c:pt>
                <c:pt idx="64">
                  <c:v>V.07</c:v>
                </c:pt>
                <c:pt idx="65">
                  <c:v>VI.07</c:v>
                </c:pt>
                <c:pt idx="66">
                  <c:v>VII.07</c:v>
                </c:pt>
                <c:pt idx="67">
                  <c:v>VIII.07</c:v>
                </c:pt>
                <c:pt idx="68">
                  <c:v>IX.07</c:v>
                </c:pt>
                <c:pt idx="69">
                  <c:v>X.07</c:v>
                </c:pt>
                <c:pt idx="70">
                  <c:v>XI.07</c:v>
                </c:pt>
                <c:pt idx="71">
                  <c:v>XII.07</c:v>
                </c:pt>
                <c:pt idx="72">
                  <c:v>I.08</c:v>
                </c:pt>
                <c:pt idx="73">
                  <c:v>II.08</c:v>
                </c:pt>
                <c:pt idx="74">
                  <c:v>III.08</c:v>
                </c:pt>
                <c:pt idx="75">
                  <c:v>IV.08</c:v>
                </c:pt>
                <c:pt idx="76">
                  <c:v>V.08</c:v>
                </c:pt>
                <c:pt idx="77">
                  <c:v>VI.08</c:v>
                </c:pt>
                <c:pt idx="78">
                  <c:v>VII.08</c:v>
                </c:pt>
                <c:pt idx="79">
                  <c:v>VIII.08</c:v>
                </c:pt>
                <c:pt idx="80">
                  <c:v>IX.08</c:v>
                </c:pt>
                <c:pt idx="81">
                  <c:v>X.08</c:v>
                </c:pt>
                <c:pt idx="82">
                  <c:v>XI.08</c:v>
                </c:pt>
                <c:pt idx="83">
                  <c:v>XII.08</c:v>
                </c:pt>
                <c:pt idx="84">
                  <c:v>I.09</c:v>
                </c:pt>
                <c:pt idx="85">
                  <c:v>II.09</c:v>
                </c:pt>
                <c:pt idx="86">
                  <c:v>III.09</c:v>
                </c:pt>
                <c:pt idx="87">
                  <c:v>IV.09</c:v>
                </c:pt>
                <c:pt idx="88">
                  <c:v>V.09</c:v>
                </c:pt>
                <c:pt idx="89">
                  <c:v>VI.09</c:v>
                </c:pt>
                <c:pt idx="90">
                  <c:v>VII.09</c:v>
                </c:pt>
                <c:pt idx="91">
                  <c:v>VIII.09</c:v>
                </c:pt>
                <c:pt idx="92">
                  <c:v>IX.09</c:v>
                </c:pt>
                <c:pt idx="93">
                  <c:v>X.09</c:v>
                </c:pt>
                <c:pt idx="94">
                  <c:v>XI.09</c:v>
                </c:pt>
                <c:pt idx="95">
                  <c:v>XII.09</c:v>
                </c:pt>
                <c:pt idx="96">
                  <c:v>I.10</c:v>
                </c:pt>
                <c:pt idx="97">
                  <c:v>II.10</c:v>
                </c:pt>
                <c:pt idx="98">
                  <c:v>III.10</c:v>
                </c:pt>
                <c:pt idx="99">
                  <c:v>IV.10</c:v>
                </c:pt>
                <c:pt idx="100">
                  <c:v>V.10</c:v>
                </c:pt>
                <c:pt idx="101">
                  <c:v>VI.10</c:v>
                </c:pt>
                <c:pt idx="102">
                  <c:v>VII.10</c:v>
                </c:pt>
                <c:pt idx="103">
                  <c:v>VIII.10</c:v>
                </c:pt>
                <c:pt idx="104">
                  <c:v>IX.10</c:v>
                </c:pt>
                <c:pt idx="105">
                  <c:v>X.10</c:v>
                </c:pt>
                <c:pt idx="106">
                  <c:v>XI.10</c:v>
                </c:pt>
                <c:pt idx="107">
                  <c:v>XII.10</c:v>
                </c:pt>
                <c:pt idx="108">
                  <c:v>I.11</c:v>
                </c:pt>
                <c:pt idx="109">
                  <c:v>II.11</c:v>
                </c:pt>
                <c:pt idx="110">
                  <c:v>III.11</c:v>
                </c:pt>
                <c:pt idx="111">
                  <c:v>IV.11</c:v>
                </c:pt>
                <c:pt idx="112">
                  <c:v>V.11</c:v>
                </c:pt>
                <c:pt idx="113">
                  <c:v>VI.11</c:v>
                </c:pt>
                <c:pt idx="114">
                  <c:v>VII.11</c:v>
                </c:pt>
                <c:pt idx="115">
                  <c:v>VIII.11</c:v>
                </c:pt>
                <c:pt idx="116">
                  <c:v>IX.11</c:v>
                </c:pt>
                <c:pt idx="117">
                  <c:v>X.11</c:v>
                </c:pt>
                <c:pt idx="118">
                  <c:v>XI.11</c:v>
                </c:pt>
                <c:pt idx="119">
                  <c:v>XII.11</c:v>
                </c:pt>
                <c:pt idx="120">
                  <c:v>I.12</c:v>
                </c:pt>
                <c:pt idx="121">
                  <c:v>II.12</c:v>
                </c:pt>
                <c:pt idx="122">
                  <c:v>III.12</c:v>
                </c:pt>
                <c:pt idx="123">
                  <c:v>IV.12</c:v>
                </c:pt>
              </c:strCache>
            </c:strRef>
          </c:cat>
          <c:val>
            <c:numRef>
              <c:f>List1!$C$288:$C$411</c:f>
              <c:numCache>
                <c:formatCode>General</c:formatCode>
                <c:ptCount val="124"/>
                <c:pt idx="0">
                  <c:v>8.27</c:v>
                </c:pt>
                <c:pt idx="1">
                  <c:v>8.26</c:v>
                </c:pt>
                <c:pt idx="2">
                  <c:v>8.25</c:v>
                </c:pt>
                <c:pt idx="3">
                  <c:v>8.2000000000000011</c:v>
                </c:pt>
                <c:pt idx="4">
                  <c:v>8.18</c:v>
                </c:pt>
                <c:pt idx="5">
                  <c:v>8.1399999999999988</c:v>
                </c:pt>
                <c:pt idx="6">
                  <c:v>8.09</c:v>
                </c:pt>
                <c:pt idx="7">
                  <c:v>8.06</c:v>
                </c:pt>
                <c:pt idx="8">
                  <c:v>8.09</c:v>
                </c:pt>
                <c:pt idx="9">
                  <c:v>8.08</c:v>
                </c:pt>
                <c:pt idx="10">
                  <c:v>8.1</c:v>
                </c:pt>
                <c:pt idx="11">
                  <c:v>8.1</c:v>
                </c:pt>
                <c:pt idx="12">
                  <c:v>8.0400000000000009</c:v>
                </c:pt>
                <c:pt idx="13">
                  <c:v>8.0300000000000011</c:v>
                </c:pt>
                <c:pt idx="14">
                  <c:v>7.96</c:v>
                </c:pt>
                <c:pt idx="15">
                  <c:v>7.85</c:v>
                </c:pt>
                <c:pt idx="16">
                  <c:v>7.78</c:v>
                </c:pt>
                <c:pt idx="17">
                  <c:v>7.75</c:v>
                </c:pt>
                <c:pt idx="18">
                  <c:v>7.6899999999999995</c:v>
                </c:pt>
                <c:pt idx="19">
                  <c:v>7.7</c:v>
                </c:pt>
                <c:pt idx="20">
                  <c:v>7.73</c:v>
                </c:pt>
                <c:pt idx="21">
                  <c:v>7.7700000000000014</c:v>
                </c:pt>
                <c:pt idx="22">
                  <c:v>7.79</c:v>
                </c:pt>
                <c:pt idx="23">
                  <c:v>7.84</c:v>
                </c:pt>
                <c:pt idx="24">
                  <c:v>7.92</c:v>
                </c:pt>
                <c:pt idx="25">
                  <c:v>7.92</c:v>
                </c:pt>
                <c:pt idx="26">
                  <c:v>7.96</c:v>
                </c:pt>
                <c:pt idx="27">
                  <c:v>7.96</c:v>
                </c:pt>
                <c:pt idx="28">
                  <c:v>8</c:v>
                </c:pt>
                <c:pt idx="29">
                  <c:v>8.0300000000000011</c:v>
                </c:pt>
                <c:pt idx="30">
                  <c:v>8.0300000000000011</c:v>
                </c:pt>
                <c:pt idx="31">
                  <c:v>8.08</c:v>
                </c:pt>
                <c:pt idx="32">
                  <c:v>8.120000000000001</c:v>
                </c:pt>
                <c:pt idx="33">
                  <c:v>8.25</c:v>
                </c:pt>
                <c:pt idx="34">
                  <c:v>8.32</c:v>
                </c:pt>
                <c:pt idx="35">
                  <c:v>8.3500000000000068</c:v>
                </c:pt>
                <c:pt idx="36">
                  <c:v>8.43</c:v>
                </c:pt>
                <c:pt idx="37">
                  <c:v>8.44</c:v>
                </c:pt>
                <c:pt idx="38">
                  <c:v>8.4500000000000028</c:v>
                </c:pt>
                <c:pt idx="39">
                  <c:v>8.3800000000000008</c:v>
                </c:pt>
                <c:pt idx="40">
                  <c:v>8.33</c:v>
                </c:pt>
                <c:pt idx="41">
                  <c:v>8.3000000000000007</c:v>
                </c:pt>
                <c:pt idx="42">
                  <c:v>8.2199999999999989</c:v>
                </c:pt>
                <c:pt idx="43">
                  <c:v>8.26</c:v>
                </c:pt>
                <c:pt idx="44">
                  <c:v>8.2199999999999989</c:v>
                </c:pt>
                <c:pt idx="45">
                  <c:v>8.2199999999999989</c:v>
                </c:pt>
                <c:pt idx="46">
                  <c:v>8.2199999999999989</c:v>
                </c:pt>
                <c:pt idx="47">
                  <c:v>8.19</c:v>
                </c:pt>
                <c:pt idx="48">
                  <c:v>8.1399999999999988</c:v>
                </c:pt>
                <c:pt idx="49">
                  <c:v>8.09</c:v>
                </c:pt>
                <c:pt idx="50">
                  <c:v>8.07</c:v>
                </c:pt>
                <c:pt idx="51">
                  <c:v>7.96</c:v>
                </c:pt>
                <c:pt idx="52">
                  <c:v>7.88</c:v>
                </c:pt>
                <c:pt idx="53">
                  <c:v>7.78</c:v>
                </c:pt>
                <c:pt idx="54">
                  <c:v>7.63</c:v>
                </c:pt>
                <c:pt idx="55">
                  <c:v>7.6199999999999966</c:v>
                </c:pt>
                <c:pt idx="56">
                  <c:v>7.64</c:v>
                </c:pt>
                <c:pt idx="57">
                  <c:v>7.67</c:v>
                </c:pt>
                <c:pt idx="58">
                  <c:v>7.72</c:v>
                </c:pt>
                <c:pt idx="59">
                  <c:v>7.79</c:v>
                </c:pt>
                <c:pt idx="60">
                  <c:v>7.8199999999999985</c:v>
                </c:pt>
                <c:pt idx="61">
                  <c:v>7.81</c:v>
                </c:pt>
                <c:pt idx="62">
                  <c:v>7.8</c:v>
                </c:pt>
                <c:pt idx="63">
                  <c:v>7.8</c:v>
                </c:pt>
                <c:pt idx="64">
                  <c:v>7.81</c:v>
                </c:pt>
                <c:pt idx="65">
                  <c:v>7.8</c:v>
                </c:pt>
                <c:pt idx="66">
                  <c:v>7.9</c:v>
                </c:pt>
                <c:pt idx="67">
                  <c:v>8.11</c:v>
                </c:pt>
                <c:pt idx="68">
                  <c:v>8.48</c:v>
                </c:pt>
                <c:pt idx="69">
                  <c:v>9.3700000000000028</c:v>
                </c:pt>
                <c:pt idx="70">
                  <c:v>9.99</c:v>
                </c:pt>
                <c:pt idx="71">
                  <c:v>9.99</c:v>
                </c:pt>
                <c:pt idx="72">
                  <c:v>10.08</c:v>
                </c:pt>
                <c:pt idx="73">
                  <c:v>9.9700000000000006</c:v>
                </c:pt>
                <c:pt idx="74">
                  <c:v>9.66</c:v>
                </c:pt>
                <c:pt idx="75">
                  <c:v>9.19</c:v>
                </c:pt>
                <c:pt idx="76">
                  <c:v>8.7299999999999986</c:v>
                </c:pt>
                <c:pt idx="77">
                  <c:v>8.44</c:v>
                </c:pt>
                <c:pt idx="78">
                  <c:v>8.08</c:v>
                </c:pt>
                <c:pt idx="79">
                  <c:v>7.9</c:v>
                </c:pt>
                <c:pt idx="80">
                  <c:v>7.74</c:v>
                </c:pt>
                <c:pt idx="81">
                  <c:v>7.46</c:v>
                </c:pt>
                <c:pt idx="82">
                  <c:v>7.13</c:v>
                </c:pt>
                <c:pt idx="83">
                  <c:v>6.83</c:v>
                </c:pt>
                <c:pt idx="84">
                  <c:v>6.4300000000000024</c:v>
                </c:pt>
                <c:pt idx="85">
                  <c:v>6.1599999999999975</c:v>
                </c:pt>
                <c:pt idx="86">
                  <c:v>6.08</c:v>
                </c:pt>
                <c:pt idx="87">
                  <c:v>6.06</c:v>
                </c:pt>
                <c:pt idx="88">
                  <c:v>6.03</c:v>
                </c:pt>
                <c:pt idx="89">
                  <c:v>5.96</c:v>
                </c:pt>
                <c:pt idx="90">
                  <c:v>5.9</c:v>
                </c:pt>
                <c:pt idx="91">
                  <c:v>5.92</c:v>
                </c:pt>
                <c:pt idx="92">
                  <c:v>6.01</c:v>
                </c:pt>
                <c:pt idx="93">
                  <c:v>6.1899999999999995</c:v>
                </c:pt>
                <c:pt idx="94">
                  <c:v>6.4</c:v>
                </c:pt>
                <c:pt idx="95">
                  <c:v>6.67</c:v>
                </c:pt>
                <c:pt idx="96">
                  <c:v>6.92</c:v>
                </c:pt>
                <c:pt idx="97">
                  <c:v>7.1</c:v>
                </c:pt>
                <c:pt idx="98">
                  <c:v>7.17</c:v>
                </c:pt>
                <c:pt idx="99">
                  <c:v>7.26</c:v>
                </c:pt>
                <c:pt idx="100">
                  <c:v>7.33</c:v>
                </c:pt>
                <c:pt idx="101">
                  <c:v>7.35</c:v>
                </c:pt>
                <c:pt idx="102">
                  <c:v>7.41</c:v>
                </c:pt>
                <c:pt idx="103">
                  <c:v>7.5</c:v>
                </c:pt>
                <c:pt idx="104">
                  <c:v>7.64</c:v>
                </c:pt>
                <c:pt idx="105">
                  <c:v>7.78</c:v>
                </c:pt>
                <c:pt idx="106">
                  <c:v>7.9</c:v>
                </c:pt>
                <c:pt idx="107">
                  <c:v>8.0300000000000011</c:v>
                </c:pt>
                <c:pt idx="108">
                  <c:v>8.1</c:v>
                </c:pt>
                <c:pt idx="109">
                  <c:v>8.17</c:v>
                </c:pt>
                <c:pt idx="110">
                  <c:v>8.2199999999999989</c:v>
                </c:pt>
                <c:pt idx="111">
                  <c:v>8.27</c:v>
                </c:pt>
                <c:pt idx="112">
                  <c:v>8.3000000000000007</c:v>
                </c:pt>
                <c:pt idx="113">
                  <c:v>8.32</c:v>
                </c:pt>
                <c:pt idx="114">
                  <c:v>8.33</c:v>
                </c:pt>
                <c:pt idx="115">
                  <c:v>8.32</c:v>
                </c:pt>
                <c:pt idx="116">
                  <c:v>8.32</c:v>
                </c:pt>
                <c:pt idx="117">
                  <c:v>8.3500000000000068</c:v>
                </c:pt>
                <c:pt idx="118">
                  <c:v>8.3800000000000008</c:v>
                </c:pt>
                <c:pt idx="119">
                  <c:v>8.39</c:v>
                </c:pt>
                <c:pt idx="120">
                  <c:v>8.3600000000000048</c:v>
                </c:pt>
                <c:pt idx="121">
                  <c:v>8.32</c:v>
                </c:pt>
                <c:pt idx="122">
                  <c:v>8.15</c:v>
                </c:pt>
                <c:pt idx="123">
                  <c:v>7.85</c:v>
                </c:pt>
              </c:numCache>
            </c:numRef>
          </c:val>
        </c:ser>
        <c:marker val="1"/>
        <c:axId val="88686976"/>
        <c:axId val="88688896"/>
      </c:lineChart>
      <c:catAx>
        <c:axId val="8868697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cs-CZ"/>
          </a:p>
        </c:txPr>
        <c:crossAx val="88688896"/>
        <c:crosses val="autoZero"/>
        <c:auto val="1"/>
        <c:lblAlgn val="ctr"/>
        <c:lblOffset val="100"/>
      </c:catAx>
      <c:valAx>
        <c:axId val="88688896"/>
        <c:scaling>
          <c:orientation val="minMax"/>
          <c:min val="5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Kč/l</a:t>
                </a:r>
              </a:p>
            </c:rich>
          </c:tx>
        </c:title>
        <c:numFmt formatCode="General" sourceLinked="1"/>
        <c:tickLblPos val="nextTo"/>
        <c:crossAx val="88686976"/>
        <c:crosses val="autoZero"/>
        <c:crossBetween val="between"/>
      </c:valAx>
    </c:plotArea>
    <c:plotVisOnly val="1"/>
  </c:chart>
  <c:spPr>
    <a:solidFill>
      <a:schemeClr val="accent5">
        <a:lumMod val="20000"/>
        <a:lumOff val="80000"/>
      </a:schemeClr>
    </a:solidFill>
    <a:ln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MZe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Žáček</dc:creator>
  <cp:keywords/>
  <dc:description/>
  <cp:lastModifiedBy>Jan Žáček</cp:lastModifiedBy>
  <cp:revision>1</cp:revision>
  <dcterms:created xsi:type="dcterms:W3CDTF">2012-06-26T10:51:00Z</dcterms:created>
  <dcterms:modified xsi:type="dcterms:W3CDTF">2012-06-26T10:52:00Z</dcterms:modified>
</cp:coreProperties>
</file>