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5.xml" ContentType="application/vnd.openxmlformats-officedocument.wordprocessingml.header+xml"/>
  <Override PartName="/word/header27.xml" ContentType="application/vnd.openxmlformats-officedocument.wordprocessingml.header+xml"/>
  <Override PartName="/word/header14.xml" ContentType="application/vnd.openxmlformats-officedocument.wordprocessingml.header+xml"/>
  <Override PartName="/word/header26.xml" ContentType="application/vnd.openxmlformats-officedocument.wordprocessingml.header+xml"/>
  <Override PartName="/word/footer17.xml" ContentType="application/vnd.openxmlformats-officedocument.wordprocessingml.footer+xml"/>
  <Override PartName="/word/footer29.xml" ContentType="application/vnd.openxmlformats-officedocument.wordprocessingml.footer+xml"/>
  <Override PartName="/word/header16.xml" ContentType="application/vnd.openxmlformats-officedocument.wordprocessingml.header+xml"/>
  <Override PartName="/word/header2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List1"/>
        <w:spacing/>
        <w:jc w:val="right"/>
        <w:rPr>
          <w:rFonts w:ascii="Arial" w:hAnsi="Arial" w:eastAsia="Arial" w:cs="Arial"/>
          <w:b/>
          <w:spacing w:val="8"/>
          <w:sz w:val="22"/>
          <w:szCs w:val="22"/>
          <w:lang w:val="cs-CZ"/>
        </w:rPr>
      </w:pPr>
      <w:r>
        <w:rPr>
          <w:rFonts w:ascii="Arial" w:hAnsi="Arial" w:eastAsia="Arial" w:cs="Arial"/>
          <w:lang w:val="cs-CZ"/>
        </w:rPr>
        <w:pict>
          <v:group id="_x0000_s3026" style="position:absolute;;margin-left:-37.4pt;margin-top:-55.95pt;width:204.6pt;height:118.5pt;z-index:-2048;;mso-wrap-distance-left:0pt;mso-wrap-distance-top:0pt;mso-wrap-distance-right:0pt;mso-wrap-distance-bottom:0pt;" coordsize="4092,2370" coordorigin="670,89">
            <v:shape id="Picture 1" type="#_x0000_t75" style="position:absolute;left:670;top:89;width:4092;height:2370;;v-text-anchor:top" strokecolor="#000000" strokeweight="0.75pt">
              <v:stroke dashstyle="solid" linestyle="single" joinstyle="miter" endcap="flat" color2="#000000"/>
              <v:imagedata r:id="rId1" o:title="CMYK2"/>
            </v:shape>
            <v:rect id="_x0000_s3027" style="position:absolute;left:1785;top:1811;width:1626;height:408;;v-text-anchor:top" stroked="f" strokecolor="#333333">
              <v:fill opacity="65536f" color2="#FFFFFF"/>
              <v:textbox style="" inset="0pt,0pt,7.087pt,3.685pt"/>
            </v:rect>
          </v:group>
        </w:pict>
      </w:r>
      <w:r>
        <w:rPr>
          <w:rFonts w:ascii="Arial" w:hAnsi="Arial" w:eastAsia="Arial" w:cs="Arial"/>
          <w:spacing w:val="14"/>
          <w:lang w:val="cs-CZ"/>
        </w:rPr>
        <w:t xml:space="preserve"> </w:t>
      </w:r>
      <w:r>
        <w:rPr>
          <w:rFonts w:ascii="Arial" w:hAnsi="Arial" w:eastAsia="Arial" w:cs="Arial"/>
          <w:b/>
          <w:i/>
          <w:spacing w:val="8"/>
          <w:sz w:val="28"/>
          <w:lang w:val="cs-CZ"/>
        </w:rPr>
        <w:t xml:space="preserve"> </w:t>
      </w:r>
      <w:r>
        <w:rPr/>
        <mc:AlternateContent>
          <mc:Choice Requires="wps">
            <w:drawing>
              <wp:inline>
                <wp:extent cx="1746000" cy="666843"/>
                <wp:docPr id="1" name="Rectangle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12700"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after="6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</w:rPr>
                              <w:t xml:space="preserve">9252/2021-MZE-17123</w:t>
                            </w:r>
                          </w:p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>
                                  <wp:extent cx="1733066" cy="285670"/>
                                  <wp:effectExtent xmlns:wp="http://schemas.openxmlformats.org/drawingml/2006/wordprocessingDrawing" l="0" t="0" r="0" b="0"/>
                                  <wp:docPr id="2" descr="dms_carovy_kod" name="Picture 3" title="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</w:rPr>
                              <w:t xml:space="preserve">mze000020027163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0" rIns="0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z-index:1024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9252/2021-MZE-17123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066" cy="28567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mze000020027163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/>
        <w:rPr>
          <w:szCs w:val="22"/>
        </w:rPr>
      </w:pPr>
      <w:r>
        <w:rPr>
          <w:szCs w:val="22"/>
        </w:rPr>
        <w:t xml:space="preserve"> </w:t>
      </w:r>
    </w:p>
    <w:p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>
      <w:pPr>
        <w:spacing/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 roce 2020</w:t>
      </w:r>
    </w:p>
    <w:p>
      <w:pPr>
        <w:spacing w:before="240"/>
        <w:rPr>
          <w:b/>
          <w:u w:val="single"/>
        </w:rPr>
      </w:pPr>
      <w:r>
        <w:rPr>
          <w:b/>
          <w:u w:val="single"/>
        </w:rPr>
        <w:t xml:space="preserve">SHRNUTÍ:</w:t>
      </w:r>
    </w:p>
    <w:p>
      <w:pPr>
        <w:spacing w:before="240"/>
        <w:ind w:firstLine="708"/>
        <w:rPr>
          <w:b/>
        </w:rPr>
      </w:pPr>
      <w:r>
        <w:rPr>
          <w:b/>
        </w:rPr>
        <w:t xml:space="preserve">V roce 2020 se meziročně zlepšila záporná bilance agrárního zahraničního obchodu (AZO) ČR o 22,7 %, kdy se snížil schodek AZO ze 47,5 mld. Kč na 36,7 mld. Kč. </w:t>
      </w:r>
    </w:p>
    <w:p>
      <w:pPr>
        <w:spacing w:before="240"/>
        <w:ind w:firstLine="708"/>
        <w:rPr>
          <w:b/>
        </w:rPr>
      </w:pPr>
      <w:r>
        <w:rPr>
          <w:b/>
        </w:rPr>
        <w:t xml:space="preserve">V roce 2020 se meziročně zlepšila záporná bilance AZO ČR zejména se zeměmi EU, a to z 31,2 mld. </w:t>
      </w:r>
      <w:r>
        <w:rPr>
          <w:b/>
        </w:rPr>
        <w:t xml:space="preserve">Kč na 18,2 mld. Kč, zatímco záporná bilance AZO ČR se třetími zeměmi se mírně</w:t>
      </w:r>
      <w:r>
        <w:rPr>
          <w:b/>
        </w:rPr>
        <w:t xml:space="preserve"> zhoršila, tj. z 15,7 mld. Kč na 18,0 mld. Kč. </w:t>
      </w:r>
    </w:p>
    <w:p>
      <w:pPr>
        <w:spacing w:before="240" w:after="240"/>
        <w:ind w:firstLine="708"/>
        <w:rPr/>
      </w:pPr>
      <w:r>
        <w:rPr/>
        <w:t xml:space="preserve">V roce 2020 se v porovnání s rokem 2019 zvýšil </w:t>
      </w:r>
      <w:r>
        <w:rPr>
          <w:b/>
        </w:rPr>
        <w:t xml:space="preserve">vývoz</w:t>
      </w:r>
      <w:r>
        <w:rPr/>
        <w:t xml:space="preserve"> agrárního zboží</w:t>
      </w:r>
      <w:r>
        <w:rPr>
          <w:rStyle w:val="Znakapoznpodarou"/>
        </w:rPr>
        <w:footnoteReference w:customMarkFollows="0" w:id="1"/>
      </w:r>
      <w:r>
        <w:rPr/>
        <w:t xml:space="preserve"> z ČR o téměř 8 % (tj. o 15,8 mld. Kč) na 213,8 mld. Kč; hodnota </w:t>
      </w:r>
      <w:r>
        <w:rPr>
          <w:b/>
        </w:rPr>
        <w:t xml:space="preserve">dovozu </w:t>
      </w:r>
      <w:r>
        <w:rPr/>
        <w:t xml:space="preserve">také meziročně vzrostla, a to o 2,0 % (tj. o 5,0 mld. Kč) na 250,5 mld. Kč. </w:t>
      </w:r>
      <w:r>
        <w:rPr>
          <w:b/>
        </w:rPr>
        <w:t xml:space="preserve">Stupeň krytí dovozu vývozem</w:t>
      </w:r>
      <w:r>
        <w:rPr/>
        <w:t xml:space="preserve"> se meziročně zvýšil o 4,7 p. b. na 85,4 %.</w:t>
      </w:r>
    </w:p>
    <w:p>
      <w:pPr>
        <w:spacing w:after="240" w:line="276" w:lineRule="auto"/>
        <w:ind w:firstLine="708"/>
        <w:rPr/>
      </w:pPr>
      <w:r>
        <w:rPr/>
        <w:t xml:space="preserve">Agrární zboží v celkovém zahraničním </w:t>
      </w:r>
      <w:r>
        <w:rPr/>
        <w:t xml:space="preserve">obchodu ČR tvořilo v roce 2020 na straně vývozu </w:t>
      </w:r>
      <w:r>
        <w:rPr>
          <w:b/>
        </w:rPr>
        <w:t xml:space="preserve">4,8 %</w:t>
      </w:r>
      <w:r>
        <w:rPr/>
        <w:t xml:space="preserve"> a na straně dovozu </w:t>
      </w:r>
      <w:r>
        <w:rPr>
          <w:b/>
        </w:rPr>
        <w:t xml:space="preserve">6,4 %</w:t>
      </w:r>
      <w:r>
        <w:rPr/>
        <w:t xml:space="preserve">, což jsou v obou případech vzhledem k předchozímu roku mírně vyšší hodnoty, viz tab. 5. Významnější posílení při tom v meziročním porovnání zaznamenal ve sledovaném období spíše</w:t>
      </w:r>
      <w:r>
        <w:rPr/>
        <w:t xml:space="preserve"> podíl agrárního zboží ve vývozu než dovozu (o 0,5 p. b. vs. o 0,4 p. b.).</w:t>
      </w:r>
    </w:p>
    <w:p>
      <w:pPr>
        <w:spacing w:line="276" w:lineRule="auto"/>
        <w:ind w:firstLine="708"/>
        <w:rPr/>
      </w:pPr>
      <w:r>
        <w:rPr/>
        <w:t xml:space="preserve">V porovnání s rokem 2019 vzrostl celkový agrární export ČR o 8,0 % s tím, že k nárůstu došlo zejména v exportu do EU, kdy vzrostl za uvedené období o 9,3 %. Export do třetích zemích</w:t>
      </w:r>
      <w:r>
        <w:rPr/>
        <w:t xml:space="preserve"> se snížil o 2,3 %.</w:t>
      </w:r>
    </w:p>
    <w:p>
      <w:pPr>
        <w:spacing w:before="240"/>
        <w:ind w:firstLine="708"/>
        <w:rPr/>
      </w:pPr>
      <w:r>
        <w:rPr/>
        <w:t xml:space="preserve">Nejvýznamnější </w:t>
      </w:r>
      <w:r>
        <w:rPr>
          <w:b/>
          <w:bCs/>
        </w:rPr>
        <w:t xml:space="preserve">zlepšení bilance v celkovém AZO ČR vykázaly v roce 2020 cigarety, pšenice, přípravky používané k výživě zvířat a ethylalkohol nedenaturovaný</w:t>
      </w:r>
      <w:r>
        <w:rPr>
          <w:b/>
          <w:bCs/>
        </w:rPr>
        <w:t xml:space="preserve"> pod 80 %,</w:t>
      </w:r>
      <w:r>
        <w:rPr/>
        <w:t xml:space="preserve"> meziroční </w:t>
      </w:r>
      <w:r>
        <w:rPr>
          <w:b/>
          <w:bCs/>
        </w:rPr>
        <w:t xml:space="preserve">zhoršení naopak nastalo u piva, jablek, hrušek, semen řepky </w:t>
      </w:r>
      <w:r>
        <w:rPr>
          <w:b/>
          <w:bCs/>
        </w:rPr>
        <w:br/>
      </w:r>
      <w:bookmarkStart w:id="2" w:name="_GoBack"/>
      <w:bookmarkEnd w:id="2"/>
      <w:r>
        <w:rPr>
          <w:b/>
          <w:bCs/>
        </w:rPr>
        <w:t xml:space="preserve">a ži</w:t>
      </w:r>
      <w:r>
        <w:rPr>
          <w:b/>
          <w:bCs/>
        </w:rPr>
        <w:t xml:space="preserve">vého skotu</w:t>
      </w:r>
      <w:r>
        <w:rPr/>
        <w:t xml:space="preserve">. Detailní přehled nabízí tabulky 2–4.</w:t>
      </w:r>
    </w:p>
    <w:p>
      <w:pPr>
        <w:spacing w:before="240"/>
        <w:ind w:firstLine="708"/>
        <w:rPr>
          <w:b/>
          <w:bCs/>
        </w:rPr>
      </w:pPr>
      <w:r>
        <w:rPr>
          <w:b/>
          <w:bCs/>
        </w:rPr>
        <w:t xml:space="preserve">Při meziročním nárůstu celkového agrárního exportu ČR při porovnání roku 2020 s rokem 2019, došlo v zemích, kde působí agrární diplomaté ČR</w:t>
      </w:r>
      <w:r>
        <w:rPr>
          <w:rStyle w:val="Znakapoznpodarou"/>
          <w:b/>
          <w:bCs/>
        </w:rPr>
        <w:footnoteReference w:customMarkFollows="0" w:id="2"/>
      </w:r>
      <w:r>
        <w:rPr>
          <w:b/>
          <w:bCs/>
        </w:rPr>
        <w:t xml:space="preserve">, k meziročnímu zvýšení agrárního exportu ČR v případě Spojených st</w:t>
      </w:r>
      <w:r>
        <w:rPr>
          <w:b/>
          <w:bCs/>
        </w:rPr>
        <w:t xml:space="preserve">átů o 13,0 %, Srbska o 11,2 %, Ruské federace o 6,2 % a Japonska nepatrně o 0,4 %. Naopak k meziročnímu snížení agrárního exportu ČR došlo v případě Libanon o 35,6 %, Číny o 24,7 % a Spojených arabských emirátů o 10,3 %.</w:t>
      </w:r>
    </w:p>
    <w:p>
      <w:pPr>
        <w:spacing w:line="276" w:lineRule="auto"/>
        <w:ind w:firstLine="708"/>
        <w:rPr>
          <w:highlight w:val="yellow"/>
        </w:rPr>
      </w:pPr>
    </w:p>
    <w:p>
      <w:pPr>
        <w:spacing w:line="276" w:lineRule="auto"/>
        <w:ind w:firstLine="708"/>
        <w:rPr>
          <w:highlight w:val="yellow"/>
        </w:rPr>
      </w:pPr>
    </w:p>
    <w:p>
      <w:pPr>
        <w:spacing w:line="276" w:lineRule="auto"/>
        <w:ind w:firstLine="708"/>
        <w:rPr>
          <w:highlight w:val="yellow"/>
        </w:rPr>
      </w:pPr>
    </w:p>
    <w:p>
      <w:pPr>
        <w:spacing w:line="276" w:lineRule="auto"/>
        <w:ind w:firstLine="708"/>
        <w:rPr>
          <w:highlight w:val="yellow"/>
        </w:rPr>
      </w:pPr>
    </w:p>
    <w:p>
      <w:pPr>
        <w:spacing w:line="276" w:lineRule="auto"/>
        <w:ind w:firstLine="708"/>
        <w:rPr>
          <w:highlight w:val="yellow"/>
        </w:rPr>
      </w:pPr>
    </w:p>
    <w:p>
      <w:pPr>
        <w:spacing w:line="276" w:lineRule="auto"/>
        <w:ind w:firstLine="708"/>
        <w:rPr>
          <w:highlight w:val="yellow"/>
        </w:rPr>
      </w:pPr>
    </w:p>
    <w:p>
      <w:pPr>
        <w:spacing w:before="240" w:after="240"/>
        <w:rPr>
          <w:b/>
          <w:u w:val="single"/>
        </w:rPr>
      </w:pPr>
      <w:r>
        <w:rPr>
          <w:b/>
          <w:u w:val="single"/>
        </w:rPr>
        <w:t xml:space="preserve">TERITORIÁLNÍ POHLED</w:t>
      </w:r>
    </w:p>
    <w:p>
      <w:pPr>
        <w:spacing w:after="240" w:line="276" w:lineRule="auto"/>
        <w:ind w:firstLine="708"/>
        <w:rPr/>
      </w:pPr>
      <w:r>
        <w:rPr/>
        <w:t xml:space="preserve">Agrární zboží </w:t>
      </w:r>
      <w:r>
        <w:rPr>
          <w:b/>
        </w:rPr>
        <w:t xml:space="preserve">směřovalo </w:t>
      </w:r>
      <w:r>
        <w:rPr/>
        <w:t xml:space="preserve">v roce 2020 do </w:t>
      </w:r>
      <w:r>
        <w:rPr>
          <w:b/>
          <w:bCs/>
        </w:rPr>
        <w:t xml:space="preserve">Německa</w:t>
      </w:r>
      <w:r>
        <w:rPr/>
        <w:t xml:space="preserve"> (23,1 %) a na </w:t>
      </w:r>
      <w:r>
        <w:rPr>
          <w:b/>
          <w:bCs/>
        </w:rPr>
        <w:t xml:space="preserve">Slovensko</w:t>
      </w:r>
      <w:r>
        <w:rPr/>
        <w:t xml:space="preserve"> (20,7 %), v meziročním porovnání došlo k prohození pořadí. V roce 2020 vzrostl podíl Německa o 2,6 p. b. a podíl Slovenska se naopak snížil o 1,0 p. b. Třetí nejvýznamnější destinací zů</w:t>
      </w:r>
      <w:r>
        <w:rPr/>
        <w:t xml:space="preserve">stalo </w:t>
      </w:r>
      <w:r>
        <w:rPr>
          <w:b/>
        </w:rPr>
        <w:t xml:space="preserve">Polsko</w:t>
      </w:r>
      <w:r>
        <w:rPr/>
        <w:t xml:space="preserve"> (9,8 %). Dále následovaly </w:t>
      </w:r>
      <w:r>
        <w:rPr>
          <w:b/>
        </w:rPr>
        <w:t xml:space="preserve">Itálie</w:t>
      </w:r>
      <w:r>
        <w:rPr/>
        <w:t xml:space="preserve"> (8,9 %), </w:t>
      </w:r>
      <w:r>
        <w:rPr>
          <w:b/>
        </w:rPr>
        <w:t xml:space="preserve">Rakousko</w:t>
      </w:r>
      <w:r>
        <w:rPr/>
        <w:t xml:space="preserve"> (5,1 %) a </w:t>
      </w:r>
      <w:r>
        <w:rPr>
          <w:b/>
        </w:rPr>
        <w:t xml:space="preserve">Maďarsko</w:t>
      </w:r>
      <w:r>
        <w:rPr/>
        <w:t xml:space="preserve"> (4,6 %). Hlavními odběrateli v rámci třetích zemí bylo Spojené království (2,2 %), Rusko (1,8 %), Japonsko, Čína (shodně 0,5 %), USA, Ukrajina (shodně 0,4 %), Švýcarsko a Tu</w:t>
      </w:r>
      <w:r>
        <w:rPr/>
        <w:t xml:space="preserve">recko (shodně 0,3 %).</w:t>
      </w:r>
    </w:p>
    <w:p>
      <w:pPr>
        <w:spacing w:after="240" w:line="276" w:lineRule="auto"/>
        <w:ind w:firstLine="708"/>
        <w:rPr/>
      </w:pPr>
      <w:r>
        <w:rPr/>
        <w:t xml:space="preserve">Český agrární </w:t>
      </w:r>
      <w:r>
        <w:rPr>
          <w:b/>
        </w:rPr>
        <w:t xml:space="preserve">dovoz</w:t>
      </w:r>
      <w:r>
        <w:rPr/>
        <w:t xml:space="preserve"> pocházel v roce 2020 zejména z </w:t>
      </w:r>
      <w:r>
        <w:rPr>
          <w:b/>
        </w:rPr>
        <w:t xml:space="preserve">Německa</w:t>
      </w:r>
      <w:r>
        <w:rPr/>
        <w:t xml:space="preserve"> a </w:t>
      </w:r>
      <w:r>
        <w:rPr>
          <w:b/>
        </w:rPr>
        <w:t xml:space="preserve">Polska</w:t>
      </w:r>
      <w:r>
        <w:rPr/>
        <w:t xml:space="preserve">, jejich podíly činily 22,9 % a 15,6 %. V meziročním porovnání v roce 2020 vzrostl podíl Německa (o 0,8 p. b.) a podíl Polska stagnoval. Dalšími významnými dovozci byl</w:t>
      </w:r>
      <w:r>
        <w:rPr/>
        <w:t xml:space="preserve">y </w:t>
      </w:r>
      <w:r>
        <w:rPr>
          <w:b/>
        </w:rPr>
        <w:t xml:space="preserve">Nizozemsko</w:t>
      </w:r>
      <w:r>
        <w:rPr/>
        <w:t xml:space="preserve"> (6,8 %), </w:t>
      </w:r>
      <w:r>
        <w:rPr>
          <w:b/>
        </w:rPr>
        <w:t xml:space="preserve">Slovensko</w:t>
      </w:r>
      <w:r>
        <w:rPr/>
        <w:t xml:space="preserve"> (6,6 %), </w:t>
      </w:r>
      <w:r>
        <w:rPr>
          <w:b/>
        </w:rPr>
        <w:t xml:space="preserve">Itálie</w:t>
      </w:r>
      <w:r>
        <w:rPr/>
        <w:t xml:space="preserve"> a </w:t>
      </w:r>
      <w:r>
        <w:rPr>
          <w:b/>
        </w:rPr>
        <w:t xml:space="preserve">Španělsko</w:t>
      </w:r>
      <w:r>
        <w:rPr/>
        <w:t xml:space="preserve"> (shodně 5,8 %). Z třetích zemí byly hlavními dodavateli Spojené království (1,7 %), Čína (1,4 %), Ukrajina (1,2 %), Turecko a Spojené státy (shodně 1,0 %).</w:t>
      </w:r>
    </w:p>
    <w:p>
      <w:pPr>
        <w:spacing w:after="240" w:line="276" w:lineRule="auto"/>
        <w:ind w:firstLine="708"/>
        <w:rPr/>
      </w:pPr>
      <w:r>
        <w:rPr/>
        <w:t xml:space="preserve">K nejvýraznějšímu meziročnímu </w:t>
      </w:r>
      <w:r>
        <w:rPr>
          <w:b/>
        </w:rPr>
        <w:t xml:space="preserve">zlepšení b</w:t>
      </w:r>
      <w:r>
        <w:rPr>
          <w:b/>
        </w:rPr>
        <w:t xml:space="preserve">ilance českého AZO v</w:t>
      </w:r>
      <w:r>
        <w:rPr/>
        <w:t xml:space="preserve"> </w:t>
      </w:r>
      <w:r>
        <w:rPr>
          <w:b/>
        </w:rPr>
        <w:t xml:space="preserve">teritoriálním pohledu</w:t>
      </w:r>
      <w:r>
        <w:rPr/>
        <w:t xml:space="preserve"> došlo v obchodě s Německem (o 5,8 mld. Kč, zejména výraznějším nárůstem vývozu pšenice a cigaret), Rumunskem (o 2,1 mld. Kč), Nizozemskem (o 1,2 mld. Kč), Slovenskem (o 1,1 mld. Kč) a Francií a Itálií (shodně o 1,</w:t>
      </w:r>
      <w:r>
        <w:rPr/>
        <w:t xml:space="preserve">0 mld. Kč). </w:t>
      </w:r>
      <w:r>
        <w:rPr>
          <w:b/>
        </w:rPr>
        <w:t xml:space="preserve">Zhoršení bilance</w:t>
      </w:r>
      <w:r>
        <w:rPr/>
        <w:t xml:space="preserve"> zaznamenal obchod zejména s Ukrajinou (o 815,8 mil. Kč, především zvýšením dovozu nedenaturovaného ethylalkoholu nad 80 %, konzervovaného ovoce a ořechů a skořápkového ovoce), Norskem (o 562,5 mil. Kč), Tureckem (o 554,4 mil. K</w:t>
      </w:r>
      <w:r>
        <w:rPr/>
        <w:t xml:space="preserve">č) a Řeckem (o 455,0 mil. Kč).</w:t>
      </w:r>
    </w:p>
    <w:p>
      <w:pPr>
        <w:spacing w:after="240"/>
        <w:rPr>
          <w:b/>
          <w:u w:val="single"/>
        </w:rPr>
      </w:pPr>
      <w:r>
        <w:rPr>
          <w:b/>
          <w:u w:val="single"/>
        </w:rPr>
        <w:t xml:space="preserve">KOMODITNÍ POHLED</w:t>
      </w:r>
    </w:p>
    <w:p>
      <w:pPr>
        <w:spacing w:line="276" w:lineRule="auto"/>
        <w:ind w:firstLine="708"/>
        <w:rPr/>
      </w:pPr>
      <w:r>
        <w:rPr/>
        <w:t xml:space="preserve">Nejvíce</w:t>
      </w:r>
      <w:r>
        <w:rPr>
          <w:b/>
        </w:rPr>
        <w:t xml:space="preserve"> vyváženými </w:t>
      </w:r>
      <w:r>
        <w:rPr/>
        <w:t xml:space="preserve">českými agrárními</w:t>
      </w:r>
      <w:r>
        <w:rPr>
          <w:b/>
        </w:rPr>
        <w:t xml:space="preserve"> </w:t>
      </w:r>
      <w:r>
        <w:rPr/>
        <w:t xml:space="preserve">položkami</w:t>
      </w:r>
      <w:r>
        <w:rPr>
          <w:rStyle w:val="Znakapoznpodarou"/>
        </w:rPr>
        <w:footnoteReference w:customMarkFollows="0" w:id="3"/>
      </w:r>
      <w:r>
        <w:rPr/>
        <w:t xml:space="preserve"> byly v roce 2020 </w:t>
      </w:r>
      <w:r>
        <w:rPr>
          <w:b/>
        </w:rPr>
        <w:t xml:space="preserve">cigarety, přípravky k výživě zvířat, pšenice, potravinové přípravky</w:t>
      </w:r>
      <w:r>
        <w:rPr>
          <w:rStyle w:val="Znakapoznpodarou"/>
          <w:b/>
        </w:rPr>
        <w:footnoteReference w:customMarkFollows="0" w:id="4"/>
      </w:r>
      <w:r>
        <w:rPr>
          <w:b/>
        </w:rPr>
        <w:t xml:space="preserve">, pekařské zboží a nezahuštěné mléko a smetana</w:t>
      </w:r>
      <w:r>
        <w:rPr/>
        <w:t xml:space="preserve">. Hlavními </w:t>
      </w:r>
      <w:r>
        <w:rPr>
          <w:b/>
        </w:rPr>
        <w:t xml:space="preserve">dováženými </w:t>
      </w:r>
      <w:r>
        <w:rPr/>
        <w:t xml:space="preserve">agrárními</w:t>
      </w:r>
      <w:r>
        <w:rPr>
          <w:b/>
        </w:rPr>
        <w:t xml:space="preserve"> </w:t>
      </w:r>
      <w:r>
        <w:rPr/>
        <w:t xml:space="preserve">produkty do ČR byly </w:t>
      </w:r>
      <w:r>
        <w:rPr>
          <w:b/>
        </w:rPr>
        <w:t xml:space="preserve">vepřové maso</w:t>
      </w:r>
      <w:r>
        <w:rPr/>
        <w:t xml:space="preserve">, </w:t>
      </w:r>
      <w:r>
        <w:rPr>
          <w:b/>
        </w:rPr>
        <w:t xml:space="preserve">pekařské zboží,</w:t>
      </w:r>
      <w:r>
        <w:rPr/>
        <w:t xml:space="preserve"> </w:t>
      </w:r>
      <w:r>
        <w:rPr>
          <w:b/>
        </w:rPr>
        <w:t xml:space="preserve">přípravky k výživě zvířat, potravinové přípravky, sýry a tvaroh a čokoláda a ostatní kakaové přípravky. </w:t>
      </w:r>
      <w:r>
        <w:rPr/>
        <w:t xml:space="preserve">Detailnější údaje o nejvíce vyvážených a dovážených agrárních položkách ve sledovaném období</w:t>
      </w:r>
      <w:r>
        <w:rPr/>
        <w:t xml:space="preserve"> uvádí tabulka 1.</w:t>
      </w: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</w:p>
    <w:p>
      <w:pPr>
        <w:spacing w:after="12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 xml:space="preserve">Tabulka 1 – Přehled 10 nejvíce z ČR vyvážených a do ČR dovážených položek </w:t>
      </w:r>
      <w:r>
        <w:rPr>
          <w:rFonts w:eastAsia="Times New Roman"/>
          <w:b/>
          <w:szCs w:val="22"/>
          <w:lang w:eastAsia="cs-CZ" w:bidi="ar-SA"/>
        </w:rPr>
        <w:t xml:space="preserve">v roce 2020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804"/>
        <w:gridCol w:w="744"/>
        <w:gridCol w:w="823"/>
        <w:gridCol w:w="2185"/>
        <w:gridCol w:w="804"/>
        <w:gridCol w:w="745"/>
        <w:gridCol w:w="809"/>
      </w:tblGrid>
      <w:tr>
        <w:trPr>
          <w:trHeight w:val="1035" w:hRule="atLeast"/>
        </w:trPr>
        <w:tc>
          <w:tcPr>
            <w:tcW w:type="pct" w:w="125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4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Hodnota vývozu (mld. Kč)</w:t>
            </w:r>
          </w:p>
        </w:tc>
        <w:tc>
          <w:tcPr>
            <w:tcW w:type="pct" w:w="41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agrár. vývozu (%)</w:t>
            </w:r>
          </w:p>
        </w:tc>
        <w:tc>
          <w:tcPr>
            <w:tcW w:type="pct" w:w="45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Změna proti roku 2019 (%)</w:t>
            </w:r>
          </w:p>
        </w:tc>
        <w:tc>
          <w:tcPr>
            <w:tcW w:type="pct" w:w="119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4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Hodnota dovozu (mld. Kč)</w:t>
            </w:r>
          </w:p>
        </w:tc>
        <w:tc>
          <w:tcPr>
            <w:tcW w:type="pct" w:w="41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agrár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dovozu (%)</w:t>
            </w:r>
          </w:p>
        </w:tc>
        <w:tc>
          <w:tcPr>
            <w:tcW w:type="pct" w:w="44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Změna proti roku 2019 (%)</w:t>
            </w:r>
          </w:p>
        </w:tc>
      </w:tr>
      <w:tr>
        <w:trPr>
          <w:trHeight w:val="300" w:hRule="atLeast"/>
        </w:trPr>
        <w:tc>
          <w:tcPr>
            <w:tcW w:type="pct" w:w="125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Cigarety</w:t>
            </w:r>
          </w:p>
        </w:tc>
        <w:tc>
          <w:tcPr>
            <w:tcW w:type="pct" w:w="4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21,6</w:t>
            </w:r>
          </w:p>
        </w:tc>
        <w:tc>
          <w:tcPr>
            <w:tcW w:type="pct" w:w="41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10,6</w:t>
            </w:r>
          </w:p>
        </w:tc>
        <w:tc>
          <w:tcPr>
            <w:tcW w:type="pct" w:w="45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19,8</w:t>
            </w:r>
          </w:p>
        </w:tc>
        <w:tc>
          <w:tcPr>
            <w:tcW w:type="pct" w:w="119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</w:t>
            </w:r>
          </w:p>
        </w:tc>
        <w:tc>
          <w:tcPr>
            <w:tcW w:type="pct" w:w="4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16,2</w:t>
            </w:r>
          </w:p>
        </w:tc>
        <w:tc>
          <w:tcPr>
            <w:tcW w:type="pct" w:w="41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6,8</w:t>
            </w:r>
          </w:p>
        </w:tc>
        <w:tc>
          <w:tcPr>
            <w:tcW w:type="pct" w:w="44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-2,8</w:t>
            </w:r>
          </w:p>
        </w:tc>
      </w:tr>
      <w:tr>
        <w:trPr>
          <w:trHeight w:val="555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 k výživě zvířat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15,4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7,6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21,6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Pekařské zboží, pečivo, oplatky apod.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10,7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4,5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2,6</w:t>
            </w:r>
          </w:p>
        </w:tc>
      </w:tr>
      <w:tr>
        <w:trPr>
          <w:trHeight w:val="525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11,6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5,7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39,8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 k výživě zvířat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10,5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4,4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16,4</w:t>
            </w:r>
          </w:p>
        </w:tc>
      </w:tr>
      <w:tr>
        <w:trPr>
          <w:trHeight w:val="315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10,7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5,3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6,8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10,2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4,3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6,0</w:t>
            </w:r>
          </w:p>
        </w:tc>
      </w:tr>
      <w:tr>
        <w:trPr>
          <w:trHeight w:val="480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Pekařské zboží, pečivo, oplatky apod.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10,5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5,2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-1,1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Sýry a tvaroh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9,7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4,1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1,6</w:t>
            </w:r>
          </w:p>
        </w:tc>
      </w:tr>
      <w:tr>
        <w:trPr>
          <w:trHeight w:val="630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Mléko a smetana 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8,9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4,4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3,6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Čokoláda a ostatní kakaové přípravky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8,7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3,7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-2,0</w:t>
            </w:r>
          </w:p>
        </w:tc>
      </w:tr>
      <w:tr>
        <w:trPr>
          <w:trHeight w:val="525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Čokoláda a ostatní kakaové přípravky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6,9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3,4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3,7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Cigarety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8,2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3,4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-9,7</w:t>
            </w:r>
          </w:p>
        </w:tc>
      </w:tr>
      <w:tr>
        <w:trPr>
          <w:trHeight w:val="335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6,7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3,3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-9,8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5,8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2,4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-4,4</w:t>
            </w:r>
          </w:p>
        </w:tc>
      </w:tr>
      <w:tr>
        <w:trPr>
          <w:trHeight w:val="300" w:hRule="atLeast"/>
        </w:trPr>
        <w:tc>
          <w:tcPr>
            <w:tcW w:type="pct" w:w="1254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Řepkový olej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5,9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2,9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6,1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5,5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2,3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4,2</w:t>
            </w:r>
          </w:p>
        </w:tc>
      </w:tr>
      <w:tr>
        <w:trPr>
          <w:trHeight w:val="300" w:hRule="atLeast"/>
        </w:trPr>
        <w:tc>
          <w:tcPr>
            <w:tcW w:type="pct" w:w="125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Sýry a tvaroh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5,8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2,8</w:t>
            </w:r>
          </w:p>
        </w:tc>
        <w:tc>
          <w:tcPr>
            <w:tcW w:type="pct" w:w="45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11,3</w:t>
            </w:r>
          </w:p>
        </w:tc>
        <w:tc>
          <w:tcPr>
            <w:tcW w:type="pct" w:w="119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</w:t>
            </w:r>
          </w:p>
        </w:tc>
        <w:tc>
          <w:tcPr>
            <w:tcW w:type="pct" w:w="41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5,2</w:t>
            </w:r>
          </w:p>
        </w:tc>
        <w:tc>
          <w:tcPr>
            <w:tcW w:type="pct" w:w="41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2,2</w:t>
            </w:r>
          </w:p>
        </w:tc>
        <w:tc>
          <w:tcPr>
            <w:tcW w:type="pct" w:w="44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-6,5</w:t>
            </w:r>
          </w:p>
        </w:tc>
      </w:tr>
    </w:tbl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rPr/>
      </w:pPr>
      <w:r>
        <w:rPr/>
        <w:br w:type="page"/>
      </w:r>
    </w:p>
    <w:p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Tabulka 2 – Přehled 10 položek s nejvýraznějš</w:t>
      </w:r>
      <w:r>
        <w:rPr>
          <w:rFonts w:cs="Arial"/>
          <w:i w:val="0"/>
          <w:sz w:val="22"/>
          <w:szCs w:val="22"/>
        </w:rPr>
        <w:t xml:space="preserve">í kladnou a zápornou změnou bilance v roce 2020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11"/>
        <w:gridCol w:w="981"/>
        <w:gridCol w:w="980"/>
        <w:gridCol w:w="1790"/>
        <w:gridCol w:w="866"/>
        <w:gridCol w:w="882"/>
        <w:gridCol w:w="980"/>
      </w:tblGrid>
      <w:tr>
        <w:trPr>
          <w:trHeight w:val="300" w:hRule="atLeast"/>
        </w:trPr>
        <w:tc>
          <w:tcPr>
            <w:tcW w:type="pct" w:w="934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1081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Bilance (mil. Kč)</w:t>
            </w:r>
          </w:p>
        </w:tc>
        <w:tc>
          <w:tcPr>
            <w:tcW w:type="pct" w:w="53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Meziroční změna (mil. Kč)</w:t>
            </w:r>
          </w:p>
        </w:tc>
        <w:tc>
          <w:tcPr>
            <w:tcW w:type="pct" w:w="97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949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Bilance (mil. Kč)</w:t>
            </w:r>
          </w:p>
        </w:tc>
        <w:tc>
          <w:tcPr>
            <w:tcW w:type="pct" w:w="53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Meziroční změna (mil. Kč)</w:t>
            </w:r>
          </w:p>
        </w:tc>
      </w:tr>
      <w:tr>
        <w:trPr>
          <w:trHeight w:val="555" w:hRule="atLeast"/>
        </w:trPr>
        <w:tc>
          <w:tcPr>
            <w:tcW w:type="pct" w:w="934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2019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2020</w:t>
            </w:r>
          </w:p>
        </w:tc>
        <w:tc>
          <w:tcPr>
            <w:tcW w:type="pct" w:w="53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97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2019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2020</w:t>
            </w:r>
          </w:p>
        </w:tc>
        <w:tc>
          <w:tcPr>
            <w:tcW w:type="pct" w:w="53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>
        <w:trPr>
          <w:trHeight w:val="300" w:hRule="atLeast"/>
        </w:trPr>
        <w:tc>
          <w:tcPr>
            <w:tcW w:type="pct" w:w="93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Cigarety</w:t>
            </w:r>
          </w:p>
        </w:tc>
        <w:tc>
          <w:tcPr>
            <w:tcW w:type="pct" w:w="54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9 004,0</w:t>
            </w:r>
          </w:p>
        </w:tc>
        <w:tc>
          <w:tcPr>
            <w:tcW w:type="pct" w:w="53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13 460,7</w:t>
            </w:r>
          </w:p>
        </w:tc>
        <w:tc>
          <w:tcPr>
            <w:tcW w:type="pct" w:w="53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4 456,7</w:t>
            </w:r>
          </w:p>
        </w:tc>
        <w:tc>
          <w:tcPr>
            <w:tcW w:type="pct" w:w="97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</w:t>
            </w:r>
          </w:p>
        </w:tc>
        <w:tc>
          <w:tcPr>
            <w:tcW w:type="pct" w:w="47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6 872,4</w:t>
            </w:r>
          </w:p>
        </w:tc>
        <w:tc>
          <w:tcPr>
            <w:tcW w:type="pct" w:w="47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6 050,9</w:t>
            </w:r>
          </w:p>
        </w:tc>
        <w:tc>
          <w:tcPr>
            <w:tcW w:type="pct" w:w="53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-821,5</w:t>
            </w:r>
          </w:p>
        </w:tc>
      </w:tr>
      <w:tr>
        <w:trPr>
          <w:trHeight w:val="48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8 087,2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11 239,6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3 152,3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Jablka, hrušky, kdoule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-801,0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-1 450,1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-649,1</w:t>
            </w:r>
          </w:p>
        </w:tc>
      </w:tr>
      <w:tr>
        <w:trPr>
          <w:trHeight w:val="315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 k výživě zvířat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3 620,6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4 870,8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1 250,2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Semena řepky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876,2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270,8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-605,4</w:t>
            </w:r>
          </w:p>
        </w:tc>
      </w:tr>
      <w:tr>
        <w:trPr>
          <w:trHeight w:val="51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Ethylalkohol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nedenat. pod 80%, destiláty, likéry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-3 155,2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-2 000,5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1 154,7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Živý skot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4 420,6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3 828,4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-592,2</w:t>
            </w:r>
          </w:p>
        </w:tc>
      </w:tr>
      <w:tr>
        <w:trPr>
          <w:trHeight w:val="33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Tabákové náhražky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-2 129,9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-1 298,2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831,7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Citrusové plody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-2 690,5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-3 260,4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-569,9</w:t>
            </w:r>
          </w:p>
        </w:tc>
      </w:tr>
      <w:tr>
        <w:trPr>
          <w:trHeight w:val="51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Vody, minerální vody, sodovky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232,8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1 001,5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768,7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Pekařské zboží, pečivo, oplatky apod.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197,0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-194,5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-391,5</w:t>
            </w:r>
          </w:p>
        </w:tc>
      </w:tr>
      <w:tr>
        <w:trPr>
          <w:trHeight w:val="30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Kukuřice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-907,4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-219,0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688,4</w:t>
            </w:r>
          </w:p>
        </w:tc>
        <w:tc>
          <w:tcPr>
            <w:tcW w:type="pct" w:w="97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Slad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2 048,0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1 664,9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-383,1</w:t>
            </w:r>
          </w:p>
        </w:tc>
      </w:tr>
      <w:tr>
        <w:trPr>
          <w:trHeight w:val="30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Ječmen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587,8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1 233,7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645,9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Cukrovinky bez kakaa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2 166,3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1 893,3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-273,0</w:t>
            </w:r>
          </w:p>
        </w:tc>
      </w:tr>
      <w:tr>
        <w:trPr>
          <w:trHeight w:val="300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Řepkový olej</w:t>
            </w:r>
          </w:p>
        </w:tc>
        <w:tc>
          <w:tcPr>
            <w:tcW w:type="pct" w:w="549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4 637,9</w:t>
            </w:r>
          </w:p>
        </w:tc>
        <w:tc>
          <w:tcPr>
            <w:tcW w:type="pct" w:w="532"/>
            <w:tcBorders>
              <w:top w:val="nil"/>
              <w:left w:val="nil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5 175,2</w:t>
            </w:r>
          </w:p>
        </w:tc>
        <w:tc>
          <w:tcPr>
            <w:tcW w:type="pct" w:w="532"/>
            <w:tcBorders>
              <w:top w:val="nil"/>
              <w:left w:val="nil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537,3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Ovoce a ořechy aj. části rostlin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-1 767,3</w:t>
            </w:r>
          </w:p>
        </w:tc>
        <w:tc>
          <w:tcPr>
            <w:tcW w:type="pct" w:w="479"/>
            <w:tcBorders>
              <w:top w:val="nil"/>
              <w:left w:val="nil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-2 037,4</w:t>
            </w:r>
          </w:p>
        </w:tc>
        <w:tc>
          <w:tcPr>
            <w:tcW w:type="pct" w:w="532"/>
            <w:tcBorders>
              <w:top w:val="nil"/>
              <w:left w:val="nil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-270,1</w:t>
            </w:r>
          </w:p>
        </w:tc>
      </w:tr>
      <w:tr>
        <w:trPr>
          <w:trHeight w:val="315" w:hRule="atLeast"/>
        </w:trPr>
        <w:tc>
          <w:tcPr>
            <w:tcW w:type="pct" w:w="93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</w:t>
            </w:r>
          </w:p>
        </w:tc>
        <w:tc>
          <w:tcPr>
            <w:tcW w:type="pct" w:w="54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-15 138,2</w:t>
            </w:r>
          </w:p>
        </w:tc>
        <w:tc>
          <w:tcPr>
            <w:tcW w:type="pct" w:w="53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-14 606,5</w:t>
            </w:r>
          </w:p>
        </w:tc>
        <w:tc>
          <w:tcPr>
            <w:tcW w:type="pct" w:w="53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531,7</w:t>
            </w:r>
          </w:p>
        </w:tc>
        <w:tc>
          <w:tcPr>
            <w:tcW w:type="pct" w:w="97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Semena, plody, výtrusy k výsevu</w:t>
            </w:r>
          </w:p>
        </w:tc>
        <w:tc>
          <w:tcPr>
            <w:tcW w:type="pct" w:w="47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-7,1</w:t>
            </w:r>
          </w:p>
        </w:tc>
        <w:tc>
          <w:tcPr>
            <w:tcW w:type="pct" w:w="479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-272,9</w:t>
            </w:r>
          </w:p>
        </w:tc>
        <w:tc>
          <w:tcPr>
            <w:tcW w:type="pct" w:w="53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-265,8</w:t>
            </w:r>
          </w:p>
        </w:tc>
      </w:tr>
    </w:tbl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keepNext/>
        <w:spacing w:before="240" w:after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 xml:space="preserve">Tabulka 3 – Přehled 10 položek s nejvýraznější </w:t>
      </w:r>
      <w:r>
        <w:rPr>
          <w:rFonts w:eastAsia="Times New Roman"/>
          <w:b/>
          <w:lang w:eastAsia="cs-CZ"/>
        </w:rPr>
        <w:t xml:space="preserve">kladnou a zápornou změnou bilance se zeměmi EU 27 v roce 2020</w:t>
      </w:r>
    </w:p>
    <w:tbl>
      <w:tblPr>
        <w:tblW w:w="5048" w:type="pct"/>
        <w:tblInd w:w="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023"/>
        <w:gridCol w:w="905"/>
        <w:gridCol w:w="996"/>
        <w:gridCol w:w="1761"/>
        <w:gridCol w:w="1027"/>
        <w:gridCol w:w="896"/>
        <w:gridCol w:w="989"/>
      </w:tblGrid>
      <w:tr>
        <w:trPr>
          <w:trHeight w:val="486" w:hRule="atLeast"/>
        </w:trPr>
        <w:tc>
          <w:tcPr>
            <w:tcW w:type="pct" w:w="915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1036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Bilance (mil. Kč)</w:t>
            </w:r>
          </w:p>
        </w:tc>
        <w:tc>
          <w:tcPr>
            <w:tcW w:type="pct" w:w="535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Meziroční změna (mil. Kč)</w:t>
            </w:r>
          </w:p>
        </w:tc>
        <w:tc>
          <w:tcPr>
            <w:tcW w:type="pct" w:w="947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1033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Bilance (mil. Kč)</w:t>
            </w:r>
          </w:p>
        </w:tc>
        <w:tc>
          <w:tcPr>
            <w:tcW w:type="pct" w:w="534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Meziroční změna (mil. Kč)</w:t>
            </w:r>
          </w:p>
        </w:tc>
      </w:tr>
      <w:tr>
        <w:trPr>
          <w:trHeight w:val="341" w:hRule="atLeast"/>
        </w:trPr>
        <w:tc>
          <w:tcPr>
            <w:tcW w:type="pct" w:w="915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2019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2020</w:t>
            </w:r>
          </w:p>
        </w:tc>
        <w:tc>
          <w:tcPr>
            <w:tcW w:type="pct" w:w="535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947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2019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2020</w:t>
            </w:r>
          </w:p>
        </w:tc>
        <w:tc>
          <w:tcPr>
            <w:tcW w:type="pct" w:w="53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>
        <w:trPr>
          <w:trHeight w:val="341" w:hRule="atLeast"/>
        </w:trPr>
        <w:tc>
          <w:tcPr>
            <w:tcW w:type="pct" w:w="9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Cigarety</w:t>
            </w:r>
          </w:p>
        </w:tc>
        <w:tc>
          <w:tcPr>
            <w:tcW w:type="pct" w:w="55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8 996,0</w:t>
            </w:r>
          </w:p>
        </w:tc>
        <w:tc>
          <w:tcPr>
            <w:tcW w:type="pct" w:w="487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13 474,7</w:t>
            </w:r>
          </w:p>
        </w:tc>
        <w:tc>
          <w:tcPr>
            <w:tcW w:type="pct" w:w="53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4 478,6</w:t>
            </w:r>
          </w:p>
        </w:tc>
        <w:tc>
          <w:tcPr>
            <w:tcW w:type="pct" w:w="94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</w:t>
            </w:r>
          </w:p>
        </w:tc>
        <w:tc>
          <w:tcPr>
            <w:tcW w:type="pct" w:w="55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4 976,6</w:t>
            </w:r>
          </w:p>
        </w:tc>
        <w:tc>
          <w:tcPr>
            <w:tcW w:type="pct" w:w="48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4 154,6</w:t>
            </w:r>
          </w:p>
        </w:tc>
        <w:tc>
          <w:tcPr>
            <w:tcW w:type="pct" w:w="53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-822,0</w:t>
            </w:r>
          </w:p>
        </w:tc>
      </w:tr>
      <w:tr>
        <w:trPr>
          <w:trHeight w:val="341" w:hRule="atLeast"/>
        </w:trPr>
        <w:tc>
          <w:tcPr>
            <w:tcW w:type="pct" w:w="9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</w:t>
            </w:r>
          </w:p>
        </w:tc>
        <w:tc>
          <w:tcPr>
            <w:tcW w:type="pct" w:w="55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8 067,8</w:t>
            </w:r>
          </w:p>
        </w:tc>
        <w:tc>
          <w:tcPr>
            <w:tcW w:type="pct" w:w="48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11 185,1</w:t>
            </w:r>
          </w:p>
        </w:tc>
        <w:tc>
          <w:tcPr>
            <w:tcW w:type="pct" w:w="53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3 117,3</w:t>
            </w:r>
          </w:p>
        </w:tc>
        <w:tc>
          <w:tcPr>
            <w:tcW w:type="pct" w:w="94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Semena řepky</w:t>
            </w:r>
          </w:p>
        </w:tc>
        <w:tc>
          <w:tcPr>
            <w:tcW w:type="pct" w:w="55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897,3</w:t>
            </w:r>
          </w:p>
        </w:tc>
        <w:tc>
          <w:tcPr>
            <w:tcW w:type="pct" w:w="48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288,3</w:t>
            </w:r>
          </w:p>
        </w:tc>
        <w:tc>
          <w:tcPr>
            <w:tcW w:type="pct" w:w="53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-609,0</w:t>
            </w:r>
          </w:p>
        </w:tc>
      </w:tr>
      <w:tr>
        <w:trPr>
          <w:trHeight w:val="341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 k výživě zvířat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2 438,1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3 314,5</w:t>
            </w:r>
          </w:p>
        </w:tc>
        <w:tc>
          <w:tcPr>
            <w:tcW w:type="pct" w:w="53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876,4</w:t>
            </w:r>
          </w:p>
        </w:tc>
        <w:tc>
          <w:tcPr>
            <w:tcW w:type="pct" w:w="94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Jablka, hrušky, kdoule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-751,7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-1 357,4</w:t>
            </w:r>
          </w:p>
        </w:tc>
        <w:tc>
          <w:tcPr>
            <w:tcW w:type="pct" w:w="53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-605,7</w:t>
            </w:r>
          </w:p>
        </w:tc>
      </w:tr>
      <w:tr>
        <w:trPr>
          <w:trHeight w:val="308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Tabákové náhražky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-2 171,8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-1 332,7</w:t>
            </w:r>
          </w:p>
        </w:tc>
        <w:tc>
          <w:tcPr>
            <w:tcW w:type="pct" w:w="53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839,1</w:t>
            </w:r>
          </w:p>
        </w:tc>
        <w:tc>
          <w:tcPr>
            <w:tcW w:type="pct" w:w="94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vč. plantejnů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505,9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115,4</w:t>
            </w:r>
          </w:p>
        </w:tc>
        <w:tc>
          <w:tcPr>
            <w:tcW w:type="pct" w:w="53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-390,5</w:t>
            </w:r>
          </w:p>
        </w:tc>
      </w:tr>
      <w:tr>
        <w:trPr>
          <w:trHeight w:val="341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Kukuřice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-857,9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-202,0</w:t>
            </w:r>
          </w:p>
        </w:tc>
        <w:tc>
          <w:tcPr>
            <w:tcW w:type="pct" w:w="53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655,9</w:t>
            </w:r>
          </w:p>
        </w:tc>
        <w:tc>
          <w:tcPr>
            <w:tcW w:type="pct" w:w="947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Citrusové plody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-1 855,3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-2 240,4</w:t>
            </w:r>
          </w:p>
        </w:tc>
        <w:tc>
          <w:tcPr>
            <w:tcW w:type="pct" w:w="53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-385,1</w:t>
            </w:r>
          </w:p>
        </w:tc>
      </w:tr>
      <w:tr>
        <w:trPr>
          <w:trHeight w:val="341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Ječmen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581,3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1 228,1</w:t>
            </w:r>
          </w:p>
        </w:tc>
        <w:tc>
          <w:tcPr>
            <w:tcW w:type="pct" w:w="53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646,8</w:t>
            </w:r>
          </w:p>
        </w:tc>
        <w:tc>
          <w:tcPr>
            <w:tcW w:type="pct" w:w="94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Tuky a oleje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-714,0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-1 008,3</w:t>
            </w:r>
          </w:p>
        </w:tc>
        <w:tc>
          <w:tcPr>
            <w:tcW w:type="pct" w:w="53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-294,3</w:t>
            </w:r>
          </w:p>
        </w:tc>
      </w:tr>
      <w:tr>
        <w:trPr>
          <w:trHeight w:val="341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Ethylak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ohol nedenatur. nad 80% 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-612,1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27,9</w:t>
            </w:r>
          </w:p>
        </w:tc>
        <w:tc>
          <w:tcPr>
            <w:tcW w:type="pct" w:w="53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640,1</w:t>
            </w:r>
          </w:p>
        </w:tc>
        <w:tc>
          <w:tcPr>
            <w:tcW w:type="pct" w:w="94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Ovoce a ořechy aj. části rostlin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-1 084,2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-1 323,2</w:t>
            </w:r>
          </w:p>
        </w:tc>
        <w:tc>
          <w:tcPr>
            <w:tcW w:type="pct" w:w="53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-239,0</w:t>
            </w:r>
          </w:p>
        </w:tc>
      </w:tr>
      <w:tr>
        <w:trPr>
          <w:trHeight w:val="324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-15 018,0</w:t>
            </w:r>
          </w:p>
        </w:tc>
        <w:tc>
          <w:tcPr>
            <w:tcW w:type="pct" w:w="48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-14 409,1</w:t>
            </w:r>
          </w:p>
        </w:tc>
        <w:tc>
          <w:tcPr>
            <w:tcW w:type="pct" w:w="53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608,9</w:t>
            </w:r>
          </w:p>
        </w:tc>
        <w:tc>
          <w:tcPr>
            <w:tcW w:type="pct" w:w="94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Zelenina ost. přípravky, konzervy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-768,1</w:t>
            </w:r>
          </w:p>
        </w:tc>
        <w:tc>
          <w:tcPr>
            <w:tcW w:type="pct" w:w="48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-1 005,1</w:t>
            </w:r>
          </w:p>
        </w:tc>
        <w:tc>
          <w:tcPr>
            <w:tcW w:type="pct" w:w="53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-237,0</w:t>
            </w:r>
          </w:p>
        </w:tc>
      </w:tr>
      <w:tr>
        <w:trPr>
          <w:trHeight w:val="324" w:hRule="atLeast"/>
        </w:trPr>
        <w:tc>
          <w:tcPr>
            <w:tcW w:type="pct" w:w="91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</w:t>
            </w:r>
          </w:p>
        </w:tc>
        <w:tc>
          <w:tcPr>
            <w:tcW w:type="pct" w:w="550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1 357,0</w:t>
            </w:r>
          </w:p>
        </w:tc>
        <w:tc>
          <w:tcPr>
            <w:tcW w:type="pct" w:w="487"/>
            <w:tcBorders>
              <w:top w:val="nil"/>
              <w:left w:val="nil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1 947,1</w:t>
            </w:r>
          </w:p>
        </w:tc>
        <w:tc>
          <w:tcPr>
            <w:tcW w:type="pct" w:w="535"/>
            <w:tcBorders>
              <w:top w:val="nil"/>
              <w:left w:val="nil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590,1</w:t>
            </w:r>
          </w:p>
        </w:tc>
        <w:tc>
          <w:tcPr>
            <w:tcW w:type="pct" w:w="947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Semena, plody, výtrusy k výsevu</w:t>
            </w:r>
          </w:p>
        </w:tc>
        <w:tc>
          <w:tcPr>
            <w:tcW w:type="pct" w:w="552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-21,9</w:t>
            </w:r>
          </w:p>
        </w:tc>
        <w:tc>
          <w:tcPr>
            <w:tcW w:type="pct" w:w="482"/>
            <w:tcBorders>
              <w:top w:val="nil"/>
              <w:left w:val="nil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-256,0</w:t>
            </w:r>
          </w:p>
        </w:tc>
        <w:tc>
          <w:tcPr>
            <w:tcW w:type="pct" w:w="534"/>
            <w:tcBorders>
              <w:top w:val="nil"/>
              <w:left w:val="nil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-234,1</w:t>
            </w:r>
          </w:p>
        </w:tc>
      </w:tr>
      <w:tr>
        <w:trPr>
          <w:trHeight w:val="568" w:hRule="atLeast"/>
        </w:trPr>
        <w:tc>
          <w:tcPr>
            <w:tcW w:type="pct" w:w="9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Ethylalkohol nedenat. pod 80%, destiláty, likéry</w:t>
            </w:r>
          </w:p>
        </w:tc>
        <w:tc>
          <w:tcPr>
            <w:tcW w:type="pct" w:w="55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-1 489,0</w:t>
            </w:r>
          </w:p>
        </w:tc>
        <w:tc>
          <w:tcPr>
            <w:tcW w:type="pct" w:w="48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-929,7</w:t>
            </w:r>
          </w:p>
        </w:tc>
        <w:tc>
          <w:tcPr>
            <w:tcW w:type="pct" w:w="53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559,2</w:t>
            </w:r>
          </w:p>
        </w:tc>
        <w:tc>
          <w:tcPr>
            <w:tcW w:type="pct" w:w="94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Moučka z masa, drobů a ryb</w:t>
            </w:r>
          </w:p>
        </w:tc>
        <w:tc>
          <w:tcPr>
            <w:tcW w:type="pct" w:w="55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-758,5</w:t>
            </w:r>
          </w:p>
        </w:tc>
        <w:tc>
          <w:tcPr>
            <w:tcW w:type="pct" w:w="48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-983,2</w:t>
            </w:r>
          </w:p>
        </w:tc>
        <w:tc>
          <w:tcPr>
            <w:tcW w:type="pct" w:w="53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-224,7</w:t>
            </w:r>
          </w:p>
        </w:tc>
      </w:tr>
    </w:tbl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Tabulka 4 – Přehled 10 položek s nejvýrazněj</w:t>
      </w:r>
      <w:r>
        <w:rPr>
          <w:rFonts w:cs="Arial"/>
          <w:i w:val="0"/>
          <w:sz w:val="22"/>
          <w:szCs w:val="22"/>
        </w:rPr>
        <w:t xml:space="preserve">ší kladnou a zápornou změnou bilance se třetími zeměmi (včetně Spojeného království) v roce 2020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866"/>
        <w:gridCol w:w="846"/>
        <w:gridCol w:w="980"/>
        <w:gridCol w:w="1783"/>
        <w:gridCol w:w="866"/>
        <w:gridCol w:w="882"/>
        <w:gridCol w:w="978"/>
      </w:tblGrid>
      <w:tr>
        <w:trPr>
          <w:trHeight w:val="360" w:hRule="atLeast"/>
        </w:trPr>
        <w:tc>
          <w:tcPr>
            <w:tcW w:type="pct" w:w="1091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928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Bilance (mil. Kč)</w:t>
            </w:r>
          </w:p>
        </w:tc>
        <w:tc>
          <w:tcPr>
            <w:tcW w:type="pct" w:w="53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Meziroční změna (mil. Kč)</w:t>
            </w:r>
          </w:p>
        </w:tc>
        <w:tc>
          <w:tcPr>
            <w:tcW w:type="pct" w:w="968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Položka</w:t>
            </w:r>
          </w:p>
        </w:tc>
        <w:tc>
          <w:tcPr>
            <w:tcW w:type="pct" w:w="949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Bilance (mil. Kč)</w:t>
            </w:r>
          </w:p>
        </w:tc>
        <w:tc>
          <w:tcPr>
            <w:tcW w:type="pct" w:w="53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Meziroční změna (mil. Kč)</w:t>
            </w:r>
          </w:p>
        </w:tc>
      </w:tr>
      <w:tr>
        <w:trPr>
          <w:trHeight w:val="540" w:hRule="atLeast"/>
        </w:trPr>
        <w:tc>
          <w:tcPr>
            <w:tcW w:type="pct" w:w="1091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2019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2020</w:t>
            </w:r>
          </w:p>
        </w:tc>
        <w:tc>
          <w:tcPr>
            <w:tcW w:type="pct" w:w="53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968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2019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2020</w:t>
            </w:r>
          </w:p>
        </w:tc>
        <w:tc>
          <w:tcPr>
            <w:tcW w:type="pct" w:w="53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Ethylalkohol nedenat. pod 80%</w:t>
            </w:r>
          </w:p>
        </w:tc>
        <w:tc>
          <w:tcPr>
            <w:tcW w:type="pct" w:w="47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-1 666,2</w:t>
            </w:r>
          </w:p>
        </w:tc>
        <w:tc>
          <w:tcPr>
            <w:tcW w:type="pct" w:w="45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-1 071,9</w:t>
            </w:r>
          </w:p>
        </w:tc>
        <w:tc>
          <w:tcPr>
            <w:tcW w:type="pct" w:w="53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594,3</w:t>
            </w:r>
          </w:p>
        </w:tc>
        <w:tc>
          <w:tcPr>
            <w:tcW w:type="pct" w:w="96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Ethylalkohol nedenat. nad 80%</w:t>
            </w:r>
          </w:p>
        </w:tc>
        <w:tc>
          <w:tcPr>
            <w:tcW w:type="pct" w:w="47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-385,8</w:t>
            </w:r>
          </w:p>
        </w:tc>
        <w:tc>
          <w:tcPr>
            <w:tcW w:type="pct" w:w="47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-1 286,4</w:t>
            </w:r>
          </w:p>
        </w:tc>
        <w:tc>
          <w:tcPr>
            <w:tcW w:type="pct" w:w="53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-900,5</w:t>
            </w: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 k výživě zvířat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1 191,3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1 572,7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381,4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Živý skot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1 357,9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784,4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-573,5</w:t>
            </w: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vč. plantejnů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-2 690,1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-2 357,3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332,7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-945,6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-1 426,7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-481,1</w:t>
            </w:r>
          </w:p>
        </w:tc>
      </w:tr>
      <w:tr>
        <w:trPr>
          <w:trHeight w:val="51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Vody, minerální vody, sodovky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-351,0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-127,6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223,4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Pekařské zboží, pečivo, oplatky apod.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1 624,7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1 314,4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-310,4</w:t>
            </w: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Chmel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636,2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832,7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196,5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Skořápkové ovoce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-1 063,7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-1 352,5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-288,7</w:t>
            </w: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Hovězí maso - čerstvé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-494,4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-311,6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182,7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Nezpracovaný tabák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-1 057,9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-1 285,7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-227,8</w:t>
            </w: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-948,3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-785,6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162,7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Cukrovinky bez kakaa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1 570,6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1 354,5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-216,1</w:t>
            </w:r>
          </w:p>
        </w:tc>
      </w:tr>
      <w:tr>
        <w:trPr>
          <w:trHeight w:val="30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-469,8</w:t>
            </w:r>
          </w:p>
        </w:tc>
        <w:tc>
          <w:tcPr>
            <w:tcW w:type="pct" w:w="45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-314,2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155,5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Slad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556,5</w:t>
            </w:r>
          </w:p>
        </w:tc>
        <w:tc>
          <w:tcPr>
            <w:tcW w:type="pct" w:w="47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355,5</w:t>
            </w:r>
          </w:p>
        </w:tc>
        <w:tc>
          <w:tcPr>
            <w:tcW w:type="pct" w:w="53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-201,1</w:t>
            </w:r>
          </w:p>
        </w:tc>
      </w:tr>
      <w:tr>
        <w:trPr>
          <w:trHeight w:val="510" w:hRule="atLeast"/>
        </w:trPr>
        <w:tc>
          <w:tcPr>
            <w:tcW w:type="pct" w:w="1091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Cibule, šalotka, česnek aj. cibuloviny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-190,0</w:t>
            </w:r>
          </w:p>
        </w:tc>
        <w:tc>
          <w:tcPr>
            <w:tcW w:type="pct" w:w="459"/>
            <w:tcBorders>
              <w:top w:val="nil"/>
              <w:left w:val="nil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-60,6</w:t>
            </w:r>
          </w:p>
        </w:tc>
        <w:tc>
          <w:tcPr>
            <w:tcW w:type="pct" w:w="532"/>
            <w:tcBorders>
              <w:top w:val="nil"/>
              <w:left w:val="nil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129,4</w:t>
            </w:r>
          </w:p>
        </w:tc>
        <w:tc>
          <w:tcPr>
            <w:tcW w:type="pct" w:w="968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Citrusové plody</w:t>
            </w:r>
          </w:p>
        </w:tc>
        <w:tc>
          <w:tcPr>
            <w:tcW w:type="pct" w:w="470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-835,2</w:t>
            </w:r>
          </w:p>
        </w:tc>
        <w:tc>
          <w:tcPr>
            <w:tcW w:type="pct" w:w="479"/>
            <w:tcBorders>
              <w:top w:val="nil"/>
              <w:left w:val="nil"/>
              <w:bottom w:val="nil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-1 019,9</w:t>
            </w:r>
          </w:p>
        </w:tc>
        <w:tc>
          <w:tcPr>
            <w:tcW w:type="pct" w:w="532"/>
            <w:tcBorders>
              <w:top w:val="nil"/>
              <w:left w:val="nil"/>
              <w:bottom w:val="nil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-184,7</w:t>
            </w:r>
          </w:p>
        </w:tc>
      </w:tr>
      <w:tr>
        <w:trPr>
          <w:trHeight w:val="525" w:hRule="atLeast"/>
        </w:trPr>
        <w:tc>
          <w:tcPr>
            <w:tcW w:type="pct" w:w="109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Přípravky, konzervy z ryb, kaviár a jeho náhražky</w:t>
            </w:r>
          </w:p>
        </w:tc>
        <w:tc>
          <w:tcPr>
            <w:tcW w:type="pct" w:w="47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-763,6</w:t>
            </w:r>
          </w:p>
        </w:tc>
        <w:tc>
          <w:tcPr>
            <w:tcW w:type="pct" w:w="459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-638,8</w:t>
            </w:r>
          </w:p>
        </w:tc>
        <w:tc>
          <w:tcPr>
            <w:tcW w:type="pct" w:w="53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124,8</w:t>
            </w:r>
          </w:p>
        </w:tc>
        <w:tc>
          <w:tcPr>
            <w:tcW w:type="pct" w:w="96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type="pct" w:w="47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-1 416,5</w:t>
            </w:r>
          </w:p>
        </w:tc>
        <w:tc>
          <w:tcPr>
            <w:tcW w:type="pct" w:w="479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-1 593,7</w:t>
            </w:r>
          </w:p>
        </w:tc>
        <w:tc>
          <w:tcPr>
            <w:tcW w:type="pct" w:w="53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-177,2</w:t>
            </w:r>
          </w:p>
        </w:tc>
      </w:tr>
    </w:tbl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>
      <w:pPr>
        <w:pStyle w:val="Styl2"/>
        <w:spacing/>
        <w:rPr>
          <w:rFonts w:cs="Arial"/>
          <w:sz w:val="22"/>
          <w:szCs w:val="22"/>
        </w:rPr>
      </w:pPr>
    </w:p>
    <w:p>
      <w:pPr>
        <w:pStyle w:val="Styl2"/>
        <w:spacing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2015 až</w:t>
      </w:r>
      <w:r>
        <w:rPr>
          <w:rFonts w:cs="Arial"/>
          <w:sz w:val="22"/>
          <w:szCs w:val="22"/>
        </w:rPr>
        <w:t xml:space="preserve"> 2020 podle čtvrtletí (mld. Kč) </w:t>
      </w:r>
    </w:p>
    <w:p>
      <w:pPr>
        <w:pStyle w:val="Styl2"/>
        <w: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>
            <wp:extent cx="5619750" cy="3145790"/>
            <wp:effectExtent xmlns:wp="http://schemas.openxmlformats.org/drawingml/2006/wordprocessingDrawing" l="0" t="0" r="0" b="0"/>
            <wp:docPr id="4" name="Obrázek 5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EU 14 – původní členové EU (bez Spojeného království), EU 13 – noví členové EU (od 2004), TZ – třetí (mimounijní) země včetně Spojeného království.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TabPoz"/>
        <w:spacing/>
        <w:ind w:left="0" w:firstLine="0"/>
        <w:contextualSpacing/>
        <w:jc w:val="left"/>
        <w:rPr>
          <w:rFonts w:cs="Arial"/>
          <w:b w:val="0"/>
          <w:sz w:val="18"/>
        </w:rPr>
      </w:pPr>
    </w:p>
    <w:p>
      <w:pPr>
        <w:spacing w:line="276" w:lineRule="auto"/>
        <w:ind w:firstLine="708"/>
        <w:rPr/>
      </w:pPr>
    </w:p>
    <w:p>
      <w:pPr>
        <w:pStyle w:val="TabNadpis"/>
        <w:spacing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Tabulka</w:t>
      </w:r>
      <w:r>
        <w:rPr>
          <w:rFonts w:cs="Arial"/>
          <w:sz w:val="22"/>
        </w:rPr>
        <w:t xml:space="preserve"> 5 – Vývoj AZO ČR v letech 2015 až 2020 (mld. Kč)</w:t>
      </w:r>
    </w:p>
    <w:p>
      <w:pPr>
        <w:spacing/>
        <w:rPr>
          <w:i/>
          <w:sz w:val="16"/>
          <w:szCs w:val="16"/>
        </w:rPr>
      </w:pPr>
      <w:r>
        <w:rPr>
          <w:noProof/>
          <w:lang w:eastAsia="cs-CZ" w:bidi="ar-SA"/>
        </w:rPr>
        <w:drawing>
          <wp:inline>
            <wp:extent cx="5759450" cy="1979930"/>
            <wp:effectExtent xmlns:wp="http://schemas.openxmlformats.org/drawingml/2006/wordprocessingDrawing" l="0" t="0" r="0" b="1270"/>
            <wp:docPr id="5" name="Obrázek 7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 w:val="16"/>
          <w:szCs w:val="16"/>
        </w:rPr>
        <w:t xml:space="preserve">Pozn.: Agrární zboží je vymezené kapitolami 01 až 24 celního sazebníku; Výpočty jsou provedeny z nezaokrouhlených dat.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>
      <w:pPr>
        <w:pStyle w:val="TabNadpis"/>
        <w:spacing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 xml:space="preserve">Tabulka 6 – Vývoj AZO ČR v letech 2018 až 2020 podle čtvrtletí (mld. Kč)</w:t>
      </w:r>
    </w:p>
    <w:p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>
            <wp:extent cx="5759450" cy="3486150"/>
            <wp:effectExtent xmlns:wp="http://schemas.openxmlformats.org/drawingml/2006/wordprocessingDrawing" l="0" t="0" r="0" b="0"/>
            <wp:docPr id="6" name="Obrázek 8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TabNadpis"/>
        <w:spacing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 xml:space="preserve">Tabu</w:t>
      </w:r>
      <w:r>
        <w:rPr>
          <w:rFonts w:cs="Arial"/>
          <w:sz w:val="22"/>
        </w:rPr>
        <w:t xml:space="preserve">lka 7 – Vývoj AZO ČR se zeměmi EU 27 v letech 2018 až 2020 podle čtvrtletí (mld. Kč)</w:t>
      </w:r>
    </w:p>
    <w:p>
      <w:pPr>
        <w:spacing/>
        <w:rPr>
          <w:i/>
          <w:sz w:val="16"/>
          <w:szCs w:val="16"/>
        </w:rPr>
      </w:pPr>
      <w:r>
        <w:rPr>
          <w:noProof/>
          <w:lang w:eastAsia="cs-CZ" w:bidi="ar-SA"/>
        </w:rPr>
        <w:drawing>
          <wp:inline>
            <wp:extent cx="5759450" cy="3514090"/>
            <wp:effectExtent xmlns:wp="http://schemas.openxmlformats.org/drawingml/2006/wordprocessingDrawing" l="0" t="0" r="0" b="0"/>
            <wp:docPr id="7" name="Obrázek 9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 xml:space="preserve">Pozn.: Agrární zboží je vymezené kapitolami 01 až 24 celního sazebníku; Výpočty jsou provedeny z nezaokrouhlených dat. Zdroj: Databáze Pohybu zboží přes hranice ČSÚ, únor</w:t>
      </w:r>
      <w:r>
        <w:rPr>
          <w:i/>
          <w:sz w:val="16"/>
          <w:szCs w:val="16"/>
        </w:rPr>
        <w:t xml:space="preserve"> 2021</w:t>
      </w:r>
    </w:p>
    <w:p>
      <w:pPr>
        <w:pStyle w:val="TabNadpis"/>
        <w:spacing/>
        <w:rPr>
          <w:rFonts w:cs="Arial"/>
          <w:sz w:val="22"/>
        </w:rPr>
      </w:pPr>
    </w:p>
    <w:p>
      <w:pPr>
        <w:pStyle w:val="TabNadpis"/>
        <w:spacing/>
        <w:rPr>
          <w:rFonts w:cs="Arial"/>
          <w:sz w:val="22"/>
        </w:rPr>
      </w:pPr>
      <w:r>
        <w:rPr>
          <w:rFonts w:cs="Arial"/>
          <w:sz w:val="22"/>
        </w:rPr>
        <w:t xml:space="preserve">Tabulka 8 – Vývoj AZO ČR s třetími zeměmi v letech 2018 až 2020 podle čtvrtletí (mld. Kč)</w:t>
      </w:r>
    </w:p>
    <w:p>
      <w:pPr>
        <w:spacing/>
        <w:rPr/>
      </w:pPr>
      <w:bookmarkStart w:id="3" w:name="_Toc417464156"/>
      <w:r>
        <w:rPr>
          <w:noProof/>
          <w:lang w:eastAsia="cs-CZ" w:bidi="ar-SA"/>
        </w:rPr>
        <w:drawing>
          <wp:inline>
            <wp:extent cx="5759450" cy="3486150"/>
            <wp:effectExtent xmlns:wp="http://schemas.openxmlformats.org/drawingml/2006/wordprocessingDrawing" l="0" t="0" r="0" b="0"/>
            <wp:docPr id="8" name="Obrázek 1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Pozn.: Agrární zboží je vymezené kapitolami 01 až 24 celního sazebníku;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Výpočty jsou provedeny z nezaokrouhlených dat</w:t>
      </w:r>
      <w:r>
        <w:rPr>
          <w:b/>
          <w:i/>
          <w:sz w:val="16"/>
          <w:szCs w:val="16"/>
        </w:rPr>
        <w:t xml:space="preserve">; </w:t>
      </w:r>
      <w:r>
        <w:rPr>
          <w:i/>
          <w:sz w:val="16"/>
          <w:szCs w:val="16"/>
        </w:rPr>
        <w:t xml:space="preserve">Zdroj: Databáze </w:t>
      </w:r>
      <w:r>
        <w:rPr>
          <w:i/>
          <w:sz w:val="16"/>
          <w:szCs w:val="16"/>
        </w:rPr>
        <w:t xml:space="preserve">Pohybu zboží přes hranice ČSÚ, únor 2021</w:t>
      </w:r>
    </w:p>
    <w:p>
      <w:pPr>
        <w:spacing/>
        <w:rPr>
          <w:i/>
          <w:sz w:val="16"/>
          <w:szCs w:val="16"/>
        </w:rPr>
      </w:pPr>
    </w:p>
    <w:p>
      <w:pPr>
        <w:pStyle w:val="Styl2"/>
        <w:spacing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2 – Vývoj hodnoty vývozu agrárního zboží z ČR v letech 2015 až 2020 podle čtvrtletí (mld. Kč)</w:t>
      </w:r>
      <w:bookmarkEnd w:id="3"/>
    </w:p>
    <w:p>
      <w:pPr>
        <w:spacing/>
        <w:rPr>
          <w:i/>
          <w:sz w:val="18"/>
        </w:rPr>
      </w:pPr>
      <w:bookmarkStart w:id="4" w:name="_Toc417464157"/>
      <w:r>
        <w:rPr>
          <w:i/>
          <w:noProof/>
          <w:sz w:val="18"/>
          <w:lang w:eastAsia="cs-CZ" w:bidi="ar-SA"/>
        </w:rPr>
        <w:drawing>
          <wp:inline>
            <wp:extent cx="6066154" cy="3152140"/>
            <wp:effectExtent xmlns:wp="http://schemas.openxmlformats.org/drawingml/2006/wordprocessingDrawing" l="0" t="0" r="0" b="0"/>
            <wp:docPr id="9" name="Obrázek 19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4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rPr>
          <w:b/>
          <w:sz w:val="18"/>
        </w:rPr>
      </w:pPr>
    </w:p>
    <w:p>
      <w:pPr>
        <w:pStyle w:val="Styl2"/>
        <w:spacing/>
        <w:ind w:left="993" w:hanging="993"/>
        <w:rPr>
          <w:rFonts w:cs="Arial"/>
          <w:sz w:val="22"/>
          <w:szCs w:val="22"/>
        </w:rPr>
      </w:pPr>
    </w:p>
    <w:p>
      <w:pPr>
        <w:pStyle w:val="Styl2"/>
        <w:spacing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4"/>
      <w:r>
        <w:rPr>
          <w:rFonts w:cs="Arial"/>
          <w:sz w:val="22"/>
          <w:szCs w:val="22"/>
        </w:rPr>
        <w:t xml:space="preserve">v </w:t>
      </w:r>
      <w:r>
        <w:rPr>
          <w:rFonts w:cs="Arial"/>
          <w:sz w:val="22"/>
          <w:szCs w:val="22"/>
        </w:rPr>
        <w:t xml:space="preserve">letech 2015 až 2020 podle čtvrtletí (mld. Kč)</w:t>
      </w:r>
    </w:p>
    <w:p>
      <w:pPr>
        <w:spacing/>
        <w:rPr>
          <w:i/>
          <w:sz w:val="18"/>
        </w:rPr>
      </w:pPr>
      <w:r>
        <w:rPr>
          <w:i/>
          <w:noProof/>
          <w:sz w:val="18"/>
          <w:lang w:eastAsia="cs-CZ" w:bidi="ar-SA"/>
        </w:rPr>
        <w:drawing>
          <wp:inline>
            <wp:extent cx="6066154" cy="3462655"/>
            <wp:effectExtent xmlns:wp="http://schemas.openxmlformats.org/drawingml/2006/wordprocessingDrawing" l="0" t="0" r="0" b="4445"/>
            <wp:docPr id="10" name="Obrázek 1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4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>
          <w:b/>
        </w:rPr>
      </w:pPr>
      <w:r>
        <w:rPr>
          <w:b/>
        </w:rPr>
        <w:t xml:space="preserve">Graf 4 – Přehled 10 zemí s nejvyšším podílem na vývozu agrárního zboží z ČR do EU 27 v roce 2019 (vlevo) a v roce 2020 (vpravo)</w:t>
      </w:r>
    </w:p>
    <w:p>
      <w:pPr>
        <w:spacing/>
        <w:ind w:left="-709"/>
        <w:rPr>
          <w:b/>
        </w:rPr>
      </w:pPr>
      <w:r>
        <w:rPr>
          <w:b/>
          <w:noProof/>
          <w:lang w:eastAsia="cs-CZ" w:bidi="ar-SA"/>
        </w:rPr>
        <w:drawing>
          <wp:inline>
            <wp:extent cx="6614794" cy="2895600"/>
            <wp:effectExtent xmlns:wp="http://schemas.openxmlformats.org/drawingml/2006/wordprocessingDrawing" l="0" t="0" r="0" b="0"/>
            <wp:docPr id="11" name="Obrázek 20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9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</w:t>
      </w:r>
      <w:r>
        <w:rPr>
          <w:i/>
          <w:sz w:val="16"/>
          <w:szCs w:val="16"/>
        </w:rPr>
        <w:t xml:space="preserve">Pohybu zboží přes hranice ČSÚ, únor 2021</w:t>
      </w: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  <w:r>
        <w:rPr>
          <w:b/>
        </w:rPr>
        <w:t xml:space="preserve">Graf 5 – Přehled 10 zemí s nejvyšším podílem na vývozu agrárního zboží z ČR do třetích zemí (včetně Spojeného království) v roce 2019 (vlevo) a v roce 2020 (vpravo)</w:t>
      </w:r>
    </w:p>
    <w:p>
      <w:pPr>
        <w:spacing/>
        <w:ind w:left="-709"/>
        <w:rPr>
          <w:b/>
        </w:rPr>
      </w:pPr>
      <w:r>
        <w:rPr>
          <w:b/>
          <w:noProof/>
          <w:lang w:eastAsia="cs-CZ" w:bidi="ar-SA"/>
        </w:rPr>
        <w:drawing>
          <wp:inline>
            <wp:extent cx="6608444" cy="2895600"/>
            <wp:effectExtent xmlns:wp="http://schemas.openxmlformats.org/drawingml/2006/wordprocessingDrawing" l="0" t="0" r="1905" b="0"/>
            <wp:docPr id="12" name="Obrázek 2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sz w:val="18"/>
        </w:rPr>
        <w:t xml:space="preserve">             </w:t>
      </w:r>
      <w:r>
        <w:rPr>
          <w:i/>
          <w:sz w:val="16"/>
          <w:szCs w:val="16"/>
        </w:rPr>
        <w:t xml:space="preserve">Zdroj: Databáze Pohybu zboží př</w:t>
      </w:r>
      <w:r>
        <w:rPr>
          <w:i/>
          <w:sz w:val="16"/>
          <w:szCs w:val="16"/>
        </w:rPr>
        <w:t xml:space="preserve">es hranice ČSÚ, únor 2021</w:t>
      </w: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</w:p>
    <w:p>
      <w:pPr>
        <w:spacing/>
        <w:rPr>
          <w:b/>
        </w:rPr>
      </w:pPr>
      <w:r>
        <w:rPr>
          <w:b/>
        </w:rPr>
        <w:t xml:space="preserve">Graf 6 – Přehled 10 zemí s nejvyšším podílem na dovozu agrárního zboží z EU 27 do ČR v roce 2019 (vlevo) a v roce 2020 (vpravo)</w:t>
      </w:r>
    </w:p>
    <w:p>
      <w:pPr>
        <w:spacing/>
        <w:ind w:left="-709"/>
        <w:rPr>
          <w:b/>
          <w:noProof/>
        </w:rPr>
      </w:pPr>
      <w:r>
        <w:rPr>
          <w:b/>
          <w:noProof/>
          <w:lang w:eastAsia="cs-CZ" w:bidi="ar-SA"/>
        </w:rPr>
        <w:drawing>
          <wp:inline>
            <wp:extent cx="6621144" cy="2895600"/>
            <wp:effectExtent xmlns:wp="http://schemas.openxmlformats.org/drawingml/2006/wordprocessingDrawing" l="0" t="0" r="8255" b="0"/>
            <wp:docPr id="13" name="Obrázek 2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rPr/>
      </w:pPr>
    </w:p>
    <w:p>
      <w:pPr>
        <w:spacing/>
        <w:rPr/>
      </w:pPr>
    </w:p>
    <w:p>
      <w:pPr>
        <w:spacing/>
        <w:rPr>
          <w:b/>
        </w:rPr>
      </w:pPr>
      <w:r>
        <w:rPr>
          <w:b/>
        </w:rPr>
        <w:t xml:space="preserve">Graf 7 - Přehled 10 zemí s nejvyšším podílem na dovozu agrárního zboží z třetích zemí (včetně Spojeného království) do ČR v roce 2019 (vlevo) a v roce 2020 (vpravo)</w:t>
      </w:r>
    </w:p>
    <w:p>
      <w:pPr>
        <w:spacing/>
        <w:ind w:left="-851"/>
        <w:rPr>
          <w:i/>
          <w:sz w:val="18"/>
        </w:rPr>
      </w:pPr>
      <w:r>
        <w:rPr>
          <w:i/>
          <w:noProof/>
          <w:sz w:val="18"/>
          <w:lang w:eastAsia="cs-CZ" w:bidi="ar-SA"/>
        </w:rPr>
        <w:drawing>
          <wp:inline>
            <wp:extent cx="6608444" cy="2895600"/>
            <wp:effectExtent xmlns:wp="http://schemas.openxmlformats.org/drawingml/2006/wordprocessingDrawing" l="0" t="0" r="1905" b="0"/>
            <wp:docPr id="14" name="Obrázek 23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                      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 w:line="276" w:lineRule="auto"/>
        <w:ind w:firstLine="708"/>
        <w:rPr/>
      </w:pPr>
    </w:p>
    <w:p>
      <w:pPr>
        <w:spacing w:line="276" w:lineRule="auto"/>
        <w:ind w:firstLine="708"/>
        <w:rPr/>
      </w:pPr>
      <w:r>
        <w:rPr/>
        <w:t xml:space="preserve">Údaje o </w:t>
      </w:r>
      <w:r>
        <w:rPr/>
        <w:t xml:space="preserve">zahraničním obchodu za rok 2020 zveřejnil Český statistický úřad 8. února 2021. Tato data jsou předběžná, ale za rok 2019 jsou již definitivní. </w:t>
      </w:r>
    </w:p>
    <w:p>
      <w:pPr>
        <w:spacing w:after="240" w:line="276" w:lineRule="auto"/>
        <w:ind w:firstLine="708"/>
        <w:rPr/>
      </w:pPr>
      <w:r>
        <w:rPr/>
        <w:t xml:space="preserve">Materiál zpracoval odbor 17120 na základě aktuálních statistických údajů ČSÚ a podkladů ÚZEI (TÚ č. 38/2021).</w:t>
      </w:r>
    </w:p>
    <w:p>
      <w:pPr>
        <w:spacing w:after="240" w:line="276" w:lineRule="auto"/>
        <w:ind w:firstLine="708"/>
        <w:rPr>
          <w:i/>
        </w:rPr>
      </w:pPr>
      <w:r>
        <w:rPr/>
        <w:t xml:space="preserve">D</w:t>
      </w:r>
      <w:r>
        <w:rPr/>
        <w:t xml:space="preserve">ne 9. února 2021</w:t>
      </w:r>
    </w:p>
    <w:p>
      <w:pPr>
        <w:pStyle w:val="Styl2"/>
        <w: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Přílohy:</w:t>
      </w:r>
    </w:p>
    <w:p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v roce 2015 až 2020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do ČR v roce 2015 až 2020</w:t>
      </w:r>
    </w:p>
    <w:p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Zahraniční obchod ČR – EU 27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EU 27 v roce 2015 až 2020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z EU 27 do ČR v roce 2015 až 2020</w:t>
      </w:r>
    </w:p>
    <w:p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>
      <w:pPr>
        <w:pStyle w:val="Styl2"/>
        <w:numPr>
          <w:ilvl w:val="0"/>
          <w:numId w:val="4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Zahraniční obchod ČR – </w:t>
      </w:r>
      <w:r>
        <w:rPr>
          <w:rFonts w:cs="Arial"/>
          <w:sz w:val="22"/>
          <w:szCs w:val="22"/>
          <w:u w:val="single"/>
        </w:rPr>
        <w:t xml:space="preserve">mimounijní země (včetně Spojeného království)</w:t>
      </w:r>
    </w:p>
    <w:p>
      <w:pPr>
        <w:pStyle w:val="Styl2"/>
        <w:spacing w:before="60" w:after="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 mimounijních zemí v roce 2015 až 2020</w:t>
      </w:r>
    </w:p>
    <w:p>
      <w:pPr>
        <w:pStyle w:val="Styl2"/>
        <w:spacing w:before="60" w:after="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dovozu 10 nejvíce dovážených agrárních položek z mimounijních zemí do ČR v roce 2015 </w:t>
      </w:r>
      <w:r>
        <w:rPr>
          <w:rFonts w:cs="Arial"/>
          <w:sz w:val="22"/>
          <w:szCs w:val="22"/>
        </w:rPr>
        <w:t xml:space="preserve">až 2020</w:t>
      </w:r>
    </w:p>
    <w:p>
      <w:pPr>
        <w:pStyle w:val="Styl2"/>
        <w:spacing w:before="60" w:after="0"/>
        <w:ind w:left="993" w:hanging="937"/>
        <w:contextualSpacing w:val="false"/>
        <w:rPr>
          <w:rFonts w:cs="Arial"/>
          <w:sz w:val="22"/>
          <w:szCs w:val="22"/>
        </w:rPr>
      </w:pPr>
    </w:p>
    <w:p>
      <w:pPr>
        <w:spacing/>
        <w:rPr>
          <w:i/>
        </w:rPr>
      </w:pPr>
      <w:r>
        <w:rPr>
          <w:i/>
        </w:rPr>
        <w:t xml:space="preserve">Pozn.: Komodity definované 4-místným kódem HS jsou do tabulek 1 až 3 vybrány na základě hodnot vývozů a dovozů ve finančním vyjádření za období roku 2015 až 2020 a řazeny jsou podle roku 2020. Data jsou na této úrovni HS bez dopočtů.</w:t>
      </w:r>
    </w:p>
    <w:p>
      <w:pPr>
        <w:spacing/>
        <w:rPr>
          <w:i/>
        </w:rPr>
      </w:pPr>
    </w:p>
    <w:p>
      <w:pPr>
        <w:pStyle w:val="Styl2"/>
        <w:numPr>
          <w:ilvl w:val="0"/>
          <w:numId w:val="4"/>
        </w:numPr>
        <w:spacing w:before="60" w:after="60"/>
        <w:contextualSpacing w:val="false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Pořadí zemí </w:t>
      </w:r>
      <w:r>
        <w:rPr>
          <w:rFonts w:cs="Arial"/>
          <w:sz w:val="22"/>
          <w:szCs w:val="22"/>
          <w:u w:val="single"/>
        </w:rPr>
        <w:t xml:space="preserve">dle hodnoty agrárního vývozu z ČR</w:t>
      </w:r>
    </w:p>
    <w:p>
      <w:pPr>
        <w:pStyle w:val="Styl2"/>
        <w:numPr>
          <w:ilvl w:val="0"/>
          <w:numId w:val="4"/>
        </w:numPr>
        <w:spacing w:before="60" w:after="60"/>
        <w:contextualSpacing w:val="false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Pořadí zemí dle hodnoty agrárního dovozu do ČR</w:t>
      </w:r>
    </w:p>
    <w:p>
      <w:pPr>
        <w:spacing/>
        <w:rPr>
          <w:b/>
        </w:rPr>
      </w:pPr>
    </w:p>
    <w:p>
      <w:pPr>
        <w:spacing/>
        <w:rPr>
          <w:i/>
        </w:rPr>
      </w:pPr>
      <w:r>
        <w:rPr>
          <w:i/>
        </w:rPr>
        <w:t xml:space="preserve">Pozn. Údaje v tabulkách 4 a 5 za jednotlivé země vycházejí z dat 2-místných kódů HS. Vzhledem k tomu, že ČSÚ začal v roce 2016 nově zveřejňovat data v množstevním vyjádření i</w:t>
      </w:r>
      <w:r>
        <w:rPr>
          <w:i/>
        </w:rPr>
        <w:t xml:space="preserve"> pro méně podrobné úrovně celní nomenklatury, nežli 8-místné KN, jedná se o data s dopočty. 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sz w:val="24"/>
        </w:rPr>
      </w:pPr>
    </w:p>
    <w:p>
      <w:pPr>
        <w:pStyle w:val="Styl2"/>
        <w:spacing/>
        <w:rPr>
          <w:rFonts w:cs="Arial"/>
          <w:b w:val="0"/>
          <w:i/>
          <w:sz w:val="24"/>
          <w:szCs w:val="24"/>
        </w:rPr>
        <w:sectPr>
          <w:headerReference w:type="first" r:id="rId14"/>
          <w:headerReference w:type="even" r:id="rId15"/>
          <w:headerReference w:type="default" r:id="rId16"/>
          <w:footerReference w:type="default" r:id="rId17"/>
          <w:type w:val="nextPage"/>
          <w:pgSz w:w="11906" w:h="16838"/>
          <w:pgMar w:top="1418" w:right="1418" w:bottom="1418" w:left="1418" w:header="709" w:footer="709" w:gutter="0"/>
          <w:pgBorders/>
          <w:pgNumType w:fmt="decimal"/>
          <w:cols w:num="1" w:equalWidth="1" w:space="708"/>
          <w:titlePg/>
          <w:docGrid w:linePitch="360"/>
        </w:sectPr>
      </w:pPr>
    </w:p>
    <w:p>
      <w:pPr>
        <w:pStyle w:val="Styl2"/>
        <w:numPr>
          <w:ilvl w:val="0"/>
          <w:numId w:val="9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v roce 2015 až 2020</w:t>
      </w:r>
    </w:p>
    <w:p>
      <w:pPr>
        <w:spacing/>
        <w:rPr>
          <w:noProof/>
          <w:lang w:eastAsia="cs-CZ"/>
        </w:rPr>
      </w:pPr>
      <w:r>
        <w:rPr>
          <w:noProof/>
          <w:lang w:eastAsia="cs-CZ" w:bidi="ar-SA"/>
        </w:rPr>
        <w:drawing>
          <wp:inline>
            <wp:extent cx="8891270" cy="4842510"/>
            <wp:effectExtent xmlns:wp="http://schemas.openxmlformats.org/drawingml/2006/wordprocessingDrawing" l="0" t="0" r="5080" b="0"/>
            <wp:docPr id="15" name="Obrázek 3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2015 až 2020 a řazeny podle roku 2020. </w:t>
      </w:r>
      <w:r>
        <w:rPr>
          <w:i/>
          <w:iCs/>
          <w:color w:val="000000"/>
          <w:sz w:val="16"/>
          <w:szCs w:val="16"/>
        </w:rPr>
        <w:t xml:space="preserve"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</w:t>
      </w:r>
      <w:r>
        <w:rPr>
          <w:i/>
          <w:sz w:val="16"/>
          <w:szCs w:val="16"/>
        </w:rPr>
        <w:t xml:space="preserve"> hranice ČSÚ, únor 2021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t xml:space="preserve">Tabulka – Vývoj dovozu 10 nejvíce dovážených agrárních položek do ČR v roce 2015 až 2020</w:t>
      </w:r>
    </w:p>
    <w:p>
      <w:pPr>
        <w:spacing/>
        <w:contextualSpacing/>
        <w:rPr>
          <w:i/>
        </w:rPr>
      </w:pPr>
      <w:r>
        <w:rPr>
          <w:noProof/>
          <w:lang w:eastAsia="cs-CZ" w:bidi="ar-SA"/>
        </w:rPr>
        <w:drawing>
          <wp:inline>
            <wp:extent cx="8891270" cy="4842510"/>
            <wp:effectExtent xmlns:wp="http://schemas.openxmlformats.org/drawingml/2006/wordprocessingDrawing" l="0" t="0" r="5080" b="0"/>
            <wp:docPr id="16" name="Obrázek 28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Pozn.: Komodity (na základě 4-místného kódu HS) jsou vybrány na základě hodnoty vývozu v mil. Kč za období 2015 až 2020</w:t>
      </w:r>
      <w:r>
        <w:rPr>
          <w:i/>
          <w:iCs/>
          <w:sz w:val="20"/>
          <w:szCs w:val="20"/>
        </w:rPr>
        <w:t xml:space="preserve"> a řazeny podle roku 2020.</w:t>
      </w:r>
    </w:p>
    <w:p>
      <w:pPr>
        <w:spacing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Upřesnění názvů: HS 1905 pekařské zboží vč. sušenek a oplatek, HS 2402 cigarety vč. doutníků a doutníčků a HS 2106 potravinové přípravky jiné.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t xml:space="preserve"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 xml:space="preserve">Zahraniční obchod ČR – EU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EU 27 v roce 2015 až 2020</w:t>
      </w:r>
    </w:p>
    <w:p>
      <w:pPr>
        <w:spacing/>
        <w:contextualSpacing/>
        <w:rPr>
          <w:i/>
          <w:szCs w:val="16"/>
        </w:rPr>
      </w:pPr>
      <w:r>
        <w:rPr>
          <w:noProof/>
          <w:lang w:eastAsia="cs-CZ" w:bidi="ar-SA"/>
        </w:rPr>
        <w:drawing>
          <wp:inline>
            <wp:extent cx="8891270" cy="4842510"/>
            <wp:effectExtent xmlns:wp="http://schemas.openxmlformats.org/drawingml/2006/wordprocessingDrawing" l="0" t="0" r="5080" b="0"/>
            <wp:docPr id="17" name="Obrázek 3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sz w:val="16"/>
          <w:szCs w:val="16"/>
        </w:rPr>
      </w:pPr>
      <w:r>
        <w:rPr>
          <w:i/>
          <w:iCs/>
          <w:sz w:val="18"/>
          <w:szCs w:val="18"/>
        </w:rPr>
        <w:t xml:space="preserve">Pozn.: Komodity (na základě 4-místného kódu HS) jsou vybrány na základě hodnoty vývozu v mil. Kč za období 2015 až 2020 a řazeny podle roku 2020.</w:t>
      </w:r>
      <w:r>
        <w:rPr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</w:t>
      </w:r>
      <w:r>
        <w:rPr>
          <w:i/>
          <w:sz w:val="16"/>
          <w:szCs w:val="16"/>
        </w:rPr>
        <w:t xml:space="preserve">Zdroj: Databáze Pohybu zboží p</w:t>
      </w:r>
      <w:r>
        <w:rPr>
          <w:i/>
          <w:sz w:val="16"/>
          <w:szCs w:val="16"/>
        </w:rPr>
        <w:t xml:space="preserve">řes hranice ČSÚ, únor 2021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t xml:space="preserve">Tabulka – Vývoj dovozu 10 nejvíce dovážených agrárních položek z EU 27 do ČR v roce 2015 až 2020</w:t>
      </w:r>
    </w:p>
    <w:p>
      <w:pPr>
        <w:spacing w:line="240" w:lineRule="atLeast"/>
        <w:rPr>
          <w:noProof/>
        </w:rPr>
      </w:pPr>
      <w:r>
        <w:rPr>
          <w:noProof/>
          <w:lang w:eastAsia="cs-CZ" w:bidi="ar-SA"/>
        </w:rPr>
        <w:drawing>
          <wp:inline>
            <wp:extent cx="8891270" cy="4842510"/>
            <wp:effectExtent xmlns:wp="http://schemas.openxmlformats.org/drawingml/2006/wordprocessingDrawing" l="0" t="0" r="5080" b="0"/>
            <wp:docPr id="18" name="Obrázek 3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Pozn.: Komodity (na základě 4-místného kódu HS) jsou vybrány na základě hodnoty vývozu v mil. Kč za období 2015 až 2020 a řazeny </w:t>
      </w:r>
      <w:r>
        <w:rPr>
          <w:i/>
          <w:iCs/>
          <w:sz w:val="20"/>
          <w:szCs w:val="20"/>
        </w:rPr>
        <w:t xml:space="preserve">podle roku 2020. </w:t>
      </w:r>
      <w:r>
        <w:rPr>
          <w:i/>
          <w:sz w:val="20"/>
          <w:szCs w:val="20"/>
        </w:rPr>
        <w:t xml:space="preserve">Upřesnění názvů komodit: HS 1905 pekařské zboží vč. sušenek a oplatek, HS 2402 cigarety vč. doutníků a doutníčků a HS 2106 potravinové přípravky jiné. 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 w:line="240" w:lineRule="atLeast"/>
        <w:rPr>
          <w:i/>
          <w:sz w:val="20"/>
          <w:szCs w:val="20"/>
        </w:rPr>
      </w:pPr>
    </w:p>
    <w:p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rPr>
          <w:rFonts w:cs="Arial"/>
          <w:b w:val="0"/>
          <w:i/>
          <w:sz w:val="16"/>
          <w:szCs w:val="16"/>
        </w:rPr>
        <w:br w:type="page"/>
      </w:r>
      <w:r>
        <w:rPr>
          <w:rFonts w:cs="Arial"/>
          <w:sz w:val="22"/>
          <w:szCs w:val="22"/>
          <w:u w:val="single"/>
        </w:rPr>
        <w:t xml:space="preserve">3) Zahraniční obchod ČR – mi</w:t>
      </w:r>
      <w:r>
        <w:rPr>
          <w:rFonts w:cs="Arial"/>
          <w:sz w:val="22"/>
          <w:szCs w:val="22"/>
          <w:u w:val="single"/>
        </w:rPr>
        <w:t xml:space="preserve">mounijní země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mimounijních zemí (včetně Spoj. král.) v roce 2015 až 2020</w:t>
      </w:r>
    </w:p>
    <w:p>
      <w:pPr>
        <w:spacing/>
        <w:contextualSpacing/>
        <w:rPr>
          <w:i/>
        </w:rPr>
      </w:pPr>
      <w:r>
        <w:rPr>
          <w:noProof/>
          <w:lang w:eastAsia="cs-CZ" w:bidi="ar-SA"/>
        </w:rPr>
        <w:drawing>
          <wp:inline>
            <wp:extent cx="8891270" cy="4842510"/>
            <wp:effectExtent xmlns:wp="http://schemas.openxmlformats.org/drawingml/2006/wordprocessingDrawing" l="0" t="0" r="5080" b="0"/>
            <wp:docPr id="19" name="Obrázek 37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Pozn.: Komodity (na základě 4-místného kódu HS) jsou vybrány na základě hodnoty vývozu v mil. Kč za období 201</w:t>
      </w:r>
      <w:r>
        <w:rPr>
          <w:i/>
          <w:iCs/>
          <w:sz w:val="18"/>
          <w:szCs w:val="18"/>
        </w:rPr>
        <w:t xml:space="preserve">5 až 2020 a řazeny podle roku 2020.</w:t>
      </w:r>
    </w:p>
    <w:p>
      <w:pPr>
        <w:spacing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Upřesnění názvů komodit: HS 2402 cigarety vč. doutníků a doutníčků, HS 1302 pektiny vč. rostlinných šťáv a výtažků a HS 2106 potravinové přípravky jiné.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pStyle w:val="Styl2"/>
        <w:spacing w:before="60" w:after="60"/>
        <w:ind w:left="993" w:hanging="937"/>
        <w:contextualSpacing w:val="false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t xml:space="preserve">Tabulka –</w:t>
      </w:r>
      <w:r>
        <w:rPr>
          <w:rFonts w:cs="Arial"/>
          <w:sz w:val="22"/>
          <w:szCs w:val="22"/>
        </w:rPr>
        <w:t xml:space="preserve"> Vývoj dovozu 10 nejvíce dovážených agrárních položek z mimounijních zemí (včetně Spoj. král.) do ČR v roce 2015 až 2020</w:t>
      </w:r>
    </w:p>
    <w:p>
      <w:pPr>
        <w:spacing/>
        <w:contextualSpacing/>
        <w:rPr>
          <w:i/>
          <w:sz w:val="18"/>
          <w:szCs w:val="16"/>
        </w:rPr>
      </w:pPr>
      <w:r>
        <w:rPr>
          <w:noProof/>
          <w:lang w:eastAsia="cs-CZ" w:bidi="ar-SA"/>
        </w:rPr>
        <w:drawing>
          <wp:inline>
            <wp:extent cx="8891270" cy="4842510"/>
            <wp:effectExtent xmlns:wp="http://schemas.openxmlformats.org/drawingml/2006/wordprocessingDrawing" l="0" t="0" r="5080" b="0"/>
            <wp:docPr id="20" name="Obrázek 38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Pozn.: Komodity (na základě 4-místného kódu HS) jsou vybrány na základě hodnoty vývozu v mil. Kč za období 2015 až 2020</w:t>
      </w:r>
      <w:r>
        <w:rPr>
          <w:i/>
          <w:iCs/>
          <w:sz w:val="18"/>
          <w:szCs w:val="18"/>
        </w:rPr>
        <w:t xml:space="preserve"> a řazeny podle roku 2020.</w:t>
      </w:r>
    </w:p>
    <w:p>
      <w:pPr>
        <w:spacing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Upřesnění názvů komodit: HS 2106 potravinové přípravky jiné, HS 0802 skořápkové ovoce bez kokosů, para a kešu ořechů a HS 2401 tabák nezpracovaný.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contextualSpacing/>
        <w:rPr/>
        <w:sectPr>
          <w:type w:val="nextPage"/>
          <w:pgSz w:w="16838" w:h="11906" w:orient="landscape"/>
          <w:pgMar w:top="1361" w:right="1418" w:bottom="1361" w:left="1418" w:header="709" w:footer="709" w:gutter="0"/>
          <w:pgBorders/>
          <w:pgNumType w:fmt="decimal"/>
          <w:cols w:num="1" w:equalWidth="1" w:space="708"/>
          <w:docGrid w:linePitch="360"/>
        </w:sectPr>
      </w:pPr>
    </w:p>
    <w:p>
      <w:pPr>
        <w:pStyle w:val="Nadpis3"/>
        <w:spacing/>
        <w:jc w:val="left"/>
        <w:rPr>
          <w:szCs w:val="22"/>
        </w:rPr>
      </w:pPr>
      <w:bookmarkStart w:id="5" w:name="_Toc413330137"/>
      <w:r>
        <w:rPr>
          <w:szCs w:val="22"/>
        </w:rPr>
        <w:t xml:space="preserve">4) Pořadí zemí dle hodnoty agrárního vývozu z ČR</w:t>
      </w:r>
      <w:bookmarkEnd w:id="5"/>
      <w:r>
        <w:rPr>
          <w:szCs w:val="22"/>
        </w:rPr>
        <w:t xml:space="preserve"> </w:t>
      </w:r>
    </w:p>
    <w:p>
      <w:pPr>
        <w:spacing/>
        <w:contextualSpacing/>
        <w:rPr>
          <w:i/>
          <w:szCs w:val="16"/>
        </w:rPr>
      </w:pPr>
      <w:r>
        <w:rPr>
          <w:noProof/>
          <w:lang w:eastAsia="cs-CZ" w:bidi="ar-SA"/>
        </w:rPr>
        <w:drawing>
          <wp:inline>
            <wp:extent cx="5760720" cy="7863207"/>
            <wp:effectExtent xmlns:wp="http://schemas.openxmlformats.org/drawingml/2006/wordprocessingDrawing" l="0" t="0" r="0" b="4445"/>
            <wp:docPr id="21" name="Obrázek 39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Pozn. Barevně jsou zvýrazněny země EU 27, řazeno podle roku 2020.</w:t>
      </w:r>
    </w:p>
    <w:p>
      <w:pPr>
        <w:spacing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Uvedené země zaujímaly v celkovém českém agrárním vývozu 98,4 %.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rPr/>
      </w:pPr>
    </w:p>
    <w:p>
      <w:pPr>
        <w:pStyle w:val="Nadpis3"/>
        <w:spacing/>
        <w:jc w:val="left"/>
        <w:rPr>
          <w:szCs w:val="22"/>
        </w:rPr>
      </w:pPr>
      <w:bookmarkStart w:id="6" w:name="_Toc384374704"/>
      <w:r>
        <w:rPr>
          <w:b/>
          <w:bCs/>
          <w:color w:val="000000"/>
          <w:sz w:val="18"/>
          <w:szCs w:val="18"/>
        </w:rPr>
        <w:br w:type="page"/>
      </w:r>
      <w:bookmarkStart w:id="7" w:name="_Toc413330138"/>
      <w:r>
        <w:rPr>
          <w:szCs w:val="22"/>
        </w:rPr>
        <w:t xml:space="preserve"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 xml:space="preserve">Pořadí zemí</w:t>
      </w:r>
      <w:r>
        <w:rPr>
          <w:szCs w:val="22"/>
        </w:rPr>
        <w:t xml:space="preserve"> dle hodnoty agrárního dovozu do ČR</w:t>
      </w:r>
      <w:bookmarkEnd w:id="6"/>
      <w:bookmarkEnd w:id="7"/>
      <w:r>
        <w:rPr>
          <w:szCs w:val="22"/>
        </w:rPr>
        <w:t xml:space="preserve">  </w:t>
      </w:r>
    </w:p>
    <w:p>
      <w:pPr>
        <w:spacing/>
        <w:contextualSpacing/>
        <w:rPr>
          <w:i/>
          <w:szCs w:val="16"/>
        </w:rPr>
      </w:pPr>
      <w:r>
        <w:rPr>
          <w:noProof/>
          <w:lang w:eastAsia="cs-CZ" w:bidi="ar-SA"/>
        </w:rPr>
        <w:drawing>
          <wp:inline>
            <wp:extent cx="5760720" cy="7943214"/>
            <wp:effectExtent xmlns:wp="http://schemas.openxmlformats.org/drawingml/2006/wordprocessingDrawing" l="0" t="0" r="0" b="635"/>
            <wp:docPr id="22" name="Obrázek 40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Pozn. Barevně jsou zvýrazněny země EU 27, řazeno podle roku 2020.</w:t>
      </w:r>
    </w:p>
    <w:p>
      <w:pPr>
        <w:spacing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Uvedené země zaujímaly v celkovém českém agrárním dovozu 96,3 %.</w:t>
      </w:r>
    </w:p>
    <w:p>
      <w:pPr>
        <w: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únor 2021</w:t>
      </w:r>
    </w:p>
    <w:p>
      <w:pPr>
        <w:spacing/>
        <w:rPr/>
      </w:pPr>
    </w:p>
    <w:p>
      <w:pPr>
        <w:spacing/>
        <w:jc w:val="center"/>
        <w:rPr/>
      </w:pPr>
    </w:p>
    <w:p>
      <w:pPr>
        <w:spacing/>
        <w:rPr>
          <w:szCs w:val="22"/>
        </w:rPr>
      </w:pPr>
    </w:p>
    <w:sectPr>
      <w:headerReference w:type="first" r:id="rId26"/>
      <w:headerReference w:type="even" r:id="rId27"/>
      <w:headerReference w:type="default" r:id="rId28"/>
      <w:footerReference w:type="default" r:id="rId29"/>
      <w:type w:val="nextPage"/>
      <w:pgSz w:w="11907" w:h="16840"/>
      <w:pgMar w:top="1418" w:right="1418" w:bottom="1418" w:left="1418" w:header="709" w:footer="709" w:gutter="0"/>
      <w:pgBorders/>
      <w:pgNumType w:fmt="decimal"/>
      <w:cols w:num="1" w:equalWidth="1"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Mangal">
    <w:altName w:val="Courier New"/>
    <w:charset w:val="0"/>
    <w:family w:val="roman"/>
    <w:pitch w:val="variable"/>
    <w:sig w:usb0="00000003" w:usb1="00000000" w:usb2="00000000" w:usb3="00000000" w:csb0="00000001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1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pat"/>
      <w:spacing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 xml:space="preserve">17</w:t>
    </w:r>
    <w:r>
      <w:rPr>
        <w:rFonts w:ascii="Times New Roman" w:hAnsi="Times New Roman"/>
      </w:rPr>
      <w:fldChar w:fldCharType="end"/>
    </w:r>
  </w:p>
  <w:p>
    <w:pPr>
      <w:pStyle w:val="Zpat"/>
      <w:spacing/>
      <w:rPr/>
    </w:pPr>
  </w:p>
</w:ftr>
</file>

<file path=word/footer2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pat"/>
      <w:spacing/>
      <w:rPr/>
    </w:pPr>
    <w:r>
      <w:rPr/>
      <w:fldChar w:fldCharType="begin"/>
    </w:r>
    <w:r>
      <w:rPr/>
      <w:instrText xml:space="preserve"> DOCVARIABLE  dms_c</w:instrText>
    </w:r>
    <w:r>
      <w:rPr/>
      <w:instrText xml:space="preserve">j  \* MERGEFORMAT </w:instrText>
    </w:r>
    <w:r>
      <w:rPr/>
      <w:fldChar w:fldCharType="separate"/>
    </w:r>
    <w:r>
      <w:rPr>
        <w:bCs/>
      </w:rPr>
      <w:t xml:space="preserve">9252/2021-MZE-17123</w:t>
    </w:r>
    <w:r>
      <w:rPr/>
      <w:fldChar w:fldCharType="end"/>
    </w:r>
    <w:r>
      <w:rPr/>
      <w:tab/>
      <w:t xml:space="preserve"/>
    </w:r>
    <w:r>
      <w:rPr/>
      <w:fldChar w:fldCharType="begin"/>
    </w:r>
    <w:r>
      <w:rPr/>
      <w:instrText xml:space="preserve">PAGE   \* MERGEFORMAT</w:instrText>
    </w:r>
    <w:r>
      <w:rPr/>
      <w:fldChar w:fldCharType="separate"/>
    </w:r>
    <w:r>
      <w:rPr>
        <w:noProof/>
      </w:rPr>
      <w:t xml:space="preserve">20</w:t>
    </w:r>
    <w:r>
      <w:rPr/>
      <w:fldChar w:fldCharType="end"/>
    </w:r>
  </w:p>
  <w:p>
    <w:pPr>
      <w:spacing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>
      <w:pPr>
        <w:spacing/>
        <w:rPr/>
      </w:pPr>
      <w:r>
        <w:rPr/>
        <w:separator/>
        <w:t xml:space="preserve"/>
      </w:r>
    </w:p>
  </w:footnote>
  <w:footnote w:type="continuationSeparator" w:id="0">
    <w:p>
      <w:pPr>
        <w:spacing/>
        <w:rPr/>
      </w:pPr>
      <w:r>
        <w:rPr/>
        <w:continuationSeparator/>
        <w:t xml:space="preserve"/>
      </w:r>
    </w:p>
  </w:footnote>
  <w:footnote w:id="1">
    <w:p>
      <w:pPr>
        <w:pStyle w:val="Textpoznpodarou"/>
        <w:spacing/>
        <w:rPr/>
      </w:pPr>
      <w:r>
        <w:rPr>
          <w:rStyle w:val="Znakapoznpodarou"/>
        </w:rPr>
        <w:footnoteRef/>
      </w:r>
      <w:r>
        <w:rPr/>
        <w:t xml:space="preserve"> Vymezené kapitolami 1 až 24 celního sazebníku.</w:t>
      </w:r>
    </w:p>
  </w:footnote>
  <w:footnote w:id="2">
    <w:p>
      <w:pPr>
        <w:pStyle w:val="Textpoznpodarou"/>
        <w:spacing/>
        <w:rPr/>
      </w:pPr>
      <w:r>
        <w:rPr>
          <w:rStyle w:val="Znakapoznpodarou"/>
        </w:rPr>
        <w:footnoteRef/>
      </w:r>
      <w:r>
        <w:rPr/>
        <w:t xml:space="preserve"> Rusko, Čína, Spojené arabské emiráty, Srbsko, USA, Libanon a Japonsko.</w:t>
      </w:r>
    </w:p>
  </w:footnote>
  <w:footnote w:id="3">
    <w:p>
      <w:pPr>
        <w:pStyle w:val="Textpoznpodarou"/>
        <w:tabs>
          <w:tab w:val="left" w:pos="851"/>
        </w:tabs>
        <w:spacing/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/>
      </w:r>
      <w:r>
        <w:rPr/>
        <w:t xml:space="preserve">Řazeno dle hodnoty vývozu ve finančním vyjádření, a to na </w:t>
      </w:r>
      <w:r>
        <w:rPr/>
        <w:t xml:space="preserve">základě 4-místných, ale i podrobnějších kódů celní nomenklatury.</w:t>
      </w:r>
    </w:p>
  </w:footnote>
  <w:footnote w:id="4">
    <w:p>
      <w:pPr>
        <w:pStyle w:val="Textpoznpodarou"/>
        <w:tabs>
          <w:tab w:val="left" w:pos="851"/>
        </w:tabs>
        <w:spacing/>
        <w:ind w:left="567" w:firstLine="0"/>
        <w:rPr/>
      </w:pPr>
      <w:r>
        <w:rPr>
          <w:rStyle w:val="Znakapoznpodarou"/>
        </w:rPr>
        <w:footnoteRef/>
      </w:r>
      <w:r>
        <w:rPr/>
        <w:t xml:space="preserve"> </w:t>
      </w:r>
      <w:r>
        <w:rPr/>
        <w:tab/>
        <w:t xml:space="preserve"/>
      </w:r>
      <w:r>
        <w:rPr/>
        <w:t xml:space="preserve">Potravinové přípravky jiné, v celním sazebníku pod kódem HS 2106.</w:t>
      </w:r>
    </w:p>
  </w:footnote>
</w:footnotes>
</file>

<file path=word/header1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4294179f-7f4b-4582-bc9a-3f1fafed3622" type="#_x0000_t136" o:allowincell="f" style="position:absolute;margin-left:0pt;margin-top:0pt;width:0pt;height:0pt;rotation:315;mso-position-horizontal-relative:margin;mso-position-vertical-relative:margin;mso-position-horizontal:center;mso-position-vertical:center;z-index:251655168" fillcolor="#808080" stroked="f">
          <v:fill opacity=".5"/>
          <v:textpath style="font-family:&quot;Times New Roman&quot;;font-size:2in"/>
        </v:shape>
      </w:pict>
    </w:r>
  </w:p>
</w:hdr>
</file>

<file path=word/header1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89a2ffc9-506d-42fa-829e-3642ba0e9d2f" type="#_x0000_t136" o:allowincell="f" style="position:absolute;margin-left:0pt;margin-top:0pt;width:0pt;height:0pt;rotation:315;mso-position-horizontal-relative:margin;mso-position-vertical-relative:margin;mso-position-horizontal:center;mso-position-vertical:center;z-index:251656192" fillcolor="#808080" stroked="f">
          <v:fill opacity=".5"/>
          <v:textpath style="font-family:&quot;Times New Roman&quot;;font-size:2in"/>
        </v:shape>
      </w:pict>
    </w:r>
  </w:p>
</w:hdr>
</file>

<file path=word/header1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005d652f-b5fd-4c22-b712-5e5ae166ef0a" type="#_x0000_t136" o:allowincell="f" style="position:absolute;margin-left:0pt;margin-top:0pt;width:0pt;height:0pt;rotation:315;mso-position-horizontal-relative:margin;mso-position-vertical-relative:margin;mso-position-horizontal:center;mso-position-vertical:center;z-index:251657216" fillcolor="#808080" stroked="f">
          <v:fill opacity=".5"/>
          <v:textpath style="font-family:&quot;Times New Roman&quot;;font-size:2in"/>
        </v:shape>
      </w:pict>
    </w:r>
  </w:p>
</w:hdr>
</file>

<file path=word/header2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ff9ad279-215d-42f4-ac9c-941bee9d21c3" type="#_x0000_t136" o:allowincell="f" style="position:absolute;margin-left:0pt;margin-top:0pt;width:0pt;height:0pt;rotation:315;mso-position-horizontal-relative:margin;mso-position-vertical-relative:margin;mso-position-horizontal:center;mso-position-vertical:center;z-index:251658240" fillcolor="#808080" stroked="f">
          <v:fill opacity=".5"/>
          <v:textpath style="font-family:&quot;Times New Roman&quot;;font-size:2in"/>
        </v:shape>
      </w:pict>
    </w:r>
  </w:p>
</w:hdr>
</file>

<file path=word/header27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4d173492-372d-4236-9bdb-dcfe612cabfa" type="#_x0000_t136" o:allowincell="f" style="position:absolute;margin-left:0pt;margin-top:0pt;width:0pt;height:0pt;rotation:315;mso-position-horizontal-relative:margin;mso-position-vertical-relative:margin;mso-position-horizontal:center;mso-position-vertical:center;z-index:251659264" fillcolor="#808080" stroked="f">
          <v:fill opacity=".5"/>
          <v:textpath style="font-family:&quot;Times New Roman&quot;;font-size:2in"/>
        </v:shape>
      </w:pict>
    </w:r>
  </w:p>
</w:hdr>
</file>

<file path=word/header2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145f8007-4520-4cab-96bf-660ccf7fd730" type="#_x0000_t136" o:allowincell="f" style="position:absolute;margin-left:0pt;margin-top:0pt;width:0pt;height:0pt;rotation:315;mso-position-horizontal-relative:margin;mso-position-vertical-relative:margin;mso-position-horizontal:center;mso-position-vertical:center;z-index:251660288" fillcolor="#808080" stroked="f">
          <v:fill opacity=".5"/>
          <v:textpath style="font-family:&quot;Times New Roman&quot;;font-size:2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4B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">
    <w:nsid w:val="07AC8C2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">
    <w:nsid w:val="11F4437A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">
    <w:nsid w:val="1933703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C632F7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C94DF8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6">
    <w:nsid w:val="1DE322D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7">
    <w:nsid w:val="21B2A30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8">
    <w:nsid w:val="21DD585B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243FCB3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0">
    <w:nsid w:val="2B18699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BD3A4BB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nsid w:val="2E70441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3">
    <w:nsid w:val="35DCD78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4">
    <w:nsid w:val="3DA4357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5">
    <w:nsid w:val="47580F71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6">
    <w:nsid w:val="47CC29C6"/>
    <w:lvl w:ilvl="0">
      <w:start w:val="7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7">
    <w:nsid w:val="4EBB2885"/>
    <w:lvl w:ilvl="0">
      <w:start w:val="7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1E8A02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9">
    <w:nsid w:val="56A90D4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0">
    <w:nsid w:val="5A5828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5C04013"/>
    <w:lvl w:ilvl="0">
      <w:start w:val="7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6EA78CC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3">
    <w:nsid w:val="72090A5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DCE1691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footnotePr>
    <w:footnote w:id="-1"/>
    <w:footnote w:id="0"/>
  </w:foot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20027163"/>
    <w:docVar w:name="dms_carovy_kod_cj" w:val="9252/2021-MZE-17123"/>
    <w:docVar w:name="dms_cj" w:val="9252/2021-MZE-17123"/>
    <w:docVar w:name="dms_datum" w:val="11. 2. 2021"/>
    <w:docVar w:name="dms_datum_textem" w:val="11. února 2021"/>
    <w:docVar w:name="dms_datum_vzniku" w:val="9. 2. 2021 16:17:44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&#13;&#10;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&#13;&#10;Těšnov 65/17&#13;&#10;Nové Město&#13;&#10;110 00 Praha 1"/>
    <w:docVar w:name="dms_utvar_nazev_do_dopisu" w:val="Ministr zemědělství"/>
    <w:docVar w:name="dms_vec" w:val="Informace pro ministra - Přehled výsledků agrárního zahraničního obchodu za rok 2020"/>
    <w:docVar w:name="dms_VNVSpravce" w:val="%%%nevyplněno%%%"/>
    <w:docVar w:name="dms_zpracoval_jmeno" w:val="Ivana Petříková"/>
    <w:docVar w:name="dms_zpracoval_mail" w:val="Ivana.Petrikova@mze.cz"/>
    <w:docVar w:name="dms_zpracoval_telefon" w:val="221813011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cs-CZ" w:bidi="ne-NP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cs-CZ" w:eastAsia="ar-SA" w:bidi="ne-NP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pacing/>
      <w:jc w:val="both"/>
    </w:pPr>
    <w:rPr>
      <w:rFonts w:ascii="Arial" w:hAnsi="Arial" w:eastAsia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spacing/>
      <w:ind w:firstLine="708"/>
      <w:outlineLvl w:val="0"/>
    </w:pPr>
    <w:rPr/>
  </w:style>
  <w:style w:type="paragraph" w:styleId="Nadpis2">
    <w:name w:val="Heading 2"/>
    <w:basedOn w:val="Normln"/>
    <w:qFormat/>
    <w:pPr>
      <w:keepNext/>
      <w:spacing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spacing/>
      <w:outlineLvl w:val="2"/>
    </w:pPr>
    <w:rPr/>
  </w:style>
  <w:style w:type="paragraph" w:styleId="Nadpis4">
    <w:name w:val="Heading 4"/>
    <w:basedOn w:val="Normln"/>
    <w:qFormat/>
    <w:pPr>
      <w:keepNext/>
      <w:spacing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spacing/>
      <w:outlineLvl w:val="4"/>
    </w:pPr>
    <w:rPr>
      <w:b/>
    </w:rPr>
  </w:style>
  <w:style w:type="character" w:styleId="Standardnpsmoodstavce" w:default="1">
    <w:name w:val="Default Paragraph Font"/>
    <w:uiPriority w:val="1"/>
    <w:semiHidden/>
    <w:unhideWhenUsed/>
    <w:rPr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>
    <w:name w:val="No List"/>
    <w:uiPriority w:val="99"/>
    <w:semiHidden/>
    <w:unhideWhenUsed/>
  </w:style>
  <w:style w:type="character" w:styleId="Bezseznamu1" w:customStyle="1">
    <w:name w:val="Bez seznamu1"/>
    <w:basedOn w:val="Standardnpsmoodstavce"/>
    <w:semiHidden/>
    <w:unhideWhenUsed/>
    <w:rPr/>
  </w:style>
  <w:style w:type="character" w:styleId="Bezseznamu10" w:customStyle="1">
    <w:name w:val="Bez seznamu1_0"/>
    <w:basedOn w:val="Standardnpsmoodstavce"/>
    <w:semiHidden/>
    <w:unhideWhenUsed/>
    <w:rPr/>
  </w:style>
  <w:style w:type="character" w:styleId="Bezseznamu100" w:customStyle="1">
    <w:name w:val="Bez seznamu1_0_0"/>
    <w:basedOn w:val="Standardnpsmoodstavce"/>
    <w:semiHidden/>
    <w:unhideWhenUsed/>
    <w:rPr/>
  </w:style>
  <w:style w:type="table" w:styleId="NormalTable" w:customStyle="1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Grid"/>
    <w:basedOn w:val="Normal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List1" w:customStyle="1">
    <w:name w:val="No List1"/>
    <w:semiHidden/>
    <w:pPr>
      <w:spacing/>
    </w:pPr>
    <w:rPr>
      <w:lang w:val="en-US" w:eastAsia="en-US"/>
    </w:rPr>
  </w:style>
  <w:style w:type="paragraph" w:styleId="Adresanaoblku1" w:customStyle="1">
    <w:name w:val="Adresa na obálku1"/>
    <w:basedOn w:val="Normln"/>
    <w:semiHidden/>
    <w:pPr>
      <w:framePr w:wrap="auto" w:hAnchor="page" w:vAnchor="text" w:xAlign="center" w:lines="1"/>
      <w:spacing/>
      <w:ind w:left="2880"/>
    </w:pPr>
    <w:rPr/>
  </w:style>
  <w:style w:type="paragraph" w:styleId="Titulek">
    <w:name w:val="Caption"/>
    <w:basedOn w:val="Normln"/>
    <w:qFormat/>
    <w:pPr>
      <w:framePr w:wrap="around" w:hAnchor="page" w:vAnchor="text" w:x="5388" w:y="-24" w:lines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/>
    </w:pPr>
    <w:rPr>
      <w:u w:val="single"/>
    </w:rPr>
  </w:style>
  <w:style w:type="paragraph" w:styleId="Nzev">
    <w:name w:val="Title"/>
    <w:basedOn w:val="Normln"/>
    <w:qFormat/>
    <w:pPr>
      <w:spacing/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pPr>
      <w:spacing/>
    </w:pPr>
    <w:rPr>
      <w:rFonts w:ascii="Tahoma" w:hAnsi="Tahoma" w:eastAsia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/>
    </w:pPr>
    <w:rPr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/>
    </w:pPr>
    <w:rPr/>
  </w:style>
  <w:style w:type="character" w:styleId="ZpatChar" w:customStyle="1">
    <w:name w:val="Zápatí Char"/>
    <w:basedOn w:val="Standardnpsmoodstavce"/>
    <w:uiPriority w:val="99"/>
    <w:rPr>
      <w:sz w:val="26"/>
      <w:lang w:val="en-US" w:eastAsia="en-US"/>
    </w:rPr>
  </w:style>
  <w:style w:type="table" w:styleId="NormalTable0" w:customStyle="1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 w:customStyle="1">
    <w:name w:val="TableGrid_0"/>
    <w:basedOn w:val="NormalTabl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" w:customStyle="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name w:val="a"/>
    <w:basedOn w:val="NormalTabl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2" w:customStyle="1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name w:val="a0"/>
    <w:basedOn w:val="NormalTable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Mkatabulky">
    <w:name w:val="Table Grid"/>
    <w:basedOn w:val="Normlntabulka"/>
    <w:uiPriority w:val="39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spacing/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styleId="TextpoznpodarouChar" w:customStyle="1">
    <w:name w:val="Text pozn. pod čarou Char"/>
    <w:basedOn w:val="Standardnpsmoodstavce"/>
    <w:uiPriority w:val="99"/>
    <w:semiHidden/>
    <w:rPr>
      <w:rFonts w:ascii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abNadpis" w:customStyle="1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styleId="TabPoz" w:customStyle="1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styleId="TabNadpisChar" w:customStyle="1">
    <w:name w:val="TabNadpis Char"/>
    <w:basedOn w:val="Standardnpsmoodstavce"/>
    <w:link w:val="TabNadpis"/>
    <w:rPr>
      <w:rFonts w:ascii="Arial" w:hAnsi="Arial"/>
      <w:b/>
      <w:lang w:eastAsia="cs-CZ" w:bidi="ar-SA"/>
    </w:rPr>
  </w:style>
  <w:style w:type="character" w:styleId="TabPozChar" w:customStyle="1">
    <w:name w:val="TabPoz Char"/>
    <w:basedOn w:val="Standardnpsmoodstavce"/>
    <w:link w:val="TabPoz"/>
    <w:rPr>
      <w:rFonts w:ascii="Arial" w:hAnsi="Arial"/>
      <w:b/>
      <w:i/>
      <w:sz w:val="16"/>
      <w:lang w:eastAsia="cs-CZ" w:bidi="ar-SA"/>
    </w:rPr>
  </w:style>
  <w:style w:type="paragraph" w:styleId="Styl2" w:customStyle="1">
    <w:name w:val="Styl2"/>
    <w:basedOn w:val="TabNadpis"/>
    <w:link w:val="Styl2Char"/>
    <w:qFormat/>
    <w:pPr>
      <w:spacing/>
      <w:ind w:left="709" w:hanging="709"/>
      <w:contextualSpacing/>
    </w:pPr>
    <w:rPr/>
  </w:style>
  <w:style w:type="character" w:styleId="Styl2Char" w:customStyle="1">
    <w:name w:val="Styl2 Char"/>
    <w:basedOn w:val="Standardnpsmoodstavce"/>
    <w:link w:val="Styl2"/>
    <w:rPr>
      <w:rFonts w:ascii="Arial" w:hAnsi="Arial"/>
      <w:b/>
      <w:lang w:eastAsia="cs-CZ" w:bidi="ar-SA"/>
    </w:rPr>
  </w:style>
  <w:style w:type="character" w:styleId="TextbublinyChar" w:customStyle="1">
    <w:name w:val="Text bubliny Char"/>
    <w:basedOn w:val="Standardnpsmoodstavce"/>
    <w:link w:val="BalloonText"/>
    <w:uiPriority w:val="99"/>
    <w:semiHidden/>
    <w:rPr>
      <w:rFonts w:ascii="Tahoma" w:hAnsi="Tahoma" w:eastAsia="Tahoma" w:cs="Tahoma"/>
      <w:sz w:val="16"/>
      <w:szCs w:val="16"/>
      <w:lang w:eastAsia="en-US"/>
    </w:rPr>
  </w:style>
  <w:style w:type="character" w:styleId="ZhlavChar" w:customStyle="1">
    <w:name w:val="Záhlaví Char"/>
    <w:basedOn w:val="Standardnpsmoodstavce"/>
    <w:uiPriority w:val="99"/>
    <w:rPr>
      <w:rFonts w:ascii="Arial" w:hAnsi="Arial" w:eastAsia="Arial" w:cs="Arial"/>
      <w:sz w:val="22"/>
      <w:szCs w:val="24"/>
      <w:lang w:eastAsia="en-US"/>
    </w:rPr>
  </w:style>
  <w:style w:type="character" w:styleId="Nadpis3Char" w:customStyle="1">
    <w:name w:val="Nadpis 3 Char"/>
    <w:basedOn w:val="Standardnpsmoodstavce"/>
    <w:link w:val="Heading3"/>
    <w:uiPriority w:val="9"/>
    <w:rPr>
      <w:rFonts w:ascii="Arial" w:hAnsi="Arial" w:eastAsia="Arial" w:cs="Arial"/>
      <w:sz w:val="22"/>
      <w:szCs w:val="24"/>
      <w:lang w:eastAsia="en-US"/>
    </w:rPr>
  </w:style>
  <w:style w:type="paragraph" w:styleId="UZEI-logo" w:customStyle="1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styleId="T-nzevvstupu" w:customStyle="1">
    <w:name w:val="TÚ - název výstupu"/>
    <w:basedOn w:val="Normln"/>
    <w:next w:val="T-sloanzev"/>
    <w:pPr>
      <w:pBdr>
        <w:bottom w:val="single" w:color="548DD4" w:sz="4" w:space="1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styleId="T-sloanzev" w:customStyle="1">
    <w:name w:val="TÚ - číslo a název"/>
    <w:basedOn w:val="Normln"/>
    <w:next w:val="T-slovstupu"/>
    <w:pPr>
      <w:spacing/>
      <w:jc w:val="left"/>
    </w:pPr>
    <w:rPr>
      <w:rFonts w:eastAsia="Times New Roman" w:cs="Times New Roman"/>
      <w:sz w:val="20"/>
      <w:lang w:eastAsia="cs-CZ" w:bidi="ar-SA"/>
    </w:rPr>
  </w:style>
  <w:style w:type="paragraph" w:styleId="T-slovstupu" w:customStyle="1">
    <w:name w:val="TÚ - číslo výstupu"/>
    <w:basedOn w:val="T-sloanzev"/>
    <w:next w:val="T-odpovdneitel"/>
    <w:pPr>
      <w:spacing w:before="240"/>
      <w:jc w:val="center"/>
    </w:pPr>
    <w:rPr/>
  </w:style>
  <w:style w:type="paragraph" w:styleId="T-odpovdneitel" w:customStyle="1">
    <w:name w:val="TÚ - odpovědný řešitel"/>
    <w:basedOn w:val="T-sloanzev"/>
    <w:next w:val="T-spolueitel1"/>
    <w:pPr>
      <w:spacing w:before="1800"/>
      <w:ind w:left="2268" w:hanging="2268"/>
    </w:pPr>
    <w:rPr/>
  </w:style>
  <w:style w:type="paragraph" w:styleId="T-spolueitel1" w:customStyle="1">
    <w:name w:val="TÚ - spoluřešitel1"/>
    <w:basedOn w:val="T-sloanzev"/>
    <w:qFormat/>
    <w:pPr>
      <w:spacing w:before="240"/>
      <w:ind w:left="2268" w:hanging="2268"/>
    </w:pPr>
    <w:rPr/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0" Type="http://schemas.openxmlformats.org/officeDocument/2006/relationships/styles" Target="styles.xml" /><Relationship Id="rId31" Type="http://schemas.openxmlformats.org/officeDocument/2006/relationships/settings" Target="settings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footnotes" Target="footnotes.xml" /><Relationship Id="rId15" Type="http://schemas.openxmlformats.org/officeDocument/2006/relationships/header" Target="header15.xml" /><Relationship Id="rId27" Type="http://schemas.openxmlformats.org/officeDocument/2006/relationships/header" Target="header27.xml" /><Relationship Id="rId14" Type="http://schemas.openxmlformats.org/officeDocument/2006/relationships/header" Target="header14.xml" /><Relationship Id="rId26" Type="http://schemas.openxmlformats.org/officeDocument/2006/relationships/header" Target="header26.xml" /><Relationship Id="rId17" Type="http://schemas.openxmlformats.org/officeDocument/2006/relationships/footer" Target="footer17.xml" /><Relationship Id="rId29" Type="http://schemas.openxmlformats.org/officeDocument/2006/relationships/footer" Target="footer29.xml" /><Relationship Id="rId16" Type="http://schemas.openxmlformats.org/officeDocument/2006/relationships/header" Target="header16.xml" /><Relationship Id="rId28" Type="http://schemas.openxmlformats.org/officeDocument/2006/relationships/header" Target="header28.xml" /><Relationship Id="rId35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emf" /><Relationship Id="rId5" Type="http://schemas.openxmlformats.org/officeDocument/2006/relationships/image" Target="media/image5.emf" /><Relationship Id="rId6" Type="http://schemas.openxmlformats.org/officeDocument/2006/relationships/image" Target="media/image6.emf" /><Relationship Id="rId7" Type="http://schemas.openxmlformats.org/officeDocument/2006/relationships/image" Target="media/image7.emf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8" Type="http://schemas.openxmlformats.org/officeDocument/2006/relationships/image" Target="media/image14.emf" /><Relationship Id="rId19" Type="http://schemas.openxmlformats.org/officeDocument/2006/relationships/image" Target="media/image15.emf" /><Relationship Id="rId20" Type="http://schemas.openxmlformats.org/officeDocument/2006/relationships/image" Target="media/image16.emf" /><Relationship Id="rId21" Type="http://schemas.openxmlformats.org/officeDocument/2006/relationships/image" Target="media/image17.emf" /><Relationship Id="rId22" Type="http://schemas.openxmlformats.org/officeDocument/2006/relationships/image" Target="media/image18.emf" /><Relationship Id="rId23" Type="http://schemas.openxmlformats.org/officeDocument/2006/relationships/image" Target="media/image19.emf" /><Relationship Id="rId24" Type="http://schemas.openxmlformats.org/officeDocument/2006/relationships/image" Target="media/image20.emf" /><Relationship Id="rId25" Type="http://schemas.openxmlformats.org/officeDocument/2006/relationships/image" Target="media/image21.emf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20</Pages>
  <Words>2438</Words>
  <Characters>14390</Characters>
  <Application>Microsoft Office Word</Application>
  <DocSecurity>0</DocSecurity>
  <Lines>119</Lines>
  <Paragraphs>33</Paragraphs>
  <Company>T-Soft a.s.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Petříková Ivana</cp:lastModifiedBy>
  <cp:revision>12</cp:revision>
  <dcterms:created xsi:type="dcterms:W3CDTF">2011-07-18T14:47:00Z</dcterms:created>
  <dcterms:modified xsi:type="dcterms:W3CDTF">2021-02-10T12:39:00Z</dcterms:modified>
</cp:coreProperties>
</file>