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2.xml" ContentType="application/vnd.openxmlformats-officedocument.wordprocessingml.header+xml"/>
  <Override PartName="/word/header24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23.xml" ContentType="application/vnd.openxmlformats-officedocument.wordprocessingml.header+xml"/>
  <Override PartName="/word/footer14.xml" ContentType="application/vnd.openxmlformats-officedocument.wordprocessingml.footer+xml"/>
  <Override PartName="/word/footer26.xml" ContentType="application/vnd.openxmlformats-officedocument.wordprocessingml.footer+xml"/>
  <Override PartName="/word/header13.xml" ContentType="application/vnd.openxmlformats-officedocument.wordprocessingml.header+xml"/>
  <Override PartName="/word/header2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FCE26">
      <w:pPr>
        <w:pStyle w:val="NoList1"/>
        <w:spacing/>
        <w:jc w:val="right"/>
        <w:rPr>
          <w:rFonts w:ascii="Arial" w:hAnsi="Arial" w:eastAsia="Arial" w:cs="Arial"/>
          <w:b/>
          <w:spacing w:val="8"/>
          <w:sz w:val="22"/>
          <w:szCs w:val="22"/>
          <w:lang w:val="cs-CZ"/>
        </w:rPr>
      </w:pPr>
      <w:r>
        <w:rPr>
          <w:rFonts w:ascii="Arial" w:hAnsi="Arial" w:eastAsia="Arial" w:cs="Arial"/>
          <w:lang w:val="cs-CZ"/>
        </w:rPr>
        <w:pict>
          <v:group id="_x0000_s3026" style="position:absolute;;margin-left:-37.4pt;margin-top:-55.95pt;width:204.6pt;height:118.5pt;z-index:-3072;;mso-wrap-distance-left:0pt;mso-wrap-distance-top:0pt;mso-wrap-distance-right:0pt;mso-wrap-distance-bottom:0pt;" coordsize="4092,2370" coordorigin="670,89">
            <v:shape id="Picture 1" type="#_x0000_t75" style="position:absolute;left:670;top:89;width:4092;height:2370;;v-text-anchor:top" strokecolor="#000000" strokeweight="0.75pt">
              <v:stroke dashstyle="solid" linestyle="single" joinstyle="miter" endcap="flat" color2="#000000"/>
              <v:imagedata r:id="rId1" o:title="CMYK2"/>
            </v:shape>
            <v:rect id="_x0000_s3027" style="position:absolute;left:1785;top:1811;width:1626;height:408;;v-text-anchor:top" stroked="f" strokecolor="#333333">
              <v:fill opacity="65536f" color2="#FFFFFF"/>
              <v:textbox style="" inset="0pt,0pt,7.087pt,3.685pt"/>
            </v:rect>
          </v:group>
        </w:pict>
      </w:r>
      <w:r>
        <w:rPr>
          <w:rFonts w:ascii="Arial" w:hAnsi="Arial" w:eastAsia="Arial" w:cs="Arial"/>
          <w:spacing w:val="14"/>
          <w:lang w:val="cs-CZ"/>
        </w:rPr>
        <w:t xml:space="preserve"> </w:t>
      </w:r>
      <w:r>
        <w:rPr>
          <w:rFonts w:ascii="Arial" w:hAnsi="Arial" w:eastAsia="Arial" w:cs="Arial"/>
          <w:b/>
          <w:i/>
          <w:spacing w:val="8"/>
          <w:sz w:val="28"/>
          <w:lang w:val="cs-CZ"/>
        </w:rPr>
        <w:t xml:space="preserve"> </w:t>
      </w:r>
      <w:r>
        <w:rPr/>
        <mc:AlternateContent>
          <mc:Choice Requires="wps">
            <w:drawing>
              <wp:inline>
                <wp:extent cx="1746000" cy="666843"/>
                <wp:docPr id="1" name="Rectangle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1270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60"/>
                              <w:jc w:val="center"/>
                              <w:rPr/>
                            </w:pPr>
                            <w:r>
                              <w:rPr>
                                <w:sz w:val="18"/>
                              </w:rPr>
                              <w:t xml:space="preserve">MZE-48570/2022-17123</w:t>
                            </w:r>
                          </w:p>
                          <w:p>
                            <w:pPr>
                              <w:pBdr/>
                              <w:spacing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>
                                  <wp:extent cx="1733308" cy="285710"/>
                                  <wp:effectExtent xmlns:wp="http://schemas.openxmlformats.org/drawingml/2006/wordprocessingDrawing" l="0" t="0" r="0" b="0"/>
                                  <wp:docPr id="2" descr="dms_carovy_kod" name="Picture 3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308" cy="285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Bdr/>
                              <w:spacing/>
                              <w:jc w:val="center"/>
                              <w:rPr/>
                            </w:pPr>
                            <w:r>
                              <w:rPr>
                                <w:sz w:val="18"/>
                              </w:rPr>
                              <w:t xml:space="preserve">mzedms024072561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0" rIns="0" tIns="46799" bIns="46799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Rectangle" type="#_x0000_t202" style="margin-left:0pt;margin-top:0pt;width:137.5pt;height:52.5pt;;v-text-anchor:top;mso-left-percent:-10001;mso-top-percent:-10001;mso-wrap-distance-left:0pt;mso-wrap-distance-top:0pt;mso-wrap-distance-right:0pt;mso-wrap-distance-bottom:0pt;mso-wrap-style:square" fillcolor="#FFFFFF" strokecolor="#000000" strokeweight="1pt" stroked="f">
                <w10:wrap type="none"/>
                <v:textbox style="" inset="0pt,3.685pt,0pt,3.685pt">
                  <w:txbxContent>
                    <w:p>
                      <w:pPr>
                        <w:pBdr/>
                        <w:spacing w:after="60"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MZE-48570/2022-17123</w:t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>
                            <wp:extent cx="1733308" cy="285710"/>
                            <wp:effectExtent xmlns:wp="http://schemas.openxmlformats.org/drawingml/2006/wordprocessingDrawing" l="0" t="0" r="0" b="0"/>
                            <wp:docPr id="3" descr="dms_carovy_kod" name="Picture 3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308" cy="285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mzedms024072561</w:t>
                      </w:r>
                    </w:p>
                  </w:txbxContent>
                </v:textbox>
              </v:shape>
            </w:pict>
          </mc:Fallback>
        </mc:AlternateContent>
      </w:r>
    </w:p>
    <w:p w14:paraId="679FCE27">
      <w:pPr>
        <w:spacing/>
        <w:rPr>
          <w:szCs w:val="22"/>
        </w:rPr>
      </w:pPr>
      <w:r>
        <w:rPr>
          <w:szCs w:val="22"/>
        </w:rPr>
        <w:t xml:space="preserve"> </w:t>
      </w:r>
    </w:p>
    <w:p w14:paraId="580A7107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239F1062">
      <w:pPr>
        <w:spacing/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 1. pololetí roku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 20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22</w:t>
      </w:r>
    </w:p>
    <w:p w14:paraId="2844363A">
      <w:pPr>
        <w:spacing w:before="240"/>
        <w:rPr>
          <w:b/>
          <w:u w:val="single"/>
        </w:rPr>
      </w:pPr>
      <w:r>
        <w:rPr>
          <w:b/>
          <w:u w:val="single"/>
        </w:rPr>
        <w:t xml:space="preserve">SHRNUTÍ</w:t>
      </w:r>
      <w:r>
        <w:rPr>
          <w:b/>
          <w:u w:val="single"/>
        </w:rPr>
        <w:t xml:space="preserve">:</w:t>
      </w:r>
    </w:p>
    <w:p w14:paraId="5BE11281">
      <w:pPr>
        <w:spacing w:before="240" w:line="276" w:lineRule="auto"/>
        <w:rPr>
          <w:b/>
        </w:rPr>
      </w:pPr>
      <w:r>
        <w:rPr>
          <w:b/>
        </w:rPr>
        <w:t xml:space="preserve">Přestože agrární export z ČR rostl v EU i do třetích zemí, v 1. </w:t>
      </w:r>
      <w:r>
        <w:rPr>
          <w:b/>
        </w:rPr>
        <w:t xml:space="preserve">pololetí</w:t>
      </w:r>
      <w:r>
        <w:rPr>
          <w:b/>
        </w:rPr>
        <w:t xml:space="preserve"> roku 2022 se záporná bilance agrárního zahraničního obchodu (AZO) ČR meziročně zhoršila o</w:t>
      </w:r>
      <w:r>
        <w:rPr>
          <w:b/>
        </w:rPr>
        <w:t xml:space="preserve"> 21</w:t>
      </w:r>
      <w:r>
        <w:rPr>
          <w:b/>
        </w:rPr>
        <w:t xml:space="preserve">,</w:t>
      </w:r>
      <w:r>
        <w:rPr>
          <w:b/>
        </w:rPr>
        <w:t xml:space="preserve">2 </w:t>
      </w:r>
      <w:r>
        <w:rPr>
          <w:b/>
        </w:rPr>
        <w:t xml:space="preserve">%. Schodek AZO se zvýšil z</w:t>
      </w:r>
      <w:r>
        <w:rPr>
          <w:b/>
        </w:rPr>
        <w:t xml:space="preserve"> 18,4</w:t>
      </w:r>
      <w:r>
        <w:rPr>
          <w:b/>
        </w:rPr>
        <w:t xml:space="preserve"> mld. Kč na </w:t>
      </w:r>
      <w:r>
        <w:rPr>
          <w:b/>
        </w:rPr>
        <w:t xml:space="preserve">22,3</w:t>
      </w:r>
      <w:r>
        <w:rPr>
          <w:b/>
        </w:rPr>
        <w:t xml:space="preserve"> mld. Kč</w:t>
      </w:r>
      <w:r>
        <w:rPr>
          <w:b/>
        </w:rPr>
        <w:t xml:space="preserve">,</w:t>
      </w:r>
      <w:r>
        <w:rPr>
          <w:b/>
        </w:rPr>
        <w:t xml:space="preserve"> </w:t>
      </w:r>
      <w:r>
        <w:rPr>
          <w:b/>
        </w:rPr>
        <w:t xml:space="preserve">přičemž </w:t>
      </w:r>
      <w:r>
        <w:rPr>
          <w:b/>
        </w:rPr>
        <w:t xml:space="preserve">vzrostl se třetími zeměmi</w:t>
      </w:r>
      <w:r>
        <w:rPr>
          <w:b/>
        </w:rPr>
        <w:t xml:space="preserve"> a se</w:t>
      </w:r>
      <w:r>
        <w:rPr>
          <w:b/>
        </w:rPr>
        <w:t xml:space="preserve"> zeměmi EU 27 se mírně snížil</w:t>
      </w:r>
      <w:r>
        <w:rPr>
          <w:b/>
        </w:rPr>
        <w:t xml:space="preserve">.</w:t>
      </w:r>
    </w:p>
    <w:p w14:paraId="648FCAFC">
      <w:pPr>
        <w:spacing w:before="240" w:line="276" w:lineRule="auto"/>
        <w:rPr>
          <w:b/>
        </w:rPr>
      </w:pPr>
      <w:r>
        <w:rPr>
          <w:b/>
        </w:rPr>
        <w:t xml:space="preserve">Z</w:t>
      </w:r>
      <w:r>
        <w:rPr>
          <w:b/>
        </w:rPr>
        <w:t xml:space="preserve">áporná bilance AZO ČR se třetími zeměmi se </w:t>
      </w:r>
      <w:r>
        <w:rPr>
          <w:b/>
        </w:rPr>
        <w:t xml:space="preserve">m</w:t>
      </w:r>
      <w:r>
        <w:rPr>
          <w:b/>
        </w:rPr>
        <w:t xml:space="preserve">eziročně zhoršila z</w:t>
      </w:r>
      <w:r>
        <w:rPr>
          <w:b/>
        </w:rPr>
        <w:t xml:space="preserve"> 8,7</w:t>
      </w:r>
      <w:r>
        <w:rPr>
          <w:b/>
        </w:rPr>
        <w:t xml:space="preserve"> mld. Kč na</w:t>
      </w:r>
      <w:r>
        <w:rPr>
          <w:b/>
        </w:rPr>
        <w:t xml:space="preserve"> 12,9 </w:t>
      </w:r>
      <w:r>
        <w:rPr>
          <w:b/>
        </w:rPr>
        <w:t xml:space="preserve">mld. Kč</w:t>
      </w:r>
      <w:r>
        <w:rPr>
          <w:b/>
        </w:rPr>
        <w:t xml:space="preserve">.</w:t>
      </w:r>
      <w:r>
        <w:rPr>
          <w:b/>
        </w:rPr>
        <w:t xml:space="preserve"> </w:t>
      </w:r>
      <w:r>
        <w:rPr>
          <w:b/>
        </w:rPr>
        <w:t xml:space="preserve">S</w:t>
      </w:r>
      <w:r>
        <w:rPr>
          <w:b/>
        </w:rPr>
        <w:t xml:space="preserve">e zeměmi EU-27 se </w:t>
      </w:r>
      <w:r>
        <w:rPr>
          <w:b/>
        </w:rPr>
        <w:t xml:space="preserve">bilance naopak </w:t>
      </w:r>
      <w:r>
        <w:rPr>
          <w:b/>
        </w:rPr>
        <w:t xml:space="preserve">z</w:t>
      </w:r>
      <w:r>
        <w:rPr>
          <w:b/>
        </w:rPr>
        <w:t xml:space="preserve">lepšila, a to</w:t>
      </w:r>
      <w:r>
        <w:rPr>
          <w:b/>
        </w:rPr>
        <w:t xml:space="preserve"> z</w:t>
      </w:r>
      <w:r>
        <w:rPr>
          <w:b/>
        </w:rPr>
        <w:t xml:space="preserve"> 9,4</w:t>
      </w:r>
      <w:r>
        <w:rPr>
          <w:b/>
        </w:rPr>
        <w:t xml:space="preserve"> mld. Kč na</w:t>
      </w:r>
      <w:r>
        <w:rPr>
          <w:b/>
        </w:rPr>
        <w:t xml:space="preserve"> 9 </w:t>
      </w:r>
      <w:r>
        <w:rPr>
          <w:b/>
        </w:rPr>
        <w:t xml:space="preserve">mld.</w:t>
      </w:r>
      <w:r>
        <w:rPr>
          <w:b/>
        </w:rPr>
        <w:t xml:space="preserve"> </w:t>
      </w:r>
      <w:r>
        <w:rPr>
          <w:b/>
        </w:rPr>
        <w:t xml:space="preserve">Kč. Zhoršení salda na straně AZO se třetími zeměmi jde zejména na vrub </w:t>
      </w:r>
      <w:r>
        <w:rPr>
          <w:b/>
        </w:rPr>
        <w:t xml:space="preserve">poklesu vývozu přípravků k výživě zvířat a piva do Ruské federace a </w:t>
      </w:r>
      <w:r>
        <w:rPr>
          <w:b/>
        </w:rPr>
        <w:t xml:space="preserve">nárůstu dovozu čerstvých a chlazených ryb z Norska a </w:t>
      </w:r>
      <w:r>
        <w:rPr>
          <w:b/>
        </w:rPr>
        <w:t xml:space="preserve">slunečnicového oleje</w:t>
      </w:r>
      <w:r>
        <w:rPr>
          <w:b/>
        </w:rPr>
        <w:t xml:space="preserve"> z Ukrajiny.</w:t>
      </w:r>
    </w:p>
    <w:p w14:paraId="7B6B0381">
      <w:pPr>
        <w:spacing w:before="240" w:after="240" w:line="276" w:lineRule="auto"/>
        <w:rPr/>
      </w:pPr>
      <w:r>
        <w:rPr/>
        <w:t xml:space="preserve">Nejvýznamnější </w:t>
      </w:r>
      <w:r>
        <w:rPr>
          <w:b/>
          <w:bCs/>
        </w:rPr>
        <w:t xml:space="preserve">zlepšení bilance v celkovém AZO ČR vykázala </w:t>
      </w:r>
      <w:r>
        <w:rPr/>
        <w:t xml:space="preserve">v prvních šesti měsících roku 2022 </w:t>
      </w:r>
      <w:r>
        <w:rPr>
          <w:b/>
          <w:bCs/>
        </w:rPr>
        <w:t xml:space="preserve">řepková semena, pšenice, mléko a smetana</w:t>
      </w:r>
      <w:r>
        <w:rPr>
          <w:b/>
          <w:bCs/>
        </w:rPr>
        <w:t xml:space="preserve">,</w:t>
      </w:r>
      <w:r>
        <w:rPr>
          <w:b/>
          <w:bCs/>
        </w:rPr>
        <w:t xml:space="preserve"> t</w:t>
      </w:r>
      <w:r>
        <w:rPr>
          <w:b/>
          <w:bCs/>
        </w:rPr>
        <w:t xml:space="preserve">abákové výrobky</w:t>
      </w:r>
      <w:r>
        <w:rPr>
          <w:b/>
          <w:bCs/>
        </w:rPr>
        <w:t xml:space="preserve"> a kukuřice</w:t>
      </w:r>
      <w:r>
        <w:rPr>
          <w:b/>
          <w:bCs/>
        </w:rPr>
        <w:t xml:space="preserve">,</w:t>
      </w:r>
      <w:r>
        <w:rPr/>
        <w:t xml:space="preserve"> meziroční </w:t>
      </w:r>
      <w:r>
        <w:rPr>
          <w:b/>
          <w:bCs/>
        </w:rPr>
        <w:t xml:space="preserve">zhoršení naopak nastalo u cigaret, řepkového oleje, pokrutin</w:t>
      </w:r>
      <w:r>
        <w:rPr>
          <w:b/>
          <w:bCs/>
        </w:rPr>
        <w:t xml:space="preserve">, vepřového masa a tuků a olejů</w:t>
      </w:r>
      <w:r>
        <w:rPr>
          <w:b/>
          <w:bCs/>
        </w:rPr>
        <w:t xml:space="preserve">. </w:t>
      </w:r>
      <w:r>
        <w:rPr/>
        <w:t xml:space="preserve">Detailní přehled nabízí tabulky 2–4.</w:t>
      </w:r>
    </w:p>
    <w:p w14:paraId="53726386">
      <w:pPr>
        <w:spacing w:line="276" w:lineRule="auto"/>
        <w:rPr/>
      </w:pPr>
      <w:r>
        <w:rPr/>
        <w:t xml:space="preserve">Při meziročním nárůstu celkového agrárního exportu ČR v 1.pololetí roku 2022 došlo v zemích, kde působí agrární diplomaté ČR</w:t>
      </w:r>
      <w:r>
        <w:rPr>
          <w:rStyle w:val="Znakapoznpodarou"/>
        </w:rPr>
        <w:footnoteReference w:customMarkFollows="0" w:id="1"/>
      </w:r>
      <w:r>
        <w:rPr/>
        <w:t xml:space="preserve">, převážně k meziročnímu nárůstu agrárního exportu ČR. Nejvíce pak v případě Spojených států o 142,4 %, Japonska o 44,1 %</w:t>
      </w:r>
      <w:r>
        <w:rPr/>
        <w:t xml:space="preserve"> a </w:t>
      </w:r>
      <w:r>
        <w:rPr/>
        <w:t xml:space="preserve">Srbsk</w:t>
      </w:r>
      <w:r>
        <w:rPr/>
        <w:t xml:space="preserve">a</w:t>
      </w:r>
      <w:r>
        <w:rPr/>
        <w:t xml:space="preserve"> 25,7 %</w:t>
      </w:r>
      <w:r>
        <w:rPr/>
        <w:t xml:space="preserve"> </w:t>
      </w:r>
      <w:r>
        <w:rPr/>
        <w:t xml:space="preserve">(ostatní státy –</w:t>
      </w:r>
      <w:r>
        <w:rPr/>
        <w:t xml:space="preserve"> </w:t>
      </w:r>
      <w:r>
        <w:rPr/>
        <w:t xml:space="preserve">Spojené arabské emiráty o 14,8 % a Libanon o 13,4 %). </w:t>
      </w:r>
      <w:r>
        <w:rPr/>
        <w:t xml:space="preserve">Naopak</w:t>
      </w:r>
      <w:r>
        <w:rPr/>
        <w:t xml:space="preserve"> došlo v 1. pololetí roku 2022 (ve srovnání se stejným obdobím roku 2021) k poklesu vývozu agrárního zboží do Číny o 37,3 %. </w:t>
      </w:r>
    </w:p>
    <w:p w14:paraId="77FF749D">
      <w:pPr>
        <w:spacing w:line="276" w:lineRule="auto"/>
        <w:rPr/>
      </w:pPr>
    </w:p>
    <w:p w14:paraId="6660E8AA">
      <w:pPr>
        <w:spacing w:before="240" w:after="240"/>
        <w:rPr>
          <w:b/>
          <w:u w:val="single"/>
        </w:rPr>
      </w:pPr>
      <w:r>
        <w:rPr>
          <w:b/>
          <w:u w:val="single"/>
        </w:rPr>
        <w:t xml:space="preserve">TERITORIÁLNÍ POHLED</w:t>
      </w:r>
    </w:p>
    <w:p w14:paraId="2ECAAB8F">
      <w:pPr>
        <w:spacing w:line="276" w:lineRule="auto"/>
        <w:rPr/>
      </w:pPr>
      <w:r>
        <w:rPr/>
        <w:t xml:space="preserve">Agrární zboží </w:t>
      </w:r>
      <w:r>
        <w:rPr>
          <w:b/>
        </w:rPr>
        <w:t xml:space="preserve">směřovalo </w:t>
      </w:r>
      <w:r>
        <w:rPr/>
        <w:t xml:space="preserve">v prvních šesti měsících roku 2022 zejména do </w:t>
      </w:r>
      <w:r>
        <w:rPr>
          <w:b/>
        </w:rPr>
        <w:t xml:space="preserve">Německa</w:t>
      </w:r>
      <w:r>
        <w:rPr/>
        <w:t xml:space="preserve"> (25,4 %) a na </w:t>
      </w:r>
      <w:r>
        <w:rPr>
          <w:b/>
        </w:rPr>
        <w:t xml:space="preserve">Slovensko</w:t>
      </w:r>
      <w:r>
        <w:rPr/>
        <w:t xml:space="preserve"> (20,2 %). Třetí nejvýznamnější destinací zůstalo </w:t>
      </w:r>
      <w:r>
        <w:rPr>
          <w:b/>
        </w:rPr>
        <w:t xml:space="preserve">Polsko</w:t>
      </w:r>
      <w:r>
        <w:rPr/>
        <w:t xml:space="preserve"> (10,1 %). Dále následovaly </w:t>
      </w:r>
      <w:r>
        <w:rPr>
          <w:b/>
        </w:rPr>
        <w:t xml:space="preserve">Rakousko</w:t>
      </w:r>
      <w:r>
        <w:rPr/>
        <w:t xml:space="preserve"> (6,4 %), </w:t>
      </w:r>
      <w:r>
        <w:rPr>
          <w:b/>
        </w:rPr>
        <w:t xml:space="preserve">Itálie</w:t>
      </w:r>
      <w:r>
        <w:rPr/>
        <w:t xml:space="preserve"> (5,2 %) a </w:t>
      </w:r>
      <w:r>
        <w:rPr>
          <w:b/>
        </w:rPr>
        <w:t xml:space="preserve">Maďarsko</w:t>
      </w:r>
      <w:r>
        <w:rPr/>
        <w:t xml:space="preserve"> (4,2 </w:t>
      </w:r>
      <w:r>
        <w:rPr/>
        <w:t xml:space="preserve">%). Hlavním odběratelem v rámci třetích zemí byly Spojené království (2,0 %), Rusko (0,9 %), USA (0,8 %), Japonsko a Ukrajina (shodně 0,7 %), Egypt (0,4 %) a Švýcarsko (0,3 %).</w:t>
      </w:r>
    </w:p>
    <w:p w14:paraId="302452B5">
      <w:pPr>
        <w:spacing w:line="276" w:lineRule="auto"/>
        <w:rPr/>
      </w:pPr>
      <w:r>
        <w:rPr/>
        <w:t xml:space="preserve">Český agrární </w:t>
      </w:r>
      <w:r>
        <w:rPr>
          <w:b/>
        </w:rPr>
        <w:t xml:space="preserve">dovoz</w:t>
      </w:r>
      <w:r>
        <w:rPr/>
        <w:t xml:space="preserve"> pocházel v 1. pololetí roku 2022 zejména z </w:t>
      </w:r>
      <w:r>
        <w:rPr>
          <w:b/>
        </w:rPr>
        <w:t xml:space="preserve">Německa</w:t>
      </w:r>
      <w:r>
        <w:rPr/>
        <w:t xml:space="preserve"> a </w:t>
      </w:r>
      <w:r>
        <w:rPr>
          <w:b/>
        </w:rPr>
        <w:t xml:space="preserve">Polska</w:t>
      </w:r>
      <w:r>
        <w:rPr/>
        <w:t xml:space="preserve">, jejichž podíly činily 19,5 % a </w:t>
      </w:r>
      <w:r>
        <w:rPr/>
        <w:t xml:space="preserve">15</w:t>
      </w:r>
      <w:r>
        <w:rPr/>
        <w:t xml:space="preserve">,4 %. </w:t>
      </w:r>
      <w:r>
        <w:rPr/>
        <w:t xml:space="preserve">Dalšími významnými dovozci byly </w:t>
      </w:r>
      <w:r>
        <w:rPr>
          <w:b/>
          <w:bCs/>
        </w:rPr>
        <w:t xml:space="preserve">Nizozemsko</w:t>
      </w:r>
      <w:r>
        <w:rPr/>
        <w:t xml:space="preserve"> a </w:t>
      </w:r>
      <w:r>
        <w:rPr>
          <w:b/>
          <w:bCs/>
        </w:rPr>
        <w:t xml:space="preserve">Itálie</w:t>
      </w:r>
      <w:r>
        <w:rPr/>
        <w:t xml:space="preserve"> (shodně 6,9 %), </w:t>
      </w:r>
      <w:r>
        <w:rPr>
          <w:b/>
          <w:bCs/>
        </w:rPr>
        <w:t xml:space="preserve">Slovensko</w:t>
      </w:r>
      <w:r>
        <w:rPr/>
        <w:t xml:space="preserve"> (6,8 %), </w:t>
      </w:r>
      <w:r>
        <w:rPr>
          <w:b/>
          <w:bCs/>
        </w:rPr>
        <w:t xml:space="preserve">Španělsko</w:t>
      </w:r>
      <w:r>
        <w:rPr/>
        <w:t xml:space="preserve"> (6,7 %) a </w:t>
      </w:r>
      <w:r>
        <w:rPr>
          <w:b/>
          <w:bCs/>
        </w:rPr>
        <w:t xml:space="preserve">Maďarsko</w:t>
      </w:r>
      <w:r>
        <w:rPr/>
        <w:t xml:space="preserve"> (4,5 </w:t>
      </w:r>
      <w:r>
        <w:rPr/>
        <w:t xml:space="preserve">%).</w:t>
      </w:r>
      <w:r>
        <w:rPr>
          <w:color w:val="FF0000"/>
        </w:rPr>
        <w:t xml:space="preserve"> </w:t>
      </w:r>
      <w:r>
        <w:rPr/>
        <w:t xml:space="preserve">Z třetích zemí byly hlavními dodavateli Čína (1,5 %), Norsko (1,3 %), Ukrajina (1,2 %), Spojené království (1,1 %), Turecko (0,9 %), Spojené státy a Brazílie (shodně 0,8 %).</w:t>
      </w:r>
    </w:p>
    <w:p w14:paraId="4D460CEF">
      <w:pPr>
        <w:spacing w:line="276" w:lineRule="auto"/>
        <w:rPr/>
      </w:pPr>
    </w:p>
    <w:p w14:paraId="7C85C7B6">
      <w:pPr>
        <w:spacing w:line="276" w:lineRule="auto"/>
        <w:rPr/>
      </w:pPr>
      <w:r>
        <w:rPr/>
        <w:t xml:space="preserve">K nejvýraznějšímu meziročnímu </w:t>
      </w:r>
      <w:r>
        <w:rPr>
          <w:b/>
        </w:rPr>
        <w:t xml:space="preserve">zlepšení bilance českého AZO v</w:t>
      </w:r>
      <w:r>
        <w:rPr/>
        <w:t xml:space="preserve"> </w:t>
      </w:r>
      <w:r>
        <w:rPr>
          <w:b/>
        </w:rPr>
        <w:t xml:space="preserve">teritoriálním pohledu</w:t>
      </w:r>
      <w:r>
        <w:rPr/>
        <w:t xml:space="preserve"> došlo v 1. pololetí roku 2022 v obchodě s </w:t>
      </w:r>
      <w:r>
        <w:rPr/>
        <w:t xml:space="preserve">Německem</w:t>
      </w:r>
      <w:r>
        <w:rPr/>
        <w:t xml:space="preserve"> </w:t>
      </w:r>
      <w:r>
        <w:rPr/>
        <w:t xml:space="preserve">(</w:t>
      </w:r>
      <w:r>
        <w:rPr/>
        <w:t xml:space="preserve">o 7,2 mld. Kč</w:t>
      </w:r>
      <w:r>
        <w:rPr/>
        <w:t xml:space="preserve">)</w:t>
      </w:r>
      <w:r>
        <w:rPr/>
        <w:t xml:space="preserve">,</w:t>
      </w:r>
      <w:r>
        <w:rPr/>
        <w:t xml:space="preserve"> kdy došlo ke změně záporné bilance na kladnou </w:t>
      </w:r>
      <w:r>
        <w:rPr/>
        <w:t xml:space="preserve">(zejména výraznějším zvýšením vývozu řepkových semen, pšenice a</w:t>
      </w:r>
      <w:r>
        <w:rPr/>
        <w:t xml:space="preserve"> </w:t>
      </w:r>
      <w:r>
        <w:rPr/>
        <w:t xml:space="preserve">mléka a smetany</w:t>
      </w:r>
      <w:r>
        <w:rPr/>
        <w:t xml:space="preserve">, na druhé straně snížením dovozu ostatní zeleniny, citrusových plodů, ostatního ovoce a vinných </w:t>
      </w:r>
      <w:r>
        <w:rPr/>
        <w:t xml:space="preserve">hroznů</w:t>
      </w:r>
      <w:r>
        <w:rPr/>
        <w:t xml:space="preserve">, a to jak čerstvých tak sušených</w:t>
      </w:r>
      <w:r>
        <w:rPr/>
        <w:t xml:space="preserve">), Slovenskem</w:t>
      </w:r>
      <w:r>
        <w:rPr/>
        <w:t xml:space="preserve"> (nárůst kladné bilance o 1,4 mld. Kč), </w:t>
      </w:r>
      <w:r>
        <w:rPr/>
        <w:t xml:space="preserve">Rakouskem (nárůst kladné bilance o 1,04 mld. Kč) a Spojenými státy (zlepšení záporné bilance o 462,2 mil. Kč</w:t>
      </w:r>
      <w:r>
        <w:rPr/>
        <w:t xml:space="preserve">). </w:t>
      </w:r>
      <w:r>
        <w:rPr/>
        <w:t xml:space="preserve">Významnější </w:t>
      </w:r>
      <w:r>
        <w:rPr>
          <w:b/>
          <w:bCs/>
        </w:rPr>
        <w:t xml:space="preserve">z</w:t>
      </w:r>
      <w:r>
        <w:rPr>
          <w:b/>
        </w:rPr>
        <w:t xml:space="preserve">horšení bilance</w:t>
      </w:r>
      <w:r>
        <w:rPr/>
        <w:t xml:space="preserve"> zaznamenal </w:t>
      </w:r>
      <w:r>
        <w:rPr/>
        <w:t xml:space="preserve">zejména</w:t>
      </w:r>
      <w:r>
        <w:rPr/>
        <w:t xml:space="preserve"> </w:t>
      </w:r>
      <w:r>
        <w:rPr/>
        <w:t xml:space="preserve">obchod </w:t>
      </w:r>
      <w:r>
        <w:rPr/>
        <w:t xml:space="preserve">s Itálií (</w:t>
      </w:r>
      <w:r>
        <w:rPr/>
        <w:t xml:space="preserve">zhoršení záporné bilance o 3,3 mld. Kč</w:t>
      </w:r>
      <w:r>
        <w:rPr/>
        <w:t xml:space="preserve">,</w:t>
      </w:r>
      <w:r>
        <w:rPr/>
        <w:t xml:space="preserve"> </w:t>
      </w:r>
      <w:r>
        <w:rPr/>
        <w:t xml:space="preserve">především poklesem vývozu cigaret), dále pak Španělskem</w:t>
      </w:r>
      <w:r>
        <w:rPr/>
        <w:t xml:space="preserve"> (o 2,2 mld. Kč), Polskem (o </w:t>
      </w:r>
      <w:r>
        <w:rPr/>
        <w:t xml:space="preserve">1,</w:t>
      </w:r>
      <w:r>
        <w:rPr/>
        <w:t xml:space="preserve">7 ml</w:t>
      </w:r>
      <w:r>
        <w:rPr/>
        <w:t xml:space="preserve">d</w:t>
      </w:r>
      <w:r>
        <w:rPr/>
        <w:t xml:space="preserve">. Kč)</w:t>
      </w:r>
      <w:r>
        <w:rPr/>
        <w:t xml:space="preserve"> a Ruskem (snížení kladné bilance o 1,2 mld. Kč).</w:t>
      </w:r>
    </w:p>
    <w:p w14:paraId="334B88C7">
      <w:pPr>
        <w:spacing w:line="276" w:lineRule="auto"/>
        <w:ind w:firstLine="708"/>
        <w:rPr/>
      </w:pPr>
    </w:p>
    <w:p w14:paraId="57807F9C">
      <w:pPr>
        <w:spacing w:line="276" w:lineRule="auto"/>
        <w:ind w:firstLine="708"/>
        <w:rPr/>
      </w:pPr>
    </w:p>
    <w:p w14:paraId="73CB1747">
      <w:pPr>
        <w:spacing w:after="240"/>
        <w:rPr>
          <w:b/>
          <w:u w:val="single"/>
        </w:rPr>
      </w:pPr>
      <w:r>
        <w:rPr>
          <w:b/>
          <w:u w:val="single"/>
        </w:rPr>
        <w:t xml:space="preserve">KOMODITNÍ POHLED</w:t>
      </w:r>
    </w:p>
    <w:p w14:paraId="5148E897">
      <w:pPr>
        <w:spacing w:line="276" w:lineRule="auto"/>
        <w:rPr/>
      </w:pPr>
      <w:r>
        <w:rPr/>
        <w:t xml:space="preserve">Nejvíce</w:t>
      </w:r>
      <w:r>
        <w:rPr>
          <w:b/>
        </w:rPr>
        <w:t xml:space="preserve"> vyváženými </w:t>
      </w:r>
      <w:r>
        <w:rPr/>
        <w:t xml:space="preserve">českými agrárními</w:t>
      </w:r>
      <w:r>
        <w:rPr>
          <w:b/>
        </w:rPr>
        <w:t xml:space="preserve"> </w:t>
      </w:r>
      <w:r>
        <w:rPr/>
        <w:t xml:space="preserve">položkami</w:t>
      </w:r>
      <w:r>
        <w:rPr>
          <w:rStyle w:val="Znakapoznpodarou"/>
        </w:rPr>
        <w:footnoteReference w:customMarkFollows="0" w:id="2"/>
      </w:r>
      <w:r>
        <w:rPr/>
        <w:t xml:space="preserve"> byly v 1. pololetí roku 2022 </w:t>
      </w:r>
      <w:r>
        <w:rPr>
          <w:b/>
        </w:rPr>
        <w:t xml:space="preserve">přípravky k výživě zvířat, pšenice, potravinové přípravky jiné</w:t>
      </w:r>
      <w:r>
        <w:rPr>
          <w:rStyle w:val="Znakapoznpodarou"/>
          <w:b/>
        </w:rPr>
        <w:footnoteReference w:customMarkFollows="0" w:id="3"/>
      </w:r>
      <w:r>
        <w:rPr/>
        <w:t xml:space="preserve">, </w:t>
      </w:r>
      <w:r>
        <w:rPr>
          <w:b/>
        </w:rPr>
        <w:t xml:space="preserve">pekařské zboží a cigarety. </w:t>
      </w:r>
      <w:r>
        <w:rPr/>
        <w:t xml:space="preserve">Hlavními </w:t>
      </w:r>
      <w:r>
        <w:rPr>
          <w:b/>
        </w:rPr>
        <w:t xml:space="preserve">dováženými </w:t>
      </w:r>
      <w:r>
        <w:rPr/>
        <w:t xml:space="preserve">agrárními</w:t>
      </w:r>
      <w:r>
        <w:rPr>
          <w:b/>
        </w:rPr>
        <w:t xml:space="preserve"> </w:t>
      </w:r>
      <w:r>
        <w:rPr/>
        <w:t xml:space="preserve">produkty do ČR byly </w:t>
      </w:r>
      <w:r>
        <w:rPr>
          <w:b/>
        </w:rPr>
        <w:t xml:space="preserve">vepřové maso</w:t>
      </w:r>
      <w:r>
        <w:rPr/>
        <w:t xml:space="preserve">, </w:t>
      </w:r>
      <w:r>
        <w:rPr>
          <w:b/>
        </w:rPr>
        <w:t xml:space="preserve">pekařské zboží, potravinové přípravky jiné, přípravky k výživě zvířat a sýry a tvaroh. </w:t>
      </w:r>
      <w:r>
        <w:rPr/>
        <w:t xml:space="preserve">Detailnější údaje o nejvíce vyvážených a dovážených agrárních položkách ve sledovaném období uvádí tabulka 1.</w:t>
      </w:r>
    </w:p>
    <w:p w14:paraId="679FCE28">
      <w:pPr>
        <w:spacing/>
        <w:rPr>
          <w:szCs w:val="22"/>
        </w:rPr>
      </w:pPr>
    </w:p>
    <w:p w14:paraId="22B0D5AA">
      <w:pPr>
        <w:spacing/>
        <w:jc w:val="left"/>
        <w:rPr>
          <w:szCs w:val="22"/>
        </w:rPr>
      </w:pPr>
      <w:r>
        <w:rPr>
          <w:szCs w:val="22"/>
        </w:rPr>
        <w:br w:type="page"/>
      </w:r>
    </w:p>
    <w:p w14:paraId="3A1BA5C7">
      <w:pPr>
        <w:spacing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lang w:eastAsia="cs-CZ"/>
        </w:rPr>
        <w:t xml:space="preserve">Tabulka 1 – Přehled 10 nejvíce z ČR vyvážených a do ČR dovážených položek v 1. pololetí roku 2022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867"/>
        <w:gridCol w:w="727"/>
        <w:gridCol w:w="798"/>
        <w:gridCol w:w="2001"/>
        <w:gridCol w:w="844"/>
        <w:gridCol w:w="845"/>
        <w:gridCol w:w="844"/>
      </w:tblGrid>
      <w:tr>
        <w:trPr>
          <w:trHeight w:val="1068" w:hRule="atLeast"/>
        </w:trPr>
        <w:tc>
          <w:tcPr>
            <w:tcW w:type="pct" w:w="116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48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Hodnota vývozu (mld. Kč)</w:t>
            </w:r>
          </w:p>
        </w:tc>
        <w:tc>
          <w:tcPr>
            <w:tcW w:type="pct" w:w="40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na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agrár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vývozu (%)</w:t>
            </w:r>
          </w:p>
        </w:tc>
        <w:tc>
          <w:tcPr>
            <w:tcW w:type="pct" w:w="441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Změna proti 1. pol. 2021 (%)</w:t>
            </w:r>
          </w:p>
        </w:tc>
        <w:tc>
          <w:tcPr>
            <w:tcW w:type="pct" w:w="110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46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Hodnota dovozu (mld. Kč)</w:t>
            </w:r>
          </w:p>
        </w:tc>
        <w:tc>
          <w:tcPr>
            <w:tcW w:type="pct" w:w="467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na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agrár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dovozu (%)</w:t>
            </w:r>
          </w:p>
        </w:tc>
        <w:tc>
          <w:tcPr>
            <w:tcW w:type="pct" w:w="467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F2F2F2" w:color="auto" w:val="clear"/>
            <w:tcMar>
              <w:left w:w="0" w:type="dxa"/>
              <w:right w:w="0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Změna proti </w:t>
            </w:r>
          </w:p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</w:t>
            </w:r>
          </w:p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2021 (%)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Přípravky k výživě zvířat</w:t>
            </w:r>
          </w:p>
        </w:tc>
        <w:tc>
          <w:tcPr>
            <w:tcW w:type="pct" w:w="48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8,7</w:t>
            </w:r>
          </w:p>
        </w:tc>
        <w:tc>
          <w:tcPr>
            <w:tcW w:type="pct" w:w="40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7,6</w:t>
            </w:r>
          </w:p>
        </w:tc>
        <w:tc>
          <w:tcPr>
            <w:tcW w:type="pct" w:w="441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8,3</w:t>
            </w:r>
          </w:p>
        </w:tc>
        <w:tc>
          <w:tcPr>
            <w:tcW w:type="pct" w:w="110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Vepřové maso</w:t>
            </w:r>
          </w:p>
        </w:tc>
        <w:tc>
          <w:tcPr>
            <w:tcW w:type="pct" w:w="46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8,1</w:t>
            </w:r>
          </w:p>
        </w:tc>
        <w:tc>
          <w:tcPr>
            <w:tcW w:type="pct" w:w="467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5,6</w:t>
            </w:r>
          </w:p>
        </w:tc>
        <w:tc>
          <w:tcPr>
            <w:tcW w:type="pct" w:w="467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12,3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 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5,8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6,5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38,7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Pekařské zboží, pečivo, oplatky apod.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6,2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4,3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16,6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6,4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5,6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8,2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6,0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4,2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7,0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Pekařské zboží, pečivo, oplatky apod.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5,6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5,3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15,6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Přípravky k výživě zvířat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5,9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4,1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11,2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Cigarety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7,7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5,1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-17,9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Sýry a tvaroh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5,9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4,1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18,1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Mléko a smetana nezahuštěná neslazená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4,2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4,6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33,3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Čokoláda a ostatní kakaové přípravky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4,8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3,3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10,6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Řepková semena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1,9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4,3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186,9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Cigarety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3,6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2,5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6,1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Sýry a tvaroh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3,1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3,2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25,6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Káva 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3,5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2,5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33,2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Pivo 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3,6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2,9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2,0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Drůbeží maso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3,3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2,3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27,8</w:t>
            </w:r>
          </w:p>
        </w:tc>
      </w:tr>
      <w:tr>
        <w:trPr>
          <w:trHeight w:val="397" w:hRule="atLeast"/>
        </w:trPr>
        <w:tc>
          <w:tcPr>
            <w:tcW w:type="pct" w:w="116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Čokoláda a ostatní kakaové přípravky</w:t>
            </w:r>
          </w:p>
        </w:tc>
        <w:tc>
          <w:tcPr>
            <w:tcW w:type="pct" w:w="480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3,0</w:t>
            </w:r>
          </w:p>
        </w:tc>
        <w:tc>
          <w:tcPr>
            <w:tcW w:type="pct" w:w="402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2,8</w:t>
            </w:r>
          </w:p>
        </w:tc>
        <w:tc>
          <w:tcPr>
            <w:tcW w:type="pct" w:w="441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16,5</w:t>
            </w:r>
          </w:p>
        </w:tc>
        <w:tc>
          <w:tcPr>
            <w:tcW w:type="pct" w:w="1107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Víno </w:t>
            </w:r>
          </w:p>
        </w:tc>
        <w:tc>
          <w:tcPr>
            <w:tcW w:type="pct" w:w="467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2,7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1,9</w:t>
            </w:r>
          </w:p>
        </w:tc>
        <w:tc>
          <w:tcPr>
            <w:tcW w:type="pct" w:w="467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-3,8</w:t>
            </w:r>
          </w:p>
        </w:tc>
      </w:tr>
    </w:tbl>
    <w:p w14:paraId="1B731F70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</w:t>
      </w:r>
    </w:p>
    <w:p w14:paraId="2A89C575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</w:t>
      </w:r>
    </w:p>
    <w:p w14:paraId="0268F512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0F8E65AB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44D13353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Tabulka 2 – Přehled 10 položek s nejvýraznější kladnou a zápornou změnou bilance v 1. pololetí roku 2022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761"/>
        <w:gridCol w:w="763"/>
        <w:gridCol w:w="964"/>
        <w:gridCol w:w="1951"/>
        <w:gridCol w:w="756"/>
        <w:gridCol w:w="758"/>
        <w:gridCol w:w="962"/>
      </w:tblGrid>
      <w:tr>
        <w:trPr>
          <w:trHeight w:val="300" w:hRule="atLeast"/>
        </w:trPr>
        <w:tc>
          <w:tcPr>
            <w:tcW w:type="pct" w:w="1175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843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Bilance (mil. Kč)</w:t>
            </w:r>
          </w:p>
        </w:tc>
        <w:tc>
          <w:tcPr>
            <w:tcW w:type="pct" w:w="53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Meziroční změna (mil. Kč)</w:t>
            </w:r>
          </w:p>
        </w:tc>
        <w:tc>
          <w:tcPr>
            <w:tcW w:type="pct" w:w="1079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837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Bilance (mil. Kč)</w:t>
            </w:r>
          </w:p>
        </w:tc>
        <w:tc>
          <w:tcPr>
            <w:tcW w:type="pct" w:w="53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Meziroční změna (mil. Kč)</w:t>
            </w:r>
          </w:p>
        </w:tc>
      </w:tr>
      <w:tr>
        <w:trPr>
          <w:trHeight w:val="555" w:hRule="atLeast"/>
        </w:trPr>
        <w:tc>
          <w:tcPr>
            <w:tcW w:type="pct" w:w="1175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2021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2022</w:t>
            </w:r>
          </w:p>
        </w:tc>
        <w:tc>
          <w:tcPr>
            <w:tcW w:type="pct" w:w="533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1079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2021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2022</w:t>
            </w:r>
          </w:p>
        </w:tc>
        <w:tc>
          <w:tcPr>
            <w:tcW w:type="pct" w:w="53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Řepková semena</w:t>
            </w:r>
          </w:p>
        </w:tc>
        <w:tc>
          <w:tcPr>
            <w:tcW w:type="pct" w:w="4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403,7</w:t>
            </w:r>
          </w:p>
        </w:tc>
        <w:tc>
          <w:tcPr>
            <w:tcW w:type="pct" w:w="421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3 420,4</w:t>
            </w:r>
          </w:p>
        </w:tc>
        <w:tc>
          <w:tcPr>
            <w:tcW w:type="pct" w:w="533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3 016,7</w:t>
            </w:r>
          </w:p>
        </w:tc>
        <w:tc>
          <w:tcPr>
            <w:tcW w:type="pct" w:w="107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Cigarety</w:t>
            </w:r>
          </w:p>
        </w:tc>
        <w:tc>
          <w:tcPr>
            <w:tcW w:type="pct" w:w="41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4 252,7</w:t>
            </w:r>
          </w:p>
        </w:tc>
        <w:tc>
          <w:tcPr>
            <w:tcW w:type="pct" w:w="419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2 676,4</w:t>
            </w:r>
          </w:p>
        </w:tc>
        <w:tc>
          <w:tcPr>
            <w:tcW w:type="pct" w:w="53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-1 576,3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5 624,0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7 772,4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2 148,4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Řepkový olej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3 281,6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1 957,3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-1 324,3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Mléko a smetana nezahuštěná neslazená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3 720,0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5 102,3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1 382,3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abák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ové výrobky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určené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 vdechování*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0,0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-1 115,2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-1 115,2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Tabákové výrobky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náhražky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-1 079,2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97,7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1 176,9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Pokrutiny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1 342,9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405,3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-937,6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Kukuřice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183,2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667,4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484,3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Tuky a oleje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-530,1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-1 393,4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-863,4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Cukr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875,7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1 296,8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421,2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Vepřové maso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-6 478,7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-7 301,9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-823,2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Živý skot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1 758,4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2 144,2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385,9</w:t>
            </w:r>
          </w:p>
        </w:tc>
        <w:tc>
          <w:tcPr>
            <w:tcW w:type="pct" w:w="107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Slunečnicová semena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-706,2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-1 384,0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-677,7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olejnatá semena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437,0</w:t>
            </w:r>
          </w:p>
        </w:tc>
        <w:tc>
          <w:tcPr>
            <w:tcW w:type="pct" w:w="4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720,0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283,0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Káva 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-870,7</w:t>
            </w:r>
          </w:p>
        </w:tc>
        <w:tc>
          <w:tcPr>
            <w:tcW w:type="pct" w:w="4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-1 334,0</w:t>
            </w:r>
          </w:p>
        </w:tc>
        <w:tc>
          <w:tcPr>
            <w:tcW w:type="pct" w:w="53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-463,3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Tuky a oleje</w:t>
            </w:r>
          </w:p>
        </w:tc>
        <w:tc>
          <w:tcPr>
            <w:tcW w:type="pct" w:w="421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-99,8</w:t>
            </w:r>
          </w:p>
        </w:tc>
        <w:tc>
          <w:tcPr>
            <w:tcW w:type="pct" w:w="421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153,8</w:t>
            </w:r>
          </w:p>
        </w:tc>
        <w:tc>
          <w:tcPr>
            <w:tcW w:type="pct" w:w="533"/>
            <w:tcBorders>
              <w:top w:val="nil"/>
              <w:left w:val="nil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253,6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Slunečnicový olej</w:t>
            </w:r>
          </w:p>
        </w:tc>
        <w:tc>
          <w:tcPr>
            <w:tcW w:type="pct" w:w="418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457,8</w:t>
            </w:r>
          </w:p>
        </w:tc>
        <w:tc>
          <w:tcPr>
            <w:tcW w:type="pct" w:w="419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14,2</w:t>
            </w:r>
          </w:p>
        </w:tc>
        <w:tc>
          <w:tcPr>
            <w:tcW w:type="pct" w:w="532"/>
            <w:tcBorders>
              <w:top w:val="nil"/>
              <w:left w:val="nil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-443,6</w:t>
            </w:r>
          </w:p>
        </w:tc>
      </w:tr>
      <w:tr>
        <w:trPr>
          <w:trHeight w:val="397" w:hRule="atLeast"/>
        </w:trPr>
        <w:tc>
          <w:tcPr>
            <w:tcW w:type="pct" w:w="117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Živá drůbež</w:t>
            </w:r>
          </w:p>
        </w:tc>
        <w:tc>
          <w:tcPr>
            <w:tcW w:type="pct" w:w="42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599,3</w:t>
            </w:r>
          </w:p>
        </w:tc>
        <w:tc>
          <w:tcPr>
            <w:tcW w:type="pct" w:w="421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816,5</w:t>
            </w:r>
          </w:p>
        </w:tc>
        <w:tc>
          <w:tcPr>
            <w:tcW w:type="pct" w:w="533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217,2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Ječmen</w:t>
            </w:r>
          </w:p>
        </w:tc>
        <w:tc>
          <w:tcPr>
            <w:tcW w:type="pct" w:w="41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1 359,6</w:t>
            </w:r>
          </w:p>
        </w:tc>
        <w:tc>
          <w:tcPr>
            <w:tcW w:type="pct" w:w="419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936,1</w:t>
            </w:r>
          </w:p>
        </w:tc>
        <w:tc>
          <w:tcPr>
            <w:tcW w:type="pct" w:w="53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-423,5</w:t>
            </w:r>
          </w:p>
        </w:tc>
      </w:tr>
    </w:tbl>
    <w:p w14:paraId="139489D0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  <w:r>
        <w:rPr>
          <w:rFonts w:cs="Arial"/>
          <w:b w:val="0"/>
          <w:szCs w:val="16"/>
        </w:rPr>
        <w:t xml:space="preserve">* - </w:t>
      </w:r>
      <w:r>
        <w:rPr>
          <w:rFonts w:cs="Arial"/>
          <w:b w:val="0"/>
          <w:szCs w:val="16"/>
        </w:rPr>
        <w:t xml:space="preserve">Výrobky obsahující tabák, určené k vdechování (HS 2404) - od roku 2022 nová položka v celním sazebníku.</w:t>
      </w:r>
    </w:p>
    <w:p w14:paraId="44779D3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</w:t>
      </w:r>
    </w:p>
    <w:p w14:paraId="3BD75113">
      <w:pPr>
        <w:keepNext/>
        <w:spacing w:before="240"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lang w:eastAsia="cs-CZ"/>
        </w:rPr>
        <w:t xml:space="preserve">Tabulka 3 – Přehled 10 položek s nejvýraznější kladnou a zápornou změnou bilance se zeměmi EU 27 v 1. pololetí roku 2022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0"/>
        <w:gridCol w:w="741"/>
        <w:gridCol w:w="741"/>
        <w:gridCol w:w="964"/>
        <w:gridCol w:w="1951"/>
        <w:gridCol w:w="745"/>
        <w:gridCol w:w="866"/>
        <w:gridCol w:w="962"/>
      </w:tblGrid>
      <w:tr>
        <w:trPr>
          <w:trHeight w:val="450" w:hRule="atLeast"/>
        </w:trPr>
        <w:tc>
          <w:tcPr>
            <w:tcW w:type="pct" w:w="1145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820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Bilance (mil. Kč)</w:t>
            </w:r>
          </w:p>
        </w:tc>
        <w:tc>
          <w:tcPr>
            <w:tcW w:type="pct" w:w="53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Meziroční změna (mil. Kč)</w:t>
            </w:r>
          </w:p>
        </w:tc>
        <w:tc>
          <w:tcPr>
            <w:tcW w:type="pct" w:w="1079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890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Bilance (mil. Kč)</w:t>
            </w:r>
          </w:p>
        </w:tc>
        <w:tc>
          <w:tcPr>
            <w:tcW w:type="pct" w:w="53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fill="F2F2F2" w:color="auto" w:val="clear"/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Meziroční změna (mil. Kč)</w:t>
            </w:r>
          </w:p>
        </w:tc>
      </w:tr>
      <w:tr>
        <w:trPr>
          <w:trHeight w:val="525" w:hRule="atLeast"/>
        </w:trPr>
        <w:tc>
          <w:tcPr>
            <w:tcW w:type="pct" w:w="1145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2021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2022</w:t>
            </w:r>
          </w:p>
        </w:tc>
        <w:tc>
          <w:tcPr>
            <w:tcW w:type="pct" w:w="533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1079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2021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2022</w:t>
            </w:r>
          </w:p>
        </w:tc>
        <w:tc>
          <w:tcPr>
            <w:tcW w:type="pct" w:w="533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Řepková semena</w:t>
            </w:r>
          </w:p>
        </w:tc>
        <w:tc>
          <w:tcPr>
            <w:tcW w:type="pct" w:w="41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493,8</w:t>
            </w:r>
          </w:p>
        </w:tc>
        <w:tc>
          <w:tcPr>
            <w:tcW w:type="pct" w:w="410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3 554,3</w:t>
            </w:r>
          </w:p>
        </w:tc>
        <w:tc>
          <w:tcPr>
            <w:tcW w:type="pct" w:w="533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3 060,5</w:t>
            </w:r>
          </w:p>
        </w:tc>
        <w:tc>
          <w:tcPr>
            <w:tcW w:type="pct" w:w="107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Cigarety</w:t>
            </w:r>
          </w:p>
        </w:tc>
        <w:tc>
          <w:tcPr>
            <w:tcW w:type="pct" w:w="41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4 267,4</w:t>
            </w:r>
          </w:p>
        </w:tc>
        <w:tc>
          <w:tcPr>
            <w:tcW w:type="pct" w:w="479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2 541,0</w:t>
            </w:r>
          </w:p>
        </w:tc>
        <w:tc>
          <w:tcPr>
            <w:tcW w:type="pct" w:w="533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-1 726,4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5 629,1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7 647,4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2 018,4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Řepkový olej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3 274,6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2 128,1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-1 146,5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Mléko a smetana nezahuštěná neslazená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3 700,8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5 081,3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1 380,5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Tabákové výrobky určené k vdechování*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0,0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-1 055,5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-1 055,5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Přípravky k výživě zvířat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2 221,8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2 962,8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740,9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Pokrutiny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1 365,8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439,8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-926,1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Tabákové výrobky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a 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náhražky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-1 052,2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-412,7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639,5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Vepřové maso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-6 462,3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-7 203,1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-740,8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Živý skot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1 364,0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1 980,6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616,6</w:t>
            </w:r>
          </w:p>
        </w:tc>
        <w:tc>
          <w:tcPr>
            <w:tcW w:type="pct" w:w="107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Tuky a oleje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-379,2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-1 094,9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-715,6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Kukuřice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189,7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731,0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541,3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Slunečnicová semena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-620,3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-1 228,6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-608,4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Cukr 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1 042,8</w:t>
            </w:r>
          </w:p>
        </w:tc>
        <w:tc>
          <w:tcPr>
            <w:tcW w:type="pct" w:w="4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1 492,3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449,5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Ethylalkohol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nedenatur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nad 80 %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259,1</w:t>
            </w:r>
          </w:p>
        </w:tc>
        <w:tc>
          <w:tcPr>
            <w:tcW w:type="pct" w:w="47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-337,8</w:t>
            </w:r>
          </w:p>
        </w:tc>
        <w:tc>
          <w:tcPr>
            <w:tcW w:type="pct" w:w="53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-596,9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olejnaté plody</w:t>
            </w:r>
          </w:p>
        </w:tc>
        <w:tc>
          <w:tcPr>
            <w:tcW w:type="pct" w:w="410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319,4</w:t>
            </w:r>
          </w:p>
        </w:tc>
        <w:tc>
          <w:tcPr>
            <w:tcW w:type="pct" w:w="410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656,6</w:t>
            </w:r>
          </w:p>
        </w:tc>
        <w:tc>
          <w:tcPr>
            <w:tcW w:type="pct" w:w="533"/>
            <w:tcBorders>
              <w:top w:val="nil"/>
              <w:left w:val="nil"/>
              <w:bottom w:val="nil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337,3</w:t>
            </w:r>
          </w:p>
        </w:tc>
        <w:tc>
          <w:tcPr>
            <w:tcW w:type="pct" w:w="1079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Ječmen</w:t>
            </w:r>
          </w:p>
        </w:tc>
        <w:tc>
          <w:tcPr>
            <w:tcW w:type="pct" w:w="412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1 355,0</w:t>
            </w:r>
          </w:p>
        </w:tc>
        <w:tc>
          <w:tcPr>
            <w:tcW w:type="pct" w:w="479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934,5</w:t>
            </w:r>
          </w:p>
        </w:tc>
        <w:tc>
          <w:tcPr>
            <w:tcW w:type="pct" w:w="533"/>
            <w:tcBorders>
              <w:top w:val="nil"/>
              <w:left w:val="nil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-420,5</w:t>
            </w:r>
          </w:p>
        </w:tc>
      </w:tr>
      <w:tr>
        <w:trPr>
          <w:trHeight w:val="397" w:hRule="atLeast"/>
        </w:trPr>
        <w:tc>
          <w:tcPr>
            <w:tcW w:type="pct" w:w="114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Skořápkové ovoce</w:t>
            </w:r>
          </w:p>
        </w:tc>
        <w:tc>
          <w:tcPr>
            <w:tcW w:type="pct" w:w="410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215,6</w:t>
            </w:r>
          </w:p>
        </w:tc>
        <w:tc>
          <w:tcPr>
            <w:tcW w:type="pct" w:w="410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456,9</w:t>
            </w:r>
          </w:p>
        </w:tc>
        <w:tc>
          <w:tcPr>
            <w:tcW w:type="pct" w:w="533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241,3</w:t>
            </w:r>
          </w:p>
        </w:tc>
        <w:tc>
          <w:tcPr>
            <w:tcW w:type="pct" w:w="107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Káva </w:t>
            </w:r>
          </w:p>
        </w:tc>
        <w:tc>
          <w:tcPr>
            <w:tcW w:type="pct" w:w="41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-514,0</w:t>
            </w:r>
          </w:p>
        </w:tc>
        <w:tc>
          <w:tcPr>
            <w:tcW w:type="pct" w:w="479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tcMar>
              <w:left w:w="28" w:type="dxa"/>
              <w:right w:w="28" w:type="dxa"/>
            </w:tcMar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-910,6</w:t>
            </w:r>
          </w:p>
        </w:tc>
        <w:tc>
          <w:tcPr>
            <w:tcW w:type="pct" w:w="533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-396,6</w:t>
            </w:r>
          </w:p>
        </w:tc>
      </w:tr>
    </w:tbl>
    <w:p w14:paraId="66F5AA5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  <w:r>
        <w:rPr>
          <w:rFonts w:cs="Arial"/>
          <w:b w:val="0"/>
          <w:szCs w:val="16"/>
        </w:rPr>
        <w:t xml:space="preserve">* - </w:t>
      </w:r>
      <w:r>
        <w:rPr>
          <w:rFonts w:cs="Arial"/>
          <w:b w:val="0"/>
          <w:szCs w:val="16"/>
        </w:rPr>
        <w:t xml:space="preserve">Výrobky obsahující tabák, určené k vdechování (HS 2404) - od roku 2022 nová položka v celním sazebníku. </w:t>
      </w:r>
    </w:p>
    <w:p w14:paraId="799416ED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</w:t>
      </w:r>
    </w:p>
    <w:p w14:paraId="41408E1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496E157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0B4FA52B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Tabulka 4 – Přehled 10 položek s nejvýraznější kladnou a zápornou změnou bilance se třetími zeměmi (včetně Spojeného království) v 1. pololetí roku 2022</w:t>
      </w:r>
    </w:p>
    <w:tbl>
      <w:tblPr>
        <w:tblW w:w="505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685"/>
        <w:gridCol w:w="914"/>
        <w:gridCol w:w="981"/>
        <w:gridCol w:w="1944"/>
        <w:gridCol w:w="861"/>
        <w:gridCol w:w="882"/>
        <w:gridCol w:w="981"/>
      </w:tblGrid>
      <w:tr>
        <w:trPr>
          <w:trHeight w:val="367" w:hRule="atLeast"/>
        </w:trPr>
        <w:tc>
          <w:tcPr>
            <w:tcW w:type="pct" w:w="1104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859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Bilance (mil. Kč)</w:t>
            </w:r>
          </w:p>
        </w:tc>
        <w:tc>
          <w:tcPr>
            <w:tcW w:type="pct" w:w="527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Meziroční změna (mil. Kč)</w:t>
            </w:r>
          </w:p>
        </w:tc>
        <w:tc>
          <w:tcPr>
            <w:tcW w:type="pct" w:w="1045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Položka</w:t>
            </w:r>
          </w:p>
        </w:tc>
        <w:tc>
          <w:tcPr>
            <w:tcW w:type="pct" w:w="937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Bilance (mil. Kč)</w:t>
            </w:r>
          </w:p>
        </w:tc>
        <w:tc>
          <w:tcPr>
            <w:tcW w:type="pct" w:w="527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fill="F2F2F2" w:color="auto" w:val="clear"/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Meziroční změna (mil. Kč)</w:t>
            </w:r>
          </w:p>
        </w:tc>
      </w:tr>
      <w:tr>
        <w:trPr>
          <w:trHeight w:val="551" w:hRule="atLeast"/>
        </w:trPr>
        <w:tc>
          <w:tcPr>
            <w:tcW w:type="pct" w:w="1104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2021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2022</w:t>
            </w:r>
          </w:p>
        </w:tc>
        <w:tc>
          <w:tcPr>
            <w:tcW w:type="auto" w:w="0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auto" w:w="0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2021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pol. 2022</w:t>
            </w:r>
          </w:p>
        </w:tc>
        <w:tc>
          <w:tcPr>
            <w:tcW w:type="auto" w:w="0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Ethylakohol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nedenatur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nad 80 % </w:t>
            </w:r>
          </w:p>
        </w:tc>
        <w:tc>
          <w:tcPr>
            <w:tcW w:type="pct" w:w="36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-769,9</w:t>
            </w:r>
          </w:p>
        </w:tc>
        <w:tc>
          <w:tcPr>
            <w:tcW w:type="pct" w:w="491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-42,8</w:t>
            </w:r>
          </w:p>
        </w:tc>
        <w:tc>
          <w:tcPr>
            <w:tcW w:type="pct" w:w="527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727,1</w:t>
            </w:r>
          </w:p>
        </w:tc>
        <w:tc>
          <w:tcPr>
            <w:tcW w:type="pct" w:w="104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Přípravky k výživě zvířat</w:t>
            </w:r>
          </w:p>
        </w:tc>
        <w:tc>
          <w:tcPr>
            <w:tcW w:type="pct" w:w="46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1 181,2</w:t>
            </w:r>
          </w:p>
        </w:tc>
        <w:tc>
          <w:tcPr>
            <w:tcW w:type="pct" w:w="474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572,7</w:t>
            </w:r>
          </w:p>
        </w:tc>
        <w:tc>
          <w:tcPr>
            <w:tcW w:type="pct" w:w="527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-608,5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Tabákové výrobky a náhražky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-27,0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510,4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537,4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Ryby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-637,2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-1 018,2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-380,9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-830,9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-426,6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404,3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Slunečnicový olej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-38,6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-410,0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-371,4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Výtažky a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koncentráty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z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kávy a čaje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-183,9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155,9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339,9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Rýže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-314,9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-584,4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-269,5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Cigarety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-14,7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135,3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150,1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Ethylakohol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nedenatur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. pod 80 % 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-540,4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-786,0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-245,6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-4,6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126,5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131,1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Vinné hrozny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-708,7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-943,5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-234,8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Voda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a nealkoholické nápoje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-57,1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55,8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112,8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Živý skot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394,4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163,1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-231,3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Syrovátka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339,8</w:t>
            </w:r>
          </w:p>
        </w:tc>
        <w:tc>
          <w:tcPr>
            <w:tcW w:type="pct" w:w="49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439,6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99,8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Drůbeží maso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-141,2</w:t>
            </w:r>
          </w:p>
        </w:tc>
        <w:tc>
          <w:tcPr>
            <w:tcW w:type="pct" w:w="47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-365,8</w:t>
            </w:r>
          </w:p>
        </w:tc>
        <w:tc>
          <w:tcPr>
            <w:tcW w:type="pct" w:w="527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-224,6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Sladov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ý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výtaž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příprav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ky z mouky</w:t>
            </w:r>
          </w:p>
        </w:tc>
        <w:tc>
          <w:tcPr>
            <w:tcW w:type="pct" w:w="369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-36,7</w:t>
            </w:r>
          </w:p>
        </w:tc>
        <w:tc>
          <w:tcPr>
            <w:tcW w:type="pct" w:w="491"/>
            <w:tcBorders>
              <w:top w:val="nil"/>
              <w:left w:val="nil"/>
              <w:bottom w:val="nil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34,5</w:t>
            </w:r>
          </w:p>
        </w:tc>
        <w:tc>
          <w:tcPr>
            <w:tcW w:type="pct" w:w="527"/>
            <w:tcBorders>
              <w:top w:val="nil"/>
              <w:left w:val="nil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71,2</w:t>
            </w:r>
          </w:p>
        </w:tc>
        <w:tc>
          <w:tcPr>
            <w:tcW w:type="pct" w:w="1045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Sójové pokrutiny</w:t>
            </w:r>
          </w:p>
        </w:tc>
        <w:tc>
          <w:tcPr>
            <w:tcW w:type="pct" w:w="463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-191,9</w:t>
            </w:r>
          </w:p>
        </w:tc>
        <w:tc>
          <w:tcPr>
            <w:tcW w:type="pct" w:w="474"/>
            <w:tcBorders>
              <w:top w:val="nil"/>
              <w:left w:val="nil"/>
              <w:bottom w:val="nil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-390,8</w:t>
            </w:r>
          </w:p>
        </w:tc>
        <w:tc>
          <w:tcPr>
            <w:tcW w:type="pct" w:w="527"/>
            <w:tcBorders>
              <w:top w:val="nil"/>
              <w:left w:val="nil"/>
              <w:bottom w:val="nil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-198,9</w:t>
            </w:r>
          </w:p>
        </w:tc>
      </w:tr>
      <w:tr>
        <w:trPr>
          <w:trHeight w:val="397" w:hRule="atLeast"/>
        </w:trPr>
        <w:tc>
          <w:tcPr>
            <w:tcW w:type="pct" w:w="110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left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Víno</w:t>
            </w:r>
          </w:p>
        </w:tc>
        <w:tc>
          <w:tcPr>
            <w:tcW w:type="pct" w:w="36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-382,5</w:t>
            </w:r>
          </w:p>
        </w:tc>
        <w:tc>
          <w:tcPr>
            <w:tcW w:type="pct" w:w="491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-316,6</w:t>
            </w:r>
          </w:p>
        </w:tc>
        <w:tc>
          <w:tcPr>
            <w:tcW w:type="pct" w:w="52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65,9</w:t>
            </w:r>
          </w:p>
        </w:tc>
        <w:tc>
          <w:tcPr>
            <w:tcW w:type="pct" w:w="104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Ř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epkový 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olej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type="pct" w:w="46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7,1</w:t>
            </w:r>
          </w:p>
        </w:tc>
        <w:tc>
          <w:tcPr>
            <w:tcW w:type="pct" w:w="474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-170,6</w:t>
            </w:r>
          </w:p>
        </w:tc>
        <w:tc>
          <w:tcPr>
            <w:tcW w:type="pct" w:w="52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hideMark/>
            <w:vAlign w:val="center"/>
          </w:tcPr>
          <w:p>
            <w:pPr>
              <w:spacing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cs-CZ"/>
              </w:rPr>
              <w:t xml:space="preserve">-177,6</w:t>
            </w:r>
          </w:p>
        </w:tc>
      </w:tr>
    </w:tbl>
    <w:p w14:paraId="521C7013">
      <w:pPr>
        <w:pStyle w:val="TabPoz"/>
        <w:keepNext w:val="0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</w:t>
      </w:r>
    </w:p>
    <w:p w14:paraId="280471F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</w:t>
      </w:r>
    </w:p>
    <w:p w14:paraId="4D9475E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537C1E12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FF3FB49">
      <w:pPr>
        <w:pStyle w:val="Styl2"/>
        <w:spacing/>
        <w:rPr>
          <w:rFonts w:cs="Arial"/>
          <w:sz w:val="22"/>
          <w:szCs w:val="22"/>
        </w:rPr>
      </w:pPr>
    </w:p>
    <w:p w14:paraId="5B9A7BBE">
      <w:pPr>
        <w:pStyle w:val="Styl2"/>
        <w: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2017 až 2022 podle čtvrtletí (mld. Kč) </w:t>
      </w:r>
    </w:p>
    <w:p w14:paraId="508A14BE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>
            <wp:extent cx="5600700" cy="3143250"/>
            <wp:effectExtent xmlns:wp="http://schemas.openxmlformats.org/drawingml/2006/wordprocessingDrawing" l="0" t="0" r="0" b="0"/>
            <wp:docPr id="4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AAC5E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EU 14 – původní členové EU (bez Spojeného království), EU 13 – noví členové EU (od 2004), TZ – třetí (</w:t>
      </w:r>
      <w:r>
        <w:rPr>
          <w:rFonts w:cs="Arial"/>
          <w:b w:val="0"/>
          <w:szCs w:val="16"/>
        </w:rPr>
        <w:t xml:space="preserve">mimounijní</w:t>
      </w:r>
      <w:r>
        <w:rPr>
          <w:rFonts w:cs="Arial"/>
          <w:b w:val="0"/>
          <w:szCs w:val="16"/>
        </w:rPr>
        <w:t xml:space="preserve">) země včetně Spojeného království.</w:t>
      </w:r>
    </w:p>
    <w:p w14:paraId="37C368D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</w:t>
      </w:r>
    </w:p>
    <w:p w14:paraId="5E99E003">
      <w:pPr>
        <w:spacing w:line="276" w:lineRule="auto"/>
        <w:ind w:firstLine="708"/>
        <w:rPr>
          <w:szCs w:val="22"/>
        </w:rPr>
      </w:pPr>
    </w:p>
    <w:p w14:paraId="5033C01C">
      <w:pPr>
        <w:spacing w:line="276" w:lineRule="auto"/>
        <w:ind w:firstLine="708"/>
        <w:rPr/>
      </w:pPr>
    </w:p>
    <w:p w14:paraId="6C5DD706">
      <w:pPr>
        <w:spacing/>
        <w:jc w:val="left"/>
        <w:rPr/>
      </w:pPr>
      <w:r>
        <w:rPr/>
        <w:br w:type="page"/>
      </w:r>
    </w:p>
    <w:p w14:paraId="04EA451C">
      <w:pPr>
        <w:pStyle w:val="TabNadpis"/>
        <w:spacing/>
        <w:ind w:left="0" w:firstLine="0"/>
        <w:rPr>
          <w:rFonts w:cs="Arial"/>
          <w:sz w:val="22"/>
        </w:rPr>
      </w:pPr>
    </w:p>
    <w:p w14:paraId="5C7F2747">
      <w:pPr>
        <w:pStyle w:val="TabNadpis"/>
        <w:spacing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 xml:space="preserve">Tabulka 5 – Vývoj AZO ČR v letech 2017 až 2022 podle pololetí (mld. Kč)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874"/>
        <w:gridCol w:w="875"/>
        <w:gridCol w:w="875"/>
        <w:gridCol w:w="875"/>
        <w:gridCol w:w="918"/>
        <w:gridCol w:w="876"/>
        <w:gridCol w:w="875"/>
        <w:gridCol w:w="875"/>
        <w:gridCol w:w="875"/>
      </w:tblGrid>
      <w:tr>
        <w:trPr>
          <w:trHeight w:val="1455" w:hRule="atLeast"/>
        </w:trPr>
        <w:tc>
          <w:tcPr>
            <w:tcW w:type="pct" w:w="703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Ukazatel</w:t>
            </w:r>
          </w:p>
        </w:tc>
        <w:tc>
          <w:tcPr>
            <w:tcW w:type="pct" w:w="47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Obrat AZO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vývoz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dovoz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Saldo AZO</w:t>
            </w:r>
          </w:p>
        </w:tc>
        <w:tc>
          <w:tcPr>
            <w:tcW w:type="pct" w:w="488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Stupeň krytí dovozu vývozem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salda na vývozu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ZO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(%)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pol. 2017</w:t>
            </w:r>
          </w:p>
        </w:tc>
        <w:tc>
          <w:tcPr>
            <w:tcW w:type="pct" w:w="47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214,2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DEBF7" w:color="auto" w:val="clear"/>
            <w:noWrap/>
            <w:hideMark/>
            <w:vAlign w:val="bottom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100,7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113,5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-12,8</w:t>
            </w:r>
          </w:p>
        </w:tc>
        <w:tc>
          <w:tcPr>
            <w:tcW w:type="pct" w:w="488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88,7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12,7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5,3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4,7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6,0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pol. 2018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200,7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89,7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111,0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-21,3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80,8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23,8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pol. 2019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217,1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96,4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120,7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-24,3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79,9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25,2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5,9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pol. 2020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229,7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104,8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124,8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-20,0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84,0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19,1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6,7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pol. 2021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240,4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111,0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129,4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-18,4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85,8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16,6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pol. 2022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282,8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130,2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152,6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-22,3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85,4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17,1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</w:tr>
    </w:tbl>
    <w:p w14:paraId="750E5529">
      <w:pPr>
        <w:pStyle w:val="TabPoz"/>
        <w:spacing w:before="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41E5F0E4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 </w:t>
      </w:r>
    </w:p>
    <w:p w14:paraId="2D57435B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</w:p>
    <w:p w14:paraId="07BFBC73">
      <w:pPr>
        <w:spacing/>
        <w:jc w:val="left"/>
        <w:rPr>
          <w:rFonts w:eastAsia="Times New Roman"/>
          <w:b/>
          <w:szCs w:val="20"/>
          <w:lang w:eastAsia="cs-CZ"/>
        </w:rPr>
      </w:pPr>
    </w:p>
    <w:p w14:paraId="71190430">
      <w:pPr>
        <w:pStyle w:val="TabNadpis"/>
        <w:keepNext w:val="0"/>
        <w:spacing/>
        <w:ind w:left="1276" w:hanging="1276"/>
        <w:rPr>
          <w:rFonts w:cs="Arial"/>
          <w:sz w:val="22"/>
        </w:rPr>
      </w:pPr>
    </w:p>
    <w:p w14:paraId="61AD38B4">
      <w:pPr>
        <w:pStyle w:val="TabNadpis"/>
        <w:keepNext w:val="0"/>
        <w:spacing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 xml:space="preserve">Tabulka 6 – Vývoj AZO ČR v letech 2020 až 2022 podle čtvrtletí (mld. Kč)</w:t>
      </w:r>
    </w:p>
    <w:tbl>
      <w:tblPr>
        <w:tblW w:w="5023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7"/>
        <w:gridCol w:w="879"/>
        <w:gridCol w:w="879"/>
        <w:gridCol w:w="879"/>
        <w:gridCol w:w="879"/>
        <w:gridCol w:w="922"/>
        <w:gridCol w:w="879"/>
        <w:gridCol w:w="879"/>
        <w:gridCol w:w="880"/>
        <w:gridCol w:w="879"/>
      </w:tblGrid>
      <w:tr>
        <w:trPr>
          <w:trHeight w:val="1542" w:hRule="atLeast"/>
        </w:trPr>
        <w:tc>
          <w:tcPr>
            <w:tcW w:type="pct" w:w="70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Ukazatel</w:t>
            </w:r>
          </w:p>
        </w:tc>
        <w:tc>
          <w:tcPr>
            <w:tcW w:type="pct" w:w="47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Obrat AZO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vývoz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dovoz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Saldo AZO</w:t>
            </w:r>
          </w:p>
        </w:tc>
        <w:tc>
          <w:tcPr>
            <w:tcW w:type="pct" w:w="498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Stupeň krytí dovozu vývozem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salda na vývozu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ZO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(%)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2020</w:t>
            </w:r>
          </w:p>
        </w:tc>
        <w:tc>
          <w:tcPr>
            <w:tcW w:type="pct" w:w="47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118,2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53,6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64,6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-10,9</w:t>
            </w:r>
          </w:p>
        </w:tc>
        <w:tc>
          <w:tcPr>
            <w:tcW w:type="pct" w:w="498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83,0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20,4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5,6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4,9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6,5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111,4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51,2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60,2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-9,1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84,9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17,7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7,0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3. Q. 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115,5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53,2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-9,2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85,3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17,2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6,4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4. Q. 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120,2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56,5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63,7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-7,2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88,7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5,6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465,4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214,5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250,9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-36,4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85,5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17,0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6,3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118,6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55,8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62,7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-6,9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89,0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5,8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121,8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55,2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66,7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-11,5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82,7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20,9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3.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120,6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53,7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66,9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-13,2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80,2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24,7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6,0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136,2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73,9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-11,6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84,2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18,7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6,0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497,1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226,9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270,2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-43,3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84,0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19,1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5,9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2022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136,4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63,4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73,0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-9,5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86,9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15,0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</w:tr>
      <w:tr>
        <w:trPr>
          <w:trHeight w:val="286" w:hRule="atLeast"/>
        </w:trPr>
        <w:tc>
          <w:tcPr>
            <w:tcW w:type="pct" w:w="701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2022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146,4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66,8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79,6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-12,8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83,9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19,1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</w:tr>
    </w:tbl>
    <w:p w14:paraId="0CFDE295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02EA310B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2022</w:t>
      </w:r>
    </w:p>
    <w:p w14:paraId="6D682E56">
      <w:pPr>
        <w:pStyle w:val="TabNadpis"/>
        <w:spacing/>
        <w:ind w:left="1276" w:hanging="1276"/>
        <w:rPr>
          <w:rFonts w:cs="Arial"/>
          <w:sz w:val="22"/>
        </w:rPr>
      </w:pPr>
    </w:p>
    <w:p w14:paraId="50C6940D">
      <w:pPr>
        <w:spacing/>
        <w:rPr>
          <w:rFonts w:cstheme="minorBidi"/>
          <w:lang w:eastAsia="cs-CZ"/>
        </w:rPr>
      </w:pPr>
    </w:p>
    <w:p w14:paraId="6D2A9C66">
      <w:pPr>
        <w:spacing/>
        <w:rPr>
          <w:lang w:eastAsia="cs-CZ"/>
        </w:rPr>
      </w:pPr>
    </w:p>
    <w:p w14:paraId="16BEE18E">
      <w:pPr>
        <w:spacing/>
        <w:rPr>
          <w:lang w:eastAsia="cs-CZ"/>
        </w:rPr>
      </w:pPr>
    </w:p>
    <w:p w14:paraId="1574DD4A">
      <w:pPr>
        <w:pStyle w:val="TabNadpis"/>
        <w:spacing/>
        <w:ind w:left="1418" w:hanging="1418"/>
        <w:rPr>
          <w:rFonts w:cs="Arial"/>
          <w:sz w:val="22"/>
        </w:rPr>
      </w:pPr>
    </w:p>
    <w:p w14:paraId="33DFB8AA">
      <w:pPr>
        <w:pStyle w:val="TabNadpis"/>
        <w:spacing/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t xml:space="preserve">Tabulka 7 – Vývoj AZO ČR se zeměmi EU 27 v letech 2020 až 2022 podle čtvrtletí (mld. Kč)</w:t>
      </w:r>
    </w:p>
    <w:tbl>
      <w:tblPr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874"/>
        <w:gridCol w:w="875"/>
        <w:gridCol w:w="875"/>
        <w:gridCol w:w="875"/>
        <w:gridCol w:w="918"/>
        <w:gridCol w:w="876"/>
        <w:gridCol w:w="875"/>
        <w:gridCol w:w="875"/>
        <w:gridCol w:w="875"/>
      </w:tblGrid>
      <w:tr>
        <w:trPr>
          <w:trHeight w:val="1455" w:hRule="atLeast"/>
        </w:trPr>
        <w:tc>
          <w:tcPr>
            <w:tcW w:type="pct" w:w="70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Ukazatel</w:t>
            </w:r>
          </w:p>
        </w:tc>
        <w:tc>
          <w:tcPr>
            <w:tcW w:type="pct" w:w="47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Obrat AZO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vývoz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dovoz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Saldo AZO</w:t>
            </w:r>
          </w:p>
        </w:tc>
        <w:tc>
          <w:tcPr>
            <w:tcW w:type="pct" w:w="488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Stupeň krytí dovozu vývozem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salda na vývozu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ZO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(%)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(%)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2020</w:t>
            </w:r>
          </w:p>
        </w:tc>
        <w:tc>
          <w:tcPr>
            <w:tcW w:type="pct" w:w="47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102,2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48,2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54,0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-5,7</w:t>
            </w:r>
          </w:p>
        </w:tc>
        <w:tc>
          <w:tcPr>
            <w:tcW w:type="pct" w:w="488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89,4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11,9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6,9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5,5</w:t>
            </w:r>
          </w:p>
        </w:tc>
        <w:tc>
          <w:tcPr>
            <w:tcW w:type="pct" w:w="476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8,9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2020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96,6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46,0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50,6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-4,6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90,9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10,3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3. Q. 2020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100,3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47,8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52,5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-4,8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90,9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8,9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4. Q. 2020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103,2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50,2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53,0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-2,8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94,7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8,1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2020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402,3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192,2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210,1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-17,9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91,5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9,3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6,8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8,9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2021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102,8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50,2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52,6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-2,4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95,5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8,1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2021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105,1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49,0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56,1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-7,0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87,4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14,4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8,0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3. Q. 2021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104,4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48,2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56,2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-7,9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85,9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16,4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8,7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4. Q. 2021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117,3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56,0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61,4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-5,4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91,1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8,8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2021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429,6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203,4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226,2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-22,8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89,9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11,2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6,5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8,4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2022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117,4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57,3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60,1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-2,8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95,4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4,8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6,4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5,3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8,2</w:t>
            </w:r>
          </w:p>
        </w:tc>
      </w:tr>
      <w:tr>
        <w:trPr>
          <w:trHeight w:val="270" w:hRule="atLeast"/>
        </w:trPr>
        <w:tc>
          <w:tcPr>
            <w:tcW w:type="pct" w:w="70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2022</w:t>
            </w:r>
          </w:p>
        </w:tc>
        <w:tc>
          <w:tcPr>
            <w:tcW w:type="pct" w:w="476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125,6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59,7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65,9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-6,2</w:t>
            </w:r>
          </w:p>
        </w:tc>
        <w:tc>
          <w:tcPr>
            <w:tcW w:type="pct" w:w="488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90,5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6,5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8,5</w:t>
            </w:r>
          </w:p>
        </w:tc>
      </w:tr>
    </w:tbl>
    <w:p w14:paraId="2FB07122"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</w:p>
    <w:p w14:paraId="15985BF3"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2022</w:t>
      </w:r>
    </w:p>
    <w:p w14:paraId="110C2C88">
      <w:pPr>
        <w:pStyle w:val="TabNadpis"/>
        <w:keepNext w:val="0"/>
        <w:spacing/>
        <w:rPr>
          <w:rFonts w:cs="Arial"/>
          <w:sz w:val="22"/>
        </w:rPr>
      </w:pPr>
    </w:p>
    <w:p w14:paraId="1B151A2D">
      <w:pPr>
        <w:spacing/>
        <w:rPr>
          <w:rFonts w:cstheme="minorBidi"/>
          <w:lang w:eastAsia="cs-CZ"/>
        </w:rPr>
      </w:pPr>
    </w:p>
    <w:p w14:paraId="1399EFBD">
      <w:pPr>
        <w:pStyle w:val="TabNadpis"/>
        <w:keepNext w:val="0"/>
        <w:spacing/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t xml:space="preserve">Tabulka 8 – Vývoj AZO ČR s třetími zeměmi v letech 2020 až 2022 podle čtvrtletí (mld. Kč)</w:t>
      </w:r>
    </w:p>
    <w:tbl>
      <w:tblPr>
        <w:tblW w:w="5006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876"/>
        <w:gridCol w:w="876"/>
        <w:gridCol w:w="876"/>
        <w:gridCol w:w="876"/>
        <w:gridCol w:w="918"/>
        <w:gridCol w:w="876"/>
        <w:gridCol w:w="877"/>
        <w:gridCol w:w="876"/>
        <w:gridCol w:w="876"/>
      </w:tblGrid>
      <w:tr>
        <w:trPr>
          <w:trHeight w:val="1511" w:hRule="atLeast"/>
        </w:trPr>
        <w:tc>
          <w:tcPr>
            <w:tcW w:type="pct" w:w="70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Ukazatel</w:t>
            </w:r>
          </w:p>
        </w:tc>
        <w:tc>
          <w:tcPr>
            <w:tcW w:type="pct" w:w="47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Obrat AZO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vývoz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Agrární dovoz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Saldo AZO</w:t>
            </w:r>
          </w:p>
        </w:tc>
        <w:tc>
          <w:tcPr>
            <w:tcW w:type="pct" w:w="498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Stupeň krytí dovozu vývozem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salda na vývozu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ZO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(%)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agrár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celk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(%)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2020</w:t>
            </w:r>
          </w:p>
        </w:tc>
        <w:tc>
          <w:tcPr>
            <w:tcW w:type="pct" w:w="47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15,9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10,5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-5,1</w:t>
            </w:r>
          </w:p>
        </w:tc>
        <w:tc>
          <w:tcPr>
            <w:tcW w:type="pct" w:w="498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51,4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94,6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2,6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2,7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14,7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-4,4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54,0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85,2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2,6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3. Q. 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15,0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-4,3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55,8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79,3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2,6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4. Q. 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16,9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-4,2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59,9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66,9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2020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62,6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40,3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-18,0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55,3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80,9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2,5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15,7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-4,4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56,2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77,9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16,6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-4,3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58,4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71,1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3.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16,1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10,6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-5,2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51,0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96,1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4. Q. 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18,7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-6,1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50,9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96,4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2021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67,0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23,5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43,5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-20,0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54,0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85,3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2,3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1. Q. 2022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18,8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6,1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12,7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-6,6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48,1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107,8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</w:tr>
      <w:tr>
        <w:trPr>
          <w:trHeight w:val="280" w:hRule="atLeast"/>
        </w:trPr>
        <w:tc>
          <w:tcPr>
            <w:tcW w:type="pct" w:w="70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fill="F2DBDB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2. Q. 2022</w:t>
            </w:r>
          </w:p>
        </w:tc>
        <w:tc>
          <w:tcPr>
            <w:tcW w:type="pct" w:w="475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20,5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7,1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13,4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-6,3</w:t>
            </w:r>
          </w:p>
        </w:tc>
        <w:tc>
          <w:tcPr>
            <w:tcW w:type="pct" w:w="498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53,1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88,2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E5DFEC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2,4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fill="DBE5F1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2,8</w:t>
            </w:r>
          </w:p>
        </w:tc>
        <w:tc>
          <w:tcPr>
            <w:tcW w:type="pct" w:w="475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fill="EAF1DD" w:color="auto" w:val="clear"/>
            <w:noWrap/>
            <w:hideMark/>
            <w:vAlign w:val="center"/>
          </w:tcPr>
          <w:p>
            <w:pPr>
              <w:spacing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2,2</w:t>
            </w:r>
          </w:p>
        </w:tc>
      </w:tr>
    </w:tbl>
    <w:p w14:paraId="4E091FE3">
      <w:pPr>
        <w:spacing/>
        <w:rPr>
          <w:i/>
          <w:sz w:val="16"/>
          <w:szCs w:val="16"/>
        </w:rPr>
      </w:pPr>
      <w:bookmarkStart w:id="2" w:name="_Toc417464156"/>
      <w:r>
        <w:rPr>
          <w:i/>
          <w:sz w:val="16"/>
          <w:szCs w:val="16"/>
        </w:rPr>
        <w:t xml:space="preserve"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 xml:space="preserve">ýpočty jsou provedeny z nezaokrouhlených dat.</w:t>
      </w:r>
    </w:p>
    <w:p w14:paraId="2354E6BC">
      <w:pPr>
        <w: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2022 </w:t>
      </w:r>
    </w:p>
    <w:p w14:paraId="0B246E27">
      <w:pPr>
        <w:spacing/>
        <w:ind w:left="851" w:hanging="851"/>
        <w:rPr>
          <w:rFonts w:eastAsia="Times New Roman"/>
          <w:b/>
          <w:szCs w:val="20"/>
          <w:lang w:eastAsia="cs-CZ"/>
        </w:rPr>
      </w:pPr>
    </w:p>
    <w:p w14:paraId="7D5505B6">
      <w:pPr>
        <w:spacing/>
        <w:ind w:left="851" w:hanging="851"/>
        <w:rPr>
          <w:rFonts w:eastAsia="Times New Roman"/>
          <w:b/>
          <w:szCs w:val="20"/>
          <w:lang w:eastAsia="cs-CZ"/>
        </w:rPr>
      </w:pPr>
    </w:p>
    <w:p w14:paraId="5A8AB6CB">
      <w:pPr>
        <w:spacing/>
        <w:ind w:left="851" w:hanging="851"/>
        <w:rPr>
          <w:rFonts w:eastAsia="Times New Roman"/>
          <w:b/>
          <w:szCs w:val="20"/>
          <w:lang w:eastAsia="cs-CZ"/>
        </w:rPr>
      </w:pPr>
    </w:p>
    <w:p w14:paraId="319689B0">
      <w:pPr>
        <w:spacing/>
        <w:ind w:left="851" w:hanging="851"/>
        <w:rPr>
          <w:rFonts w:eastAsia="Times New Roman"/>
          <w:b/>
          <w:szCs w:val="20"/>
          <w:lang w:eastAsia="cs-CZ"/>
        </w:rPr>
      </w:pPr>
    </w:p>
    <w:p w14:paraId="1337157A">
      <w:pPr>
        <w:spacing/>
        <w:ind w:left="851" w:hanging="851"/>
        <w:rPr>
          <w:rFonts w:eastAsia="Times New Roman"/>
          <w:b/>
          <w:szCs w:val="20"/>
          <w:lang w:eastAsia="cs-CZ"/>
        </w:rPr>
      </w:pPr>
    </w:p>
    <w:p w14:paraId="0FA275F5">
      <w:pPr>
        <w:spacing/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 xml:space="preserve">Graf 2 – Vývoj hodnoty vývozu agrárního zboží z ČR v letech 2017 až 2022 podle čtvrtletí (mld. Kč)</w:t>
      </w:r>
      <w:bookmarkEnd w:id="2"/>
    </w:p>
    <w:p w14:paraId="6693FCC9">
      <w:pPr>
        <w:spacing/>
        <w:rPr>
          <w:rFonts w:eastAsia="Times New Roman"/>
          <w:b/>
          <w:noProof/>
          <w:szCs w:val="20"/>
          <w:lang w:eastAsia="cs-CZ"/>
        </w:rPr>
      </w:pPr>
      <w:bookmarkStart w:id="3" w:name="_Toc417464157"/>
      <w:r>
        <w:rPr>
          <w:rFonts w:eastAsia="Times New Roman"/>
          <w:b/>
          <w:noProof/>
          <w:szCs w:val="20"/>
          <w:lang w:eastAsia="cs-CZ"/>
        </w:rPr>
        <w:drawing>
          <wp:inline>
            <wp:extent cx="5753100" cy="3152775"/>
            <wp:effectExtent xmlns:wp="http://schemas.openxmlformats.org/drawingml/2006/wordprocessingDrawing" l="0" t="0" r="0" b="9525"/>
            <wp:docPr id="5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A17B">
      <w:pPr>
        <w:spacing/>
        <w:rPr>
          <w:rFonts w:asciiTheme="minorHAnsi" w:hAnsiTheme="minorHAnsi" w:eastAsiaTheme="minorHAnsi"/>
          <w:i/>
          <w:sz w:val="16"/>
          <w:szCs w:val="20"/>
        </w:rPr>
      </w:pPr>
      <w:r>
        <w:rPr>
          <w:i/>
          <w:sz w:val="16"/>
          <w:szCs w:val="22"/>
        </w:rPr>
        <w:t xml:space="preserve"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 xml:space="preserve">pohybu zboží přes hranice, srpen 2022</w:t>
      </w:r>
    </w:p>
    <w:p w14:paraId="2E20CC31">
      <w:pPr>
        <w:spacing/>
        <w:rPr>
          <w:b/>
          <w:sz w:val="18"/>
          <w:highlight w:val="yellow"/>
        </w:rPr>
      </w:pPr>
    </w:p>
    <w:p w14:paraId="7D99AB4F">
      <w:pPr>
        <w:pStyle w:val="Styl2"/>
        <w:spacing/>
        <w:ind w:left="993" w:hanging="993"/>
        <w:rPr>
          <w:rFonts w:cs="Arial"/>
          <w:sz w:val="22"/>
          <w:szCs w:val="22"/>
        </w:rPr>
      </w:pPr>
    </w:p>
    <w:p w14:paraId="471F04D7">
      <w:pPr>
        <w:pStyle w:val="Styl2"/>
        <w:spacing/>
        <w:ind w:left="993" w:hanging="993"/>
        <w:rPr>
          <w:rFonts w:cs="Arial"/>
          <w:sz w:val="22"/>
          <w:szCs w:val="22"/>
        </w:rPr>
      </w:pPr>
    </w:p>
    <w:p w14:paraId="63FA0B5E">
      <w:pPr>
        <w:pStyle w:val="Styl2"/>
        <w:spacing/>
        <w:ind w:left="993" w:hanging="993"/>
        <w:rPr>
          <w:rFonts w:cs="Arial"/>
          <w:sz w:val="22"/>
          <w:szCs w:val="22"/>
        </w:rPr>
      </w:pPr>
    </w:p>
    <w:p w14:paraId="3B464BD8">
      <w:pPr>
        <w:pStyle w:val="Styl2"/>
        <w:spacing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3"/>
      <w:r>
        <w:rPr>
          <w:rFonts w:cs="Arial"/>
          <w:sz w:val="22"/>
          <w:szCs w:val="22"/>
        </w:rPr>
        <w:t xml:space="preserve">v letech 2017 až 2022 podle čtvrtletí (mld. Kč)</w:t>
      </w:r>
    </w:p>
    <w:p w14:paraId="12D8615B">
      <w:pPr>
        <w:spacing/>
        <w:rPr>
          <w:rFonts w:cstheme="minorBidi"/>
          <w:noProof/>
          <w:szCs w:val="22"/>
        </w:rPr>
      </w:pPr>
      <w:r>
        <w:rPr>
          <w:noProof/>
        </w:rPr>
        <w:drawing>
          <wp:inline>
            <wp:extent cx="5743575" cy="3143250"/>
            <wp:effectExtent xmlns:wp="http://schemas.openxmlformats.org/drawingml/2006/wordprocessingDrawing" l="0" t="0" r="9525" b="0"/>
            <wp:docPr id="6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BA944">
      <w:pPr>
        <w:spacing/>
        <w:rPr>
          <w:i/>
          <w:sz w:val="16"/>
          <w:szCs w:val="22"/>
        </w:rPr>
      </w:pPr>
      <w:r>
        <w:rPr>
          <w:i/>
          <w:sz w:val="16"/>
          <w:szCs w:val="22"/>
        </w:rPr>
        <w:t xml:space="preserve"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 xml:space="preserve">pohybu zboží přes hranice, srpen 2022</w:t>
      </w:r>
      <w:r>
        <w:rPr>
          <w:b/>
          <w:sz w:val="20"/>
          <w:szCs w:val="14"/>
        </w:rPr>
        <w:t xml:space="preserve"> </w:t>
      </w:r>
    </w:p>
    <w:p w14:paraId="4A395AF0">
      <w:pPr>
        <w:spacing/>
        <w:rPr>
          <w:b/>
        </w:rPr>
      </w:pPr>
    </w:p>
    <w:p w14:paraId="15627CBC">
      <w:pPr>
        <w:spacing/>
        <w:rPr>
          <w:b/>
        </w:rPr>
      </w:pPr>
    </w:p>
    <w:p w14:paraId="7E580013">
      <w:pPr>
        <w:spacing/>
        <w:rPr>
          <w:b/>
        </w:rPr>
      </w:pPr>
    </w:p>
    <w:p w14:paraId="477051D3">
      <w:pPr>
        <w:spacing/>
        <w:rPr>
          <w:b/>
        </w:rPr>
      </w:pPr>
    </w:p>
    <w:p w14:paraId="1107D98F">
      <w:pPr>
        <w:spacing/>
        <w:rPr>
          <w:b/>
        </w:rPr>
      </w:pPr>
    </w:p>
    <w:p w14:paraId="063F0282">
      <w:pPr>
        <w:spacing/>
        <w:rPr>
          <w:b/>
        </w:rPr>
      </w:pPr>
    </w:p>
    <w:p w14:paraId="28C9DA1B">
      <w:pPr>
        <w:spacing/>
        <w:rPr>
          <w:b/>
        </w:rPr>
      </w:pPr>
    </w:p>
    <w:p w14:paraId="101F2E7C">
      <w:pPr>
        <w:spacing/>
        <w:rPr>
          <w:b/>
        </w:rPr>
      </w:pPr>
    </w:p>
    <w:p w14:paraId="7531F1C7">
      <w:pPr>
        <w:spacing/>
        <w:rPr>
          <w:b/>
        </w:rPr>
      </w:pPr>
      <w:r>
        <w:rPr>
          <w:b/>
        </w:rPr>
        <w:t xml:space="preserve">Graf 4 – Přehled 10 zemí s nejvyšším podílem na vývozu agrárního zboží z ČR do EU v roce 2021 (vlevo) a v 1. pololetí 2022 (vpravo)</w:t>
      </w:r>
    </w:p>
    <w:p w14:paraId="18154D4A">
      <w:pPr>
        <w:spacing/>
        <w:rPr>
          <w:b/>
        </w:rPr>
      </w:pPr>
      <w:r>
        <w:rPr>
          <w:b/>
          <w:noProof/>
        </w:rPr>
        <w:drawing>
          <wp:inline>
            <wp:extent cx="5759450" cy="2731770"/>
            <wp:effectExtent xmlns:wp="http://schemas.openxmlformats.org/drawingml/2006/wordprocessingDrawing" l="0" t="0" r="0" b="0"/>
            <wp:docPr id="7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DC3D">
      <w:pPr>
        <w:spacing/>
        <w:rPr>
          <w:rFonts w:asciiTheme="minorHAnsi" w:hAnsiTheme="minorHAnsi"/>
          <w:b/>
          <w:sz w:val="16"/>
          <w:szCs w:val="22"/>
        </w:rPr>
      </w:pPr>
      <w:r>
        <w:rPr>
          <w:i/>
          <w:sz w:val="16"/>
          <w:szCs w:val="22"/>
        </w:rPr>
        <w:t xml:space="preserve"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 xml:space="preserve">pohybu zboží přes hranice, srpen 2022</w:t>
      </w:r>
      <w:r>
        <w:rPr>
          <w:b/>
          <w:sz w:val="20"/>
          <w:szCs w:val="14"/>
        </w:rPr>
        <w:t xml:space="preserve"> </w:t>
      </w:r>
    </w:p>
    <w:p w14:paraId="1407C729">
      <w:pPr>
        <w:spacing/>
        <w:rPr>
          <w:rFonts w:cstheme="minorBidi"/>
          <w:b/>
        </w:rPr>
      </w:pPr>
    </w:p>
    <w:p w14:paraId="09702FD0">
      <w:pPr>
        <w:spacing/>
        <w:rPr>
          <w:b/>
        </w:rPr>
      </w:pPr>
    </w:p>
    <w:p w14:paraId="206DDE40">
      <w:pPr>
        <w:spacing/>
        <w:rPr>
          <w:b/>
        </w:rPr>
      </w:pPr>
    </w:p>
    <w:p w14:paraId="7BAB0496">
      <w:pPr>
        <w:spacing/>
        <w:rPr>
          <w:b/>
        </w:rPr>
      </w:pPr>
    </w:p>
    <w:p w14:paraId="2FE6EFB7">
      <w:pPr>
        <w:spacing/>
        <w:rPr>
          <w:b/>
        </w:rPr>
      </w:pPr>
      <w:r>
        <w:rPr>
          <w:b/>
        </w:rPr>
        <w:t xml:space="preserve">Graf 5 – Přehled 10 zemí s nejvyšším podílem na vývozu agrárního zboží z ČR do třetích zemí v roce 2021 (vlevo) a v 1. pololetí 2022 (vpravo)</w:t>
      </w:r>
    </w:p>
    <w:p w14:paraId="49871F50">
      <w:pPr>
        <w:spacing/>
        <w:rPr>
          <w:b/>
        </w:rPr>
      </w:pPr>
      <w:r>
        <w:rPr>
          <w:b/>
          <w:noProof/>
        </w:rPr>
        <w:drawing>
          <wp:inline>
            <wp:extent cx="5759450" cy="2722880"/>
            <wp:effectExtent xmlns:wp="http://schemas.openxmlformats.org/drawingml/2006/wordprocessingDrawing" l="0" t="0" r="0" b="1270"/>
            <wp:docPr id="8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9261D">
      <w:pPr>
        <w:spacing/>
        <w:rPr>
          <w:rFonts w:asciiTheme="minorHAnsi" w:hAnsiTheme="minorHAnsi"/>
          <w:b/>
          <w:sz w:val="16"/>
          <w:szCs w:val="22"/>
        </w:rPr>
      </w:pPr>
      <w:r>
        <w:rPr>
          <w:i/>
          <w:sz w:val="16"/>
          <w:szCs w:val="22"/>
        </w:rPr>
        <w:t xml:space="preserve"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 xml:space="preserve">pohybu zboží přes hranice, srpen 2022</w:t>
      </w:r>
      <w:r>
        <w:rPr>
          <w:b/>
          <w:sz w:val="20"/>
          <w:szCs w:val="14"/>
        </w:rPr>
        <w:t xml:space="preserve"> </w:t>
      </w:r>
    </w:p>
    <w:p w14:paraId="42C80F83">
      <w:pPr>
        <w:spacing/>
        <w:jc w:val="left"/>
        <w:rPr>
          <w:rFonts w:cstheme="minorBidi"/>
          <w:b/>
        </w:rPr>
      </w:pPr>
      <w:r>
        <w:rPr>
          <w:rFonts w:cstheme="minorBidi"/>
          <w:b/>
        </w:rPr>
        <w:br w:type="page"/>
      </w:r>
    </w:p>
    <w:p w14:paraId="194EAFFA">
      <w:pPr>
        <w:spacing/>
        <w:rPr>
          <w:rFonts w:cstheme="minorBidi"/>
          <w:b/>
        </w:rPr>
      </w:pPr>
    </w:p>
    <w:p w14:paraId="1007DA6D">
      <w:pPr>
        <w:spacing/>
        <w:rPr>
          <w:b/>
        </w:rPr>
      </w:pPr>
    </w:p>
    <w:p w14:paraId="1853462A">
      <w:pPr>
        <w:spacing/>
        <w:rPr>
          <w:b/>
        </w:rPr>
      </w:pPr>
      <w:r>
        <w:rPr>
          <w:b/>
        </w:rPr>
        <w:t xml:space="preserve">Graf 6 – Přehled 10 zemí s nejvyšším podílem na dovozu agrárního zboží z EU do ČR v roce 2021 (vlevo) a v 1. pololetí 2022 (vpravo)</w:t>
      </w:r>
    </w:p>
    <w:p w14:paraId="4DB7866F">
      <w:pPr>
        <w:spacing/>
        <w:rPr>
          <w:b/>
        </w:rPr>
      </w:pPr>
    </w:p>
    <w:p w14:paraId="14AD2D9D">
      <w:pPr>
        <w:spacing/>
        <w:rPr>
          <w:b/>
        </w:rPr>
      </w:pPr>
      <w:r>
        <w:rPr>
          <w:b/>
          <w:noProof/>
        </w:rPr>
        <w:drawing>
          <wp:inline>
            <wp:extent cx="5759450" cy="2722880"/>
            <wp:effectExtent xmlns:wp="http://schemas.openxmlformats.org/drawingml/2006/wordprocessingDrawing" l="0" t="0" r="0" b="1270"/>
            <wp:docPr id="9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B98FB">
      <w:pPr>
        <w:spacing/>
        <w:rPr>
          <w:rFonts w:asciiTheme="minorHAnsi" w:hAnsiTheme="minorHAnsi"/>
          <w:b/>
          <w:sz w:val="16"/>
          <w:szCs w:val="22"/>
        </w:rPr>
      </w:pPr>
      <w:r>
        <w:rPr>
          <w:i/>
          <w:sz w:val="16"/>
          <w:szCs w:val="22"/>
        </w:rPr>
        <w:t xml:space="preserve"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 xml:space="preserve">pohybu zboží přes hranice, srpen 2022</w:t>
      </w:r>
      <w:r>
        <w:rPr>
          <w:b/>
          <w:sz w:val="20"/>
          <w:szCs w:val="14"/>
        </w:rPr>
        <w:t xml:space="preserve"> </w:t>
      </w:r>
    </w:p>
    <w:p w14:paraId="01E8B0D3">
      <w:pPr>
        <w:spacing/>
        <w:rPr>
          <w:b/>
          <w:sz w:val="20"/>
          <w:szCs w:val="22"/>
        </w:rPr>
      </w:pPr>
    </w:p>
    <w:p w14:paraId="75821E89">
      <w:pPr>
        <w:spacing/>
        <w:rPr>
          <w:b/>
        </w:rPr>
      </w:pPr>
    </w:p>
    <w:p w14:paraId="56D447BF">
      <w:pPr>
        <w:spacing/>
        <w:rPr>
          <w:b/>
        </w:rPr>
      </w:pPr>
    </w:p>
    <w:p w14:paraId="28D153F7">
      <w:pPr>
        <w:spacing/>
        <w:rPr>
          <w:b/>
        </w:rPr>
      </w:pPr>
      <w:r>
        <w:rPr>
          <w:b/>
        </w:rPr>
        <w:t xml:space="preserve">Graf 7 - Přehled 10 zemí s nejvyšším podílem na dovozu agrárního zboží z třetích zemí do ČR v roce 2021 (vlevo) a v 1. pololetí 2022 (vpravo)</w:t>
      </w:r>
    </w:p>
    <w:p w14:paraId="018EF297">
      <w:pPr>
        <w:spacing/>
        <w:rPr>
          <w:b/>
        </w:rPr>
      </w:pPr>
      <w:r>
        <w:rPr>
          <w:b/>
          <w:noProof/>
        </w:rPr>
        <w:drawing>
          <wp:inline>
            <wp:extent cx="5759450" cy="2714625"/>
            <wp:effectExtent xmlns:wp="http://schemas.openxmlformats.org/drawingml/2006/wordprocessingDrawing" l="0" t="0" r="0" b="9525"/>
            <wp:docPr id="1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45BF">
      <w:pPr>
        <w:spacing/>
        <w:rPr>
          <w:b/>
        </w:rPr>
      </w:pPr>
    </w:p>
    <w:p w14:paraId="0669A7C1">
      <w:pPr>
        <w:spacing/>
        <w:rPr>
          <w:rFonts w:asciiTheme="minorHAnsi" w:hAnsiTheme="minorHAnsi"/>
          <w:b/>
          <w:sz w:val="20"/>
          <w:szCs w:val="14"/>
        </w:rPr>
      </w:pPr>
      <w:r>
        <w:rPr>
          <w:i/>
          <w:sz w:val="16"/>
          <w:szCs w:val="22"/>
        </w:rPr>
        <w:t xml:space="preserve"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 xml:space="preserve">pohybu zboží přes hranice, srpen 2022</w:t>
      </w:r>
      <w:r>
        <w:rPr>
          <w:b/>
          <w:sz w:val="20"/>
          <w:szCs w:val="14"/>
        </w:rPr>
        <w:t xml:space="preserve"> </w:t>
      </w:r>
    </w:p>
    <w:p w14:paraId="26E4ADC1">
      <w:pPr>
        <w:spacing w:line="276" w:lineRule="auto"/>
        <w:rPr>
          <w:b/>
          <w:sz w:val="18"/>
          <w:szCs w:val="22"/>
        </w:rPr>
      </w:pPr>
    </w:p>
    <w:p w14:paraId="6EA7B43C">
      <w:pPr>
        <w:spacing w:after="240" w:line="276" w:lineRule="auto"/>
        <w:rPr/>
      </w:pPr>
      <w:r>
        <w:rPr/>
        <w:t xml:space="preserve">Údaje o zahraničním obchodu za 1. pololetí 2022 zveřejnil Český statistický úřad 8. srpna 2022. Data za 1. pololetí roku 2022, ale i rok 2021 jsou předběžná.</w:t>
      </w:r>
    </w:p>
    <w:p w14:paraId="0B90F7E6">
      <w:pPr>
        <w:spacing w:after="240" w:line="276" w:lineRule="auto"/>
        <w:rPr/>
      </w:pPr>
      <w:r>
        <w:rPr/>
        <w:t xml:space="preserve">Materiál zpracoval odbor </w:t>
      </w:r>
      <w:r>
        <w:rPr/>
        <w:t xml:space="preserve">17120</w:t>
      </w:r>
      <w:r>
        <w:rPr/>
        <w:t xml:space="preserve"> na základě aktuálních statistických údajů ČSÚ a podkladů ÚZEI (TÚ č. 38/2022).</w:t>
      </w:r>
    </w:p>
    <w:p w14:paraId="5382E475">
      <w:pPr>
        <w:spacing w:after="240" w:line="276" w:lineRule="auto"/>
        <w:rPr/>
      </w:pPr>
      <w:r>
        <w:rPr/>
        <w:t xml:space="preserve">Dne 10. srpna 2022</w:t>
      </w:r>
    </w:p>
    <w:p w14:paraId="5F83354B">
      <w:pPr>
        <w:pStyle w:val="Styl2"/>
        <w:spacing/>
        <w:rPr>
          <w:rFonts w:cs="Arial"/>
          <w:sz w:val="22"/>
          <w:szCs w:val="22"/>
        </w:rPr>
      </w:pPr>
    </w:p>
    <w:p w14:paraId="47A06173">
      <w:pPr>
        <w:pStyle w:val="Styl2"/>
        <w:spacing/>
        <w:rPr>
          <w:rFonts w:cs="Arial"/>
          <w:sz w:val="22"/>
          <w:szCs w:val="22"/>
        </w:rPr>
      </w:pPr>
    </w:p>
    <w:p w14:paraId="6EC7657F">
      <w:pPr>
        <w:pStyle w:val="Styl2"/>
        <w: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Přílohy:</w:t>
      </w:r>
    </w:p>
    <w:p w14:paraId="728DA87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3F854D87">
      <w:pPr>
        <w:pStyle w:val="Styl2"/>
        <w:numPr>
          <w:ilvl w:val="0"/>
          <w:numId w:val="19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7FBFB99">
      <w:pPr>
        <w:pStyle w:val="Styl2"/>
        <w:spacing w:before="60" w:after="60"/>
        <w:ind w:left="28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v roce 2017 až 2022</w:t>
      </w:r>
    </w:p>
    <w:p w14:paraId="18F00855">
      <w:pPr>
        <w:pStyle w:val="Styl2"/>
        <w:spacing w:before="60" w:after="60"/>
        <w:ind w:left="28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do ČR v roce 2017 až 2022</w:t>
      </w:r>
    </w:p>
    <w:p w14:paraId="4B7C6026">
      <w:pPr>
        <w:pStyle w:val="Styl2"/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</w:p>
    <w:p w14:paraId="7D815F47">
      <w:pPr>
        <w:pStyle w:val="Styl2"/>
        <w:numPr>
          <w:ilvl w:val="0"/>
          <w:numId w:val="19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Zahraniční obchod ČR – EU 27</w:t>
      </w:r>
    </w:p>
    <w:p w14:paraId="67311FF3">
      <w:pPr>
        <w:pStyle w:val="Styl2"/>
        <w:spacing w:before="60" w:after="60"/>
        <w:ind w:left="28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EU 27 v roce 2017 až 2022</w:t>
      </w:r>
    </w:p>
    <w:p w14:paraId="62A3A28A">
      <w:pPr>
        <w:pStyle w:val="Styl2"/>
        <w:spacing w:before="60" w:after="60"/>
        <w:ind w:left="28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z EU 27 do ČR v roce 2017 až 2022</w:t>
      </w:r>
    </w:p>
    <w:p w14:paraId="3A9F6C3D">
      <w:pPr>
        <w:pStyle w:val="Styl2"/>
        <w:spacing w:after="0"/>
        <w:ind w:left="284" w:hanging="284"/>
        <w:rPr>
          <w:rFonts w:cs="Arial"/>
          <w:sz w:val="22"/>
          <w:szCs w:val="22"/>
          <w:u w:val="single"/>
        </w:rPr>
      </w:pPr>
    </w:p>
    <w:p w14:paraId="11082D6A">
      <w:pPr>
        <w:pStyle w:val="Styl2"/>
        <w:numPr>
          <w:ilvl w:val="0"/>
          <w:numId w:val="19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Zahraniční obchod ČR – </w:t>
      </w:r>
      <w:r>
        <w:rPr>
          <w:rFonts w:cs="Arial"/>
          <w:sz w:val="22"/>
          <w:szCs w:val="22"/>
          <w:u w:val="single"/>
        </w:rPr>
        <w:t xml:space="preserve">mimounijní</w:t>
      </w:r>
      <w:r>
        <w:rPr>
          <w:rFonts w:cs="Arial"/>
          <w:sz w:val="22"/>
          <w:szCs w:val="22"/>
          <w:u w:val="single"/>
        </w:rPr>
        <w:t xml:space="preserve"> země (včetně Spojeného království)</w:t>
      </w:r>
    </w:p>
    <w:p w14:paraId="01C2F967">
      <w:pPr>
        <w:pStyle w:val="Styl2"/>
        <w:spacing w:before="60" w:after="0"/>
        <w:ind w:left="28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 </w:t>
      </w:r>
      <w:r>
        <w:rPr>
          <w:rFonts w:cs="Arial"/>
          <w:sz w:val="22"/>
          <w:szCs w:val="22"/>
        </w:rPr>
        <w:t xml:space="preserve">mimounijních</w:t>
      </w:r>
      <w:r>
        <w:rPr>
          <w:rFonts w:cs="Arial"/>
          <w:sz w:val="22"/>
          <w:szCs w:val="22"/>
        </w:rPr>
        <w:t xml:space="preserve"> zemí v roce 2017 až 2022</w:t>
      </w:r>
    </w:p>
    <w:p w14:paraId="2FE6993E">
      <w:pPr>
        <w:pStyle w:val="Styl2"/>
        <w:spacing w:before="60" w:after="0"/>
        <w:ind w:left="284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z </w:t>
      </w:r>
      <w:r>
        <w:rPr>
          <w:rFonts w:cs="Arial"/>
          <w:sz w:val="22"/>
          <w:szCs w:val="22"/>
        </w:rPr>
        <w:t xml:space="preserve">mimounijních</w:t>
      </w:r>
      <w:r>
        <w:rPr>
          <w:rFonts w:cs="Arial"/>
          <w:sz w:val="22"/>
          <w:szCs w:val="22"/>
        </w:rPr>
        <w:t xml:space="preserve"> zemí do ČR v roce 2017 až 2022</w:t>
      </w:r>
    </w:p>
    <w:p w14:paraId="3C91BB8A">
      <w:pPr>
        <w:pStyle w:val="Styl2"/>
        <w:spacing w:before="60" w:after="0"/>
        <w:ind w:left="284" w:hanging="284"/>
        <w:rPr>
          <w:rFonts w:cs="Arial"/>
          <w:sz w:val="22"/>
          <w:szCs w:val="22"/>
        </w:rPr>
      </w:pPr>
    </w:p>
    <w:p w14:paraId="3DD469B6">
      <w:pPr>
        <w:spacing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Komodity definované </w:t>
      </w:r>
      <w:r>
        <w:rPr>
          <w:i/>
          <w:sz w:val="20"/>
          <w:szCs w:val="20"/>
        </w:rPr>
        <w:t xml:space="preserve">4-místným</w:t>
      </w:r>
      <w:r>
        <w:rPr>
          <w:i/>
          <w:sz w:val="20"/>
          <w:szCs w:val="20"/>
        </w:rPr>
        <w:t xml:space="preserve"> kódem HS jsou do tabulek 1 až 3 vybrány na základě hodnot vývozů a dovozů ve finančním vyjádření za období roku 2017 až 1. pololetí roku 2022 a řazeny jsou podle roku 2021. Data jsou na této úrovni HS bez dopočtů.</w:t>
      </w:r>
    </w:p>
    <w:p w14:paraId="18E83706">
      <w:pPr>
        <w:spacing/>
        <w:ind w:left="284" w:hanging="284"/>
        <w:rPr>
          <w:rFonts w:asciiTheme="minorHAnsi" w:hAnsiTheme="minorHAnsi"/>
          <w:i/>
          <w:szCs w:val="22"/>
        </w:rPr>
      </w:pPr>
    </w:p>
    <w:p w14:paraId="1F9394BC">
      <w:pPr>
        <w:pStyle w:val="Styl2"/>
        <w:numPr>
          <w:ilvl w:val="0"/>
          <w:numId w:val="19"/>
        </w:numPr>
        <w:spacing w:before="60" w:after="6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Pořadí zemí dle hodnoty agrárního vývozu z ČR</w:t>
      </w:r>
    </w:p>
    <w:p w14:paraId="7BBDA292">
      <w:pPr>
        <w:pStyle w:val="Styl2"/>
        <w:numPr>
          <w:ilvl w:val="0"/>
          <w:numId w:val="19"/>
        </w:numPr>
        <w:spacing w:before="60" w:after="6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Pořadí zemí dle hodnoty agrárního dovozu do ČR</w:t>
      </w:r>
    </w:p>
    <w:p w14:paraId="3512B6AC">
      <w:pPr>
        <w:spacing/>
        <w:rPr>
          <w:b/>
          <w:szCs w:val="22"/>
        </w:rPr>
      </w:pPr>
    </w:p>
    <w:p w14:paraId="29F6B33C">
      <w:pPr>
        <w:spacing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Údaje v tabulkách 4 a 5 za jednotlivé země vycházejí z dat </w:t>
      </w:r>
      <w:r>
        <w:rPr>
          <w:i/>
          <w:sz w:val="20"/>
          <w:szCs w:val="20"/>
        </w:rPr>
        <w:t xml:space="preserve">2-místných</w:t>
      </w:r>
      <w:r>
        <w:rPr>
          <w:i/>
          <w:sz w:val="20"/>
          <w:szCs w:val="20"/>
        </w:rPr>
        <w:t xml:space="preserve"> kódů HS. Vzhledem k tomu, že ČSÚ začal v roce 2016 nově zveřejňovat data v množstevním vyjádření i pro méně podrobné úrovně celní nomenklatury, nežli </w:t>
      </w:r>
      <w:r>
        <w:rPr>
          <w:i/>
          <w:sz w:val="20"/>
          <w:szCs w:val="20"/>
        </w:rPr>
        <w:t xml:space="preserve">8-místné</w:t>
      </w:r>
      <w:r>
        <w:rPr>
          <w:i/>
          <w:sz w:val="20"/>
          <w:szCs w:val="20"/>
        </w:rPr>
        <w:t xml:space="preserve"> KN, jedná se o data s dopočty. </w:t>
      </w:r>
    </w:p>
    <w:p w14:paraId="7846DAF6">
      <w:pPr>
        <w:spacing/>
        <w:rPr>
          <w:rFonts w:eastAsia="Times New Roman"/>
          <w:i/>
          <w:sz w:val="24"/>
          <w:lang w:eastAsia="cs-CZ"/>
        </w:rPr>
        <w:sectPr>
          <w:headerReference w:type="first" r:id="rId10"/>
          <w:footerReference w:type="first" r:id="rId11"/>
          <w:headerReference w:type="even" r:id="rId12"/>
          <w:headerReference w:type="default" r:id="rId13"/>
          <w:footerReference w:type="default" r:id="rId14"/>
          <w:type w:val="nextPage"/>
          <w:pgSz w:w="11906" w:h="16838"/>
          <w:pgMar w:top="1135" w:right="1418" w:bottom="1418" w:left="1418" w:header="709" w:footer="709" w:gutter="0"/>
          <w:pgBorders/>
          <w:pgNumType w:fmt="decimal"/>
          <w:cols w:num="1" w:equalWidth="1" w:space="708"/>
        </w:sectPr>
      </w:pPr>
    </w:p>
    <w:p w14:paraId="514B0B39">
      <w:pPr>
        <w:pStyle w:val="Styl2"/>
        <w:numPr>
          <w:ilvl w:val="0"/>
          <w:numId w:val="20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46FA6D49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v roce 2017 až 2022</w:t>
      </w:r>
    </w:p>
    <w:p w14:paraId="103F72B9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</w:p>
    <w:p w14:paraId="6D20D794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noProof/>
        </w:rPr>
        <w:drawing>
          <wp:inline>
            <wp:extent cx="8867775" cy="4518948"/>
            <wp:effectExtent xmlns:wp="http://schemas.openxmlformats.org/drawingml/2006/wordprocessingDrawing" l="0" t="0" r="0" b="0"/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51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B47B2">
      <w:pPr>
        <w: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r>
        <w:rPr>
          <w:i/>
          <w:iCs/>
          <w:sz w:val="16"/>
          <w:szCs w:val="16"/>
        </w:rPr>
        <w:t xml:space="preserve">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1. pololetí roku 2022 a řazeny podle roku 2021. </w:t>
      </w:r>
      <w:r>
        <w:rPr>
          <w:i/>
          <w:iCs/>
          <w:color w:val="000000"/>
          <w:sz w:val="16"/>
          <w:szCs w:val="16"/>
        </w:rPr>
        <w:t xml:space="preserve"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05FA461E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2022 </w:t>
      </w:r>
    </w:p>
    <w:p w14:paraId="6D60A731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t xml:space="preserve">Tabulka – Vývoj dovozu 10 nejvíce dovážených agrárních položek do ČR v roce 2017 až 2022</w:t>
      </w:r>
    </w:p>
    <w:p w14:paraId="2FFAE8C8">
      <w:pPr>
        <w:spacing/>
        <w:rPr>
          <w:i/>
          <w:szCs w:val="22"/>
        </w:rPr>
      </w:pPr>
      <w:r>
        <w:rPr>
          <w:noProof/>
        </w:rPr>
        <w:drawing>
          <wp:inline>
            <wp:extent cx="8858250" cy="4414476"/>
            <wp:effectExtent xmlns:wp="http://schemas.openxmlformats.org/drawingml/2006/wordprocessingDrawing" l="0" t="0" r="0" b="5715"/>
            <wp:docPr id="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41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FC60">
      <w:pPr>
        <w: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r>
        <w:rPr>
          <w:i/>
          <w:iCs/>
          <w:sz w:val="16"/>
          <w:szCs w:val="16"/>
        </w:rPr>
        <w:t xml:space="preserve">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1. pololetí roku 2022 a řazeny podle roku 2021.</w:t>
      </w:r>
    </w:p>
    <w:p w14:paraId="519EBFCC">
      <w:pPr>
        <w: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Upřesnění názvů: HS 1905 pekařské zboží vč. sušenek a oplatek, HS 2402 cigarety vč. doutníků a doutníčků a HS 2106 potravinové přípravky jiné.</w:t>
      </w:r>
    </w:p>
    <w:p w14:paraId="5230D58B">
      <w:pPr>
        <w:spacing/>
        <w:rPr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pohybu zboží přes hranice, srpen 2022</w:t>
      </w:r>
      <w:r>
        <w:rPr>
          <w:b/>
          <w:sz w:val="16"/>
          <w:szCs w:val="16"/>
        </w:rPr>
        <w:t xml:space="preserve"> </w:t>
      </w:r>
    </w:p>
    <w:p w14:paraId="367D0692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t xml:space="preserve"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 xml:space="preserve">Zahraniční obchod ČR – EU 27</w:t>
      </w:r>
    </w:p>
    <w:p w14:paraId="7571D70B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EU 27 v roce 2017 až 2022</w:t>
      </w:r>
    </w:p>
    <w:p w14:paraId="2B53B031">
      <w:pPr>
        <w:spacing/>
        <w:rPr>
          <w:i/>
          <w:szCs w:val="16"/>
        </w:rPr>
      </w:pPr>
      <w:r>
        <w:rPr>
          <w:noProof/>
        </w:rPr>
        <w:drawing>
          <wp:inline>
            <wp:extent cx="8753475" cy="4301460"/>
            <wp:effectExtent xmlns:wp="http://schemas.openxmlformats.org/drawingml/2006/wordprocessingDrawing" l="0" t="0" r="0" b="4445"/>
            <wp:docPr id="1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43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B108E">
      <w:pPr>
        <w:spacing/>
        <w:rPr>
          <w:szCs w:val="22"/>
        </w:rPr>
      </w:pPr>
      <w:r>
        <w:rPr>
          <w:i/>
          <w:iCs/>
          <w:sz w:val="16"/>
          <w:szCs w:val="16"/>
        </w:rPr>
        <w:t xml:space="preserve">Pozn.: Komodity (na základě </w:t>
      </w:r>
      <w:r>
        <w:rPr>
          <w:i/>
          <w:iCs/>
          <w:sz w:val="16"/>
          <w:szCs w:val="16"/>
        </w:rPr>
        <w:t xml:space="preserve">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1. pololetí roku 2022 a řazeny podle roku 2021.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pohybu zboží přes hranice, srpen 2022</w:t>
      </w:r>
      <w:r>
        <w:rPr>
          <w:b/>
          <w:szCs w:val="16"/>
        </w:rPr>
        <w:t xml:space="preserve"> </w:t>
      </w:r>
      <w:r>
        <w:rPr>
          <w:i/>
          <w:sz w:val="16"/>
          <w:szCs w:val="16"/>
        </w:rPr>
        <w:br w:type="page"/>
      </w:r>
      <w:r>
        <w:rPr>
          <w:rFonts w:eastAsia="Times New Roman"/>
          <w:b/>
          <w:lang w:eastAsia="cs-CZ"/>
        </w:rPr>
        <w:t xml:space="preserve">Tabulka – Vývoj dovozu 10 nejvíce dovážených agrárních položek z EU 27 do ČR v roce 2017 až 2022</w:t>
      </w:r>
    </w:p>
    <w:p w14:paraId="0BD6FFBD">
      <w:pPr>
        <w:spacing w:line="240" w:lineRule="atLeast"/>
        <w:contextualSpacing/>
        <w:rPr>
          <w:rFonts w:cstheme="minorBidi"/>
          <w:noProof/>
          <w:lang w:eastAsia="cs-CZ"/>
        </w:rPr>
      </w:pPr>
      <w:r>
        <w:rPr>
          <w:noProof/>
        </w:rPr>
        <w:drawing>
          <wp:inline>
            <wp:extent cx="8896088" cy="4419600"/>
            <wp:effectExtent xmlns:wp="http://schemas.openxmlformats.org/drawingml/2006/wordprocessingDrawing" l="0" t="0" r="635" b="0"/>
            <wp:docPr id="1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088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DBB91">
      <w:pPr>
        <w:spacing/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r>
        <w:rPr>
          <w:i/>
          <w:iCs/>
          <w:sz w:val="16"/>
          <w:szCs w:val="16"/>
        </w:rPr>
        <w:t xml:space="preserve">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1. pololetí roku 2022 a řazeny podle roku 2021.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jiné. </w:t>
      </w:r>
    </w:p>
    <w:p w14:paraId="59B19592">
      <w:pPr>
        <w:spacing/>
        <w:contextualSpacing/>
        <w:rPr>
          <w:rFonts w:asciiTheme="minorHAnsi" w:hAnsiTheme="minorHAnsi"/>
          <w:szCs w:val="22"/>
          <w:u w:val="single"/>
        </w:rPr>
      </w:pPr>
      <w:r>
        <w:rPr>
          <w:i/>
          <w:sz w:val="16"/>
          <w:szCs w:val="16"/>
        </w:rPr>
        <w:t xml:space="preserve"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pohybu zboží přes hranice, srpen 2022</w:t>
      </w:r>
      <w:r>
        <w:rPr>
          <w:b/>
          <w:szCs w:val="16"/>
        </w:rPr>
        <w:t xml:space="preserve"> </w:t>
      </w:r>
      <w:r>
        <w:rPr>
          <w:b/>
          <w:i/>
          <w:sz w:val="16"/>
          <w:szCs w:val="16"/>
        </w:rPr>
        <w:br w:type="page"/>
      </w:r>
      <w:r>
        <w:rPr>
          <w:b/>
          <w:u w:val="single"/>
        </w:rPr>
        <w:t xml:space="preserve">3</w:t>
      </w:r>
      <w:r>
        <w:rPr>
          <w:rFonts w:eastAsia="Times New Roman"/>
          <w:b/>
          <w:iCs/>
          <w:color w:val="000000"/>
          <w:u w:val="single"/>
          <w:lang w:eastAsia="cs-CZ"/>
        </w:rPr>
        <w:t xml:space="preserve">) Zahraniční obchod ČR – </w:t>
      </w:r>
      <w:r>
        <w:rPr>
          <w:rFonts w:eastAsia="Times New Roman"/>
          <w:b/>
          <w:iCs/>
          <w:color w:val="000000"/>
          <w:u w:val="single"/>
          <w:lang w:eastAsia="cs-CZ"/>
        </w:rPr>
        <w:t xml:space="preserve">mimounijní</w:t>
      </w:r>
      <w:r>
        <w:rPr>
          <w:rFonts w:eastAsia="Times New Roman"/>
          <w:b/>
          <w:iCs/>
          <w:color w:val="000000"/>
          <w:u w:val="single"/>
          <w:lang w:eastAsia="cs-CZ"/>
        </w:rPr>
        <w:t xml:space="preserve"> země (včetně Spojeného království)</w:t>
      </w:r>
    </w:p>
    <w:p w14:paraId="0CC3F176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</w:t>
      </w:r>
      <w:r>
        <w:rPr>
          <w:rFonts w:cs="Arial"/>
          <w:sz w:val="22"/>
          <w:szCs w:val="22"/>
        </w:rPr>
        <w:t xml:space="preserve">mimounijních</w:t>
      </w:r>
      <w:r>
        <w:rPr>
          <w:rFonts w:cs="Arial"/>
          <w:sz w:val="22"/>
          <w:szCs w:val="22"/>
        </w:rPr>
        <w:t xml:space="preserve"> zemí v roce 2017 až 2022</w:t>
      </w:r>
    </w:p>
    <w:p w14:paraId="5412F32A">
      <w:pPr>
        <w:spacing/>
        <w:rPr>
          <w:i/>
          <w:szCs w:val="22"/>
        </w:rPr>
      </w:pPr>
      <w:r>
        <w:rPr>
          <w:noProof/>
        </w:rPr>
        <w:drawing>
          <wp:inline>
            <wp:extent cx="8876915" cy="4410075"/>
            <wp:effectExtent xmlns:wp="http://schemas.openxmlformats.org/drawingml/2006/wordprocessingDrawing" l="0" t="0" r="635" b="0"/>
            <wp:docPr id="1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91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6E0B">
      <w:pPr>
        <w: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r>
        <w:rPr>
          <w:i/>
          <w:iCs/>
          <w:sz w:val="16"/>
          <w:szCs w:val="16"/>
        </w:rPr>
        <w:t xml:space="preserve">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1. pololetí roku 2022 a řazeny podle roku 2021.</w:t>
      </w:r>
    </w:p>
    <w:p w14:paraId="16158965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Upřesnění názvů komodit: HS 1302 pektiny vč. rostlinných šťáv a výtažků a HS 2106 potravinové přípravky jiné.</w:t>
      </w:r>
    </w:p>
    <w:p w14:paraId="5344A2A9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2022</w:t>
      </w:r>
      <w:r>
        <w:rPr>
          <w:b/>
          <w:sz w:val="16"/>
          <w:szCs w:val="16"/>
        </w:rPr>
        <w:t xml:space="preserve"> </w:t>
      </w:r>
    </w:p>
    <w:p w14:paraId="0B21055D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b w:val="0"/>
          <w:sz w:val="24"/>
          <w:szCs w:val="24"/>
        </w:rPr>
        <w:br w:type="column"/>
      </w:r>
      <w:r>
        <w:rPr>
          <w:rFonts w:cs="Arial"/>
          <w:sz w:val="22"/>
          <w:szCs w:val="22"/>
        </w:rPr>
        <w:t xml:space="preserve">Tabulka – Vývoj dovozu 10 nejvíce dovážených agrárních položek z </w:t>
      </w:r>
      <w:r>
        <w:rPr>
          <w:rFonts w:cs="Arial"/>
          <w:sz w:val="22"/>
          <w:szCs w:val="22"/>
        </w:rPr>
        <w:t xml:space="preserve">mimounijních</w:t>
      </w:r>
      <w:r>
        <w:rPr>
          <w:rFonts w:cs="Arial"/>
          <w:sz w:val="22"/>
          <w:szCs w:val="22"/>
        </w:rPr>
        <w:t xml:space="preserve"> zemí do ČR v roce 2017 až 2022</w:t>
      </w:r>
    </w:p>
    <w:p w14:paraId="0CD77DB5">
      <w:pPr>
        <w:spacing/>
        <w:rPr>
          <w:i/>
          <w:sz w:val="18"/>
          <w:szCs w:val="16"/>
        </w:rPr>
      </w:pPr>
      <w:r>
        <w:rPr>
          <w:noProof/>
        </w:rPr>
        <w:drawing>
          <wp:inline>
            <wp:extent cx="8876915" cy="4410075"/>
            <wp:effectExtent xmlns:wp="http://schemas.openxmlformats.org/drawingml/2006/wordprocessingDrawing" l="0" t="0" r="635" b="0"/>
            <wp:docPr id="1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91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E2FB8">
      <w:pPr>
        <w:spacing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r>
        <w:rPr>
          <w:i/>
          <w:iCs/>
          <w:sz w:val="16"/>
          <w:szCs w:val="16"/>
        </w:rPr>
        <w:t xml:space="preserve">4-místného</w:t>
      </w:r>
      <w:r>
        <w:rPr>
          <w:i/>
          <w:iCs/>
          <w:sz w:val="16"/>
          <w:szCs w:val="16"/>
        </w:rPr>
        <w:t xml:space="preserve"> kódu HS) jsou vybrány na základě hodnoty vývozu v mil. Kč za období 2017 až 1. pololetí roku 2022 a řazeny podle roku 2021.</w:t>
      </w:r>
    </w:p>
    <w:p w14:paraId="4F796AB4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Upřesnění názvů komodit: HS 2106 potravinové přípravky jiné, HS 0802 skořápkové ovoce bez kokosů, para a kešu ořechů a HS 2401 tabák nezpracovaný.</w:t>
      </w:r>
    </w:p>
    <w:p w14:paraId="7FFF5274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pohybu zboží přes hranice, srpen 2022</w:t>
      </w:r>
      <w:r>
        <w:rPr>
          <w:b/>
          <w:sz w:val="16"/>
          <w:szCs w:val="16"/>
        </w:rPr>
        <w:t xml:space="preserve"> </w:t>
      </w:r>
    </w:p>
    <w:p w14:paraId="010B2EE5">
      <w:pPr>
        <w:spacing/>
        <w:rPr/>
        <w:sectPr>
          <w:type w:val="nextPage"/>
          <w:pgSz w:w="16838" w:h="11906" w:orient="landscape"/>
          <w:pgMar w:top="1361" w:right="1418" w:bottom="1361" w:left="1418" w:header="709" w:footer="709" w:gutter="0"/>
          <w:pgBorders/>
          <w:pgNumType w:fmt="decimal"/>
          <w:cols w:num="1" w:equalWidth="1" w:space="708"/>
        </w:sectPr>
      </w:pPr>
    </w:p>
    <w:p w14:paraId="2512B952">
      <w:pPr>
        <w:pStyle w:val="Nadpis3"/>
        <w:spacing/>
        <w:jc w:val="left"/>
        <w:rPr>
          <w:szCs w:val="22"/>
        </w:rPr>
      </w:pPr>
      <w:bookmarkStart w:id="4" w:name="_Toc413330137"/>
      <w:r>
        <w:rPr>
          <w:b/>
          <w:bCs/>
          <w:szCs w:val="22"/>
          <w:u w:val="single"/>
        </w:rPr>
        <w:t xml:space="preserve">4) </w:t>
      </w:r>
      <w:r>
        <w:rPr>
          <w:rFonts w:eastAsia="Times New Roman"/>
          <w:b/>
          <w:bCs/>
          <w:iCs/>
          <w:color w:val="000000"/>
          <w:u w:val="single"/>
          <w:lang w:eastAsia="cs-CZ"/>
        </w:rPr>
        <w:t xml:space="preserve">Pořadí</w:t>
      </w:r>
      <w:r>
        <w:rPr>
          <w:rFonts w:eastAsia="Times New Roman"/>
          <w:b/>
          <w:iCs/>
          <w:color w:val="000000"/>
          <w:u w:val="single"/>
          <w:lang w:eastAsia="cs-CZ"/>
        </w:rPr>
        <w:t xml:space="preserve"> zemí dle hodnoty agrárního vývozu z ČR</w:t>
      </w:r>
      <w:bookmarkEnd w:id="4"/>
      <w:r>
        <w:rPr>
          <w:szCs w:val="22"/>
        </w:rPr>
        <w:t xml:space="preserve"> </w:t>
      </w:r>
    </w:p>
    <w:p w14:paraId="73C4D3AD">
      <w:pPr>
        <w:pStyle w:val="Nadpis3"/>
        <w:spacing/>
        <w:jc w:val="left"/>
        <w:rPr>
          <w:szCs w:val="22"/>
        </w:rPr>
      </w:pPr>
    </w:p>
    <w:p w14:paraId="5A5C461F">
      <w:pPr>
        <w:spacing w:line="240" w:lineRule="atLeast"/>
        <w:rPr>
          <w:rFonts w:asciiTheme="minorHAnsi" w:hAnsiTheme="minorHAnsi" w:cstheme="minorBidi"/>
          <w:szCs w:val="22"/>
          <w:lang w:eastAsia="cs-CZ"/>
        </w:rPr>
      </w:pPr>
      <w:r>
        <w:rPr>
          <w:noProof/>
        </w:rPr>
        <w:drawing>
          <wp:inline>
            <wp:extent cx="5759450" cy="6330950"/>
            <wp:effectExtent xmlns:wp="http://schemas.openxmlformats.org/drawingml/2006/wordprocessingDrawing" l="0" t="0" r="0" b="0"/>
            <wp:docPr id="1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AF59B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 Barevně jsou zvýrazněny země EU 27, řazeno podle roku 2022.</w:t>
      </w:r>
    </w:p>
    <w:p w14:paraId="56AD117A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Uvedené země zaujímaly v celkovém českém agrárním vývozu 98,3 %.</w:t>
      </w:r>
    </w:p>
    <w:p w14:paraId="48844AD0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pohybu zboží přes hranice, srpen 2022</w:t>
      </w:r>
      <w:r>
        <w:rPr>
          <w:b/>
          <w:sz w:val="16"/>
          <w:szCs w:val="16"/>
        </w:rPr>
        <w:t xml:space="preserve"> </w:t>
      </w:r>
    </w:p>
    <w:p w14:paraId="1636F112">
      <w:pPr>
        <w:spacing/>
        <w:rPr>
          <w:rFonts w:asciiTheme="minorHAnsi" w:hAnsiTheme="minorHAnsi"/>
          <w:szCs w:val="22"/>
        </w:rPr>
      </w:pPr>
    </w:p>
    <w:p w14:paraId="54CAFB68">
      <w:pPr>
        <w:pStyle w:val="Nadpis3"/>
        <w:spacing/>
        <w:jc w:val="left"/>
        <w:rPr>
          <w:szCs w:val="22"/>
        </w:rPr>
      </w:pPr>
      <w:r>
        <w:rPr>
          <w:rFonts w:eastAsia="Times New Roman"/>
          <w:color w:val="000000"/>
          <w:sz w:val="18"/>
          <w:szCs w:val="18"/>
          <w:lang w:eastAsia="cs-CZ"/>
        </w:rPr>
        <w:br w:type="page"/>
      </w:r>
      <w:r>
        <w:rPr>
          <w:rFonts w:eastAsia="Times New Roman"/>
          <w:b/>
          <w:iCs/>
          <w:color w:val="000000"/>
          <w:u w:val="single"/>
          <w:lang w:eastAsia="cs-CZ"/>
        </w:rPr>
        <w:t xml:space="preserve">5) </w:t>
      </w:r>
      <w:bookmarkStart w:id="5" w:name="_Toc384374704"/>
      <w:bookmarkStart w:id="6" w:name="_Toc413330138"/>
      <w:r>
        <w:rPr>
          <w:rFonts w:eastAsia="Times New Roman"/>
          <w:b/>
          <w:iCs/>
          <w:color w:val="000000"/>
          <w:u w:val="single"/>
          <w:lang w:eastAsia="cs-CZ"/>
        </w:rPr>
        <w:t xml:space="preserve">Pořadí zemí dle hodnoty agrárního dovozu do ČR</w:t>
      </w:r>
      <w:bookmarkEnd w:id="5"/>
      <w:bookmarkEnd w:id="6"/>
      <w:r>
        <w:rPr>
          <w:szCs w:val="22"/>
        </w:rPr>
        <w:t xml:space="preserve">  </w:t>
      </w:r>
    </w:p>
    <w:p w14:paraId="182B155B">
      <w:pPr>
        <w:pStyle w:val="Nadpis3"/>
        <w:spacing/>
        <w:jc w:val="left"/>
        <w:rPr>
          <w:szCs w:val="22"/>
        </w:rPr>
      </w:pPr>
    </w:p>
    <w:p w14:paraId="0A1BA3A5">
      <w:pPr>
        <w:spacing w:line="240" w:lineRule="atLeast"/>
        <w:rPr>
          <w:rFonts w:asciiTheme="minorHAnsi" w:hAnsiTheme="minorHAnsi" w:cstheme="minorBidi"/>
          <w:szCs w:val="22"/>
          <w:lang w:eastAsia="cs-CZ"/>
        </w:rPr>
      </w:pPr>
      <w:r>
        <w:rPr>
          <w:noProof/>
        </w:rPr>
        <w:drawing>
          <wp:inline>
            <wp:extent cx="5759450" cy="6577965"/>
            <wp:effectExtent xmlns:wp="http://schemas.openxmlformats.org/drawingml/2006/wordprocessingDrawing" l="0" t="0" r="0" b="0"/>
            <wp:docPr id="1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7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1A2C4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Pozn. Barevně jsou zvýrazněny země EU 27, řazeno podle roku 2022.</w:t>
      </w:r>
    </w:p>
    <w:p w14:paraId="79AE3163">
      <w:pPr>
        <w:spacing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Uvedené země zaujímaly v celkovém českém agrárním dovozu 95,9 %.</w:t>
      </w:r>
    </w:p>
    <w:p w14:paraId="2AA98A4B">
      <w:pPr>
        <w:spacing/>
        <w:contextualSpacing/>
        <w:rPr>
          <w:szCs w:val="22"/>
        </w:rPr>
      </w:pPr>
      <w:r>
        <w:rPr>
          <w:i/>
          <w:sz w:val="16"/>
          <w:szCs w:val="16"/>
        </w:rPr>
        <w:t xml:space="preserve"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 xml:space="preserve">pohybu zboží přes hranice, srpen 2022</w:t>
      </w:r>
      <w:r>
        <w:rPr>
          <w:b/>
          <w:sz w:val="16"/>
          <w:szCs w:val="16"/>
        </w:rPr>
        <w:t xml:space="preserve"> </w:t>
      </w:r>
    </w:p>
    <w:p w14:paraId="452B254E">
      <w:pPr>
        <w:spacing/>
        <w:rPr>
          <w:rFonts w:asciiTheme="minorHAnsi" w:hAnsiTheme="minorHAnsi"/>
        </w:rPr>
      </w:pPr>
    </w:p>
    <w:p w14:paraId="2342F4CF">
      <w:pPr>
        <w:spacing/>
        <w:jc w:val="center"/>
        <w:rPr>
          <w:rFonts w:cstheme="minorBidi"/>
        </w:rPr>
      </w:pPr>
    </w:p>
    <w:p w14:paraId="5907D677">
      <w:pPr>
        <w:spacing/>
        <w:rPr>
          <w:szCs w:val="22"/>
        </w:rPr>
      </w:pPr>
    </w:p>
    <w:sectPr>
      <w:headerReference w:type="first" r:id="rId23"/>
      <w:headerReference w:type="even" r:id="rId24"/>
      <w:headerReference w:type="default" r:id="rId25"/>
      <w:footerReference w:type="default" r:id="rId26"/>
      <w:type w:val="nextPage"/>
      <w:pgSz w:w="11907" w:h="16840"/>
      <w:pgMar w:top="1418" w:right="1418" w:bottom="1418" w:left="1418" w:header="709" w:footer="709" w:gutter="0"/>
      <w:pgBorders/>
      <w:pgNumType w:fmt="decimal"/>
      <w:cols w:num="1" w:equalWidth="1"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Tahoma">
    <w:charset w:val="238"/>
    <w:family w:val="swiss"/>
    <w:pitch w:val="variable"/>
    <w:sig w:usb0="E1002EFF" w:usb1="C000605B" w:usb2="00000029" w:usb3="00000000" w:csb0="0001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footer1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sdt>
    <w:sdtPr>
      <w:rPr/>
      <w:id w:val="1392157008"/>
      <w:docPartObj>
        <w:docPartGallery w:val="Page Numbers (Bottom of Page)"/>
        <w:docPartUnique/>
      </w:docPartObj>
    </w:sdtPr>
    <w:sdtEndPr>
      <w:rPr/>
    </w:sdtEndPr>
    <w:sdtContent>
      <w:p w14:paraId="475BE7D3">
        <w:pPr>
          <w:pStyle w:val="Zpat"/>
          <w:spacing/>
          <w:jc w:val="center"/>
          <w:rPr/>
        </w:pPr>
        <w:r>
          <w:rPr/>
          <w:fldChar w:fldCharType="begin"/>
        </w:r>
        <w:r>
          <w:rPr/>
          <w:instrText xml:space="preserve">PAGE   \* MERGEFORMAT</w:instrText>
        </w:r>
        <w:r>
          <w:rPr/>
          <w:fldChar w:fldCharType="separate"/>
        </w:r>
        <w:r>
          <w:rPr/>
          <w:t xml:space="preserve">18</w:t>
        </w:r>
        <w:r>
          <w:rPr/>
          <w:fldChar w:fldCharType="end"/>
        </w:r>
      </w:p>
    </w:sdtContent>
  </w:sdt>
  <w:p w14:paraId="01F5A231">
    <w:pPr>
      <w:pStyle w:val="Zpat"/>
      <w:spacing/>
      <w:rPr/>
    </w:pPr>
  </w:p>
</w:ftr>
</file>

<file path=word/footer1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sdt>
    <w:sdtPr>
      <w:rPr/>
      <w:id w:val="-1568865485"/>
      <w:docPartObj>
        <w:docPartGallery w:val="Page Numbers (Bottom of Page)"/>
        <w:docPartUnique/>
      </w:docPartObj>
    </w:sdtPr>
    <w:sdtEndPr>
      <w:rPr/>
    </w:sdtEndPr>
    <w:sdtContent>
      <w:p w14:paraId="69DD530B">
        <w:pPr>
          <w:pStyle w:val="Zpat"/>
          <w:spacing/>
          <w:jc w:val="center"/>
          <w:rPr/>
        </w:pPr>
        <w:r>
          <w:rPr/>
          <w:fldChar w:fldCharType="begin"/>
        </w:r>
        <w:r>
          <w:rPr/>
          <w:instrText xml:space="preserve">PAGE   \* MERGEFORMAT</w:instrText>
        </w:r>
        <w:r>
          <w:rPr/>
          <w:fldChar w:fldCharType="separate"/>
        </w:r>
        <w:r>
          <w:rPr/>
          <w:t xml:space="preserve">17</w:t>
        </w:r>
        <w:r>
          <w:rPr/>
          <w:fldChar w:fldCharType="end"/>
        </w:r>
      </w:p>
    </w:sdtContent>
  </w:sdt>
  <w:p w14:paraId="7F33FCDD">
    <w:pPr>
      <w:pStyle w:val="Zpat"/>
      <w:spacing/>
      <w:rPr/>
    </w:pPr>
  </w:p>
</w:ftr>
</file>

<file path=word/footer2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679FCE30">
    <w:pPr>
      <w:pStyle w:val="Zpat"/>
      <w:spacing/>
      <w:rPr/>
    </w:pPr>
    <w:r>
      <w:rPr/>
      <w:fldChar w:fldCharType="begin"/>
    </w:r>
    <w:r>
      <w:rPr/>
      <w:instrText xml:space="preserve"> DOCVARIABLE  dms_cj  \* MERGEFORMAT </w:instrText>
    </w:r>
    <w:r>
      <w:rPr/>
      <w:fldChar w:fldCharType="separate"/>
    </w:r>
    <w:r>
      <w:rPr>
        <w:bCs/>
      </w:rPr>
      <w:t xml:space="preserve">MZE-48570/2022-17123</w:t>
    </w:r>
    <w:r>
      <w:rPr/>
      <w:fldChar w:fldCharType="end"/>
    </w:r>
    <w:r>
      <w:rPr/>
      <w:tab/>
      <w:t xml:space="preserve"/>
    </w:r>
    <w:r>
      <w:rPr/>
      <w:fldChar w:fldCharType="begin"/>
    </w:r>
    <w:r>
      <w:rPr/>
      <w:instrText xml:space="preserve">PAGE   \* MERGEFORMAT</w:instrText>
    </w:r>
    <w:r>
      <w:rPr/>
      <w:fldChar w:fldCharType="separate"/>
    </w:r>
    <w:r>
      <w:rPr/>
      <w:t xml:space="preserve">19</w:t>
    </w:r>
    <w:r>
      <w:rPr/>
      <w:fldChar w:fldCharType="end"/>
    </w:r>
  </w:p>
  <w:p w14:paraId="679FCE31">
    <w:pPr>
      <w:spacing/>
      <w:rPr/>
    </w:pP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footnote w:type="separator" w:id="-1">
    <w:p xmlns:w14="http://schemas.microsoft.com/office/word/2010/wordml" w14:paraId="679FCE33">
      <w:pPr>
        <w:spacing/>
        <w:rPr/>
      </w:pPr>
      <w:r>
        <w:rPr/>
        <w:separator/>
        <w:t xml:space="preserve"/>
      </w:r>
    </w:p>
  </w:footnote>
  <w:footnote w:type="continuationSeparator" w:id="0">
    <w:p xmlns:w14="http://schemas.microsoft.com/office/word/2010/wordml" w14:paraId="679FCE35">
      <w:pPr>
        <w:spacing/>
        <w:rPr/>
      </w:pPr>
      <w:r>
        <w:rPr/>
        <w:continuationSeparator/>
        <w:t xml:space="preserve"/>
      </w:r>
    </w:p>
  </w:footnote>
  <w:footnote w:id="1">
    <w:p xmlns:w14="http://schemas.microsoft.com/office/word/2010/wordml" w14:paraId="7B6A58C7">
      <w:pPr>
        <w:pStyle w:val="Textpoznpodarou"/>
        <w:spacing/>
        <w:ind w:left="567" w:hanging="567"/>
        <w:rPr/>
      </w:pPr>
      <w:r>
        <w:rPr>
          <w:rStyle w:val="Znakapoznpodarou"/>
        </w:rPr>
        <w:footnoteRef/>
      </w:r>
      <w:r>
        <w:rPr/>
        <w:t xml:space="preserve"> Čína, Spojené arabské emiráty, Srbsko, USA, Libanon a Japonsko.</w:t>
      </w:r>
    </w:p>
    <w:p xmlns:w14="http://schemas.microsoft.com/office/word/2010/wordml" w14:paraId="39DCC21B">
      <w:pPr>
        <w:pStyle w:val="Textpoznpodarou"/>
        <w:spacing/>
        <w:rPr/>
      </w:pPr>
    </w:p>
  </w:footnote>
  <w:footnote w:id="2">
    <w:p xmlns:w14="http://schemas.microsoft.com/office/word/2010/wordml" w14:paraId="650F4A5E">
      <w:pPr>
        <w:pStyle w:val="Textpoznpodarou"/>
        <w:tabs>
          <w:tab w:val="left" w:pos="284"/>
        </w:tabs>
        <w:spacing/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/>
      </w:r>
      <w:r>
        <w:rPr/>
        <w:t xml:space="preserve">Řazeno</w:t>
      </w:r>
      <w:r>
        <w:rPr/>
        <w:t xml:space="preserve"> dle hodnoty vývozu ve finančním vyjádření, a to na základě </w:t>
      </w:r>
      <w:r>
        <w:rPr/>
        <w:t xml:space="preserve">4-místných</w:t>
      </w:r>
      <w:r>
        <w:rPr/>
        <w:t xml:space="preserve">, ale i podrobnějších </w:t>
      </w:r>
      <w:r>
        <w:rPr/>
        <w:t xml:space="preserve">  </w:t>
      </w:r>
      <w:r>
        <w:rPr/>
        <w:t xml:space="preserve">kódů celní nomenklatury.</w:t>
      </w:r>
    </w:p>
  </w:footnote>
  <w:footnote w:id="3">
    <w:p xmlns:w14="http://schemas.microsoft.com/office/word/2010/wordml" w14:paraId="16A4D9B5">
      <w:pPr>
        <w:pStyle w:val="Textpoznpodarou"/>
        <w:tabs>
          <w:tab w:val="left" w:pos="851"/>
        </w:tabs>
        <w:spacing/>
        <w:ind w:left="142" w:hanging="142"/>
        <w:rPr/>
      </w:pPr>
      <w:r>
        <w:rPr>
          <w:rStyle w:val="Znakapoznpodarou"/>
        </w:rPr>
        <w:footnoteRef/>
      </w:r>
      <w:r>
        <w:rPr/>
        <w:t xml:space="preserve"> </w:t>
      </w:r>
      <w:r>
        <w:rPr/>
        <w:tab/>
        <w:t xml:space="preserve"/>
      </w:r>
      <w:r>
        <w:rPr/>
        <w:t xml:space="preserve">Potravinové přípravky jiné, v celním sazebníku pod kódem HS 2106.</w:t>
      </w:r>
    </w:p>
  </w:footnote>
</w:footnotes>
</file>

<file path=word/header10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16eb9bcb-4338-4ef8-985c-26227be59dd8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1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9f03f7bf-23ba-4922-8963-405aacb60239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1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rPr/>
    </w:pPr>
    <w:r>
      <w:pict>
        <v:shape id="PowerPlusWaterMarkObject31a589c349-5179-4c83-9c71-54299967d6ce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2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679FCE32">
    <w:pPr>
      <w:spacing/>
      <w:rPr/>
    </w:pPr>
    <w:r>
      <w:pict>
        <v:shape id="PowerPlusWaterMarkObject31172b1b10-a02f-4504-8cdd-84a951c27a0a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2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679FCE2E">
    <w:pPr>
      <w:spacing/>
      <w:rPr/>
    </w:pPr>
    <w:r>
      <w:pict>
        <v:shape id="PowerPlusWaterMarkObject31c15a6e56-3010-461d-b8c3-bf37c93eea35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header2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679FCE2F">
    <w:pPr>
      <w:spacing/>
      <w:rPr/>
    </w:pPr>
    <w:r>
      <w:pict>
        <v:shape id="PowerPlusWaterMarkObject316cf69981-18eb-438d-a98c-d486ae23783c" type="#_x0000_t136" o:allowincell="f" style="position:absolute;margin-left:0pt;margin-top:0pt;width:0pt;height:0pt;rotation:315;mso-position-horizontal-relative:margin;mso-position-vertical-relative:margin;mso-position-horizontal:center;mso-position-vertical:center" fillcolor="#808080" stroked="f">
          <v:fill opacity=".5"/>
          <v:textpath style="font-family:&quot;Times New Roman&quot;;font-size:2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C7043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">
    <w:nsid w:val="1933703F"/>
    <w:lvl w:ilvl="0">
      <w:start w:val="1"/>
      <w:numFmt w:val="decimal"/>
      <w:suff w:val="tab"/>
      <w:lvlText w:val="%1)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21DD585B"/>
    <w:lvl w:ilvl="0">
      <w:start w:val="1"/>
      <w:numFmt w:val="decimal"/>
      <w:suff w:val="tab"/>
      <w:lvlText w:val="%1)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25789D65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4">
    <w:nsid w:val="2BA63E8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5">
    <w:nsid w:val="2F9831CA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6">
    <w:nsid w:val="3428A640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7">
    <w:nsid w:val="3A6A1FD8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8">
    <w:nsid w:val="40D58D61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9">
    <w:nsid w:val="4CD45B6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0">
    <w:nsid w:val="4CE054FE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1">
    <w:nsid w:val="4FA6FDE0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2">
    <w:nsid w:val="565C61A8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3">
    <w:nsid w:val="6204E29E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4">
    <w:nsid w:val="62E5A170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15">
    <w:nsid w:val="6EE759BA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6">
    <w:nsid w:val="777D2D32"/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7">
    <w:nsid w:val="7D00B59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footnotePr>
    <w:footnote w:id="-1"/>
    <w:footnote w:id="0"/>
  </w:foot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dms024072561"/>
    <w:docVar w:name="dms_carovy_kod_cj" w:val="MZE-48570/2022-17123"/>
    <w:docVar w:name="dms_cj" w:val="MZE-48570/2022-17123"/>
    <w:docVar w:name="dms_cj_skn" w:val=" "/>
    <w:docVar w:name="dms_datum" w:val="24. 8. 2022"/>
    <w:docVar w:name="dms_datum_textem" w:val="24. srpna 2022"/>
    <w:docVar w:name="dms_datum_vzniku" w:val="10. 8. 2022 13:38:15"/>
    <w:docVar w:name="dms_el_pecet" w:val=" "/>
    <w:docVar w:name="dms_el_podpis" w:val="%%%el_podpis%%%"/>
    <w:docVar w:name="dms_nadrizeny_reditel" w:val="Ing. Jiří Šír"/>
    <w:docVar w:name="dms_ObsahParam1" w:val=" "/>
    <w:docVar w:name="dms_otisk_razitka" w:val=" "/>
    <w:docVar w:name="dms_PNASpravce" w:val=" "/>
    <w:docVar w:name="dms_podpisova_dolozka" w:val="Ing. Zdeněk Nekula&#13;&#10;ministr zemědělství"/>
    <w:docVar w:name="dms_podpisova_dolozka_funkce" w:val="ministr zemědělství"/>
    <w:docVar w:name="dms_podpisova_dolozka_jmeno" w:val="Ing. Zdeněk Nekul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&#13;&#10;Těšnov 65/17&#13;&#10;Nové Město&#13;&#10;110 00 Praha 1"/>
    <w:docVar w:name="dms_utvar_nazev_do_dopisu" w:val="Ministr zemědělství"/>
    <w:docVar w:name="dms_vec" w:val="Informace pro ministra - Přehled výsledků agrárního zahraničního obchodu ČR za první pololetí r. 2022"/>
    <w:docVar w:name="dms_VNVSpravce" w:val=" "/>
    <w:docVar w:name="dms_zpracoval_jmeno" w:val="Ing. Ondřej Misiaczek, Ph.D."/>
    <w:docVar w:name="dms_zpracoval_mail" w:val="Ondrej.Misiaczek@mze.cz"/>
    <w:docVar w:name="dms_zpracoval_telefon" w:val="221812327"/>
  </w:docVar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cs-CZ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cs-CZ" w:eastAsia="ar-SA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pPr>
      <w:spacing/>
      <w:jc w:val="both"/>
    </w:pPr>
    <w:rPr>
      <w:rFonts w:ascii="Arial" w:hAnsi="Arial" w:eastAsia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spacing/>
      <w:ind w:firstLine="708"/>
      <w:outlineLvl w:val="0"/>
    </w:pPr>
    <w:rPr/>
  </w:style>
  <w:style w:type="paragraph" w:styleId="Nadpis2">
    <w:name w:val="Heading 2"/>
    <w:basedOn w:val="Normln"/>
    <w:qFormat/>
    <w:pPr>
      <w:keepNext/>
      <w:spacing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spacing/>
      <w:outlineLvl w:val="2"/>
    </w:pPr>
    <w:rPr/>
  </w:style>
  <w:style w:type="paragraph" w:styleId="Nadpis4">
    <w:name w:val="Heading 4"/>
    <w:basedOn w:val="Normln"/>
    <w:qFormat/>
    <w:pPr>
      <w:keepNext/>
      <w:spacing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spacing/>
      <w:outlineLvl w:val="4"/>
    </w:pPr>
    <w:rPr>
      <w:b/>
    </w:rPr>
  </w:style>
  <w:style w:type="character" w:styleId="Standardnpsmoodstavce" w:default="1">
    <w:name w:val="Default Paragraph Font"/>
    <w:uiPriority w:val="1"/>
    <w:semiHidden/>
    <w:unhideWhenUsed/>
    <w:rPr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>
    <w:name w:val="No List"/>
    <w:uiPriority w:val="99"/>
    <w:semiHidden/>
    <w:unhideWhenUsed/>
  </w:style>
  <w:style w:type="character" w:styleId="Bezseznamu1" w:customStyle="1">
    <w:name w:val="Bez seznamu1"/>
    <w:basedOn w:val="Standardnpsmoodstavce"/>
    <w:semiHidden/>
    <w:unhideWhenUsed/>
    <w:rPr/>
  </w:style>
  <w:style w:type="character" w:styleId="Bezseznamu10" w:customStyle="1">
    <w:name w:val="Bez seznamu1_0"/>
    <w:basedOn w:val="Standardnpsmoodstavce"/>
    <w:semiHidden/>
    <w:unhideWhenUsed/>
    <w:rPr/>
  </w:style>
  <w:style w:type="character" w:styleId="Bezseznamu1_0_0" w:customStyle="1">
    <w:name w:val="Bez seznamu1_0_0"/>
    <w:basedOn w:val="Standardnpsmoodstavce"/>
    <w:semiHidden/>
    <w:unhideWhenUsed/>
    <w:rPr/>
  </w:style>
  <w:style w:type="table" w:styleId="NormalTable" w:customStyle="1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 w:customStyle="1">
    <w:name w:val="TableGrid"/>
    <w:basedOn w:val="NormalTabl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List1" w:customStyle="1">
    <w:name w:val="No List1"/>
    <w:semiHidden/>
    <w:pPr>
      <w:spacing/>
    </w:pPr>
    <w:rPr>
      <w:lang w:val="en-US" w:eastAsia="en-US"/>
    </w:rPr>
  </w:style>
  <w:style w:type="paragraph" w:styleId="Adresanaoblku1" w:customStyle="1">
    <w:name w:val="Adresa na obálku1"/>
    <w:basedOn w:val="Normln"/>
    <w:semiHidden/>
    <w:pPr>
      <w:framePr w:wrap="auto" w:hAnchor="page" w:vAnchor="text" w:xAlign="center" w:lines="1"/>
      <w:spacing/>
      <w:ind w:left="2880"/>
    </w:pPr>
    <w:rPr/>
  </w:style>
  <w:style w:type="paragraph" w:styleId="Titulek">
    <w:name w:val="Caption"/>
    <w:basedOn w:val="Normln"/>
    <w:qFormat/>
    <w:pPr>
      <w:framePr w:wrap="around" w:hAnchor="page" w:vAnchor="text" w:x="5388" w:y="-24" w:lines="1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pacing/>
    </w:pPr>
    <w:rPr>
      <w:u w:val="single"/>
    </w:rPr>
  </w:style>
  <w:style w:type="paragraph" w:styleId="Nzev">
    <w:name w:val="Title"/>
    <w:basedOn w:val="Normln"/>
    <w:qFormat/>
    <w:pPr>
      <w:spacing/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pPr>
      <w:spacing/>
    </w:pPr>
    <w:rPr>
      <w:rFonts w:ascii="Tahoma" w:hAnsi="Tahoma" w:eastAsia="Tahoma" w:cs="Tahoma"/>
      <w:sz w:val="16"/>
      <w:szCs w:val="16"/>
    </w:rPr>
  </w:style>
  <w:style w:type="paragraph" w:styleId="Zhlav">
    <w:name w:val="Header"/>
    <w:basedOn w:val="Normln"/>
    <w:uiPriority w:val="99"/>
    <w:semiHidden/>
    <w:pPr>
      <w:tabs>
        <w:tab w:val="center" w:pos="4536"/>
        <w:tab w:val="right" w:pos="9072"/>
      </w:tabs>
      <w:spacing/>
    </w:pPr>
    <w:rPr/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  <w:spacing/>
    </w:pPr>
    <w:rPr/>
  </w:style>
  <w:style w:type="character" w:styleId="ZpatChar" w:customStyle="1">
    <w:name w:val="Zápatí Char"/>
    <w:basedOn w:val="Standardnpsmoodstavce"/>
    <w:uiPriority w:val="99"/>
    <w:rPr>
      <w:sz w:val="26"/>
      <w:lang w:val="en-US" w:eastAsia="en-US"/>
    </w:rPr>
  </w:style>
  <w:style w:type="table" w:styleId="NormalTable0" w:customStyle="1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" w:customStyle="1">
    <w:name w:val="TableGrid_0"/>
    <w:basedOn w:val="NormalTable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1" w:customStyle="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" w:customStyle="1">
    <w:name w:val="a"/>
    <w:basedOn w:val="NormalTable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NormalTable2" w:customStyle="1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name w:val="a0"/>
    <w:basedOn w:val="NormalTable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poznpodarou">
    <w:name w:val="Footnote Text"/>
    <w:basedOn w:val="Normln"/>
    <w:uiPriority w:val="99"/>
    <w:semiHidden/>
    <w:unhideWhenUsed/>
    <w:pPr>
      <w:spacing/>
      <w:ind w:firstLine="567"/>
    </w:pPr>
    <w:rPr>
      <w:rFonts w:eastAsia="Times New Roman" w:cs="Times New Roman"/>
      <w:sz w:val="20"/>
      <w:szCs w:val="20"/>
      <w:lang w:eastAsia="cs-CZ"/>
    </w:rPr>
  </w:style>
  <w:style w:type="character" w:styleId="TextpoznpodarouChar" w:customStyle="1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Nadpis3Char" w:customStyle="1">
    <w:name w:val="Nadpis 3 Char"/>
    <w:basedOn w:val="Standardnpsmoodstavce"/>
    <w:uiPriority w:val="9"/>
    <w:rPr>
      <w:rFonts w:ascii="Arial" w:hAnsi="Arial" w:eastAsia="Arial" w:cs="Arial"/>
      <w:sz w:val="22"/>
      <w:szCs w:val="24"/>
      <w:lang w:eastAsia="en-US"/>
    </w:rPr>
  </w:style>
  <w:style w:type="paragraph" w:styleId="msonormal0" w:customStyle="1">
    <w:name w:val="msonormal"/>
    <w:basedOn w:val="Normln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sz w:val="24"/>
      <w:lang w:eastAsia="cs-CZ"/>
    </w:rPr>
  </w:style>
  <w:style w:type="character" w:styleId="ZhlavChar" w:customStyle="1">
    <w:name w:val="Záhlaví Char"/>
    <w:basedOn w:val="Standardnpsmoodstavce"/>
    <w:uiPriority w:val="99"/>
    <w:semiHidden/>
    <w:rPr>
      <w:rFonts w:ascii="Arial" w:hAnsi="Arial" w:eastAsia="Arial" w:cs="Arial"/>
      <w:sz w:val="22"/>
      <w:szCs w:val="24"/>
      <w:lang w:eastAsia="en-US"/>
    </w:rPr>
  </w:style>
  <w:style w:type="character" w:styleId="TextbublinyChar" w:customStyle="1">
    <w:name w:val="Text bubliny Char"/>
    <w:basedOn w:val="Standardnpsmoodstavce"/>
    <w:uiPriority w:val="99"/>
    <w:semiHidden/>
    <w:rPr>
      <w:rFonts w:ascii="Tahoma" w:hAnsi="Tahoma" w:eastAsia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pPr>
      <w:spacing w:after="160" w:line="256" w:lineRule="auto"/>
      <w:ind w:left="720"/>
      <w:contextualSpacing/>
      <w:jc w:val="left"/>
    </w:pPr>
    <w:rPr>
      <w:rFonts w:asciiTheme="minorHAnsi" w:hAnsiTheme="minorHAnsi" w:eastAsiaTheme="minorHAnsi" w:cstheme="minorBidi"/>
      <w:szCs w:val="22"/>
    </w:rPr>
  </w:style>
  <w:style w:type="character" w:styleId="TabNadpisChar" w:customStyle="1">
    <w:name w:val="TabNadpis Char"/>
    <w:basedOn w:val="Standardnpsmoodstavce"/>
    <w:link w:val="TabNadpis"/>
    <w:rPr>
      <w:rFonts w:ascii="Arial" w:hAnsi="Arial"/>
      <w:b/>
      <w:lang w:eastAsia="cs-CZ"/>
    </w:rPr>
  </w:style>
  <w:style w:type="paragraph" w:styleId="TabNadpis" w:customStyle="1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character" w:styleId="TabPozChar" w:customStyle="1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styleId="TabPoz" w:customStyle="1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styleId="Styl2Char" w:customStyle="1">
    <w:name w:val="Styl2 Char"/>
    <w:basedOn w:val="Standardnpsmoodstavce"/>
    <w:link w:val="Styl2"/>
    <w:rPr>
      <w:rFonts w:ascii="Arial" w:hAnsi="Arial"/>
      <w:b/>
      <w:lang w:eastAsia="cs-CZ"/>
    </w:rPr>
  </w:style>
  <w:style w:type="paragraph" w:styleId="Styl2" w:customStyle="1">
    <w:name w:val="Styl2"/>
    <w:basedOn w:val="TabNadpis"/>
    <w:link w:val="Styl2Char"/>
    <w:qFormat/>
    <w:pPr>
      <w:spacing/>
      <w:ind w:left="709" w:hanging="709"/>
      <w:contextualSpacing/>
    </w:pPr>
    <w:rPr/>
  </w:style>
  <w:style w:type="paragraph" w:styleId="UZEI-logo" w:customStyle="1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styleId="T-sloanzev" w:customStyle="1">
    <w:name w:val="TÚ - číslo a název"/>
    <w:basedOn w:val="Normln"/>
    <w:next w:val="T-slovstupu"/>
    <w:pPr>
      <w:spacing/>
      <w:jc w:val="left"/>
    </w:pPr>
    <w:rPr>
      <w:rFonts w:eastAsia="Times New Roman" w:cs="Times New Roman"/>
      <w:sz w:val="20"/>
      <w:lang w:eastAsia="cs-CZ"/>
    </w:rPr>
  </w:style>
  <w:style w:type="paragraph" w:styleId="T-nzevvstupu" w:customStyle="1">
    <w:name w:val="TÚ - název výstupu"/>
    <w:basedOn w:val="Normln"/>
    <w:next w:val="T-sloanzev"/>
    <w:pPr>
      <w:pBdr>
        <w:bottom w:val="single" w:color="548DD4" w:sz="4" w:space="1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styleId="T-slovstupu" w:customStyle="1">
    <w:name w:val="TÚ - číslo výstupu"/>
    <w:basedOn w:val="T-sloanzev"/>
    <w:next w:val="T-odpovdneitel"/>
    <w:pPr>
      <w:spacing w:before="240"/>
      <w:jc w:val="center"/>
    </w:pPr>
    <w:rPr/>
  </w:style>
  <w:style w:type="paragraph" w:styleId="T-odpovdneitel" w:customStyle="1">
    <w:name w:val="TÚ - odpovědný řešitel"/>
    <w:basedOn w:val="T-sloanzev"/>
    <w:next w:val="T-spolueitel1"/>
    <w:pPr>
      <w:spacing w:before="1800"/>
      <w:ind w:left="2268" w:hanging="2268"/>
    </w:pPr>
    <w:rPr/>
  </w:style>
  <w:style w:type="paragraph" w:styleId="T-spolueitel1" w:customStyle="1">
    <w:name w:val="TÚ - spoluřešitel1"/>
    <w:basedOn w:val="T-sloanzev"/>
    <w:qFormat/>
    <w:pPr>
      <w:spacing w:before="240"/>
      <w:ind w:left="2268" w:hanging="2268"/>
    </w:pPr>
    <w:rPr/>
  </w:style>
  <w:style w:type="table" w:styleId="Mkatabulky">
    <w:name w:val="Table Grid"/>
    <w:basedOn w:val="Normlntabulka"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7" Type="http://schemas.openxmlformats.org/officeDocument/2006/relationships/styles" Target="styles.xml" /><Relationship Id="rId28" Type="http://schemas.openxmlformats.org/officeDocument/2006/relationships/settings" Target="settings.xml" /><Relationship Id="rId29" Type="http://schemas.openxmlformats.org/officeDocument/2006/relationships/theme" Target="theme/theme1.xml" /><Relationship Id="rId30" Type="http://schemas.openxmlformats.org/officeDocument/2006/relationships/numbering" Target="numbering.xml" /><Relationship Id="rId31" Type="http://schemas.openxmlformats.org/officeDocument/2006/relationships/footnotes" Target="footnotes.xml" /><Relationship Id="rId12" Type="http://schemas.openxmlformats.org/officeDocument/2006/relationships/header" Target="header12.xml" /><Relationship Id="rId24" Type="http://schemas.openxmlformats.org/officeDocument/2006/relationships/header" Target="header24.xml" /><Relationship Id="rId11" Type="http://schemas.openxmlformats.org/officeDocument/2006/relationships/footer" Target="footer11.xml" /><Relationship Id="rId10" Type="http://schemas.openxmlformats.org/officeDocument/2006/relationships/header" Target="header10.xml" /><Relationship Id="rId23" Type="http://schemas.openxmlformats.org/officeDocument/2006/relationships/header" Target="header23.xml" /><Relationship Id="rId14" Type="http://schemas.openxmlformats.org/officeDocument/2006/relationships/footer" Target="footer14.xml" /><Relationship Id="rId26" Type="http://schemas.openxmlformats.org/officeDocument/2006/relationships/footer" Target="footer26.xml" /><Relationship Id="rId13" Type="http://schemas.openxmlformats.org/officeDocument/2006/relationships/header" Target="header13.xml" /><Relationship Id="rId25" Type="http://schemas.openxmlformats.org/officeDocument/2006/relationships/header" Target="header25.xml" /><Relationship Id="rId32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7" Type="http://schemas.openxmlformats.org/officeDocument/2006/relationships/image" Target="media/image7.png" /><Relationship Id="rId8" Type="http://schemas.openxmlformats.org/officeDocument/2006/relationships/image" Target="media/image8.png" /><Relationship Id="rId9" Type="http://schemas.openxmlformats.org/officeDocument/2006/relationships/image" Target="media/image9.png" /><Relationship Id="rId15" Type="http://schemas.openxmlformats.org/officeDocument/2006/relationships/image" Target="media/image10.emf" /><Relationship Id="rId16" Type="http://schemas.openxmlformats.org/officeDocument/2006/relationships/image" Target="media/image11.emf" /><Relationship Id="rId17" Type="http://schemas.openxmlformats.org/officeDocument/2006/relationships/image" Target="media/image12.emf" /><Relationship Id="rId18" Type="http://schemas.openxmlformats.org/officeDocument/2006/relationships/image" Target="media/image13.emf" /><Relationship Id="rId19" Type="http://schemas.openxmlformats.org/officeDocument/2006/relationships/image" Target="media/image14.emf" /><Relationship Id="rId20" Type="http://schemas.openxmlformats.org/officeDocument/2006/relationships/image" Target="media/image15.emf" /><Relationship Id="rId21" Type="http://schemas.openxmlformats.org/officeDocument/2006/relationships/image" Target="media/image16.emf" /><Relationship Id="rId22" Type="http://schemas.openxmlformats.org/officeDocument/2006/relationships/image" Target="media/image17.emf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138</TotalTime>
  <Pages>19</Pages>
  <Words>2872</Words>
  <Characters>16948</Characters>
  <Application>Microsoft Office Word</Application>
  <DocSecurity>0</DocSecurity>
  <Lines>141</Lines>
  <Paragraphs>39</Paragraphs>
  <Company>T-Soft a.s.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12</cp:revision>
  <dcterms:created xsi:type="dcterms:W3CDTF">2011-07-18T14:47:00Z</dcterms:created>
  <dcterms:modified xsi:type="dcterms:W3CDTF">2022-08-10T14:08:00Z</dcterms:modified>
</cp:coreProperties>
</file>