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685" w:rsidRPr="002A0E01" w:rsidRDefault="002E580F" w:rsidP="00AE5685">
      <w:pPr>
        <w:spacing w:before="0"/>
        <w:jc w:val="center"/>
        <w:outlineLvl w:val="0"/>
        <w:rPr>
          <w:rFonts w:cs="Arial"/>
          <w:b/>
          <w:bCs/>
          <w:smallCaps/>
          <w:kern w:val="36"/>
          <w:sz w:val="28"/>
          <w:szCs w:val="28"/>
        </w:rPr>
      </w:pPr>
      <w:r w:rsidRPr="002A0E01">
        <w:rPr>
          <w:rFonts w:cs="Arial"/>
          <w:b/>
          <w:bCs/>
          <w:smallCaps/>
          <w:kern w:val="36"/>
          <w:sz w:val="28"/>
          <w:szCs w:val="28"/>
        </w:rPr>
        <w:t>Výsledky agrárn</w:t>
      </w:r>
      <w:r w:rsidR="00AE5685" w:rsidRPr="002A0E01">
        <w:rPr>
          <w:rFonts w:cs="Arial"/>
          <w:b/>
          <w:bCs/>
          <w:smallCaps/>
          <w:kern w:val="36"/>
          <w:sz w:val="28"/>
          <w:szCs w:val="28"/>
        </w:rPr>
        <w:t xml:space="preserve">ího zahraničního obchodu ČR </w:t>
      </w:r>
    </w:p>
    <w:p w:rsidR="002E580F" w:rsidRPr="002A0E01" w:rsidRDefault="00AE5685" w:rsidP="00AE5685">
      <w:pPr>
        <w:spacing w:before="0"/>
        <w:jc w:val="center"/>
        <w:outlineLvl w:val="0"/>
        <w:rPr>
          <w:rFonts w:cs="Arial"/>
          <w:b/>
          <w:bCs/>
          <w:smallCaps/>
          <w:kern w:val="36"/>
          <w:sz w:val="28"/>
          <w:szCs w:val="28"/>
        </w:rPr>
      </w:pPr>
      <w:r w:rsidRPr="002A0E01">
        <w:rPr>
          <w:rFonts w:cs="Arial"/>
          <w:b/>
          <w:bCs/>
          <w:smallCaps/>
          <w:kern w:val="36"/>
          <w:sz w:val="28"/>
          <w:szCs w:val="28"/>
        </w:rPr>
        <w:t xml:space="preserve">za </w:t>
      </w:r>
      <w:r w:rsidR="00DE61A3" w:rsidRPr="002A0E01">
        <w:rPr>
          <w:rFonts w:cs="Arial"/>
          <w:b/>
          <w:bCs/>
          <w:smallCaps/>
          <w:kern w:val="36"/>
          <w:sz w:val="28"/>
          <w:szCs w:val="28"/>
        </w:rPr>
        <w:t xml:space="preserve">rok </w:t>
      </w:r>
      <w:r w:rsidR="002E580F" w:rsidRPr="002A0E01">
        <w:rPr>
          <w:rFonts w:cs="Arial"/>
          <w:b/>
          <w:bCs/>
          <w:smallCaps/>
          <w:kern w:val="36"/>
          <w:sz w:val="28"/>
          <w:szCs w:val="28"/>
        </w:rPr>
        <w:t>201</w:t>
      </w:r>
      <w:r w:rsidR="00020B12" w:rsidRPr="002A0E01">
        <w:rPr>
          <w:rFonts w:cs="Arial"/>
          <w:b/>
          <w:bCs/>
          <w:smallCaps/>
          <w:kern w:val="36"/>
          <w:sz w:val="28"/>
          <w:szCs w:val="28"/>
        </w:rPr>
        <w:t>5</w:t>
      </w:r>
    </w:p>
    <w:p w:rsidR="00AE5685" w:rsidRPr="002A0E01" w:rsidRDefault="00AE5685" w:rsidP="00AE5685">
      <w:pPr>
        <w:spacing w:before="0"/>
        <w:jc w:val="center"/>
        <w:outlineLvl w:val="0"/>
        <w:rPr>
          <w:rFonts w:cs="Arial"/>
          <w:b/>
          <w:bCs/>
          <w:smallCaps/>
          <w:kern w:val="36"/>
          <w:sz w:val="28"/>
          <w:szCs w:val="28"/>
        </w:rPr>
      </w:pPr>
    </w:p>
    <w:p w:rsidR="006010CB" w:rsidRPr="002A0E01" w:rsidRDefault="006010CB" w:rsidP="00BD3E86">
      <w:pPr>
        <w:spacing w:line="276" w:lineRule="auto"/>
        <w:rPr>
          <w:rFonts w:cs="Arial"/>
          <w:sz w:val="22"/>
          <w:szCs w:val="24"/>
        </w:rPr>
      </w:pPr>
      <w:r w:rsidRPr="002A0E01">
        <w:rPr>
          <w:rFonts w:cs="Arial"/>
          <w:sz w:val="22"/>
          <w:szCs w:val="24"/>
        </w:rPr>
        <w:t xml:space="preserve">Hodnota českého agrárního </w:t>
      </w:r>
      <w:r w:rsidRPr="002A0E01">
        <w:rPr>
          <w:rFonts w:cs="Arial"/>
          <w:b/>
          <w:sz w:val="22"/>
          <w:szCs w:val="24"/>
        </w:rPr>
        <w:t>vývozu</w:t>
      </w:r>
      <w:r w:rsidRPr="002A0E01">
        <w:rPr>
          <w:rFonts w:cs="Arial"/>
          <w:sz w:val="22"/>
          <w:szCs w:val="24"/>
        </w:rPr>
        <w:t xml:space="preserve"> se v roce 2015 meziročně zvýšila </w:t>
      </w:r>
      <w:r w:rsidRPr="002A0E01">
        <w:rPr>
          <w:rFonts w:cs="Arial"/>
          <w:b/>
          <w:sz w:val="22"/>
          <w:szCs w:val="24"/>
        </w:rPr>
        <w:t>o 11,5 %</w:t>
      </w:r>
      <w:r w:rsidR="005024B2">
        <w:rPr>
          <w:rFonts w:cs="Arial"/>
          <w:sz w:val="22"/>
          <w:szCs w:val="24"/>
        </w:rPr>
        <w:t xml:space="preserve"> (tj. </w:t>
      </w:r>
      <w:r w:rsidRPr="002A0E01">
        <w:rPr>
          <w:rFonts w:cs="Arial"/>
          <w:sz w:val="22"/>
          <w:szCs w:val="24"/>
        </w:rPr>
        <w:t xml:space="preserve">o 20,7 mld. Kč), zatímco hodnota </w:t>
      </w:r>
      <w:r w:rsidRPr="002A0E01">
        <w:rPr>
          <w:rFonts w:cs="Arial"/>
          <w:b/>
          <w:sz w:val="22"/>
          <w:szCs w:val="24"/>
        </w:rPr>
        <w:t>dovozu</w:t>
      </w:r>
      <w:r w:rsidRPr="002A0E01">
        <w:rPr>
          <w:rFonts w:cs="Arial"/>
          <w:sz w:val="22"/>
          <w:szCs w:val="24"/>
        </w:rPr>
        <w:t xml:space="preserve"> vzrostla </w:t>
      </w:r>
      <w:r w:rsidRPr="002A0E01">
        <w:rPr>
          <w:rFonts w:cs="Arial"/>
          <w:b/>
          <w:sz w:val="22"/>
          <w:szCs w:val="24"/>
        </w:rPr>
        <w:t>o</w:t>
      </w:r>
      <w:r w:rsidRPr="002A0E01">
        <w:rPr>
          <w:rFonts w:cs="Arial"/>
          <w:sz w:val="22"/>
          <w:szCs w:val="24"/>
        </w:rPr>
        <w:t xml:space="preserve"> </w:t>
      </w:r>
      <w:r w:rsidRPr="002A0E01">
        <w:rPr>
          <w:rFonts w:cs="Arial"/>
          <w:b/>
          <w:sz w:val="22"/>
          <w:szCs w:val="24"/>
        </w:rPr>
        <w:t>9,7 %</w:t>
      </w:r>
      <w:r w:rsidRPr="002A0E01">
        <w:rPr>
          <w:rFonts w:cs="Arial"/>
          <w:sz w:val="22"/>
          <w:szCs w:val="24"/>
        </w:rPr>
        <w:t xml:space="preserve"> (tj. o 19,4 mld. Kč). Obrat</w:t>
      </w:r>
      <w:r w:rsidR="009F0BFC" w:rsidRPr="002A0E01">
        <w:rPr>
          <w:rFonts w:cs="Arial"/>
          <w:sz w:val="22"/>
          <w:szCs w:val="24"/>
        </w:rPr>
        <w:t xml:space="preserve"> tohoto obchodu</w:t>
      </w:r>
      <w:r w:rsidRPr="002A0E01">
        <w:rPr>
          <w:rFonts w:cs="Arial"/>
          <w:sz w:val="22"/>
          <w:szCs w:val="24"/>
        </w:rPr>
        <w:t xml:space="preserve"> byl tak vzhledem k předchozímu roku vyšší o 10,6 % a </w:t>
      </w:r>
      <w:r w:rsidRPr="002A0E01">
        <w:rPr>
          <w:rFonts w:cs="Arial"/>
          <w:b/>
          <w:sz w:val="22"/>
          <w:szCs w:val="24"/>
        </w:rPr>
        <w:t>dlouhodobý</w:t>
      </w:r>
      <w:r w:rsidRPr="002A0E01">
        <w:rPr>
          <w:rFonts w:cs="Arial"/>
          <w:sz w:val="22"/>
          <w:szCs w:val="24"/>
        </w:rPr>
        <w:t xml:space="preserve"> </w:t>
      </w:r>
      <w:r w:rsidRPr="002A0E01">
        <w:rPr>
          <w:rFonts w:cs="Arial"/>
          <w:b/>
          <w:sz w:val="22"/>
          <w:szCs w:val="24"/>
        </w:rPr>
        <w:t>schodek bilance</w:t>
      </w:r>
      <w:r w:rsidRPr="002A0E01">
        <w:rPr>
          <w:rFonts w:cs="Arial"/>
          <w:sz w:val="22"/>
          <w:szCs w:val="24"/>
        </w:rPr>
        <w:t xml:space="preserve"> </w:t>
      </w:r>
      <w:r w:rsidRPr="002A0E01">
        <w:rPr>
          <w:rFonts w:cs="Arial"/>
          <w:b/>
          <w:sz w:val="22"/>
          <w:szCs w:val="24"/>
        </w:rPr>
        <w:t>se zmenšil</w:t>
      </w:r>
      <w:r w:rsidRPr="002A0E01">
        <w:rPr>
          <w:rFonts w:cs="Arial"/>
          <w:sz w:val="22"/>
          <w:szCs w:val="24"/>
        </w:rPr>
        <w:t xml:space="preserve"> </w:t>
      </w:r>
      <w:r w:rsidRPr="002A0E01">
        <w:rPr>
          <w:rFonts w:cs="Arial"/>
          <w:b/>
          <w:sz w:val="22"/>
          <w:szCs w:val="24"/>
        </w:rPr>
        <w:t>o 6,5 %</w:t>
      </w:r>
      <w:r w:rsidRPr="002A0E01">
        <w:rPr>
          <w:rFonts w:cs="Arial"/>
          <w:sz w:val="22"/>
          <w:szCs w:val="24"/>
        </w:rPr>
        <w:t xml:space="preserve"> na 18,4 mld. Kč při současném zlepšení stupně krytí dovozu vývozem o 1,4 p. b. </w:t>
      </w:r>
      <w:proofErr w:type="gramStart"/>
      <w:r w:rsidRPr="002A0E01">
        <w:rPr>
          <w:rFonts w:cs="Arial"/>
          <w:sz w:val="22"/>
          <w:szCs w:val="24"/>
        </w:rPr>
        <w:t>na</w:t>
      </w:r>
      <w:proofErr w:type="gramEnd"/>
      <w:r w:rsidRPr="002A0E01">
        <w:rPr>
          <w:rFonts w:cs="Arial"/>
          <w:sz w:val="22"/>
          <w:szCs w:val="24"/>
        </w:rPr>
        <w:t xml:space="preserve"> 91,6 %.</w:t>
      </w:r>
    </w:p>
    <w:p w:rsidR="007D34AC" w:rsidRPr="002A0E01" w:rsidRDefault="00BA5EB8" w:rsidP="00BD3E86">
      <w:pPr>
        <w:spacing w:line="276" w:lineRule="auto"/>
        <w:rPr>
          <w:rFonts w:cs="Arial"/>
          <w:sz w:val="22"/>
          <w:szCs w:val="24"/>
        </w:rPr>
      </w:pPr>
      <w:r w:rsidRPr="00BA5EB8">
        <w:rPr>
          <w:rFonts w:cs="Arial"/>
          <w:sz w:val="22"/>
          <w:szCs w:val="24"/>
        </w:rPr>
        <w:t>V prvních třech čtvrtletích roku 2015 naznačoval vývoj AZO ČR výraznější meziroční zlepšení bilance, ve 4. čtvrtletí však došlo k jejímu propadu. Projevil se v něm zejména mezičtvr</w:t>
      </w:r>
      <w:r w:rsidR="00A07B41">
        <w:rPr>
          <w:rFonts w:cs="Arial"/>
          <w:sz w:val="22"/>
          <w:szCs w:val="24"/>
        </w:rPr>
        <w:t>t</w:t>
      </w:r>
      <w:r w:rsidRPr="00BA5EB8">
        <w:rPr>
          <w:rFonts w:cs="Arial"/>
          <w:sz w:val="22"/>
          <w:szCs w:val="24"/>
        </w:rPr>
        <w:t>letní propad nezvykle relativně vyrovnané bi</w:t>
      </w:r>
      <w:r w:rsidR="005024B2">
        <w:rPr>
          <w:rFonts w:cs="Arial"/>
          <w:sz w:val="22"/>
          <w:szCs w:val="24"/>
        </w:rPr>
        <w:t>lance obchodu s EU 28 zpátky do </w:t>
      </w:r>
      <w:r>
        <w:rPr>
          <w:rFonts w:cs="Arial"/>
          <w:sz w:val="22"/>
          <w:szCs w:val="24"/>
        </w:rPr>
        <w:t>záporných čísel, viz graf 1</w:t>
      </w:r>
      <w:r w:rsidR="006010CB" w:rsidRPr="002A0E01">
        <w:rPr>
          <w:rFonts w:cs="Arial"/>
          <w:sz w:val="22"/>
          <w:szCs w:val="24"/>
        </w:rPr>
        <w:t>.</w:t>
      </w:r>
      <w:r w:rsidR="00273FDF" w:rsidRPr="002A0E01">
        <w:rPr>
          <w:rStyle w:val="Znakapoznpodarou"/>
          <w:rFonts w:cs="Arial"/>
          <w:sz w:val="22"/>
          <w:szCs w:val="24"/>
        </w:rPr>
        <w:footnoteReference w:id="1"/>
      </w:r>
      <w:r w:rsidR="007D34AC" w:rsidRPr="002A0E01">
        <w:rPr>
          <w:rFonts w:cs="Arial"/>
          <w:sz w:val="22"/>
          <w:szCs w:val="24"/>
        </w:rPr>
        <w:t xml:space="preserve"> I tak se však pasivní bilance českého agrárního obchodu s Unií </w:t>
      </w:r>
      <w:r w:rsidR="00392FDF" w:rsidRPr="002A0E01">
        <w:rPr>
          <w:rFonts w:cs="Arial"/>
          <w:sz w:val="22"/>
          <w:szCs w:val="24"/>
        </w:rPr>
        <w:t>v roce 2015 meziročně zlepšila z 5,3 </w:t>
      </w:r>
      <w:r w:rsidR="007D34AC" w:rsidRPr="002A0E01">
        <w:rPr>
          <w:rFonts w:cs="Arial"/>
          <w:sz w:val="22"/>
          <w:szCs w:val="24"/>
        </w:rPr>
        <w:t>ml</w:t>
      </w:r>
      <w:r w:rsidR="00392FDF" w:rsidRPr="002A0E01">
        <w:rPr>
          <w:rFonts w:cs="Arial"/>
          <w:sz w:val="22"/>
          <w:szCs w:val="24"/>
        </w:rPr>
        <w:t>d</w:t>
      </w:r>
      <w:r w:rsidR="007D34AC" w:rsidRPr="002A0E01">
        <w:rPr>
          <w:rFonts w:cs="Arial"/>
          <w:sz w:val="22"/>
          <w:szCs w:val="24"/>
        </w:rPr>
        <w:t>. Kč na 1,7 mld. Kč.</w:t>
      </w:r>
    </w:p>
    <w:p w:rsidR="000F3C74" w:rsidRPr="002A0E01" w:rsidRDefault="006010CB" w:rsidP="00BD3E86">
      <w:pPr>
        <w:spacing w:line="276" w:lineRule="auto"/>
        <w:rPr>
          <w:rFonts w:cs="Arial"/>
          <w:sz w:val="22"/>
          <w:szCs w:val="24"/>
        </w:rPr>
      </w:pPr>
      <w:r w:rsidRPr="002A0E01">
        <w:rPr>
          <w:rFonts w:cs="Arial"/>
          <w:sz w:val="22"/>
          <w:szCs w:val="24"/>
        </w:rPr>
        <w:t xml:space="preserve">Vývoj </w:t>
      </w:r>
      <w:r w:rsidR="009F0BFC" w:rsidRPr="002A0E01">
        <w:rPr>
          <w:rFonts w:cs="Arial"/>
          <w:sz w:val="22"/>
          <w:szCs w:val="24"/>
        </w:rPr>
        <w:t xml:space="preserve">bilančního </w:t>
      </w:r>
      <w:r w:rsidR="000F3C74" w:rsidRPr="002A0E01">
        <w:rPr>
          <w:rFonts w:cs="Arial"/>
          <w:sz w:val="22"/>
          <w:szCs w:val="24"/>
        </w:rPr>
        <w:t>schodku</w:t>
      </w:r>
      <w:r w:rsidRPr="002A0E01">
        <w:rPr>
          <w:rFonts w:cs="Arial"/>
          <w:sz w:val="22"/>
          <w:szCs w:val="24"/>
        </w:rPr>
        <w:t xml:space="preserve"> </w:t>
      </w:r>
      <w:r w:rsidRPr="002A0E01">
        <w:rPr>
          <w:rFonts w:cs="Arial"/>
          <w:b/>
          <w:sz w:val="22"/>
          <w:szCs w:val="24"/>
        </w:rPr>
        <w:t>s třetími zeměmi</w:t>
      </w:r>
      <w:r w:rsidR="004700A7" w:rsidRPr="002A0E01">
        <w:rPr>
          <w:rFonts w:cs="Arial"/>
          <w:sz w:val="22"/>
          <w:szCs w:val="24"/>
        </w:rPr>
        <w:t>, kter</w:t>
      </w:r>
      <w:r w:rsidR="007D34AC" w:rsidRPr="002A0E01">
        <w:rPr>
          <w:rFonts w:cs="Arial"/>
          <w:sz w:val="22"/>
          <w:szCs w:val="24"/>
        </w:rPr>
        <w:t>é</w:t>
      </w:r>
      <w:r w:rsidR="004700A7" w:rsidRPr="002A0E01">
        <w:rPr>
          <w:rFonts w:cs="Arial"/>
          <w:sz w:val="22"/>
          <w:szCs w:val="24"/>
        </w:rPr>
        <w:t xml:space="preserve"> na celkovém českém AZO zaujímají mnohem menší podíl než země EU (na straně vývozu </w:t>
      </w:r>
      <w:r w:rsidR="00194CED">
        <w:rPr>
          <w:rFonts w:cs="Arial"/>
          <w:sz w:val="22"/>
          <w:szCs w:val="24"/>
        </w:rPr>
        <w:t>cca</w:t>
      </w:r>
      <w:r w:rsidR="004700A7" w:rsidRPr="002A0E01">
        <w:rPr>
          <w:rFonts w:cs="Arial"/>
          <w:sz w:val="22"/>
          <w:szCs w:val="24"/>
        </w:rPr>
        <w:t xml:space="preserve"> </w:t>
      </w:r>
      <w:r w:rsidR="00D95648" w:rsidRPr="002A0E01">
        <w:rPr>
          <w:rFonts w:cs="Arial"/>
          <w:sz w:val="22"/>
          <w:szCs w:val="24"/>
        </w:rPr>
        <w:t>8,4</w:t>
      </w:r>
      <w:r w:rsidR="00194CED">
        <w:rPr>
          <w:rFonts w:cs="Arial"/>
          <w:sz w:val="22"/>
          <w:szCs w:val="24"/>
        </w:rPr>
        <w:t xml:space="preserve"> %</w:t>
      </w:r>
      <w:r w:rsidR="00D95648" w:rsidRPr="002A0E01">
        <w:rPr>
          <w:rFonts w:cs="Arial"/>
          <w:sz w:val="22"/>
          <w:szCs w:val="24"/>
        </w:rPr>
        <w:t xml:space="preserve"> </w:t>
      </w:r>
      <w:r w:rsidR="004700A7" w:rsidRPr="002A0E01">
        <w:rPr>
          <w:rFonts w:cs="Arial"/>
          <w:sz w:val="22"/>
          <w:szCs w:val="24"/>
        </w:rPr>
        <w:t xml:space="preserve">a na straně dovozu 15 %), </w:t>
      </w:r>
      <w:r w:rsidRPr="002A0E01">
        <w:rPr>
          <w:rFonts w:cs="Arial"/>
          <w:sz w:val="22"/>
          <w:szCs w:val="24"/>
        </w:rPr>
        <w:t>nevybočuje z</w:t>
      </w:r>
      <w:r w:rsidR="004700A7" w:rsidRPr="002A0E01">
        <w:rPr>
          <w:rFonts w:cs="Arial"/>
          <w:sz w:val="22"/>
          <w:szCs w:val="24"/>
        </w:rPr>
        <w:t> </w:t>
      </w:r>
      <w:r w:rsidRPr="002A0E01">
        <w:rPr>
          <w:rFonts w:cs="Arial"/>
          <w:sz w:val="22"/>
          <w:szCs w:val="24"/>
        </w:rPr>
        <w:t>trendu</w:t>
      </w:r>
      <w:r w:rsidR="004700A7" w:rsidRPr="002A0E01">
        <w:rPr>
          <w:rFonts w:cs="Arial"/>
          <w:sz w:val="22"/>
          <w:szCs w:val="24"/>
        </w:rPr>
        <w:t xml:space="preserve"> předchozích let</w:t>
      </w:r>
      <w:r w:rsidR="000F3C74" w:rsidRPr="002A0E01">
        <w:rPr>
          <w:rFonts w:cs="Arial"/>
          <w:sz w:val="22"/>
          <w:szCs w:val="24"/>
        </w:rPr>
        <w:t>. M</w:t>
      </w:r>
      <w:r w:rsidRPr="002A0E01">
        <w:rPr>
          <w:rFonts w:cs="Arial"/>
          <w:sz w:val="22"/>
          <w:szCs w:val="24"/>
        </w:rPr>
        <w:t xml:space="preserve">eziročně </w:t>
      </w:r>
      <w:r w:rsidR="000F3C74" w:rsidRPr="002A0E01">
        <w:rPr>
          <w:rFonts w:cs="Arial"/>
          <w:sz w:val="22"/>
          <w:szCs w:val="24"/>
        </w:rPr>
        <w:t xml:space="preserve">se </w:t>
      </w:r>
      <w:r w:rsidR="009F0BFC" w:rsidRPr="002A0E01">
        <w:rPr>
          <w:rFonts w:cs="Arial"/>
          <w:sz w:val="22"/>
          <w:szCs w:val="24"/>
        </w:rPr>
        <w:t xml:space="preserve">v roce 2015 </w:t>
      </w:r>
      <w:r w:rsidR="005024B2">
        <w:rPr>
          <w:rFonts w:cs="Arial"/>
          <w:sz w:val="22"/>
          <w:szCs w:val="24"/>
        </w:rPr>
        <w:t>jeho hodnota navýšila o </w:t>
      </w:r>
      <w:r w:rsidR="004700A7" w:rsidRPr="002A0E01">
        <w:rPr>
          <w:rFonts w:cs="Arial"/>
          <w:sz w:val="22"/>
          <w:szCs w:val="24"/>
        </w:rPr>
        <w:t>16,</w:t>
      </w:r>
      <w:r w:rsidR="00194CED">
        <w:rPr>
          <w:rFonts w:cs="Arial"/>
          <w:sz w:val="22"/>
          <w:szCs w:val="24"/>
        </w:rPr>
        <w:t>4</w:t>
      </w:r>
      <w:r w:rsidR="005024B2">
        <w:rPr>
          <w:rFonts w:cs="Arial"/>
          <w:sz w:val="22"/>
          <w:szCs w:val="24"/>
        </w:rPr>
        <w:t> </w:t>
      </w:r>
      <w:r w:rsidR="004700A7" w:rsidRPr="002A0E01">
        <w:rPr>
          <w:rFonts w:cs="Arial"/>
          <w:sz w:val="22"/>
          <w:szCs w:val="24"/>
        </w:rPr>
        <w:t>%</w:t>
      </w:r>
      <w:r w:rsidR="000F3C74" w:rsidRPr="002A0E01">
        <w:rPr>
          <w:rFonts w:cs="Arial"/>
          <w:sz w:val="22"/>
          <w:szCs w:val="24"/>
        </w:rPr>
        <w:t xml:space="preserve"> na </w:t>
      </w:r>
      <w:r w:rsidR="000F3C74" w:rsidRPr="00194CED">
        <w:rPr>
          <w:rFonts w:cs="Arial"/>
          <w:sz w:val="22"/>
          <w:szCs w:val="24"/>
        </w:rPr>
        <w:t>1</w:t>
      </w:r>
      <w:r w:rsidR="004700A7" w:rsidRPr="00194CED">
        <w:rPr>
          <w:rFonts w:cs="Arial"/>
          <w:sz w:val="22"/>
          <w:szCs w:val="24"/>
        </w:rPr>
        <w:t>6,7</w:t>
      </w:r>
      <w:r w:rsidR="000F3C74" w:rsidRPr="00194CED">
        <w:rPr>
          <w:rFonts w:cs="Arial"/>
          <w:sz w:val="22"/>
          <w:szCs w:val="24"/>
        </w:rPr>
        <w:t xml:space="preserve"> </w:t>
      </w:r>
      <w:r w:rsidR="000F3C74" w:rsidRPr="002A0E01">
        <w:rPr>
          <w:rFonts w:cs="Arial"/>
          <w:sz w:val="22"/>
          <w:szCs w:val="24"/>
        </w:rPr>
        <w:t xml:space="preserve">mld. Kč. </w:t>
      </w:r>
    </w:p>
    <w:p w:rsidR="000D1ACC" w:rsidRPr="002A0E01" w:rsidRDefault="000D1ACC" w:rsidP="00BD3E86">
      <w:pPr>
        <w:spacing w:line="276" w:lineRule="auto"/>
        <w:rPr>
          <w:rFonts w:cs="Arial"/>
          <w:sz w:val="22"/>
          <w:szCs w:val="24"/>
        </w:rPr>
      </w:pPr>
      <w:r w:rsidRPr="002A0E01">
        <w:rPr>
          <w:rFonts w:cs="Arial"/>
          <w:b/>
          <w:sz w:val="22"/>
          <w:szCs w:val="24"/>
        </w:rPr>
        <w:t>Podíl agrárního zboží</w:t>
      </w:r>
      <w:r w:rsidRPr="002A0E01">
        <w:rPr>
          <w:rFonts w:cs="Arial"/>
          <w:sz w:val="22"/>
          <w:szCs w:val="24"/>
        </w:rPr>
        <w:t xml:space="preserve"> na celkovém českém exportu a importu v roce 2015 činil 5,2 %, resp. 6,3 %, což představuje meziročně mírný nárůst </w:t>
      </w:r>
      <w:r w:rsidR="00392FDF" w:rsidRPr="002A0E01">
        <w:rPr>
          <w:rFonts w:cs="Arial"/>
          <w:sz w:val="22"/>
          <w:szCs w:val="24"/>
        </w:rPr>
        <w:t>(</w:t>
      </w:r>
      <w:r w:rsidRPr="002A0E01">
        <w:rPr>
          <w:rFonts w:cs="Arial"/>
          <w:sz w:val="22"/>
          <w:szCs w:val="24"/>
        </w:rPr>
        <w:t>zvláště na straně vývozu</w:t>
      </w:r>
      <w:r w:rsidR="00392FDF" w:rsidRPr="002A0E01">
        <w:rPr>
          <w:rFonts w:cs="Arial"/>
          <w:sz w:val="22"/>
          <w:szCs w:val="24"/>
        </w:rPr>
        <w:t>)</w:t>
      </w:r>
      <w:r w:rsidRPr="002A0E01">
        <w:rPr>
          <w:rFonts w:cs="Arial"/>
          <w:sz w:val="22"/>
          <w:szCs w:val="24"/>
        </w:rPr>
        <w:t>.</w:t>
      </w:r>
    </w:p>
    <w:p w:rsidR="00BD3E86" w:rsidRPr="002A0E01" w:rsidRDefault="00BD3E86" w:rsidP="00BD3E86">
      <w:pPr>
        <w:spacing w:line="276" w:lineRule="auto"/>
        <w:rPr>
          <w:rFonts w:cs="Arial"/>
          <w:sz w:val="22"/>
          <w:szCs w:val="24"/>
        </w:rPr>
      </w:pPr>
      <w:r w:rsidRPr="002A0E01">
        <w:rPr>
          <w:rFonts w:cs="Arial"/>
          <w:sz w:val="22"/>
          <w:szCs w:val="24"/>
        </w:rPr>
        <w:t>Nejvíce</w:t>
      </w:r>
      <w:r w:rsidRPr="002A0E01">
        <w:rPr>
          <w:rFonts w:cs="Arial"/>
          <w:b/>
          <w:sz w:val="22"/>
          <w:szCs w:val="24"/>
        </w:rPr>
        <w:t xml:space="preserve"> exportovanými </w:t>
      </w:r>
      <w:r w:rsidRPr="002A0E01">
        <w:rPr>
          <w:rFonts w:cs="Arial"/>
          <w:sz w:val="22"/>
          <w:szCs w:val="24"/>
        </w:rPr>
        <w:t xml:space="preserve">položkami </w:t>
      </w:r>
      <w:r w:rsidR="007D34AC" w:rsidRPr="002A0E01">
        <w:rPr>
          <w:rFonts w:cs="Arial"/>
          <w:sz w:val="22"/>
          <w:szCs w:val="24"/>
        </w:rPr>
        <w:t xml:space="preserve">z ČR </w:t>
      </w:r>
      <w:r w:rsidRPr="002A0E01">
        <w:rPr>
          <w:rFonts w:cs="Arial"/>
          <w:sz w:val="22"/>
          <w:szCs w:val="24"/>
        </w:rPr>
        <w:t xml:space="preserve">byly v roce 2015 </w:t>
      </w:r>
      <w:r w:rsidRPr="002A0E01">
        <w:rPr>
          <w:rFonts w:cs="Arial"/>
          <w:b/>
          <w:sz w:val="22"/>
          <w:szCs w:val="24"/>
        </w:rPr>
        <w:t>cigarety, pšenice, káva, řepkový olej</w:t>
      </w:r>
      <w:r w:rsidR="00C25F03" w:rsidRPr="002A0E01">
        <w:rPr>
          <w:rStyle w:val="Znakapoznpodarou"/>
          <w:rFonts w:cs="Arial"/>
          <w:b/>
          <w:sz w:val="22"/>
          <w:szCs w:val="24"/>
        </w:rPr>
        <w:footnoteReference w:id="2"/>
      </w:r>
      <w:r w:rsidRPr="002A0E01">
        <w:rPr>
          <w:rFonts w:cs="Arial"/>
          <w:b/>
          <w:sz w:val="22"/>
          <w:szCs w:val="24"/>
        </w:rPr>
        <w:t>, přípravky používané k výživě zví</w:t>
      </w:r>
      <w:r w:rsidR="007D34AC" w:rsidRPr="002A0E01">
        <w:rPr>
          <w:rFonts w:cs="Arial"/>
          <w:b/>
          <w:sz w:val="22"/>
          <w:szCs w:val="24"/>
        </w:rPr>
        <w:t>řat, pekařské zboží, čokoláda a </w:t>
      </w:r>
      <w:r w:rsidRPr="002A0E01">
        <w:rPr>
          <w:rFonts w:cs="Arial"/>
          <w:b/>
          <w:sz w:val="22"/>
          <w:szCs w:val="24"/>
        </w:rPr>
        <w:t>kakaové přípravky, nezahuštěné mléko a smetana</w:t>
      </w:r>
      <w:r w:rsidR="00185CD8" w:rsidRPr="002A0E01">
        <w:rPr>
          <w:rFonts w:cs="Arial"/>
          <w:sz w:val="22"/>
          <w:szCs w:val="24"/>
        </w:rPr>
        <w:t xml:space="preserve"> (zejména surové mléko</w:t>
      </w:r>
      <w:r w:rsidR="00185CD8" w:rsidRPr="002A0E01">
        <w:rPr>
          <w:rStyle w:val="Znakapoznpodarou"/>
          <w:rFonts w:cs="Arial"/>
          <w:sz w:val="22"/>
          <w:szCs w:val="24"/>
        </w:rPr>
        <w:footnoteReference w:id="3"/>
      </w:r>
      <w:r w:rsidR="00185CD8" w:rsidRPr="002A0E01">
        <w:rPr>
          <w:rFonts w:cs="Arial"/>
          <w:sz w:val="22"/>
          <w:szCs w:val="24"/>
        </w:rPr>
        <w:t>)</w:t>
      </w:r>
      <w:r w:rsidRPr="002A0E01">
        <w:rPr>
          <w:rFonts w:cs="Arial"/>
          <w:sz w:val="22"/>
          <w:szCs w:val="24"/>
        </w:rPr>
        <w:t xml:space="preserve">, </w:t>
      </w:r>
      <w:r w:rsidRPr="002A0E01">
        <w:rPr>
          <w:rFonts w:cs="Arial"/>
          <w:b/>
          <w:sz w:val="22"/>
          <w:szCs w:val="24"/>
        </w:rPr>
        <w:t>potravinové přípravky</w:t>
      </w:r>
      <w:r w:rsidR="00185CD8" w:rsidRPr="002A0E01">
        <w:rPr>
          <w:rStyle w:val="Znakapoznpodarou"/>
          <w:rFonts w:cs="Arial"/>
          <w:b/>
          <w:sz w:val="22"/>
          <w:szCs w:val="24"/>
        </w:rPr>
        <w:footnoteReference w:id="4"/>
      </w:r>
      <w:r w:rsidRPr="002A0E01">
        <w:rPr>
          <w:rFonts w:cs="Arial"/>
          <w:b/>
          <w:sz w:val="22"/>
          <w:szCs w:val="24"/>
        </w:rPr>
        <w:t xml:space="preserve">, pivo, semena řepky, limonády, živý skot, sýry a tvaroh, cukrovinky, cukr, slad, </w:t>
      </w:r>
      <w:r w:rsidR="00C25F03" w:rsidRPr="002A0E01">
        <w:rPr>
          <w:rFonts w:cs="Arial"/>
          <w:b/>
          <w:sz w:val="22"/>
          <w:szCs w:val="24"/>
        </w:rPr>
        <w:t>masné přípravky a konzervy, ječmen, živá drůbež, uzenky a</w:t>
      </w:r>
      <w:r w:rsidR="008D0811" w:rsidRPr="002A0E01">
        <w:rPr>
          <w:rFonts w:cs="Arial"/>
          <w:b/>
          <w:sz w:val="22"/>
          <w:szCs w:val="24"/>
        </w:rPr>
        <w:t> </w:t>
      </w:r>
      <w:r w:rsidR="00C25F03" w:rsidRPr="002A0E01">
        <w:rPr>
          <w:rFonts w:cs="Arial"/>
          <w:b/>
          <w:sz w:val="22"/>
          <w:szCs w:val="24"/>
        </w:rPr>
        <w:t>salámy</w:t>
      </w:r>
      <w:r w:rsidR="00194CED">
        <w:rPr>
          <w:rFonts w:cs="Arial"/>
          <w:b/>
          <w:sz w:val="22"/>
          <w:szCs w:val="24"/>
        </w:rPr>
        <w:t>,</w:t>
      </w:r>
      <w:r w:rsidR="00C25F03" w:rsidRPr="002A0E01">
        <w:rPr>
          <w:rFonts w:cs="Arial"/>
          <w:b/>
          <w:sz w:val="22"/>
          <w:szCs w:val="24"/>
        </w:rPr>
        <w:t xml:space="preserve"> </w:t>
      </w:r>
      <w:r w:rsidR="00194CED" w:rsidRPr="00194CED">
        <w:rPr>
          <w:rFonts w:cs="Arial"/>
          <w:b/>
          <w:sz w:val="22"/>
          <w:szCs w:val="24"/>
        </w:rPr>
        <w:t>řepkové pokrutiny</w:t>
      </w:r>
      <w:r w:rsidR="00194CED">
        <w:rPr>
          <w:rFonts w:cs="Arial"/>
          <w:b/>
          <w:color w:val="FF0000"/>
          <w:sz w:val="22"/>
          <w:szCs w:val="24"/>
        </w:rPr>
        <w:t xml:space="preserve"> </w:t>
      </w:r>
      <w:r w:rsidR="00C25F03" w:rsidRPr="002A0E01">
        <w:rPr>
          <w:rFonts w:cs="Arial"/>
          <w:sz w:val="22"/>
          <w:szCs w:val="24"/>
        </w:rPr>
        <w:t>a</w:t>
      </w:r>
      <w:r w:rsidR="00C25F03" w:rsidRPr="002A0E01">
        <w:rPr>
          <w:rFonts w:cs="Arial"/>
          <w:b/>
          <w:sz w:val="22"/>
          <w:szCs w:val="24"/>
        </w:rPr>
        <w:t xml:space="preserve"> zahuštěné mléko a smetana</w:t>
      </w:r>
      <w:r w:rsidR="00C25F03" w:rsidRPr="002A0E01">
        <w:rPr>
          <w:rFonts w:cs="Arial"/>
          <w:sz w:val="22"/>
          <w:szCs w:val="24"/>
        </w:rPr>
        <w:t>.</w:t>
      </w:r>
    </w:p>
    <w:p w:rsidR="00C25F03" w:rsidRPr="002A0E01" w:rsidRDefault="00944E2B" w:rsidP="00BD3E86">
      <w:pPr>
        <w:spacing w:line="276" w:lineRule="auto"/>
        <w:rPr>
          <w:rFonts w:cs="Arial"/>
          <w:sz w:val="22"/>
          <w:szCs w:val="24"/>
        </w:rPr>
      </w:pPr>
      <w:r w:rsidRPr="002A0E01">
        <w:rPr>
          <w:rFonts w:cs="Arial"/>
          <w:sz w:val="22"/>
          <w:szCs w:val="24"/>
        </w:rPr>
        <w:t>Mezi</w:t>
      </w:r>
      <w:r w:rsidR="00C25F03" w:rsidRPr="002A0E01">
        <w:rPr>
          <w:rFonts w:cs="Arial"/>
          <w:sz w:val="22"/>
          <w:szCs w:val="24"/>
        </w:rPr>
        <w:t xml:space="preserve"> nejvíce</w:t>
      </w:r>
      <w:r w:rsidR="00C25F03" w:rsidRPr="002A0E01">
        <w:rPr>
          <w:rFonts w:cs="Arial"/>
          <w:b/>
          <w:sz w:val="22"/>
          <w:szCs w:val="24"/>
        </w:rPr>
        <w:t xml:space="preserve"> importované </w:t>
      </w:r>
      <w:r w:rsidR="00C25F03" w:rsidRPr="002A0E01">
        <w:rPr>
          <w:rFonts w:cs="Arial"/>
          <w:sz w:val="22"/>
          <w:szCs w:val="24"/>
        </w:rPr>
        <w:t xml:space="preserve">zboží </w:t>
      </w:r>
      <w:r w:rsidR="007D34AC" w:rsidRPr="002A0E01">
        <w:rPr>
          <w:rFonts w:cs="Arial"/>
          <w:sz w:val="22"/>
          <w:szCs w:val="24"/>
        </w:rPr>
        <w:t xml:space="preserve">do ČR </w:t>
      </w:r>
      <w:r w:rsidR="00C25F03" w:rsidRPr="002A0E01">
        <w:rPr>
          <w:rFonts w:cs="Arial"/>
          <w:sz w:val="22"/>
          <w:szCs w:val="24"/>
        </w:rPr>
        <w:t>patřily</w:t>
      </w:r>
      <w:r w:rsidR="009F0BFC" w:rsidRPr="002A0E01">
        <w:rPr>
          <w:rFonts w:cs="Arial"/>
          <w:sz w:val="22"/>
          <w:szCs w:val="24"/>
        </w:rPr>
        <w:t xml:space="preserve"> ve sledovaném roce</w:t>
      </w:r>
      <w:r w:rsidR="00C25F03" w:rsidRPr="002A0E01">
        <w:rPr>
          <w:rFonts w:cs="Arial"/>
          <w:sz w:val="22"/>
          <w:szCs w:val="24"/>
        </w:rPr>
        <w:t xml:space="preserve"> </w:t>
      </w:r>
      <w:r w:rsidR="00185CD8" w:rsidRPr="002A0E01">
        <w:rPr>
          <w:rFonts w:cs="Arial"/>
          <w:b/>
          <w:sz w:val="22"/>
          <w:szCs w:val="24"/>
        </w:rPr>
        <w:t>vepřové maso, káva, čokoláda a </w:t>
      </w:r>
      <w:r w:rsidR="00C25F03" w:rsidRPr="002A0E01">
        <w:rPr>
          <w:rFonts w:cs="Arial"/>
          <w:b/>
          <w:sz w:val="22"/>
          <w:szCs w:val="24"/>
        </w:rPr>
        <w:t xml:space="preserve">kakaové přípravky, pekařské zboží, sýry a tvaroh, potravinové přípravky, přípravky používané k výživě zvířat, maso a droby drůbeže, cigarety, řepkový olej, víno, sójové pokrutiny, limonády, lihoviny, citrusové plody, banány, </w:t>
      </w:r>
      <w:r w:rsidR="00C25F03" w:rsidRPr="00110CDC">
        <w:rPr>
          <w:rFonts w:cs="Arial"/>
          <w:b/>
          <w:color w:val="000000" w:themeColor="text1"/>
          <w:sz w:val="22"/>
          <w:szCs w:val="24"/>
        </w:rPr>
        <w:t>hovězí maso</w:t>
      </w:r>
      <w:r w:rsidR="00C25F03" w:rsidRPr="002A0E01">
        <w:rPr>
          <w:rFonts w:cs="Arial"/>
          <w:b/>
          <w:sz w:val="22"/>
          <w:szCs w:val="24"/>
        </w:rPr>
        <w:t xml:space="preserve">, výtažky </w:t>
      </w:r>
      <w:r w:rsidR="00185CD8" w:rsidRPr="002A0E01">
        <w:rPr>
          <w:rFonts w:cs="Arial"/>
          <w:b/>
          <w:sz w:val="22"/>
          <w:szCs w:val="24"/>
        </w:rPr>
        <w:t>a </w:t>
      </w:r>
      <w:r w:rsidR="00C25F03" w:rsidRPr="002A0E01">
        <w:rPr>
          <w:rFonts w:cs="Arial"/>
          <w:b/>
          <w:sz w:val="22"/>
          <w:szCs w:val="24"/>
        </w:rPr>
        <w:t>koncentráty</w:t>
      </w:r>
      <w:r w:rsidR="009F0BFC" w:rsidRPr="002A0E01">
        <w:rPr>
          <w:rFonts w:cs="Arial"/>
          <w:b/>
          <w:sz w:val="22"/>
          <w:szCs w:val="24"/>
        </w:rPr>
        <w:t xml:space="preserve"> </w:t>
      </w:r>
      <w:r w:rsidR="00C25F03" w:rsidRPr="002A0E01">
        <w:rPr>
          <w:rFonts w:cs="Arial"/>
          <w:b/>
          <w:sz w:val="22"/>
          <w:szCs w:val="24"/>
        </w:rPr>
        <w:t>z kávy, rajčata, přípravky z mouky, krupice, škrobu nebo mléka</w:t>
      </w:r>
      <w:r w:rsidR="00185CD8" w:rsidRPr="002A0E01">
        <w:rPr>
          <w:rFonts w:cs="Arial"/>
          <w:b/>
          <w:sz w:val="22"/>
          <w:szCs w:val="24"/>
        </w:rPr>
        <w:t xml:space="preserve"> </w:t>
      </w:r>
      <w:r w:rsidR="00185CD8" w:rsidRPr="002A0E01">
        <w:rPr>
          <w:rFonts w:cs="Arial"/>
          <w:sz w:val="22"/>
          <w:szCs w:val="24"/>
        </w:rPr>
        <w:t>a</w:t>
      </w:r>
      <w:r w:rsidR="008D0811" w:rsidRPr="002A0E01">
        <w:rPr>
          <w:rFonts w:cs="Arial"/>
          <w:b/>
          <w:sz w:val="22"/>
          <w:szCs w:val="24"/>
        </w:rPr>
        <w:t> </w:t>
      </w:r>
      <w:r w:rsidR="00185CD8" w:rsidRPr="002A0E01">
        <w:rPr>
          <w:rFonts w:cs="Arial"/>
          <w:b/>
          <w:sz w:val="22"/>
          <w:szCs w:val="24"/>
        </w:rPr>
        <w:t>konzervované ovoce</w:t>
      </w:r>
      <w:r w:rsidR="00185CD8" w:rsidRPr="002A0E01">
        <w:rPr>
          <w:rFonts w:cs="Arial"/>
          <w:sz w:val="22"/>
          <w:szCs w:val="24"/>
        </w:rPr>
        <w:t xml:space="preserve"> (vč. ořechů).</w:t>
      </w:r>
    </w:p>
    <w:p w:rsidR="00D942A1" w:rsidRPr="002A0E01" w:rsidRDefault="00D942A1" w:rsidP="00D942A1">
      <w:pPr>
        <w:spacing w:line="276" w:lineRule="auto"/>
        <w:rPr>
          <w:rFonts w:cs="Arial"/>
          <w:sz w:val="22"/>
          <w:szCs w:val="24"/>
        </w:rPr>
      </w:pPr>
      <w:r w:rsidRPr="002A0E01">
        <w:rPr>
          <w:rFonts w:cs="Arial"/>
          <w:sz w:val="22"/>
          <w:szCs w:val="24"/>
        </w:rPr>
        <w:t xml:space="preserve">V komoditním pohledu </w:t>
      </w:r>
      <w:r w:rsidR="009F0BFC" w:rsidRPr="002A0E01">
        <w:rPr>
          <w:rFonts w:cs="Arial"/>
          <w:sz w:val="22"/>
          <w:szCs w:val="24"/>
        </w:rPr>
        <w:t xml:space="preserve">v roce 2015 </w:t>
      </w:r>
      <w:r w:rsidR="0053314A" w:rsidRPr="002A0E01">
        <w:rPr>
          <w:rFonts w:cs="Arial"/>
          <w:sz w:val="22"/>
          <w:szCs w:val="24"/>
        </w:rPr>
        <w:t xml:space="preserve">přispěl </w:t>
      </w:r>
      <w:r w:rsidRPr="002A0E01">
        <w:rPr>
          <w:rFonts w:cs="Arial"/>
          <w:sz w:val="22"/>
          <w:szCs w:val="24"/>
        </w:rPr>
        <w:t>k </w:t>
      </w:r>
      <w:r w:rsidRPr="00AE247E">
        <w:rPr>
          <w:rFonts w:cs="Arial"/>
          <w:b/>
          <w:sz w:val="22"/>
          <w:szCs w:val="24"/>
        </w:rPr>
        <w:t>meziročnímu zlepšení bilance</w:t>
      </w:r>
      <w:r w:rsidRPr="002A0E01">
        <w:rPr>
          <w:rFonts w:cs="Arial"/>
          <w:sz w:val="22"/>
          <w:szCs w:val="24"/>
        </w:rPr>
        <w:t xml:space="preserve"> celkového AZO ČR </w:t>
      </w:r>
      <w:r w:rsidR="009F0BFC" w:rsidRPr="002A0E01">
        <w:rPr>
          <w:rFonts w:cs="Arial"/>
          <w:sz w:val="22"/>
          <w:szCs w:val="24"/>
        </w:rPr>
        <w:t xml:space="preserve">zejména </w:t>
      </w:r>
      <w:r w:rsidRPr="00AE247E">
        <w:rPr>
          <w:rFonts w:cs="Arial"/>
          <w:b/>
          <w:sz w:val="22"/>
          <w:szCs w:val="24"/>
        </w:rPr>
        <w:t>nárůst aktiva v obchodě s cigaretami (</w:t>
      </w:r>
      <w:r w:rsidR="0053314A" w:rsidRPr="00AE247E">
        <w:rPr>
          <w:rFonts w:cs="Arial"/>
          <w:b/>
          <w:sz w:val="22"/>
          <w:szCs w:val="24"/>
        </w:rPr>
        <w:t xml:space="preserve">o </w:t>
      </w:r>
      <w:r w:rsidR="00CB68BD" w:rsidRPr="00AE247E">
        <w:rPr>
          <w:rFonts w:cs="Arial"/>
          <w:b/>
          <w:sz w:val="22"/>
          <w:szCs w:val="24"/>
        </w:rPr>
        <w:t>2,</w:t>
      </w:r>
      <w:r w:rsidR="00915AB1" w:rsidRPr="00AE247E">
        <w:rPr>
          <w:rFonts w:cs="Arial"/>
          <w:b/>
          <w:sz w:val="22"/>
          <w:szCs w:val="24"/>
        </w:rPr>
        <w:t>2</w:t>
      </w:r>
      <w:r w:rsidR="00CB68BD" w:rsidRPr="00AE247E">
        <w:rPr>
          <w:rFonts w:cs="Arial"/>
          <w:b/>
          <w:sz w:val="22"/>
          <w:szCs w:val="24"/>
        </w:rPr>
        <w:t xml:space="preserve"> </w:t>
      </w:r>
      <w:r w:rsidR="0053314A" w:rsidRPr="00AE247E">
        <w:rPr>
          <w:rFonts w:cs="Arial"/>
          <w:b/>
          <w:sz w:val="22"/>
          <w:szCs w:val="24"/>
        </w:rPr>
        <w:t>mld. Kč)</w:t>
      </w:r>
      <w:r w:rsidR="0053314A" w:rsidRPr="00AE247E">
        <w:rPr>
          <w:rStyle w:val="Znakapoznpodarou"/>
          <w:rFonts w:cs="Arial"/>
          <w:b/>
          <w:sz w:val="22"/>
          <w:szCs w:val="24"/>
        </w:rPr>
        <w:footnoteReference w:id="5"/>
      </w:r>
      <w:r w:rsidRPr="00AE247E">
        <w:rPr>
          <w:rFonts w:cs="Arial"/>
          <w:b/>
          <w:sz w:val="22"/>
          <w:szCs w:val="24"/>
        </w:rPr>
        <w:t>, ječmenem</w:t>
      </w:r>
      <w:r w:rsidR="0053314A" w:rsidRPr="00AE247E">
        <w:rPr>
          <w:rFonts w:cs="Arial"/>
          <w:b/>
          <w:sz w:val="22"/>
          <w:szCs w:val="24"/>
        </w:rPr>
        <w:t xml:space="preserve"> (</w:t>
      </w:r>
      <w:r w:rsidR="009F0BFC" w:rsidRPr="00AE247E">
        <w:rPr>
          <w:rFonts w:cs="Arial"/>
          <w:b/>
          <w:sz w:val="22"/>
          <w:szCs w:val="24"/>
        </w:rPr>
        <w:t>o 1,3 </w:t>
      </w:r>
      <w:r w:rsidR="0053314A" w:rsidRPr="00AE247E">
        <w:rPr>
          <w:rFonts w:cs="Arial"/>
          <w:b/>
          <w:sz w:val="22"/>
          <w:szCs w:val="24"/>
        </w:rPr>
        <w:t>mld. Kč)</w:t>
      </w:r>
      <w:r w:rsidRPr="00AE247E">
        <w:rPr>
          <w:rFonts w:cs="Arial"/>
          <w:b/>
          <w:sz w:val="22"/>
          <w:szCs w:val="24"/>
        </w:rPr>
        <w:t xml:space="preserve">, řepkovými semeny </w:t>
      </w:r>
      <w:r w:rsidR="0053314A" w:rsidRPr="00AE247E">
        <w:rPr>
          <w:rFonts w:cs="Arial"/>
          <w:b/>
          <w:sz w:val="22"/>
          <w:szCs w:val="24"/>
        </w:rPr>
        <w:t xml:space="preserve">(1,1 mld. Kč), </w:t>
      </w:r>
      <w:r w:rsidRPr="00AE247E">
        <w:rPr>
          <w:rFonts w:cs="Arial"/>
          <w:b/>
          <w:sz w:val="22"/>
          <w:szCs w:val="24"/>
        </w:rPr>
        <w:t>řepkovými olejem</w:t>
      </w:r>
      <w:r w:rsidR="0053314A" w:rsidRPr="00AE247E">
        <w:rPr>
          <w:rFonts w:cs="Arial"/>
          <w:b/>
          <w:sz w:val="22"/>
          <w:szCs w:val="24"/>
        </w:rPr>
        <w:t xml:space="preserve"> a živým skotem</w:t>
      </w:r>
      <w:r w:rsidRPr="00AE247E">
        <w:rPr>
          <w:rFonts w:cs="Arial"/>
          <w:b/>
          <w:sz w:val="22"/>
          <w:szCs w:val="24"/>
        </w:rPr>
        <w:t>.</w:t>
      </w:r>
      <w:r w:rsidRPr="002A0E01">
        <w:rPr>
          <w:rFonts w:cs="Arial"/>
          <w:sz w:val="22"/>
          <w:szCs w:val="24"/>
        </w:rPr>
        <w:t xml:space="preserve"> </w:t>
      </w:r>
      <w:r w:rsidR="009F0BFC" w:rsidRPr="002A0E01">
        <w:rPr>
          <w:rFonts w:cs="Arial"/>
          <w:sz w:val="22"/>
          <w:szCs w:val="24"/>
        </w:rPr>
        <w:t>U </w:t>
      </w:r>
      <w:r w:rsidR="000A7C0A" w:rsidRPr="002A0E01">
        <w:rPr>
          <w:rFonts w:cs="Arial"/>
          <w:sz w:val="22"/>
          <w:szCs w:val="24"/>
        </w:rPr>
        <w:t>všech těchto hlavně exportních komodit zaznamenaly hodnoty vývozu v roce 2015 dosavadní</w:t>
      </w:r>
      <w:r w:rsidR="009F0BFC" w:rsidRPr="002A0E01">
        <w:rPr>
          <w:rFonts w:cs="Arial"/>
          <w:sz w:val="22"/>
          <w:szCs w:val="24"/>
        </w:rPr>
        <w:t>ch</w:t>
      </w:r>
      <w:r w:rsidR="000A7C0A" w:rsidRPr="002A0E01">
        <w:rPr>
          <w:rFonts w:cs="Arial"/>
          <w:sz w:val="22"/>
          <w:szCs w:val="24"/>
        </w:rPr>
        <w:t xml:space="preserve"> maxim, která s výjimkou ječmene ovlivnily meziročně vyšší ceny. </w:t>
      </w:r>
      <w:r w:rsidR="00900F34">
        <w:rPr>
          <w:rFonts w:cs="Arial"/>
          <w:sz w:val="22"/>
          <w:szCs w:val="24"/>
        </w:rPr>
        <w:t>Mimo to</w:t>
      </w:r>
      <w:r w:rsidR="00900F34" w:rsidRPr="00AE247E">
        <w:rPr>
          <w:rFonts w:cs="Arial"/>
          <w:b/>
          <w:sz w:val="22"/>
          <w:szCs w:val="24"/>
        </w:rPr>
        <w:t> </w:t>
      </w:r>
      <w:r w:rsidR="00900F34" w:rsidRPr="002A0E01">
        <w:rPr>
          <w:rFonts w:cs="Arial"/>
          <w:sz w:val="22"/>
          <w:szCs w:val="24"/>
        </w:rPr>
        <w:t xml:space="preserve"> </w:t>
      </w:r>
      <w:r w:rsidRPr="002A0E01">
        <w:rPr>
          <w:rFonts w:cs="Arial"/>
          <w:sz w:val="22"/>
          <w:szCs w:val="24"/>
        </w:rPr>
        <w:t>s</w:t>
      </w:r>
      <w:r w:rsidR="00900F34">
        <w:rPr>
          <w:rFonts w:cs="Arial"/>
          <w:sz w:val="22"/>
          <w:szCs w:val="24"/>
        </w:rPr>
        <w:t>e</w:t>
      </w:r>
      <w:r w:rsidR="00900F34" w:rsidRPr="00AE247E">
        <w:rPr>
          <w:rFonts w:cs="Arial"/>
          <w:b/>
          <w:sz w:val="22"/>
          <w:szCs w:val="24"/>
        </w:rPr>
        <w:t> </w:t>
      </w:r>
      <w:r w:rsidRPr="002A0E01">
        <w:rPr>
          <w:rFonts w:cs="Arial"/>
          <w:sz w:val="22"/>
          <w:szCs w:val="24"/>
        </w:rPr>
        <w:t xml:space="preserve">významně projevila </w:t>
      </w:r>
      <w:r w:rsidRPr="00AE247E">
        <w:rPr>
          <w:rFonts w:cs="Arial"/>
          <w:b/>
          <w:sz w:val="22"/>
          <w:szCs w:val="24"/>
        </w:rPr>
        <w:t>změna záporn</w:t>
      </w:r>
      <w:r w:rsidR="007D34AC" w:rsidRPr="00AE247E">
        <w:rPr>
          <w:rFonts w:cs="Arial"/>
          <w:b/>
          <w:sz w:val="22"/>
          <w:szCs w:val="24"/>
        </w:rPr>
        <w:t>é</w:t>
      </w:r>
      <w:r w:rsidRPr="00AE247E">
        <w:rPr>
          <w:rFonts w:cs="Arial"/>
          <w:b/>
          <w:sz w:val="22"/>
          <w:szCs w:val="24"/>
        </w:rPr>
        <w:t xml:space="preserve"> bilance na aktivní v obchodě s potravinovými přípravky</w:t>
      </w:r>
      <w:r w:rsidRPr="002A0E01">
        <w:rPr>
          <w:rFonts w:cs="Arial"/>
          <w:sz w:val="22"/>
          <w:szCs w:val="24"/>
        </w:rPr>
        <w:t>.</w:t>
      </w:r>
    </w:p>
    <w:p w:rsidR="0053314A" w:rsidRPr="002A0E01" w:rsidRDefault="007D34AC" w:rsidP="00FF058C">
      <w:pPr>
        <w:spacing w:line="276" w:lineRule="auto"/>
        <w:rPr>
          <w:rFonts w:cs="Arial"/>
          <w:sz w:val="22"/>
          <w:szCs w:val="24"/>
        </w:rPr>
      </w:pPr>
      <w:r w:rsidRPr="002A0E01">
        <w:rPr>
          <w:rFonts w:cs="Arial"/>
          <w:sz w:val="22"/>
          <w:szCs w:val="24"/>
        </w:rPr>
        <w:lastRenderedPageBreak/>
        <w:t xml:space="preserve">Současně s tím </w:t>
      </w:r>
      <w:r w:rsidR="00D942A1" w:rsidRPr="002A0E01">
        <w:rPr>
          <w:rFonts w:cs="Arial"/>
          <w:sz w:val="22"/>
          <w:szCs w:val="24"/>
        </w:rPr>
        <w:t xml:space="preserve">však došlo k prohloubení bilančního schodku v obchodě s masem </w:t>
      </w:r>
      <w:r w:rsidRPr="002A0E01">
        <w:rPr>
          <w:rFonts w:cs="Arial"/>
          <w:sz w:val="22"/>
          <w:szCs w:val="24"/>
        </w:rPr>
        <w:t>a </w:t>
      </w:r>
      <w:r w:rsidR="00D942A1" w:rsidRPr="002A0E01">
        <w:rPr>
          <w:rFonts w:cs="Arial"/>
          <w:sz w:val="22"/>
          <w:szCs w:val="24"/>
        </w:rPr>
        <w:t>droby drůbeže</w:t>
      </w:r>
      <w:r w:rsidR="0053314A" w:rsidRPr="002A0E01">
        <w:rPr>
          <w:rFonts w:cs="Arial"/>
          <w:sz w:val="22"/>
          <w:szCs w:val="24"/>
        </w:rPr>
        <w:t xml:space="preserve"> (a v menší míře i </w:t>
      </w:r>
      <w:r w:rsidRPr="002A0E01">
        <w:rPr>
          <w:rFonts w:cs="Arial"/>
          <w:sz w:val="22"/>
          <w:szCs w:val="24"/>
        </w:rPr>
        <w:t xml:space="preserve">s </w:t>
      </w:r>
      <w:r w:rsidR="0053314A" w:rsidRPr="002A0E01">
        <w:rPr>
          <w:rFonts w:cs="Arial"/>
          <w:sz w:val="22"/>
          <w:szCs w:val="24"/>
        </w:rPr>
        <w:t>vepřovým masem)</w:t>
      </w:r>
      <w:r w:rsidR="00D942A1" w:rsidRPr="002A0E01">
        <w:rPr>
          <w:rFonts w:cs="Arial"/>
          <w:sz w:val="22"/>
          <w:szCs w:val="24"/>
        </w:rPr>
        <w:t xml:space="preserve">, lihovinami a </w:t>
      </w:r>
      <w:r w:rsidR="0053314A" w:rsidRPr="002A0E01">
        <w:rPr>
          <w:rFonts w:cs="Arial"/>
          <w:sz w:val="22"/>
          <w:szCs w:val="24"/>
        </w:rPr>
        <w:t xml:space="preserve">k </w:t>
      </w:r>
      <w:r w:rsidR="00D942A1" w:rsidRPr="002A0E01">
        <w:rPr>
          <w:rFonts w:cs="Arial"/>
          <w:sz w:val="22"/>
          <w:szCs w:val="24"/>
        </w:rPr>
        <w:t>poklesu bilančního aktiva v obchodě se zahuštěným, ale i nezahuštěným mlékem a smetanou</w:t>
      </w:r>
      <w:r w:rsidR="000A7C0A" w:rsidRPr="002A0E01">
        <w:rPr>
          <w:rFonts w:cs="Arial"/>
          <w:sz w:val="22"/>
          <w:szCs w:val="24"/>
        </w:rPr>
        <w:t xml:space="preserve"> (což však bylo způsobeno meziročně nižšími vývozními cenami</w:t>
      </w:r>
      <w:r w:rsidR="00392FDF" w:rsidRPr="002A0E01">
        <w:rPr>
          <w:rFonts w:cs="Arial"/>
          <w:sz w:val="22"/>
          <w:szCs w:val="24"/>
        </w:rPr>
        <w:t xml:space="preserve"> těchto především exportních komodit</w:t>
      </w:r>
      <w:r w:rsidR="00FF058C" w:rsidRPr="002A0E01">
        <w:rPr>
          <w:rFonts w:cs="Arial"/>
          <w:sz w:val="22"/>
          <w:szCs w:val="24"/>
        </w:rPr>
        <w:t>)</w:t>
      </w:r>
      <w:r w:rsidR="00D942A1" w:rsidRPr="002A0E01">
        <w:rPr>
          <w:rFonts w:cs="Arial"/>
          <w:sz w:val="22"/>
          <w:szCs w:val="24"/>
        </w:rPr>
        <w:t>.</w:t>
      </w:r>
      <w:r w:rsidR="00FF058C" w:rsidRPr="002A0E01">
        <w:rPr>
          <w:rFonts w:cs="Arial"/>
          <w:sz w:val="22"/>
          <w:szCs w:val="24"/>
        </w:rPr>
        <w:t xml:space="preserve"> Dovoz masa a drobů</w:t>
      </w:r>
      <w:r w:rsidR="009F0BFC" w:rsidRPr="002A0E01">
        <w:rPr>
          <w:rFonts w:cs="Arial"/>
          <w:sz w:val="22"/>
          <w:szCs w:val="24"/>
        </w:rPr>
        <w:t xml:space="preserve"> drůbeže</w:t>
      </w:r>
      <w:r w:rsidR="00392FDF" w:rsidRPr="002A0E01">
        <w:rPr>
          <w:rFonts w:cs="Arial"/>
          <w:sz w:val="22"/>
          <w:szCs w:val="24"/>
        </w:rPr>
        <w:t>, jež jsou především importním zbožím</w:t>
      </w:r>
      <w:r w:rsidR="00FF058C" w:rsidRPr="002A0E01">
        <w:rPr>
          <w:rFonts w:cs="Arial"/>
          <w:sz w:val="22"/>
          <w:szCs w:val="24"/>
        </w:rPr>
        <w:t>, vzrostl z obou dvou hlavních dodavatelských zemí -  Polska i Brazílie.</w:t>
      </w:r>
    </w:p>
    <w:p w:rsidR="0053314A" w:rsidRPr="002A0E01" w:rsidRDefault="007D34AC" w:rsidP="00D942A1">
      <w:pPr>
        <w:spacing w:line="276" w:lineRule="auto"/>
        <w:rPr>
          <w:rFonts w:cs="Arial"/>
          <w:sz w:val="22"/>
          <w:szCs w:val="24"/>
        </w:rPr>
      </w:pPr>
      <w:r w:rsidRPr="002A0E01">
        <w:rPr>
          <w:rFonts w:cs="Arial"/>
          <w:sz w:val="22"/>
          <w:szCs w:val="24"/>
        </w:rPr>
        <w:t xml:space="preserve">Jak na straně dovozu, tak </w:t>
      </w:r>
      <w:r w:rsidR="0053314A" w:rsidRPr="002A0E01">
        <w:rPr>
          <w:rFonts w:cs="Arial"/>
          <w:sz w:val="22"/>
          <w:szCs w:val="24"/>
        </w:rPr>
        <w:t xml:space="preserve">vývozu zaznamenala shodně nejvýraznější nárůst hodnoty káva (která se tak objevila i mezi deseti hlavními </w:t>
      </w:r>
      <w:r w:rsidR="00392FDF" w:rsidRPr="002A0E01">
        <w:rPr>
          <w:rFonts w:cs="Arial"/>
          <w:sz w:val="22"/>
          <w:szCs w:val="24"/>
        </w:rPr>
        <w:t xml:space="preserve">českými </w:t>
      </w:r>
      <w:r w:rsidR="0053314A" w:rsidRPr="002A0E01">
        <w:rPr>
          <w:rFonts w:cs="Arial"/>
          <w:sz w:val="22"/>
          <w:szCs w:val="24"/>
        </w:rPr>
        <w:t>vývozními položkami</w:t>
      </w:r>
      <w:r w:rsidR="00392FDF" w:rsidRPr="002A0E01">
        <w:rPr>
          <w:rFonts w:cs="Arial"/>
          <w:sz w:val="22"/>
          <w:szCs w:val="24"/>
        </w:rPr>
        <w:t xml:space="preserve"> roku 2015</w:t>
      </w:r>
      <w:r w:rsidR="0053314A" w:rsidRPr="002A0E01">
        <w:rPr>
          <w:rFonts w:cs="Arial"/>
          <w:sz w:val="22"/>
          <w:szCs w:val="24"/>
        </w:rPr>
        <w:t>, viz tabulka 1 v příloze)</w:t>
      </w:r>
      <w:r w:rsidRPr="002A0E01">
        <w:rPr>
          <w:rFonts w:cs="Arial"/>
          <w:sz w:val="22"/>
          <w:szCs w:val="24"/>
        </w:rPr>
        <w:t xml:space="preserve">. </w:t>
      </w:r>
      <w:r w:rsidR="00CB1433" w:rsidRPr="002A0E01">
        <w:rPr>
          <w:rFonts w:cs="Arial"/>
          <w:sz w:val="22"/>
          <w:szCs w:val="24"/>
        </w:rPr>
        <w:t>Velkou měrou byl</w:t>
      </w:r>
      <w:r w:rsidR="00392FDF" w:rsidRPr="002A0E01">
        <w:rPr>
          <w:rFonts w:cs="Arial"/>
          <w:sz w:val="22"/>
          <w:szCs w:val="24"/>
        </w:rPr>
        <w:t>o</w:t>
      </w:r>
      <w:r w:rsidR="00CB1433" w:rsidRPr="002A0E01">
        <w:rPr>
          <w:rFonts w:cs="Arial"/>
          <w:sz w:val="22"/>
          <w:szCs w:val="24"/>
        </w:rPr>
        <w:t xml:space="preserve"> </w:t>
      </w:r>
      <w:r w:rsidR="00E86D9F" w:rsidRPr="002A0E01">
        <w:rPr>
          <w:rFonts w:cs="Arial"/>
          <w:sz w:val="22"/>
          <w:szCs w:val="24"/>
        </w:rPr>
        <w:t xml:space="preserve">však </w:t>
      </w:r>
      <w:r w:rsidR="00392FDF" w:rsidRPr="002A0E01">
        <w:rPr>
          <w:rFonts w:cs="Arial"/>
          <w:sz w:val="22"/>
          <w:szCs w:val="24"/>
        </w:rPr>
        <w:t>zvýšení</w:t>
      </w:r>
      <w:r w:rsidR="00CB1433" w:rsidRPr="002A0E01">
        <w:rPr>
          <w:rFonts w:cs="Arial"/>
          <w:sz w:val="22"/>
          <w:szCs w:val="24"/>
        </w:rPr>
        <w:t xml:space="preserve"> hodnoty jejího dovozu </w:t>
      </w:r>
      <w:r w:rsidR="00E86D9F" w:rsidRPr="002A0E01">
        <w:rPr>
          <w:rFonts w:cs="Arial"/>
          <w:sz w:val="22"/>
          <w:szCs w:val="24"/>
        </w:rPr>
        <w:t xml:space="preserve">a vývozu </w:t>
      </w:r>
      <w:r w:rsidR="00CB1433" w:rsidRPr="002A0E01">
        <w:rPr>
          <w:rFonts w:cs="Arial"/>
          <w:sz w:val="22"/>
          <w:szCs w:val="24"/>
        </w:rPr>
        <w:t>způsoben</w:t>
      </w:r>
      <w:r w:rsidR="00392FDF" w:rsidRPr="002A0E01">
        <w:rPr>
          <w:rFonts w:cs="Arial"/>
          <w:sz w:val="22"/>
          <w:szCs w:val="24"/>
        </w:rPr>
        <w:t>o</w:t>
      </w:r>
      <w:r w:rsidR="00CB1433" w:rsidRPr="002A0E01">
        <w:rPr>
          <w:rFonts w:cs="Arial"/>
          <w:sz w:val="22"/>
          <w:szCs w:val="24"/>
        </w:rPr>
        <w:t xml:space="preserve"> meziročně vyššími cenami</w:t>
      </w:r>
      <w:r w:rsidR="00E86D9F" w:rsidRPr="002A0E01">
        <w:rPr>
          <w:rFonts w:cs="Arial"/>
          <w:sz w:val="22"/>
          <w:szCs w:val="24"/>
        </w:rPr>
        <w:t xml:space="preserve">, nejen </w:t>
      </w:r>
      <w:r w:rsidR="00392FDF" w:rsidRPr="002A0E01">
        <w:rPr>
          <w:rFonts w:cs="Arial"/>
          <w:sz w:val="22"/>
          <w:szCs w:val="24"/>
        </w:rPr>
        <w:t>nárůstem množstevních objemů.</w:t>
      </w:r>
      <w:r w:rsidR="00CB1433" w:rsidRPr="002A0E01">
        <w:rPr>
          <w:rFonts w:cs="Arial"/>
          <w:sz w:val="22"/>
          <w:szCs w:val="24"/>
        </w:rPr>
        <w:t xml:space="preserve"> </w:t>
      </w:r>
      <w:r w:rsidRPr="002A0E01">
        <w:rPr>
          <w:rFonts w:cs="Arial"/>
          <w:sz w:val="22"/>
          <w:szCs w:val="24"/>
        </w:rPr>
        <w:t>V</w:t>
      </w:r>
      <w:r w:rsidR="00E86D9F" w:rsidRPr="002A0E01">
        <w:rPr>
          <w:rFonts w:cs="Arial"/>
          <w:sz w:val="22"/>
          <w:szCs w:val="24"/>
        </w:rPr>
        <w:t>edle cigaret a </w:t>
      </w:r>
      <w:r w:rsidR="0053314A" w:rsidRPr="002A0E01">
        <w:rPr>
          <w:rFonts w:cs="Arial"/>
          <w:sz w:val="22"/>
          <w:szCs w:val="24"/>
        </w:rPr>
        <w:t>řepkového oleje</w:t>
      </w:r>
      <w:r w:rsidRPr="002A0E01">
        <w:rPr>
          <w:rFonts w:cs="Arial"/>
          <w:sz w:val="22"/>
          <w:szCs w:val="24"/>
        </w:rPr>
        <w:t xml:space="preserve"> zaznamenaly </w:t>
      </w:r>
      <w:r w:rsidR="00311A5D" w:rsidRPr="002A0E01">
        <w:rPr>
          <w:rFonts w:cs="Arial"/>
          <w:sz w:val="22"/>
          <w:szCs w:val="24"/>
        </w:rPr>
        <w:t xml:space="preserve">pak </w:t>
      </w:r>
      <w:r w:rsidR="00CB1433" w:rsidRPr="002A0E01">
        <w:rPr>
          <w:rFonts w:cs="Arial"/>
          <w:sz w:val="22"/>
          <w:szCs w:val="24"/>
        </w:rPr>
        <w:t>nárůst exportu a </w:t>
      </w:r>
      <w:r w:rsidRPr="002A0E01">
        <w:rPr>
          <w:rFonts w:cs="Arial"/>
          <w:sz w:val="22"/>
          <w:szCs w:val="24"/>
        </w:rPr>
        <w:t>importu</w:t>
      </w:r>
      <w:r w:rsidR="0053314A" w:rsidRPr="002A0E01">
        <w:rPr>
          <w:rFonts w:cs="Arial"/>
          <w:sz w:val="22"/>
          <w:szCs w:val="24"/>
        </w:rPr>
        <w:t xml:space="preserve"> </w:t>
      </w:r>
      <w:r w:rsidR="00311A5D" w:rsidRPr="002A0E01">
        <w:rPr>
          <w:rFonts w:cs="Arial"/>
          <w:sz w:val="22"/>
          <w:szCs w:val="24"/>
        </w:rPr>
        <w:t>ještě</w:t>
      </w:r>
      <w:r w:rsidR="0053314A" w:rsidRPr="002A0E01">
        <w:rPr>
          <w:rFonts w:cs="Arial"/>
          <w:sz w:val="22"/>
          <w:szCs w:val="24"/>
        </w:rPr>
        <w:t xml:space="preserve"> </w:t>
      </w:r>
      <w:r w:rsidR="0065483E" w:rsidRPr="002A0E01">
        <w:rPr>
          <w:rFonts w:cs="Arial"/>
          <w:sz w:val="22"/>
          <w:szCs w:val="24"/>
        </w:rPr>
        <w:t xml:space="preserve">meziročně „dražší“ </w:t>
      </w:r>
      <w:r w:rsidR="0053314A" w:rsidRPr="002A0E01">
        <w:rPr>
          <w:rFonts w:cs="Arial"/>
          <w:sz w:val="22"/>
          <w:szCs w:val="24"/>
        </w:rPr>
        <w:t>čokoláda a kakaové přípravky.</w:t>
      </w:r>
    </w:p>
    <w:p w:rsidR="006C59DA" w:rsidRPr="002A0E01" w:rsidRDefault="006C59DA" w:rsidP="00BD3E86">
      <w:pPr>
        <w:spacing w:line="276" w:lineRule="auto"/>
        <w:rPr>
          <w:rFonts w:cs="Arial"/>
          <w:sz w:val="22"/>
          <w:szCs w:val="24"/>
        </w:rPr>
      </w:pPr>
      <w:r w:rsidRPr="002A0E01">
        <w:rPr>
          <w:rFonts w:cs="Arial"/>
          <w:sz w:val="22"/>
          <w:szCs w:val="24"/>
        </w:rPr>
        <w:t>Výčet hlavních odběratelů a dodavatelů agrárního zboží z/do ČR je poměrně stabilní.</w:t>
      </w:r>
      <w:r w:rsidR="00185CD8" w:rsidRPr="002A0E01">
        <w:rPr>
          <w:rStyle w:val="Znakapoznpodarou"/>
          <w:rFonts w:cs="Arial"/>
          <w:sz w:val="22"/>
          <w:szCs w:val="24"/>
        </w:rPr>
        <w:footnoteReference w:id="6"/>
      </w:r>
      <w:r w:rsidRPr="002A0E01">
        <w:rPr>
          <w:rFonts w:cs="Arial"/>
          <w:sz w:val="22"/>
          <w:szCs w:val="24"/>
        </w:rPr>
        <w:t xml:space="preserve"> </w:t>
      </w:r>
      <w:r w:rsidR="00B40E12">
        <w:rPr>
          <w:rFonts w:cs="Arial"/>
          <w:sz w:val="22"/>
          <w:szCs w:val="24"/>
        </w:rPr>
        <w:t>Č</w:t>
      </w:r>
      <w:r w:rsidRPr="002A0E01">
        <w:rPr>
          <w:rFonts w:cs="Arial"/>
          <w:sz w:val="22"/>
          <w:szCs w:val="24"/>
        </w:rPr>
        <w:t xml:space="preserve">eský </w:t>
      </w:r>
      <w:r w:rsidRPr="002A0E01">
        <w:rPr>
          <w:rFonts w:cs="Arial"/>
          <w:b/>
          <w:sz w:val="22"/>
          <w:szCs w:val="24"/>
        </w:rPr>
        <w:t>agrární vývoz</w:t>
      </w:r>
      <w:r w:rsidRPr="002A0E01">
        <w:rPr>
          <w:rFonts w:cs="Arial"/>
          <w:sz w:val="22"/>
          <w:szCs w:val="24"/>
        </w:rPr>
        <w:t xml:space="preserve"> směřoval v roce 2015 především na </w:t>
      </w:r>
      <w:r w:rsidRPr="002A0E01">
        <w:rPr>
          <w:rFonts w:cs="Arial"/>
          <w:b/>
          <w:sz w:val="22"/>
          <w:szCs w:val="24"/>
        </w:rPr>
        <w:t>Slovensko</w:t>
      </w:r>
      <w:r w:rsidRPr="002A0E01">
        <w:rPr>
          <w:rFonts w:cs="Arial"/>
          <w:sz w:val="22"/>
          <w:szCs w:val="24"/>
        </w:rPr>
        <w:t xml:space="preserve"> (2</w:t>
      </w:r>
      <w:r w:rsidR="00933651" w:rsidRPr="002A0E01">
        <w:rPr>
          <w:rFonts w:cs="Arial"/>
          <w:sz w:val="22"/>
          <w:szCs w:val="24"/>
        </w:rPr>
        <w:t>3,6</w:t>
      </w:r>
      <w:r w:rsidR="005024B2">
        <w:rPr>
          <w:rFonts w:cs="Arial"/>
          <w:sz w:val="22"/>
          <w:szCs w:val="24"/>
        </w:rPr>
        <w:t xml:space="preserve"> %), do </w:t>
      </w:r>
      <w:r w:rsidRPr="002A0E01">
        <w:rPr>
          <w:rFonts w:cs="Arial"/>
          <w:b/>
          <w:sz w:val="22"/>
          <w:szCs w:val="24"/>
        </w:rPr>
        <w:t>Německa</w:t>
      </w:r>
      <w:r w:rsidR="00933651" w:rsidRPr="002A0E01">
        <w:rPr>
          <w:rFonts w:cs="Arial"/>
          <w:sz w:val="22"/>
          <w:szCs w:val="24"/>
        </w:rPr>
        <w:t xml:space="preserve"> (20,1</w:t>
      </w:r>
      <w:r w:rsidRPr="002A0E01">
        <w:rPr>
          <w:rFonts w:cs="Arial"/>
          <w:sz w:val="22"/>
          <w:szCs w:val="24"/>
        </w:rPr>
        <w:t xml:space="preserve"> %) </w:t>
      </w:r>
      <w:r w:rsidR="006F27F7" w:rsidRPr="002A0E01">
        <w:rPr>
          <w:rFonts w:cs="Arial"/>
          <w:sz w:val="22"/>
          <w:szCs w:val="24"/>
        </w:rPr>
        <w:t xml:space="preserve">a </w:t>
      </w:r>
      <w:r w:rsidRPr="002A0E01">
        <w:rPr>
          <w:rFonts w:cs="Arial"/>
          <w:b/>
          <w:sz w:val="22"/>
          <w:szCs w:val="24"/>
        </w:rPr>
        <w:t>Polska</w:t>
      </w:r>
      <w:r w:rsidR="00933651" w:rsidRPr="002A0E01">
        <w:rPr>
          <w:rFonts w:cs="Arial"/>
          <w:sz w:val="22"/>
          <w:szCs w:val="24"/>
        </w:rPr>
        <w:t xml:space="preserve"> (11,3</w:t>
      </w:r>
      <w:r w:rsidRPr="002A0E01">
        <w:rPr>
          <w:rFonts w:cs="Arial"/>
          <w:sz w:val="22"/>
          <w:szCs w:val="24"/>
        </w:rPr>
        <w:t xml:space="preserve"> %), </w:t>
      </w:r>
      <w:r w:rsidR="006F27F7" w:rsidRPr="002A0E01">
        <w:rPr>
          <w:rFonts w:cs="Arial"/>
          <w:sz w:val="22"/>
          <w:szCs w:val="24"/>
        </w:rPr>
        <w:t>dále</w:t>
      </w:r>
      <w:r w:rsidR="005D3A5C" w:rsidRPr="002A0E01">
        <w:rPr>
          <w:rFonts w:cs="Arial"/>
          <w:sz w:val="22"/>
          <w:szCs w:val="24"/>
        </w:rPr>
        <w:t xml:space="preserve"> do</w:t>
      </w:r>
      <w:r w:rsidR="006F27F7" w:rsidRPr="002A0E01">
        <w:rPr>
          <w:rFonts w:cs="Arial"/>
          <w:sz w:val="22"/>
          <w:szCs w:val="24"/>
        </w:rPr>
        <w:t xml:space="preserve"> </w:t>
      </w:r>
      <w:r w:rsidRPr="002A0E01">
        <w:rPr>
          <w:rFonts w:cs="Arial"/>
          <w:b/>
          <w:sz w:val="22"/>
          <w:szCs w:val="24"/>
        </w:rPr>
        <w:t>Itálie</w:t>
      </w:r>
      <w:r w:rsidRPr="002A0E01">
        <w:rPr>
          <w:rFonts w:cs="Arial"/>
          <w:sz w:val="22"/>
          <w:szCs w:val="24"/>
        </w:rPr>
        <w:t xml:space="preserve"> (6,</w:t>
      </w:r>
      <w:r w:rsidR="00933651" w:rsidRPr="002A0E01">
        <w:rPr>
          <w:rFonts w:cs="Arial"/>
          <w:sz w:val="22"/>
          <w:szCs w:val="24"/>
        </w:rPr>
        <w:t>6</w:t>
      </w:r>
      <w:r w:rsidRPr="002A0E01">
        <w:rPr>
          <w:rFonts w:cs="Arial"/>
          <w:sz w:val="22"/>
          <w:szCs w:val="24"/>
        </w:rPr>
        <w:t xml:space="preserve"> %), </w:t>
      </w:r>
      <w:r w:rsidRPr="002A0E01">
        <w:rPr>
          <w:rFonts w:cs="Arial"/>
          <w:b/>
          <w:sz w:val="22"/>
          <w:szCs w:val="24"/>
        </w:rPr>
        <w:t>Rakouska</w:t>
      </w:r>
      <w:r w:rsidRPr="002A0E01">
        <w:rPr>
          <w:rFonts w:cs="Arial"/>
          <w:sz w:val="22"/>
          <w:szCs w:val="24"/>
        </w:rPr>
        <w:t xml:space="preserve"> (6,</w:t>
      </w:r>
      <w:r w:rsidR="00933651" w:rsidRPr="002A0E01">
        <w:rPr>
          <w:rFonts w:cs="Arial"/>
          <w:sz w:val="22"/>
          <w:szCs w:val="24"/>
        </w:rPr>
        <w:t>1</w:t>
      </w:r>
      <w:r w:rsidRPr="002A0E01">
        <w:rPr>
          <w:rFonts w:cs="Arial"/>
          <w:sz w:val="22"/>
          <w:szCs w:val="24"/>
        </w:rPr>
        <w:t xml:space="preserve"> %), </w:t>
      </w:r>
      <w:r w:rsidRPr="002A0E01">
        <w:rPr>
          <w:rFonts w:cs="Arial"/>
          <w:b/>
          <w:sz w:val="22"/>
          <w:szCs w:val="24"/>
        </w:rPr>
        <w:t>Maďarska</w:t>
      </w:r>
      <w:r w:rsidRPr="002A0E01">
        <w:rPr>
          <w:rFonts w:cs="Arial"/>
          <w:sz w:val="22"/>
          <w:szCs w:val="24"/>
        </w:rPr>
        <w:t xml:space="preserve"> (4,1 %), </w:t>
      </w:r>
      <w:r w:rsidRPr="002A0E01">
        <w:rPr>
          <w:rFonts w:cs="Arial"/>
          <w:b/>
          <w:sz w:val="22"/>
          <w:szCs w:val="24"/>
        </w:rPr>
        <w:t>Francie</w:t>
      </w:r>
      <w:r w:rsidRPr="002A0E01">
        <w:rPr>
          <w:rFonts w:cs="Arial"/>
          <w:sz w:val="22"/>
          <w:szCs w:val="24"/>
        </w:rPr>
        <w:t xml:space="preserve"> (3,5 %) a </w:t>
      </w:r>
      <w:r w:rsidRPr="002A0E01">
        <w:rPr>
          <w:rFonts w:cs="Arial"/>
          <w:b/>
          <w:sz w:val="22"/>
          <w:szCs w:val="24"/>
        </w:rPr>
        <w:t>Spojeného království</w:t>
      </w:r>
      <w:r w:rsidRPr="002A0E01">
        <w:rPr>
          <w:rFonts w:cs="Arial"/>
          <w:sz w:val="22"/>
          <w:szCs w:val="24"/>
        </w:rPr>
        <w:t xml:space="preserve"> (</w:t>
      </w:r>
      <w:r w:rsidR="00933651" w:rsidRPr="002A0E01">
        <w:rPr>
          <w:rFonts w:cs="Arial"/>
          <w:sz w:val="22"/>
          <w:szCs w:val="24"/>
        </w:rPr>
        <w:t>2,9</w:t>
      </w:r>
      <w:r w:rsidRPr="002A0E01">
        <w:rPr>
          <w:rFonts w:cs="Arial"/>
          <w:sz w:val="22"/>
          <w:szCs w:val="24"/>
        </w:rPr>
        <w:t xml:space="preserve"> %).</w:t>
      </w:r>
      <w:r w:rsidR="005D3A5C" w:rsidRPr="002A0E01">
        <w:rPr>
          <w:rFonts w:cs="Arial"/>
          <w:sz w:val="22"/>
          <w:szCs w:val="24"/>
        </w:rPr>
        <w:t xml:space="preserve"> </w:t>
      </w:r>
      <w:r w:rsidR="00FF058C" w:rsidRPr="002A0E01">
        <w:rPr>
          <w:rFonts w:cs="Arial"/>
          <w:sz w:val="22"/>
          <w:szCs w:val="24"/>
        </w:rPr>
        <w:t>Meziročně se hodnota vývozu zvýšila větší či menší měrou do všech těchto zemí.</w:t>
      </w:r>
    </w:p>
    <w:p w:rsidR="006C59DA" w:rsidRPr="002A0E01" w:rsidRDefault="006C59DA" w:rsidP="00BD3E86">
      <w:pPr>
        <w:spacing w:line="276" w:lineRule="auto"/>
        <w:rPr>
          <w:rFonts w:cs="Arial"/>
          <w:sz w:val="22"/>
          <w:szCs w:val="24"/>
        </w:rPr>
      </w:pPr>
      <w:r w:rsidRPr="002A0E01">
        <w:rPr>
          <w:rFonts w:cs="Arial"/>
          <w:sz w:val="22"/>
          <w:szCs w:val="24"/>
        </w:rPr>
        <w:t xml:space="preserve">Český </w:t>
      </w:r>
      <w:r w:rsidRPr="002A0E01">
        <w:rPr>
          <w:rFonts w:cs="Arial"/>
          <w:b/>
          <w:sz w:val="22"/>
          <w:szCs w:val="24"/>
        </w:rPr>
        <w:t>agrární dovoz</w:t>
      </w:r>
      <w:r w:rsidRPr="002A0E01">
        <w:rPr>
          <w:rFonts w:cs="Arial"/>
          <w:sz w:val="22"/>
          <w:szCs w:val="24"/>
        </w:rPr>
        <w:t xml:space="preserve"> pocházel </w:t>
      </w:r>
      <w:r w:rsidR="006F27F7" w:rsidRPr="002A0E01">
        <w:rPr>
          <w:rFonts w:cs="Arial"/>
          <w:sz w:val="22"/>
          <w:szCs w:val="24"/>
        </w:rPr>
        <w:t xml:space="preserve">v roce 2015 </w:t>
      </w:r>
      <w:r w:rsidRPr="002A0E01">
        <w:rPr>
          <w:rFonts w:cs="Arial"/>
          <w:sz w:val="22"/>
          <w:szCs w:val="24"/>
        </w:rPr>
        <w:t>zejména z</w:t>
      </w:r>
      <w:r w:rsidR="006F27F7" w:rsidRPr="002A0E01">
        <w:rPr>
          <w:rFonts w:cs="Arial"/>
          <w:sz w:val="22"/>
          <w:szCs w:val="24"/>
        </w:rPr>
        <w:t> </w:t>
      </w:r>
      <w:r w:rsidRPr="002A0E01">
        <w:rPr>
          <w:rFonts w:cs="Arial"/>
          <w:b/>
          <w:sz w:val="22"/>
          <w:szCs w:val="24"/>
        </w:rPr>
        <w:t>Německa</w:t>
      </w:r>
      <w:r w:rsidR="006F27F7" w:rsidRPr="002A0E01">
        <w:rPr>
          <w:rFonts w:cs="Arial"/>
          <w:sz w:val="22"/>
          <w:szCs w:val="24"/>
        </w:rPr>
        <w:t xml:space="preserve"> (2</w:t>
      </w:r>
      <w:r w:rsidR="00933651" w:rsidRPr="002A0E01">
        <w:rPr>
          <w:rFonts w:cs="Arial"/>
          <w:sz w:val="22"/>
          <w:szCs w:val="24"/>
        </w:rPr>
        <w:t xml:space="preserve">0,9 </w:t>
      </w:r>
      <w:r w:rsidR="006F27F7" w:rsidRPr="002A0E01">
        <w:rPr>
          <w:rFonts w:cs="Arial"/>
          <w:sz w:val="22"/>
          <w:szCs w:val="24"/>
        </w:rPr>
        <w:t>%) a</w:t>
      </w:r>
      <w:r w:rsidRPr="002A0E01">
        <w:rPr>
          <w:rFonts w:cs="Arial"/>
          <w:sz w:val="22"/>
          <w:szCs w:val="24"/>
        </w:rPr>
        <w:t xml:space="preserve"> </w:t>
      </w:r>
      <w:r w:rsidRPr="002A0E01">
        <w:rPr>
          <w:rFonts w:cs="Arial"/>
          <w:b/>
          <w:sz w:val="22"/>
          <w:szCs w:val="24"/>
        </w:rPr>
        <w:t>Polska</w:t>
      </w:r>
      <w:r w:rsidR="006F27F7" w:rsidRPr="002A0E01">
        <w:rPr>
          <w:rFonts w:cs="Arial"/>
          <w:sz w:val="22"/>
          <w:szCs w:val="24"/>
        </w:rPr>
        <w:t xml:space="preserve"> (1</w:t>
      </w:r>
      <w:r w:rsidR="00933651" w:rsidRPr="002A0E01">
        <w:rPr>
          <w:rFonts w:cs="Arial"/>
          <w:sz w:val="22"/>
          <w:szCs w:val="24"/>
        </w:rPr>
        <w:t xml:space="preserve">9,0 </w:t>
      </w:r>
      <w:r w:rsidR="006F27F7" w:rsidRPr="002A0E01">
        <w:rPr>
          <w:rFonts w:cs="Arial"/>
          <w:sz w:val="22"/>
          <w:szCs w:val="24"/>
        </w:rPr>
        <w:t>%)</w:t>
      </w:r>
      <w:r w:rsidRPr="002A0E01">
        <w:rPr>
          <w:rFonts w:cs="Arial"/>
          <w:sz w:val="22"/>
          <w:szCs w:val="24"/>
        </w:rPr>
        <w:t xml:space="preserve">, </w:t>
      </w:r>
      <w:r w:rsidR="006F27F7" w:rsidRPr="002A0E01">
        <w:rPr>
          <w:rFonts w:cs="Arial"/>
          <w:sz w:val="22"/>
          <w:szCs w:val="24"/>
        </w:rPr>
        <w:t xml:space="preserve">dále </w:t>
      </w:r>
      <w:r w:rsidRPr="002A0E01">
        <w:rPr>
          <w:rFonts w:cs="Arial"/>
          <w:b/>
          <w:sz w:val="22"/>
          <w:szCs w:val="24"/>
        </w:rPr>
        <w:t>Nizozemska</w:t>
      </w:r>
      <w:r w:rsidR="00933651" w:rsidRPr="002A0E01">
        <w:rPr>
          <w:rFonts w:cs="Arial"/>
          <w:sz w:val="22"/>
          <w:szCs w:val="24"/>
        </w:rPr>
        <w:t xml:space="preserve"> (7,2</w:t>
      </w:r>
      <w:r w:rsidR="006F27F7" w:rsidRPr="002A0E01">
        <w:rPr>
          <w:rFonts w:cs="Arial"/>
          <w:sz w:val="22"/>
          <w:szCs w:val="24"/>
        </w:rPr>
        <w:t xml:space="preserve"> %), které se posunulo před</w:t>
      </w:r>
      <w:r w:rsidRPr="002A0E01">
        <w:rPr>
          <w:rFonts w:cs="Arial"/>
          <w:sz w:val="22"/>
          <w:szCs w:val="24"/>
        </w:rPr>
        <w:t xml:space="preserve"> </w:t>
      </w:r>
      <w:r w:rsidR="006F27F7" w:rsidRPr="002A0E01">
        <w:rPr>
          <w:rFonts w:cs="Arial"/>
          <w:sz w:val="22"/>
          <w:szCs w:val="24"/>
        </w:rPr>
        <w:t xml:space="preserve">do té doby třetího nejvýznamnějšího dodavatele </w:t>
      </w:r>
      <w:r w:rsidRPr="002A0E01">
        <w:rPr>
          <w:rFonts w:cs="Arial"/>
          <w:b/>
          <w:sz w:val="22"/>
          <w:szCs w:val="24"/>
        </w:rPr>
        <w:t>Slovensk</w:t>
      </w:r>
      <w:r w:rsidR="006F27F7" w:rsidRPr="002A0E01">
        <w:rPr>
          <w:rFonts w:cs="Arial"/>
          <w:b/>
          <w:sz w:val="22"/>
          <w:szCs w:val="24"/>
        </w:rPr>
        <w:t>o</w:t>
      </w:r>
      <w:r w:rsidR="006F27F7" w:rsidRPr="002A0E01">
        <w:rPr>
          <w:rFonts w:cs="Arial"/>
          <w:sz w:val="22"/>
          <w:szCs w:val="24"/>
        </w:rPr>
        <w:t xml:space="preserve"> (6,</w:t>
      </w:r>
      <w:r w:rsidR="00933651" w:rsidRPr="002A0E01">
        <w:rPr>
          <w:rFonts w:cs="Arial"/>
          <w:sz w:val="22"/>
          <w:szCs w:val="24"/>
        </w:rPr>
        <w:t>8</w:t>
      </w:r>
      <w:r w:rsidR="006F27F7" w:rsidRPr="002A0E01">
        <w:rPr>
          <w:rFonts w:cs="Arial"/>
          <w:sz w:val="22"/>
          <w:szCs w:val="24"/>
        </w:rPr>
        <w:t xml:space="preserve"> %)</w:t>
      </w:r>
      <w:r w:rsidRPr="002A0E01">
        <w:rPr>
          <w:rFonts w:cs="Arial"/>
          <w:sz w:val="22"/>
          <w:szCs w:val="24"/>
        </w:rPr>
        <w:t xml:space="preserve">, </w:t>
      </w:r>
      <w:r w:rsidR="006F27F7" w:rsidRPr="002A0E01">
        <w:rPr>
          <w:rFonts w:cs="Arial"/>
          <w:sz w:val="22"/>
          <w:szCs w:val="24"/>
        </w:rPr>
        <w:t xml:space="preserve">z </w:t>
      </w:r>
      <w:r w:rsidRPr="002A0E01">
        <w:rPr>
          <w:rFonts w:cs="Arial"/>
          <w:b/>
          <w:sz w:val="22"/>
          <w:szCs w:val="24"/>
        </w:rPr>
        <w:t>Itálie</w:t>
      </w:r>
      <w:r w:rsidR="006F27F7" w:rsidRPr="002A0E01">
        <w:rPr>
          <w:rFonts w:cs="Arial"/>
          <w:sz w:val="22"/>
          <w:szCs w:val="24"/>
        </w:rPr>
        <w:t xml:space="preserve"> (5,</w:t>
      </w:r>
      <w:r w:rsidR="00933651" w:rsidRPr="002A0E01">
        <w:rPr>
          <w:rFonts w:cs="Arial"/>
          <w:sz w:val="22"/>
          <w:szCs w:val="24"/>
        </w:rPr>
        <w:t>5</w:t>
      </w:r>
      <w:r w:rsidR="006F27F7" w:rsidRPr="002A0E01">
        <w:rPr>
          <w:rFonts w:cs="Arial"/>
          <w:sz w:val="22"/>
          <w:szCs w:val="24"/>
        </w:rPr>
        <w:t xml:space="preserve"> %)</w:t>
      </w:r>
      <w:r w:rsidRPr="002A0E01">
        <w:rPr>
          <w:rFonts w:cs="Arial"/>
          <w:sz w:val="22"/>
          <w:szCs w:val="24"/>
        </w:rPr>
        <w:t xml:space="preserve">, </w:t>
      </w:r>
      <w:r w:rsidRPr="002A0E01">
        <w:rPr>
          <w:rFonts w:cs="Arial"/>
          <w:b/>
          <w:sz w:val="22"/>
          <w:szCs w:val="24"/>
        </w:rPr>
        <w:t>Španělska</w:t>
      </w:r>
      <w:r w:rsidR="006F27F7" w:rsidRPr="002A0E01">
        <w:rPr>
          <w:rFonts w:cs="Arial"/>
          <w:sz w:val="22"/>
          <w:szCs w:val="24"/>
        </w:rPr>
        <w:t xml:space="preserve"> (5</w:t>
      </w:r>
      <w:r w:rsidR="001A1D9F" w:rsidRPr="002A0E01">
        <w:rPr>
          <w:rFonts w:cs="Arial"/>
          <w:sz w:val="22"/>
          <w:szCs w:val="24"/>
        </w:rPr>
        <w:t>,</w:t>
      </w:r>
      <w:r w:rsidR="00B40E12">
        <w:rPr>
          <w:rFonts w:cs="Arial"/>
          <w:sz w:val="22"/>
          <w:szCs w:val="24"/>
        </w:rPr>
        <w:t>1</w:t>
      </w:r>
      <w:r w:rsidR="006F27F7" w:rsidRPr="002A0E01">
        <w:rPr>
          <w:rFonts w:cs="Arial"/>
          <w:sz w:val="22"/>
          <w:szCs w:val="24"/>
        </w:rPr>
        <w:t xml:space="preserve"> %)</w:t>
      </w:r>
      <w:r w:rsidRPr="002A0E01">
        <w:rPr>
          <w:rFonts w:cs="Arial"/>
          <w:sz w:val="22"/>
          <w:szCs w:val="24"/>
        </w:rPr>
        <w:t xml:space="preserve">, </w:t>
      </w:r>
      <w:r w:rsidRPr="002A0E01">
        <w:rPr>
          <w:rFonts w:cs="Arial"/>
          <w:b/>
          <w:sz w:val="22"/>
          <w:szCs w:val="24"/>
        </w:rPr>
        <w:t>Maďar</w:t>
      </w:r>
      <w:r w:rsidR="006F27F7" w:rsidRPr="002A0E01">
        <w:rPr>
          <w:rFonts w:cs="Arial"/>
          <w:b/>
          <w:sz w:val="22"/>
          <w:szCs w:val="24"/>
        </w:rPr>
        <w:t>ska</w:t>
      </w:r>
      <w:r w:rsidR="006F27F7" w:rsidRPr="002A0E01">
        <w:rPr>
          <w:rFonts w:cs="Arial"/>
          <w:sz w:val="22"/>
          <w:szCs w:val="24"/>
        </w:rPr>
        <w:t xml:space="preserve"> (3,7 %), </w:t>
      </w:r>
      <w:r w:rsidR="006F27F7" w:rsidRPr="002A0E01">
        <w:rPr>
          <w:rFonts w:cs="Arial"/>
          <w:b/>
          <w:sz w:val="22"/>
          <w:szCs w:val="24"/>
        </w:rPr>
        <w:t>Rakouska</w:t>
      </w:r>
      <w:r w:rsidR="006F27F7" w:rsidRPr="002A0E01">
        <w:rPr>
          <w:rFonts w:cs="Arial"/>
          <w:sz w:val="22"/>
          <w:szCs w:val="24"/>
        </w:rPr>
        <w:t xml:space="preserve"> </w:t>
      </w:r>
      <w:r w:rsidR="00933651" w:rsidRPr="002A0E01">
        <w:rPr>
          <w:rFonts w:cs="Arial"/>
          <w:sz w:val="22"/>
          <w:szCs w:val="24"/>
        </w:rPr>
        <w:t>(3,6</w:t>
      </w:r>
      <w:r w:rsidR="006F27F7" w:rsidRPr="002A0E01">
        <w:rPr>
          <w:rFonts w:cs="Arial"/>
          <w:sz w:val="22"/>
          <w:szCs w:val="24"/>
        </w:rPr>
        <w:t xml:space="preserve"> %) a </w:t>
      </w:r>
      <w:r w:rsidRPr="002A0E01">
        <w:rPr>
          <w:rFonts w:cs="Arial"/>
          <w:b/>
          <w:sz w:val="22"/>
          <w:szCs w:val="24"/>
        </w:rPr>
        <w:t>Francie</w:t>
      </w:r>
      <w:r w:rsidR="006F27F7" w:rsidRPr="002A0E01">
        <w:rPr>
          <w:rFonts w:cs="Arial"/>
          <w:sz w:val="22"/>
          <w:szCs w:val="24"/>
        </w:rPr>
        <w:t xml:space="preserve"> (3,2 %). </w:t>
      </w:r>
      <w:r w:rsidR="00FF058C" w:rsidRPr="002A0E01">
        <w:rPr>
          <w:rFonts w:cs="Arial"/>
          <w:sz w:val="22"/>
          <w:szCs w:val="24"/>
        </w:rPr>
        <w:t xml:space="preserve">Meziročně se zvýšila hodnota </w:t>
      </w:r>
      <w:r w:rsidR="003B0178" w:rsidRPr="002A0E01">
        <w:rPr>
          <w:rFonts w:cs="Arial"/>
          <w:sz w:val="22"/>
          <w:szCs w:val="24"/>
        </w:rPr>
        <w:t>dovozu ze</w:t>
      </w:r>
      <w:r w:rsidR="00FF058C" w:rsidRPr="002A0E01">
        <w:rPr>
          <w:rFonts w:cs="Arial"/>
          <w:sz w:val="22"/>
          <w:szCs w:val="24"/>
        </w:rPr>
        <w:t xml:space="preserve"> všech </w:t>
      </w:r>
      <w:r w:rsidR="003B0178" w:rsidRPr="002A0E01">
        <w:rPr>
          <w:rFonts w:cs="Arial"/>
          <w:sz w:val="22"/>
          <w:szCs w:val="24"/>
        </w:rPr>
        <w:t>uvedených zemí s výjimkou Německa a Slovenska, u nichž nepatrně poklesla.</w:t>
      </w:r>
    </w:p>
    <w:p w:rsidR="009F0BFC" w:rsidRPr="002A0E01" w:rsidRDefault="009F0BFC" w:rsidP="00BD3E86">
      <w:pPr>
        <w:spacing w:line="276" w:lineRule="auto"/>
        <w:rPr>
          <w:rFonts w:cs="Arial"/>
          <w:sz w:val="22"/>
          <w:szCs w:val="24"/>
        </w:rPr>
      </w:pPr>
      <w:r w:rsidRPr="002A0E01">
        <w:rPr>
          <w:rFonts w:cs="Arial"/>
          <w:sz w:val="22"/>
          <w:szCs w:val="24"/>
        </w:rPr>
        <w:t xml:space="preserve">V rámci třetích zemí zůstalo v roce 2015 </w:t>
      </w:r>
      <w:r w:rsidR="002F21B2" w:rsidRPr="002A0E01">
        <w:rPr>
          <w:rFonts w:cs="Arial"/>
          <w:sz w:val="22"/>
          <w:szCs w:val="24"/>
        </w:rPr>
        <w:t>(</w:t>
      </w:r>
      <w:r w:rsidRPr="002A0E01">
        <w:rPr>
          <w:rFonts w:cs="Arial"/>
          <w:sz w:val="22"/>
          <w:szCs w:val="24"/>
        </w:rPr>
        <w:t xml:space="preserve">navzdory poklesu podílu v českém </w:t>
      </w:r>
      <w:r w:rsidR="002F21B2" w:rsidRPr="002A0E01">
        <w:rPr>
          <w:rFonts w:cs="Arial"/>
          <w:sz w:val="22"/>
          <w:szCs w:val="24"/>
        </w:rPr>
        <w:t xml:space="preserve">agrárním </w:t>
      </w:r>
      <w:proofErr w:type="gramStart"/>
      <w:r w:rsidR="002F21B2" w:rsidRPr="002A0E01">
        <w:rPr>
          <w:rFonts w:cs="Arial"/>
          <w:sz w:val="22"/>
          <w:szCs w:val="24"/>
        </w:rPr>
        <w:t>vývozu</w:t>
      </w:r>
      <w:r w:rsidR="00ED5384" w:rsidRPr="002A0E01">
        <w:rPr>
          <w:rFonts w:cs="Arial"/>
          <w:sz w:val="22"/>
          <w:szCs w:val="24"/>
        </w:rPr>
        <w:t xml:space="preserve"> </w:t>
      </w:r>
      <w:r w:rsidRPr="002A0E01">
        <w:rPr>
          <w:rFonts w:cs="Arial"/>
          <w:sz w:val="22"/>
          <w:szCs w:val="24"/>
        </w:rPr>
        <w:t>z 1,6</w:t>
      </w:r>
      <w:proofErr w:type="gramEnd"/>
      <w:r w:rsidRPr="002A0E01">
        <w:rPr>
          <w:rFonts w:cs="Arial"/>
          <w:sz w:val="22"/>
          <w:szCs w:val="24"/>
        </w:rPr>
        <w:t xml:space="preserve"> </w:t>
      </w:r>
      <w:r w:rsidR="002F21B2" w:rsidRPr="002A0E01">
        <w:rPr>
          <w:rFonts w:cs="Arial"/>
          <w:sz w:val="22"/>
          <w:szCs w:val="24"/>
        </w:rPr>
        <w:t xml:space="preserve">% </w:t>
      </w:r>
      <w:r w:rsidRPr="002A0E01">
        <w:rPr>
          <w:rFonts w:cs="Arial"/>
          <w:sz w:val="22"/>
          <w:szCs w:val="24"/>
        </w:rPr>
        <w:t>na 1,2 %</w:t>
      </w:r>
      <w:r w:rsidR="002F21B2" w:rsidRPr="002A0E01">
        <w:rPr>
          <w:rFonts w:cs="Arial"/>
          <w:sz w:val="22"/>
          <w:szCs w:val="24"/>
        </w:rPr>
        <w:t>)</w:t>
      </w:r>
      <w:r w:rsidRPr="002A0E01">
        <w:rPr>
          <w:rFonts w:cs="Arial"/>
          <w:sz w:val="22"/>
          <w:szCs w:val="24"/>
        </w:rPr>
        <w:t xml:space="preserve"> nejvýznamnějším odběratelem agrárního zboží z ČR Rusko, zatímco hlavními mimounijními dodavateli jsou </w:t>
      </w:r>
      <w:r w:rsidR="002F21B2" w:rsidRPr="002A0E01">
        <w:rPr>
          <w:rFonts w:cs="Arial"/>
          <w:sz w:val="22"/>
          <w:szCs w:val="24"/>
        </w:rPr>
        <w:t xml:space="preserve">nadále </w:t>
      </w:r>
      <w:r w:rsidRPr="002A0E01">
        <w:rPr>
          <w:rFonts w:cs="Arial"/>
          <w:sz w:val="22"/>
          <w:szCs w:val="24"/>
        </w:rPr>
        <w:t>Brazílie, Čína, USA a Turecko.</w:t>
      </w:r>
    </w:p>
    <w:p w:rsidR="000D7DD3" w:rsidRPr="002A0E01" w:rsidRDefault="002F21B2" w:rsidP="00BD3E86">
      <w:pPr>
        <w:spacing w:line="276" w:lineRule="auto"/>
        <w:rPr>
          <w:rFonts w:cs="Arial"/>
          <w:sz w:val="22"/>
          <w:szCs w:val="24"/>
        </w:rPr>
      </w:pPr>
      <w:r w:rsidRPr="002A0E01">
        <w:rPr>
          <w:rFonts w:cs="Arial"/>
          <w:sz w:val="22"/>
          <w:szCs w:val="24"/>
        </w:rPr>
        <w:t>V</w:t>
      </w:r>
      <w:r w:rsidR="00931D6E" w:rsidRPr="002A0E01">
        <w:rPr>
          <w:rFonts w:cs="Arial"/>
          <w:sz w:val="22"/>
          <w:szCs w:val="24"/>
        </w:rPr>
        <w:t xml:space="preserve"> </w:t>
      </w:r>
      <w:r w:rsidR="000D7DD3" w:rsidRPr="002A0E01">
        <w:rPr>
          <w:rFonts w:cs="Arial"/>
          <w:b/>
          <w:sz w:val="22"/>
          <w:szCs w:val="24"/>
        </w:rPr>
        <w:t xml:space="preserve">teritoriálním </w:t>
      </w:r>
      <w:r w:rsidRPr="002A0E01">
        <w:rPr>
          <w:rFonts w:cs="Arial"/>
          <w:b/>
          <w:sz w:val="22"/>
          <w:szCs w:val="24"/>
        </w:rPr>
        <w:t>pohledu</w:t>
      </w:r>
      <w:r w:rsidRPr="002A0E01">
        <w:rPr>
          <w:rFonts w:cs="Arial"/>
          <w:sz w:val="22"/>
          <w:szCs w:val="24"/>
        </w:rPr>
        <w:t xml:space="preserve"> patřily v roce 2015 k </w:t>
      </w:r>
      <w:r w:rsidRPr="002A0E01">
        <w:rPr>
          <w:rFonts w:cs="Arial"/>
          <w:b/>
          <w:sz w:val="22"/>
          <w:szCs w:val="24"/>
        </w:rPr>
        <w:t xml:space="preserve">nejvýraznějším meziročním </w:t>
      </w:r>
      <w:r w:rsidR="000D7DD3" w:rsidRPr="002A0E01">
        <w:rPr>
          <w:rFonts w:cs="Arial"/>
          <w:b/>
          <w:sz w:val="22"/>
          <w:szCs w:val="24"/>
        </w:rPr>
        <w:t>bilančním změnám</w:t>
      </w:r>
      <w:r w:rsidR="000D7DD3" w:rsidRPr="002A0E01">
        <w:rPr>
          <w:rFonts w:cs="Arial"/>
          <w:sz w:val="22"/>
          <w:szCs w:val="24"/>
        </w:rPr>
        <w:t xml:space="preserve"> nárůst bilančního schodku v obchodě s Polskem </w:t>
      </w:r>
      <w:r w:rsidR="00931D6E" w:rsidRPr="002A0E01">
        <w:rPr>
          <w:rFonts w:cs="Arial"/>
          <w:sz w:val="22"/>
          <w:szCs w:val="24"/>
        </w:rPr>
        <w:t xml:space="preserve">(o 6,0 mld. Kč) </w:t>
      </w:r>
      <w:r w:rsidR="000D7DD3" w:rsidRPr="002A0E01">
        <w:rPr>
          <w:rFonts w:cs="Arial"/>
          <w:sz w:val="22"/>
          <w:szCs w:val="24"/>
        </w:rPr>
        <w:t>a Nizozemskem</w:t>
      </w:r>
      <w:r w:rsidRPr="002A0E01">
        <w:rPr>
          <w:rFonts w:cs="Arial"/>
          <w:sz w:val="22"/>
          <w:szCs w:val="24"/>
        </w:rPr>
        <w:t xml:space="preserve"> (o </w:t>
      </w:r>
      <w:r w:rsidR="00931D6E" w:rsidRPr="002A0E01">
        <w:rPr>
          <w:rFonts w:cs="Arial"/>
          <w:sz w:val="22"/>
          <w:szCs w:val="24"/>
        </w:rPr>
        <w:t>1,3 mld. Kč). K</w:t>
      </w:r>
      <w:r w:rsidR="00392FDF" w:rsidRPr="002A0E01">
        <w:rPr>
          <w:rFonts w:cs="Arial"/>
          <w:sz w:val="22"/>
          <w:szCs w:val="24"/>
        </w:rPr>
        <w:t>e zlepšení aktivní bilance</w:t>
      </w:r>
      <w:r w:rsidR="000D7DD3" w:rsidRPr="002A0E01">
        <w:rPr>
          <w:rFonts w:cs="Arial"/>
          <w:sz w:val="22"/>
          <w:szCs w:val="24"/>
        </w:rPr>
        <w:t xml:space="preserve"> </w:t>
      </w:r>
      <w:r w:rsidR="00931D6E" w:rsidRPr="002A0E01">
        <w:rPr>
          <w:rFonts w:cs="Arial"/>
          <w:sz w:val="22"/>
          <w:szCs w:val="24"/>
        </w:rPr>
        <w:t xml:space="preserve">došlo </w:t>
      </w:r>
      <w:r w:rsidR="001E4BEE" w:rsidRPr="002A0E01">
        <w:rPr>
          <w:rFonts w:cs="Arial"/>
          <w:sz w:val="22"/>
          <w:szCs w:val="24"/>
        </w:rPr>
        <w:t xml:space="preserve">naopak </w:t>
      </w:r>
      <w:r w:rsidR="000D7DD3" w:rsidRPr="002A0E01">
        <w:rPr>
          <w:rFonts w:cs="Arial"/>
          <w:sz w:val="22"/>
          <w:szCs w:val="24"/>
        </w:rPr>
        <w:t>v obchodě se Slovenskem</w:t>
      </w:r>
      <w:r w:rsidR="00392FDF" w:rsidRPr="002A0E01">
        <w:rPr>
          <w:rFonts w:cs="Arial"/>
          <w:sz w:val="22"/>
          <w:szCs w:val="24"/>
        </w:rPr>
        <w:t xml:space="preserve"> (o 4,7 </w:t>
      </w:r>
      <w:r w:rsidRPr="002A0E01">
        <w:rPr>
          <w:rFonts w:cs="Arial"/>
          <w:sz w:val="22"/>
          <w:szCs w:val="24"/>
        </w:rPr>
        <w:t>mld. Kč) a </w:t>
      </w:r>
      <w:r w:rsidR="00392FDF" w:rsidRPr="002A0E01">
        <w:rPr>
          <w:rFonts w:cs="Arial"/>
          <w:sz w:val="22"/>
          <w:szCs w:val="24"/>
        </w:rPr>
        <w:t>pokles</w:t>
      </w:r>
      <w:r w:rsidR="00931D6E" w:rsidRPr="002A0E01">
        <w:rPr>
          <w:rFonts w:cs="Arial"/>
          <w:sz w:val="22"/>
          <w:szCs w:val="24"/>
        </w:rPr>
        <w:t xml:space="preserve"> pasiva </w:t>
      </w:r>
      <w:r w:rsidR="00392FDF" w:rsidRPr="002A0E01">
        <w:rPr>
          <w:rFonts w:cs="Arial"/>
          <w:sz w:val="22"/>
          <w:szCs w:val="24"/>
        </w:rPr>
        <w:t xml:space="preserve">vykázal </w:t>
      </w:r>
      <w:r w:rsidR="00931D6E" w:rsidRPr="002A0E01">
        <w:rPr>
          <w:rFonts w:cs="Arial"/>
          <w:sz w:val="22"/>
          <w:szCs w:val="24"/>
        </w:rPr>
        <w:t>obchod s Německem (o 3,5 mld. Kč)</w:t>
      </w:r>
      <w:r w:rsidR="00392FDF" w:rsidRPr="002A0E01">
        <w:rPr>
          <w:rFonts w:cs="Arial"/>
          <w:sz w:val="22"/>
          <w:szCs w:val="24"/>
        </w:rPr>
        <w:t>.</w:t>
      </w:r>
    </w:p>
    <w:p w:rsidR="00020B12" w:rsidRPr="002A0E01" w:rsidRDefault="000E5873" w:rsidP="00C53184">
      <w:pPr>
        <w:keepNext/>
        <w:spacing w:before="100" w:beforeAutospacing="1" w:after="100" w:afterAutospacing="1"/>
        <w:ind w:firstLine="0"/>
        <w:jc w:val="center"/>
        <w:rPr>
          <w:rFonts w:cs="Arial"/>
          <w:sz w:val="28"/>
          <w:szCs w:val="24"/>
        </w:rPr>
      </w:pPr>
      <w:r w:rsidRPr="002A0E01">
        <w:rPr>
          <w:rFonts w:cs="Arial"/>
          <w:b/>
          <w:sz w:val="22"/>
        </w:rPr>
        <w:lastRenderedPageBreak/>
        <w:t xml:space="preserve">Graf </w:t>
      </w:r>
      <w:r w:rsidR="00326F98" w:rsidRPr="002A0E01">
        <w:rPr>
          <w:rFonts w:cs="Arial"/>
          <w:b/>
          <w:sz w:val="22"/>
        </w:rPr>
        <w:t xml:space="preserve">1 </w:t>
      </w:r>
      <w:r w:rsidRPr="002A0E01">
        <w:rPr>
          <w:rFonts w:cs="Arial"/>
          <w:b/>
          <w:sz w:val="22"/>
        </w:rPr>
        <w:t>– Vývoj bilance AZO ČR v letech 20</w:t>
      </w:r>
      <w:r w:rsidR="00185CD8" w:rsidRPr="002A0E01">
        <w:rPr>
          <w:rFonts w:cs="Arial"/>
          <w:b/>
          <w:sz w:val="22"/>
        </w:rPr>
        <w:t>14 a</w:t>
      </w:r>
      <w:r w:rsidRPr="002A0E01">
        <w:rPr>
          <w:rFonts w:cs="Arial"/>
          <w:b/>
          <w:sz w:val="22"/>
        </w:rPr>
        <w:t xml:space="preserve"> 201</w:t>
      </w:r>
      <w:r w:rsidR="00020B12" w:rsidRPr="002A0E01">
        <w:rPr>
          <w:rFonts w:cs="Arial"/>
          <w:b/>
          <w:sz w:val="22"/>
        </w:rPr>
        <w:t>5</w:t>
      </w:r>
      <w:r w:rsidRPr="002A0E01">
        <w:rPr>
          <w:rFonts w:cs="Arial"/>
          <w:b/>
          <w:sz w:val="22"/>
        </w:rPr>
        <w:t xml:space="preserve"> podle </w:t>
      </w:r>
      <w:r w:rsidR="00B65654" w:rsidRPr="002A0E01">
        <w:rPr>
          <w:rFonts w:cs="Arial"/>
          <w:b/>
          <w:sz w:val="22"/>
        </w:rPr>
        <w:t>čtvrtletí</w:t>
      </w:r>
      <w:r w:rsidRPr="002A0E01">
        <w:rPr>
          <w:rFonts w:cs="Arial"/>
          <w:b/>
          <w:sz w:val="22"/>
        </w:rPr>
        <w:t xml:space="preserve"> (m</w:t>
      </w:r>
      <w:r w:rsidR="001A7C8B" w:rsidRPr="002A0E01">
        <w:rPr>
          <w:rFonts w:cs="Arial"/>
          <w:b/>
          <w:sz w:val="22"/>
        </w:rPr>
        <w:t>ld</w:t>
      </w:r>
      <w:r w:rsidRPr="002A0E01">
        <w:rPr>
          <w:rFonts w:cs="Arial"/>
          <w:b/>
          <w:sz w:val="22"/>
        </w:rPr>
        <w:t>.</w:t>
      </w:r>
      <w:r w:rsidR="00AE5685" w:rsidRPr="002A0E01">
        <w:rPr>
          <w:rFonts w:cs="Arial"/>
          <w:b/>
          <w:sz w:val="22"/>
        </w:rPr>
        <w:t xml:space="preserve"> </w:t>
      </w:r>
      <w:r w:rsidRPr="002A0E01">
        <w:rPr>
          <w:rFonts w:cs="Arial"/>
          <w:b/>
          <w:sz w:val="22"/>
        </w:rPr>
        <w:t>Kč)</w:t>
      </w:r>
      <w:r w:rsidRPr="002A0E01">
        <w:rPr>
          <w:rFonts w:cs="Arial"/>
          <w:sz w:val="28"/>
          <w:szCs w:val="24"/>
        </w:rPr>
        <w:t xml:space="preserve"> </w:t>
      </w:r>
    </w:p>
    <w:p w:rsidR="00386137" w:rsidRPr="002A0E01" w:rsidRDefault="00623D3B" w:rsidP="00185CD8">
      <w:pPr>
        <w:pStyle w:val="TabPoz"/>
        <w:ind w:left="0" w:firstLine="0"/>
        <w:contextualSpacing/>
        <w:jc w:val="left"/>
        <w:rPr>
          <w:rFonts w:cs="Arial"/>
          <w:b w:val="0"/>
          <w:sz w:val="20"/>
        </w:rPr>
      </w:pPr>
      <w:r w:rsidRPr="002A0E01">
        <w:rPr>
          <w:rFonts w:cs="Arial"/>
          <w:b w:val="0"/>
          <w:noProof/>
          <w:sz w:val="20"/>
        </w:rPr>
        <w:drawing>
          <wp:inline distT="0" distB="0" distL="0" distR="0" wp14:anchorId="0DD9F746" wp14:editId="7DEFF63E">
            <wp:extent cx="5753100" cy="3431991"/>
            <wp:effectExtent l="0" t="0" r="0" b="0"/>
            <wp:docPr id="21" name="Obráze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4319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F1CE6" w:rsidRPr="002A0E01">
        <w:rPr>
          <w:rFonts w:cs="Arial"/>
          <w:b w:val="0"/>
          <w:sz w:val="20"/>
        </w:rPr>
        <w:t>Pozn.: EU 15 – původní členové EU, EU 1</w:t>
      </w:r>
      <w:r w:rsidR="001A7C8B" w:rsidRPr="002A0E01">
        <w:rPr>
          <w:rFonts w:cs="Arial"/>
          <w:b w:val="0"/>
          <w:sz w:val="20"/>
        </w:rPr>
        <w:t>3 – noví členové EU (od 2004), TZ - třetí země, tj. </w:t>
      </w:r>
      <w:r w:rsidR="006F1CE6" w:rsidRPr="002A0E01">
        <w:rPr>
          <w:rFonts w:cs="Arial"/>
          <w:b w:val="0"/>
          <w:sz w:val="20"/>
        </w:rPr>
        <w:t>mimounijní země.</w:t>
      </w:r>
    </w:p>
    <w:p w:rsidR="006F1CE6" w:rsidRPr="002A0E01" w:rsidRDefault="006F1CE6" w:rsidP="00386137">
      <w:pPr>
        <w:pStyle w:val="TabPoz"/>
        <w:contextualSpacing/>
        <w:jc w:val="left"/>
        <w:rPr>
          <w:rFonts w:cs="Arial"/>
          <w:b w:val="0"/>
          <w:sz w:val="20"/>
        </w:rPr>
      </w:pPr>
      <w:r w:rsidRPr="002A0E01">
        <w:rPr>
          <w:rFonts w:cs="Arial"/>
          <w:b w:val="0"/>
          <w:sz w:val="20"/>
        </w:rPr>
        <w:t xml:space="preserve">Zdroj: Databáze zahraničního obchodu ČSÚ, </w:t>
      </w:r>
      <w:r w:rsidR="00FE0D82" w:rsidRPr="002A0E01">
        <w:rPr>
          <w:rFonts w:cs="Arial"/>
          <w:b w:val="0"/>
          <w:sz w:val="20"/>
        </w:rPr>
        <w:t>únor</w:t>
      </w:r>
      <w:r w:rsidRPr="002A0E01">
        <w:rPr>
          <w:rFonts w:cs="Arial"/>
          <w:b w:val="0"/>
          <w:sz w:val="20"/>
        </w:rPr>
        <w:t xml:space="preserve"> 201</w:t>
      </w:r>
      <w:r w:rsidR="00FE0D82" w:rsidRPr="002A0E01">
        <w:rPr>
          <w:rFonts w:cs="Arial"/>
          <w:b w:val="0"/>
          <w:sz w:val="20"/>
        </w:rPr>
        <w:t>6</w:t>
      </w:r>
      <w:r w:rsidRPr="002A0E01">
        <w:rPr>
          <w:rFonts w:cs="Arial"/>
          <w:b w:val="0"/>
          <w:sz w:val="20"/>
        </w:rPr>
        <w:t>, výpočet ÚZEI</w:t>
      </w:r>
    </w:p>
    <w:p w:rsidR="00185CD8" w:rsidRPr="002A0E01" w:rsidRDefault="00185CD8" w:rsidP="000E5873">
      <w:pPr>
        <w:pStyle w:val="TabNadpis"/>
        <w:jc w:val="center"/>
        <w:rPr>
          <w:rFonts w:cs="Arial"/>
          <w:sz w:val="22"/>
        </w:rPr>
      </w:pPr>
    </w:p>
    <w:p w:rsidR="00185CD8" w:rsidRPr="002A0E01" w:rsidRDefault="00185CD8" w:rsidP="000E5873">
      <w:pPr>
        <w:pStyle w:val="TabNadpis"/>
        <w:jc w:val="center"/>
        <w:rPr>
          <w:rFonts w:cs="Arial"/>
          <w:sz w:val="22"/>
        </w:rPr>
      </w:pPr>
    </w:p>
    <w:p w:rsidR="005D3A5C" w:rsidRPr="002A0E01" w:rsidRDefault="005D3A5C" w:rsidP="005C01BF">
      <w:pPr>
        <w:spacing w:line="276" w:lineRule="auto"/>
        <w:ind w:firstLine="708"/>
        <w:rPr>
          <w:rFonts w:cs="Arial"/>
          <w:sz w:val="22"/>
          <w:szCs w:val="24"/>
        </w:rPr>
      </w:pPr>
      <w:r w:rsidRPr="002A0E01">
        <w:rPr>
          <w:rFonts w:cs="Arial"/>
          <w:sz w:val="22"/>
          <w:szCs w:val="24"/>
        </w:rPr>
        <w:t xml:space="preserve">Údaje o zahraničním obchodu za </w:t>
      </w:r>
      <w:r w:rsidR="00944E2B" w:rsidRPr="002A0E01">
        <w:rPr>
          <w:rFonts w:cs="Arial"/>
          <w:sz w:val="22"/>
          <w:szCs w:val="24"/>
        </w:rPr>
        <w:t>rok</w:t>
      </w:r>
      <w:r w:rsidRPr="002A0E01">
        <w:rPr>
          <w:rFonts w:cs="Arial"/>
          <w:sz w:val="22"/>
          <w:szCs w:val="24"/>
        </w:rPr>
        <w:t xml:space="preserve"> 2015 zveřejnil Český statistický úřad 8. února 2016. Data za rok 2015 jsou předběžná, údaje za předchozí roky jsou již definitivní. </w:t>
      </w:r>
    </w:p>
    <w:p w:rsidR="005D3A5C" w:rsidRPr="005C01BF" w:rsidRDefault="005D3A5C" w:rsidP="005C01BF">
      <w:pPr>
        <w:spacing w:before="0" w:after="240" w:line="276" w:lineRule="auto"/>
        <w:ind w:firstLine="0"/>
        <w:rPr>
          <w:rFonts w:cs="Arial"/>
          <w:sz w:val="22"/>
          <w:szCs w:val="24"/>
        </w:rPr>
      </w:pPr>
      <w:r w:rsidRPr="005C01BF">
        <w:rPr>
          <w:rFonts w:cs="Arial"/>
          <w:sz w:val="22"/>
          <w:szCs w:val="24"/>
        </w:rPr>
        <w:t xml:space="preserve">Materiál zpracoval odbor 19120 na základě aktuálních statistických údajů ČSÚ a podkladů ÚZEI (TÚ č. </w:t>
      </w:r>
      <w:r w:rsidR="00944E2B" w:rsidRPr="005C01BF">
        <w:rPr>
          <w:rFonts w:cs="Arial"/>
          <w:sz w:val="22"/>
          <w:szCs w:val="24"/>
        </w:rPr>
        <w:t>60/</w:t>
      </w:r>
      <w:r w:rsidRPr="005C01BF">
        <w:rPr>
          <w:rFonts w:cs="Arial"/>
          <w:sz w:val="22"/>
          <w:szCs w:val="24"/>
        </w:rPr>
        <w:t>201</w:t>
      </w:r>
      <w:r w:rsidR="00944E2B" w:rsidRPr="005C01BF">
        <w:rPr>
          <w:rFonts w:cs="Arial"/>
          <w:sz w:val="22"/>
          <w:szCs w:val="24"/>
        </w:rPr>
        <w:t>6</w:t>
      </w:r>
      <w:r w:rsidRPr="005C01BF">
        <w:rPr>
          <w:rFonts w:cs="Arial"/>
          <w:sz w:val="22"/>
          <w:szCs w:val="24"/>
        </w:rPr>
        <w:t>).</w:t>
      </w:r>
    </w:p>
    <w:p w:rsidR="005D3A5C" w:rsidRPr="002A0E01" w:rsidRDefault="005D3A5C" w:rsidP="005D3A5C">
      <w:pPr>
        <w:spacing w:before="0" w:line="240" w:lineRule="auto"/>
        <w:ind w:firstLine="0"/>
        <w:rPr>
          <w:rFonts w:cs="Arial"/>
          <w:i/>
          <w:sz w:val="22"/>
          <w:szCs w:val="24"/>
        </w:rPr>
      </w:pPr>
      <w:r w:rsidRPr="004247D4">
        <w:rPr>
          <w:rFonts w:cs="Arial"/>
          <w:sz w:val="22"/>
        </w:rPr>
        <w:t xml:space="preserve">Dne </w:t>
      </w:r>
      <w:r w:rsidR="004247D4">
        <w:rPr>
          <w:rFonts w:cs="Arial"/>
          <w:sz w:val="22"/>
        </w:rPr>
        <w:t>10</w:t>
      </w:r>
      <w:r w:rsidRPr="004247D4">
        <w:rPr>
          <w:rFonts w:cs="Arial"/>
          <w:sz w:val="22"/>
        </w:rPr>
        <w:t>. února 2016</w:t>
      </w:r>
    </w:p>
    <w:p w:rsidR="000E5873" w:rsidRPr="002A0E01" w:rsidRDefault="00B93CE9" w:rsidP="000E5873">
      <w:pPr>
        <w:pStyle w:val="TabNadpis"/>
        <w:jc w:val="center"/>
        <w:rPr>
          <w:rFonts w:cs="Arial"/>
          <w:sz w:val="22"/>
        </w:rPr>
      </w:pPr>
      <w:r w:rsidRPr="002A0E01">
        <w:rPr>
          <w:rFonts w:cs="Arial"/>
          <w:sz w:val="22"/>
        </w:rPr>
        <w:br w:type="column"/>
      </w:r>
      <w:r w:rsidR="000E5873" w:rsidRPr="002A0E01">
        <w:rPr>
          <w:rFonts w:cs="Arial"/>
          <w:sz w:val="22"/>
        </w:rPr>
        <w:lastRenderedPageBreak/>
        <w:t>Tabulka – Vývoj AZO ČR v</w:t>
      </w:r>
      <w:r w:rsidR="007C64F1" w:rsidRPr="002A0E01">
        <w:rPr>
          <w:rFonts w:cs="Arial"/>
          <w:sz w:val="22"/>
        </w:rPr>
        <w:t> le</w:t>
      </w:r>
      <w:r w:rsidR="00DE61A3" w:rsidRPr="002A0E01">
        <w:rPr>
          <w:rFonts w:cs="Arial"/>
          <w:sz w:val="22"/>
        </w:rPr>
        <w:t>tech</w:t>
      </w:r>
      <w:r w:rsidR="007C64F1" w:rsidRPr="002A0E01">
        <w:rPr>
          <w:rFonts w:cs="Arial"/>
          <w:sz w:val="22"/>
        </w:rPr>
        <w:t xml:space="preserve"> </w:t>
      </w:r>
      <w:r w:rsidR="00185CD8" w:rsidRPr="002A0E01">
        <w:rPr>
          <w:rFonts w:cs="Arial"/>
          <w:sz w:val="22"/>
        </w:rPr>
        <w:t xml:space="preserve">2009 </w:t>
      </w:r>
      <w:r w:rsidR="000E5873" w:rsidRPr="002A0E01">
        <w:rPr>
          <w:rFonts w:cs="Arial"/>
          <w:sz w:val="22"/>
        </w:rPr>
        <w:t>až 201</w:t>
      </w:r>
      <w:r w:rsidR="00020B12" w:rsidRPr="002A0E01">
        <w:rPr>
          <w:rFonts w:cs="Arial"/>
          <w:sz w:val="22"/>
        </w:rPr>
        <w:t>5</w:t>
      </w:r>
      <w:r w:rsidR="000E5873" w:rsidRPr="002A0E01">
        <w:rPr>
          <w:rFonts w:cs="Arial"/>
          <w:sz w:val="22"/>
        </w:rPr>
        <w:t xml:space="preserve"> (m</w:t>
      </w:r>
      <w:r w:rsidR="00B556E5" w:rsidRPr="002A0E01">
        <w:rPr>
          <w:rFonts w:cs="Arial"/>
          <w:sz w:val="22"/>
        </w:rPr>
        <w:t>ld</w:t>
      </w:r>
      <w:r w:rsidR="000E5873" w:rsidRPr="002A0E01">
        <w:rPr>
          <w:rFonts w:cs="Arial"/>
          <w:sz w:val="22"/>
        </w:rPr>
        <w:t>. Kč)</w:t>
      </w:r>
    </w:p>
    <w:p w:rsidR="000E5873" w:rsidRPr="002A0E01" w:rsidRDefault="005C01BF" w:rsidP="00185CD8">
      <w:pPr>
        <w:pStyle w:val="TabPoz"/>
        <w:ind w:left="0" w:firstLine="0"/>
        <w:contextualSpacing/>
        <w:jc w:val="left"/>
        <w:rPr>
          <w:rFonts w:cs="Arial"/>
          <w:b w:val="0"/>
          <w:sz w:val="20"/>
        </w:rPr>
      </w:pPr>
      <w:r w:rsidRPr="005C01BF">
        <w:drawing>
          <wp:inline distT="0" distB="0" distL="0" distR="0" wp14:anchorId="170959EE" wp14:editId="5CCBAAFE">
            <wp:extent cx="5759450" cy="2028897"/>
            <wp:effectExtent l="0" t="0" r="0" b="9525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028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E5873" w:rsidRPr="002A0E01">
        <w:rPr>
          <w:rFonts w:cs="Arial"/>
          <w:b w:val="0"/>
          <w:sz w:val="20"/>
        </w:rPr>
        <w:t>Pozn.: Agrární zboží je vymezené kapitolami 01 až 24 celního sazebníku.</w:t>
      </w:r>
    </w:p>
    <w:p w:rsidR="00B556E5" w:rsidRPr="002A0E01" w:rsidRDefault="00B556E5" w:rsidP="00B556E5">
      <w:pPr>
        <w:pStyle w:val="TabPoz"/>
        <w:ind w:left="0" w:firstLine="0"/>
        <w:contextualSpacing/>
        <w:jc w:val="left"/>
        <w:rPr>
          <w:rFonts w:cs="Arial"/>
          <w:b w:val="0"/>
          <w:sz w:val="20"/>
        </w:rPr>
      </w:pPr>
      <w:r w:rsidRPr="002A0E01">
        <w:rPr>
          <w:rFonts w:cs="Arial"/>
          <w:b w:val="0"/>
          <w:sz w:val="20"/>
        </w:rPr>
        <w:t>Výpočty jsou provedeny z nezaokrouhlených dat.</w:t>
      </w:r>
    </w:p>
    <w:p w:rsidR="000E5873" w:rsidRPr="002A0E01" w:rsidRDefault="000E5873" w:rsidP="000E5873">
      <w:pPr>
        <w:pStyle w:val="TabPoz"/>
        <w:contextualSpacing/>
        <w:jc w:val="left"/>
        <w:rPr>
          <w:rFonts w:cs="Arial"/>
          <w:b w:val="0"/>
          <w:sz w:val="20"/>
        </w:rPr>
      </w:pPr>
      <w:r w:rsidRPr="002A0E01">
        <w:rPr>
          <w:rFonts w:cs="Arial"/>
          <w:b w:val="0"/>
          <w:sz w:val="20"/>
        </w:rPr>
        <w:t xml:space="preserve">Zdroj: Databáze zahraničního obchodu ČSÚ, </w:t>
      </w:r>
      <w:r w:rsidR="00B93CE9" w:rsidRPr="002A0E01">
        <w:rPr>
          <w:rFonts w:cs="Arial"/>
          <w:b w:val="0"/>
          <w:sz w:val="20"/>
        </w:rPr>
        <w:t>únor</w:t>
      </w:r>
      <w:r w:rsidRPr="002A0E01">
        <w:rPr>
          <w:rFonts w:cs="Arial"/>
          <w:b w:val="0"/>
          <w:sz w:val="20"/>
        </w:rPr>
        <w:t xml:space="preserve"> 201</w:t>
      </w:r>
      <w:r w:rsidR="00B93CE9" w:rsidRPr="002A0E01">
        <w:rPr>
          <w:rFonts w:cs="Arial"/>
          <w:b w:val="0"/>
          <w:sz w:val="20"/>
        </w:rPr>
        <w:t>6</w:t>
      </w:r>
    </w:p>
    <w:p w:rsidR="000E5873" w:rsidRPr="002A0E01" w:rsidRDefault="000E5873" w:rsidP="000E5873">
      <w:pPr>
        <w:pStyle w:val="TabPoz"/>
        <w:contextualSpacing/>
        <w:jc w:val="left"/>
        <w:rPr>
          <w:rFonts w:cs="Arial"/>
          <w:b w:val="0"/>
          <w:sz w:val="20"/>
        </w:rPr>
      </w:pPr>
    </w:p>
    <w:p w:rsidR="009C6D93" w:rsidRPr="002A0E01" w:rsidRDefault="009C6D93" w:rsidP="000E5873">
      <w:pPr>
        <w:pStyle w:val="TabPoz"/>
        <w:contextualSpacing/>
        <w:jc w:val="left"/>
        <w:rPr>
          <w:rFonts w:cs="Arial"/>
          <w:b w:val="0"/>
          <w:sz w:val="20"/>
        </w:rPr>
      </w:pPr>
    </w:p>
    <w:p w:rsidR="009C6D93" w:rsidRPr="002A0E01" w:rsidRDefault="009C6D93" w:rsidP="000E5873">
      <w:pPr>
        <w:pStyle w:val="TabPoz"/>
        <w:contextualSpacing/>
        <w:jc w:val="left"/>
        <w:rPr>
          <w:rFonts w:cs="Arial"/>
          <w:b w:val="0"/>
          <w:sz w:val="20"/>
        </w:rPr>
      </w:pPr>
    </w:p>
    <w:p w:rsidR="00B93CE9" w:rsidRPr="002A0E01" w:rsidRDefault="00B93CE9" w:rsidP="000E5873">
      <w:pPr>
        <w:pStyle w:val="TabPoz"/>
        <w:contextualSpacing/>
        <w:jc w:val="left"/>
        <w:rPr>
          <w:rFonts w:cs="Arial"/>
          <w:b w:val="0"/>
          <w:sz w:val="20"/>
        </w:rPr>
      </w:pPr>
    </w:p>
    <w:p w:rsidR="00B93CE9" w:rsidRPr="002A0E01" w:rsidRDefault="00B93CE9" w:rsidP="000E5873">
      <w:pPr>
        <w:pStyle w:val="TabPoz"/>
        <w:contextualSpacing/>
        <w:jc w:val="left"/>
        <w:rPr>
          <w:rFonts w:cs="Arial"/>
          <w:b w:val="0"/>
          <w:sz w:val="20"/>
        </w:rPr>
      </w:pPr>
    </w:p>
    <w:p w:rsidR="00B93CE9" w:rsidRPr="002A0E01" w:rsidRDefault="00B93CE9" w:rsidP="000E5873">
      <w:pPr>
        <w:pStyle w:val="TabPoz"/>
        <w:contextualSpacing/>
        <w:jc w:val="left"/>
        <w:rPr>
          <w:rFonts w:cs="Arial"/>
          <w:b w:val="0"/>
          <w:sz w:val="20"/>
        </w:rPr>
      </w:pPr>
    </w:p>
    <w:p w:rsidR="009C6D93" w:rsidRPr="002A0E01" w:rsidRDefault="009C6D93" w:rsidP="000E5873">
      <w:pPr>
        <w:pStyle w:val="TabPoz"/>
        <w:contextualSpacing/>
        <w:jc w:val="left"/>
        <w:rPr>
          <w:rFonts w:cs="Arial"/>
          <w:b w:val="0"/>
          <w:sz w:val="20"/>
        </w:rPr>
      </w:pPr>
    </w:p>
    <w:p w:rsidR="009C6D93" w:rsidRPr="002A0E01" w:rsidRDefault="009C6D93" w:rsidP="000E5873">
      <w:pPr>
        <w:pStyle w:val="TabPoz"/>
        <w:contextualSpacing/>
        <w:jc w:val="left"/>
        <w:rPr>
          <w:rFonts w:cs="Arial"/>
          <w:b w:val="0"/>
          <w:sz w:val="20"/>
        </w:rPr>
      </w:pPr>
    </w:p>
    <w:p w:rsidR="00B93CE9" w:rsidRPr="002A0E01" w:rsidRDefault="00B93CE9" w:rsidP="00B93CE9">
      <w:pPr>
        <w:pStyle w:val="TabNadpis"/>
        <w:jc w:val="center"/>
        <w:rPr>
          <w:rFonts w:cs="Arial"/>
          <w:sz w:val="22"/>
        </w:rPr>
      </w:pPr>
      <w:r w:rsidRPr="002A0E01">
        <w:rPr>
          <w:rFonts w:cs="Arial"/>
          <w:sz w:val="22"/>
        </w:rPr>
        <w:t>Tabulka – Vývoj AZO ČR v letech 2014 a 2015 podle čtvrtletí (m</w:t>
      </w:r>
      <w:r w:rsidR="00B556E5" w:rsidRPr="002A0E01">
        <w:rPr>
          <w:rFonts w:cs="Arial"/>
          <w:sz w:val="22"/>
        </w:rPr>
        <w:t>ld</w:t>
      </w:r>
      <w:r w:rsidRPr="002A0E01">
        <w:rPr>
          <w:rFonts w:cs="Arial"/>
          <w:sz w:val="22"/>
        </w:rPr>
        <w:t>. Kč)</w:t>
      </w:r>
    </w:p>
    <w:p w:rsidR="00B93CE9" w:rsidRPr="002A0E01" w:rsidRDefault="005C01BF" w:rsidP="00B93CE9">
      <w:pPr>
        <w:pStyle w:val="TabPoz"/>
        <w:ind w:left="0" w:firstLine="0"/>
        <w:contextualSpacing/>
        <w:jc w:val="left"/>
        <w:rPr>
          <w:rFonts w:cs="Arial"/>
          <w:b w:val="0"/>
          <w:sz w:val="20"/>
        </w:rPr>
      </w:pPr>
      <w:r w:rsidRPr="005C01BF">
        <w:drawing>
          <wp:inline distT="0" distB="0" distL="0" distR="0" wp14:anchorId="71B9E2FA" wp14:editId="03457E5F">
            <wp:extent cx="5759450" cy="2187843"/>
            <wp:effectExtent l="0" t="0" r="0" b="3175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187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93CE9" w:rsidRPr="002A0E01">
        <w:rPr>
          <w:rFonts w:cs="Arial"/>
          <w:b w:val="0"/>
          <w:sz w:val="20"/>
        </w:rPr>
        <w:t>Pozn.: Agrární zboží je vymezené kapitolami 01 až 24 celního sazebníku.</w:t>
      </w:r>
    </w:p>
    <w:p w:rsidR="00B556E5" w:rsidRPr="002A0E01" w:rsidRDefault="00B556E5" w:rsidP="00B93CE9">
      <w:pPr>
        <w:pStyle w:val="TabPoz"/>
        <w:ind w:left="0" w:firstLine="0"/>
        <w:contextualSpacing/>
        <w:jc w:val="left"/>
        <w:rPr>
          <w:rFonts w:cs="Arial"/>
          <w:b w:val="0"/>
          <w:sz w:val="20"/>
        </w:rPr>
      </w:pPr>
      <w:r w:rsidRPr="002A0E01">
        <w:rPr>
          <w:rFonts w:cs="Arial"/>
          <w:b w:val="0"/>
          <w:sz w:val="20"/>
        </w:rPr>
        <w:t>Výpočty jsou provedeny z nezaokrouhlených dat.</w:t>
      </w:r>
    </w:p>
    <w:p w:rsidR="000E5873" w:rsidRPr="002A0E01" w:rsidRDefault="00B93CE9" w:rsidP="000E5873">
      <w:pPr>
        <w:pStyle w:val="TabPoz"/>
        <w:contextualSpacing/>
        <w:jc w:val="left"/>
        <w:rPr>
          <w:rFonts w:cs="Arial"/>
          <w:b w:val="0"/>
          <w:sz w:val="20"/>
        </w:rPr>
      </w:pPr>
      <w:r w:rsidRPr="002A0E01">
        <w:rPr>
          <w:rFonts w:cs="Arial"/>
          <w:b w:val="0"/>
          <w:sz w:val="20"/>
        </w:rPr>
        <w:t>Zdroj: Databáze zahraničního obchodu ČSÚ, únor 2016</w:t>
      </w:r>
    </w:p>
    <w:p w:rsidR="000E5873" w:rsidRPr="002A0E01" w:rsidRDefault="000E5873" w:rsidP="000E5873">
      <w:pPr>
        <w:pStyle w:val="TabPoz"/>
        <w:contextualSpacing/>
        <w:jc w:val="left"/>
        <w:rPr>
          <w:rFonts w:cs="Arial"/>
          <w:b w:val="0"/>
          <w:sz w:val="20"/>
        </w:rPr>
      </w:pPr>
    </w:p>
    <w:p w:rsidR="000E5873" w:rsidRPr="002A0E01" w:rsidRDefault="000E5873" w:rsidP="000E5873">
      <w:pPr>
        <w:pStyle w:val="TabPoz"/>
        <w:contextualSpacing/>
        <w:jc w:val="left"/>
        <w:rPr>
          <w:rFonts w:cs="Arial"/>
          <w:b w:val="0"/>
          <w:sz w:val="20"/>
        </w:rPr>
      </w:pPr>
    </w:p>
    <w:p w:rsidR="000E5873" w:rsidRPr="002A0E01" w:rsidRDefault="000E5873" w:rsidP="000E5873">
      <w:pPr>
        <w:pStyle w:val="TabPoz"/>
        <w:contextualSpacing/>
        <w:jc w:val="left"/>
        <w:rPr>
          <w:rFonts w:cs="Arial"/>
          <w:b w:val="0"/>
          <w:sz w:val="20"/>
        </w:rPr>
      </w:pPr>
    </w:p>
    <w:p w:rsidR="000E5873" w:rsidRPr="002A0E01" w:rsidRDefault="000E5873" w:rsidP="000E5873">
      <w:pPr>
        <w:pStyle w:val="TabPoz"/>
        <w:contextualSpacing/>
        <w:jc w:val="left"/>
        <w:rPr>
          <w:rFonts w:cs="Arial"/>
          <w:b w:val="0"/>
          <w:sz w:val="20"/>
        </w:rPr>
      </w:pPr>
    </w:p>
    <w:p w:rsidR="000E5873" w:rsidRPr="002A0E01" w:rsidRDefault="000E5873" w:rsidP="000E5873">
      <w:pPr>
        <w:pStyle w:val="TabPoz"/>
        <w:contextualSpacing/>
        <w:jc w:val="left"/>
        <w:rPr>
          <w:rFonts w:cs="Arial"/>
          <w:b w:val="0"/>
          <w:sz w:val="20"/>
        </w:rPr>
      </w:pPr>
    </w:p>
    <w:p w:rsidR="000E5873" w:rsidRPr="002A0E01" w:rsidRDefault="000E5873" w:rsidP="000E5873">
      <w:pPr>
        <w:pStyle w:val="TabPoz"/>
        <w:contextualSpacing/>
        <w:jc w:val="left"/>
        <w:rPr>
          <w:rFonts w:cs="Arial"/>
          <w:b w:val="0"/>
          <w:sz w:val="20"/>
        </w:rPr>
      </w:pPr>
    </w:p>
    <w:p w:rsidR="000E5873" w:rsidRPr="002A0E01" w:rsidRDefault="000E5873" w:rsidP="000E5873">
      <w:pPr>
        <w:pStyle w:val="TabPoz"/>
        <w:contextualSpacing/>
        <w:jc w:val="left"/>
        <w:rPr>
          <w:rFonts w:cs="Arial"/>
          <w:b w:val="0"/>
          <w:sz w:val="20"/>
        </w:rPr>
      </w:pPr>
    </w:p>
    <w:p w:rsidR="000E5873" w:rsidRPr="002A0E01" w:rsidRDefault="000E5873" w:rsidP="000E5873">
      <w:pPr>
        <w:spacing w:before="100" w:beforeAutospacing="1" w:line="0" w:lineRule="atLeast"/>
        <w:ind w:firstLine="0"/>
        <w:jc w:val="center"/>
        <w:rPr>
          <w:rFonts w:cs="Arial"/>
          <w:noProof/>
        </w:rPr>
      </w:pPr>
    </w:p>
    <w:p w:rsidR="000E5873" w:rsidRPr="002A0E01" w:rsidRDefault="000E5873" w:rsidP="000E5873">
      <w:pPr>
        <w:spacing w:before="100" w:beforeAutospacing="1" w:line="0" w:lineRule="atLeast"/>
        <w:ind w:firstLine="0"/>
        <w:jc w:val="center"/>
        <w:rPr>
          <w:rFonts w:cs="Arial"/>
          <w:noProof/>
        </w:rPr>
      </w:pPr>
    </w:p>
    <w:p w:rsidR="004C434A" w:rsidRPr="002A0E01" w:rsidRDefault="004C434A" w:rsidP="00090DFE">
      <w:pPr>
        <w:pStyle w:val="Styl2"/>
        <w:rPr>
          <w:rFonts w:cs="Arial"/>
          <w:sz w:val="22"/>
        </w:rPr>
      </w:pPr>
      <w:bookmarkStart w:id="0" w:name="_Toc417464156"/>
      <w:r w:rsidRPr="002A0E01">
        <w:rPr>
          <w:rFonts w:cs="Arial"/>
          <w:sz w:val="22"/>
        </w:rPr>
        <w:lastRenderedPageBreak/>
        <w:t xml:space="preserve">Graf </w:t>
      </w:r>
      <w:r w:rsidR="00326F98" w:rsidRPr="002A0E01">
        <w:rPr>
          <w:rFonts w:cs="Arial"/>
          <w:sz w:val="22"/>
        </w:rPr>
        <w:t xml:space="preserve">2 </w:t>
      </w:r>
      <w:r w:rsidRPr="002A0E01">
        <w:rPr>
          <w:rFonts w:cs="Arial"/>
          <w:sz w:val="22"/>
        </w:rPr>
        <w:t xml:space="preserve">– Vývoj </w:t>
      </w:r>
      <w:r w:rsidR="00C978C0" w:rsidRPr="002A0E01">
        <w:rPr>
          <w:rFonts w:cs="Arial"/>
          <w:sz w:val="22"/>
        </w:rPr>
        <w:t xml:space="preserve">hodnoty </w:t>
      </w:r>
      <w:r w:rsidRPr="002A0E01">
        <w:rPr>
          <w:rFonts w:cs="Arial"/>
          <w:sz w:val="22"/>
        </w:rPr>
        <w:t xml:space="preserve">vývozu </w:t>
      </w:r>
      <w:r w:rsidR="00991236" w:rsidRPr="002A0E01">
        <w:rPr>
          <w:rFonts w:cs="Arial"/>
          <w:sz w:val="22"/>
        </w:rPr>
        <w:t xml:space="preserve">agrárního zboží </w:t>
      </w:r>
      <w:r w:rsidRPr="002A0E01">
        <w:rPr>
          <w:rFonts w:cs="Arial"/>
          <w:sz w:val="22"/>
        </w:rPr>
        <w:t>z ČR v letech 20</w:t>
      </w:r>
      <w:r w:rsidR="00536165" w:rsidRPr="002A0E01">
        <w:rPr>
          <w:rFonts w:cs="Arial"/>
          <w:sz w:val="22"/>
        </w:rPr>
        <w:t>10</w:t>
      </w:r>
      <w:r w:rsidRPr="002A0E01">
        <w:rPr>
          <w:rFonts w:cs="Arial"/>
          <w:sz w:val="22"/>
        </w:rPr>
        <w:t xml:space="preserve"> až 201</w:t>
      </w:r>
      <w:r w:rsidR="00536165" w:rsidRPr="002A0E01">
        <w:rPr>
          <w:rFonts w:cs="Arial"/>
          <w:sz w:val="22"/>
        </w:rPr>
        <w:t>5</w:t>
      </w:r>
      <w:r w:rsidRPr="002A0E01">
        <w:rPr>
          <w:rFonts w:cs="Arial"/>
          <w:sz w:val="22"/>
        </w:rPr>
        <w:t xml:space="preserve"> podle čtvrtletí (mld.</w:t>
      </w:r>
      <w:r w:rsidR="00991236" w:rsidRPr="002A0E01">
        <w:rPr>
          <w:rFonts w:cs="Arial"/>
          <w:sz w:val="22"/>
        </w:rPr>
        <w:t> </w:t>
      </w:r>
      <w:r w:rsidRPr="002A0E01">
        <w:rPr>
          <w:rFonts w:cs="Arial"/>
          <w:sz w:val="22"/>
        </w:rPr>
        <w:t>Kč)</w:t>
      </w:r>
      <w:bookmarkEnd w:id="0"/>
    </w:p>
    <w:p w:rsidR="005D3DFC" w:rsidRPr="002A0E01" w:rsidRDefault="005D3DFC" w:rsidP="00090DFE">
      <w:pPr>
        <w:pStyle w:val="Styl2"/>
        <w:rPr>
          <w:rFonts w:cs="Arial"/>
          <w:sz w:val="22"/>
        </w:rPr>
      </w:pPr>
    </w:p>
    <w:p w:rsidR="004C2508" w:rsidRPr="002A0E01" w:rsidRDefault="00DD24AD" w:rsidP="00DD24AD">
      <w:pPr>
        <w:pStyle w:val="Styl2"/>
        <w:ind w:left="0" w:firstLine="0"/>
        <w:rPr>
          <w:rFonts w:cs="Arial"/>
          <w:b w:val="0"/>
        </w:rPr>
      </w:pPr>
      <w:bookmarkStart w:id="1" w:name="_Toc417464157"/>
      <w:r w:rsidRPr="002A0E01">
        <w:rPr>
          <w:rFonts w:cs="Arial"/>
          <w:b w:val="0"/>
          <w:i/>
          <w:noProof/>
        </w:rPr>
        <w:drawing>
          <wp:inline distT="0" distB="0" distL="0" distR="0" wp14:anchorId="5ACE35C4" wp14:editId="33F1776C">
            <wp:extent cx="5762625" cy="3446719"/>
            <wp:effectExtent l="0" t="0" r="0" b="1905"/>
            <wp:docPr id="20" name="Obráze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4467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91236" w:rsidRPr="002A0E01">
        <w:rPr>
          <w:rFonts w:cs="Arial"/>
          <w:b w:val="0"/>
          <w:i/>
        </w:rPr>
        <w:t xml:space="preserve">Zdroj: Databáze zahraničního obchodu ČSÚ, </w:t>
      </w:r>
      <w:r w:rsidR="00B93CE9" w:rsidRPr="002A0E01">
        <w:rPr>
          <w:rFonts w:cs="Arial"/>
          <w:b w:val="0"/>
          <w:i/>
        </w:rPr>
        <w:t>únor 2016</w:t>
      </w:r>
    </w:p>
    <w:p w:rsidR="004C2508" w:rsidRPr="002A0E01" w:rsidRDefault="004C2508" w:rsidP="00090DFE">
      <w:pPr>
        <w:pStyle w:val="Styl2"/>
        <w:rPr>
          <w:rFonts w:cs="Arial"/>
          <w:sz w:val="22"/>
        </w:rPr>
      </w:pPr>
    </w:p>
    <w:p w:rsidR="00991236" w:rsidRPr="002A0E01" w:rsidRDefault="004C434A" w:rsidP="00991236">
      <w:pPr>
        <w:pStyle w:val="Styl2"/>
        <w:rPr>
          <w:rFonts w:cs="Arial"/>
          <w:sz w:val="22"/>
        </w:rPr>
      </w:pPr>
      <w:r w:rsidRPr="002A0E01">
        <w:rPr>
          <w:rFonts w:cs="Arial"/>
          <w:sz w:val="22"/>
        </w:rPr>
        <w:t xml:space="preserve">Graf </w:t>
      </w:r>
      <w:r w:rsidR="00326F98" w:rsidRPr="002A0E01">
        <w:rPr>
          <w:rFonts w:cs="Arial"/>
          <w:sz w:val="22"/>
        </w:rPr>
        <w:t xml:space="preserve">3 </w:t>
      </w:r>
      <w:r w:rsidRPr="002A0E01">
        <w:rPr>
          <w:rFonts w:cs="Arial"/>
          <w:sz w:val="22"/>
        </w:rPr>
        <w:t xml:space="preserve">– Vývoj </w:t>
      </w:r>
      <w:r w:rsidR="00C978C0" w:rsidRPr="002A0E01">
        <w:rPr>
          <w:rFonts w:cs="Arial"/>
          <w:sz w:val="22"/>
        </w:rPr>
        <w:t xml:space="preserve">hodnoty </w:t>
      </w:r>
      <w:r w:rsidRPr="002A0E01">
        <w:rPr>
          <w:rFonts w:cs="Arial"/>
          <w:sz w:val="22"/>
        </w:rPr>
        <w:t>dovozu</w:t>
      </w:r>
      <w:r w:rsidR="00991236" w:rsidRPr="002A0E01">
        <w:rPr>
          <w:rFonts w:cs="Arial"/>
          <w:sz w:val="22"/>
        </w:rPr>
        <w:t xml:space="preserve"> agrárního zboží</w:t>
      </w:r>
      <w:r w:rsidRPr="002A0E01">
        <w:rPr>
          <w:rFonts w:cs="Arial"/>
          <w:sz w:val="22"/>
        </w:rPr>
        <w:t xml:space="preserve"> do ČR v letech 20</w:t>
      </w:r>
      <w:r w:rsidR="00536165" w:rsidRPr="002A0E01">
        <w:rPr>
          <w:rFonts w:cs="Arial"/>
          <w:sz w:val="22"/>
        </w:rPr>
        <w:t>10</w:t>
      </w:r>
      <w:r w:rsidRPr="002A0E01">
        <w:rPr>
          <w:rFonts w:cs="Arial"/>
          <w:sz w:val="22"/>
        </w:rPr>
        <w:t xml:space="preserve"> až 201</w:t>
      </w:r>
      <w:r w:rsidR="00536165" w:rsidRPr="002A0E01">
        <w:rPr>
          <w:rFonts w:cs="Arial"/>
          <w:sz w:val="22"/>
        </w:rPr>
        <w:t>5</w:t>
      </w:r>
      <w:r w:rsidRPr="002A0E01">
        <w:rPr>
          <w:rFonts w:cs="Arial"/>
          <w:sz w:val="22"/>
        </w:rPr>
        <w:t xml:space="preserve"> podle čtvrtletí </w:t>
      </w:r>
      <w:bookmarkEnd w:id="1"/>
      <w:r w:rsidR="00991236" w:rsidRPr="002A0E01">
        <w:rPr>
          <w:rFonts w:cs="Arial"/>
          <w:sz w:val="22"/>
        </w:rPr>
        <w:t>(mld. Kč)</w:t>
      </w:r>
    </w:p>
    <w:p w:rsidR="00991236" w:rsidRPr="002A0E01" w:rsidRDefault="00FE0D82" w:rsidP="00DD24AD">
      <w:pPr>
        <w:pStyle w:val="Styl2"/>
        <w:ind w:left="0" w:firstLine="0"/>
        <w:rPr>
          <w:rFonts w:cs="Arial"/>
          <w:b w:val="0"/>
          <w:i/>
          <w:szCs w:val="16"/>
        </w:rPr>
      </w:pPr>
      <w:r w:rsidRPr="002A0E01">
        <w:rPr>
          <w:rFonts w:cs="Arial"/>
          <w:b w:val="0"/>
          <w:i/>
          <w:noProof/>
          <w:szCs w:val="16"/>
        </w:rPr>
        <w:drawing>
          <wp:inline distT="0" distB="0" distL="0" distR="0" wp14:anchorId="517F2E32" wp14:editId="171C0457">
            <wp:extent cx="5762625" cy="3436964"/>
            <wp:effectExtent l="0" t="0" r="0" b="0"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6847" cy="34394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91236" w:rsidRPr="002A0E01">
        <w:rPr>
          <w:rFonts w:cs="Arial"/>
          <w:b w:val="0"/>
          <w:i/>
          <w:szCs w:val="16"/>
        </w:rPr>
        <w:t xml:space="preserve">Zdroj: Databáze zahraničního obchodu ČSÚ, </w:t>
      </w:r>
      <w:r w:rsidR="00B93CE9" w:rsidRPr="002A0E01">
        <w:rPr>
          <w:rFonts w:cs="Arial"/>
          <w:b w:val="0"/>
          <w:i/>
          <w:szCs w:val="16"/>
        </w:rPr>
        <w:t>únor 2016</w:t>
      </w:r>
    </w:p>
    <w:p w:rsidR="00991236" w:rsidRPr="002A0E01" w:rsidRDefault="00991236" w:rsidP="00A32827">
      <w:pPr>
        <w:pStyle w:val="Styl2"/>
        <w:rPr>
          <w:rFonts w:cs="Arial"/>
          <w:b w:val="0"/>
        </w:rPr>
      </w:pPr>
    </w:p>
    <w:p w:rsidR="001B1B58" w:rsidRPr="002A0E01" w:rsidRDefault="006A3C42" w:rsidP="00A32827">
      <w:pPr>
        <w:pStyle w:val="Styl2"/>
        <w:rPr>
          <w:rFonts w:cs="Arial"/>
          <w:sz w:val="22"/>
          <w:szCs w:val="24"/>
        </w:rPr>
      </w:pPr>
      <w:r w:rsidRPr="002A0E01">
        <w:rPr>
          <w:rFonts w:cs="Arial"/>
          <w:sz w:val="24"/>
          <w:szCs w:val="24"/>
        </w:rPr>
        <w:br w:type="column"/>
      </w:r>
      <w:r w:rsidR="001B1B58" w:rsidRPr="002A0E01">
        <w:rPr>
          <w:rFonts w:cs="Arial"/>
          <w:sz w:val="22"/>
          <w:szCs w:val="24"/>
        </w:rPr>
        <w:lastRenderedPageBreak/>
        <w:t>Příloh</w:t>
      </w:r>
      <w:r w:rsidR="00F23A3E" w:rsidRPr="002A0E01">
        <w:rPr>
          <w:rFonts w:cs="Arial"/>
          <w:sz w:val="22"/>
          <w:szCs w:val="24"/>
        </w:rPr>
        <w:t>y</w:t>
      </w:r>
      <w:r w:rsidR="001B1B58" w:rsidRPr="002A0E01">
        <w:rPr>
          <w:rFonts w:cs="Arial"/>
          <w:sz w:val="22"/>
          <w:szCs w:val="24"/>
        </w:rPr>
        <w:t>:</w:t>
      </w:r>
    </w:p>
    <w:p w:rsidR="001B1B58" w:rsidRPr="002A0E01" w:rsidRDefault="001B1B58" w:rsidP="001B1B58">
      <w:pPr>
        <w:pStyle w:val="Styl2"/>
        <w:spacing w:after="0"/>
        <w:ind w:left="993" w:hanging="993"/>
        <w:rPr>
          <w:rFonts w:cs="Arial"/>
          <w:iCs/>
          <w:color w:val="000000"/>
          <w:sz w:val="22"/>
          <w:szCs w:val="24"/>
          <w:u w:val="single"/>
        </w:rPr>
      </w:pPr>
    </w:p>
    <w:p w:rsidR="001B1B58" w:rsidRPr="002A0E01" w:rsidRDefault="001B1B58" w:rsidP="00D96BCB">
      <w:pPr>
        <w:pStyle w:val="Styl2"/>
        <w:numPr>
          <w:ilvl w:val="0"/>
          <w:numId w:val="7"/>
        </w:numPr>
        <w:spacing w:after="0"/>
        <w:rPr>
          <w:rFonts w:cs="Arial"/>
          <w:iCs/>
          <w:color w:val="000000"/>
          <w:sz w:val="22"/>
          <w:szCs w:val="24"/>
          <w:u w:val="single"/>
        </w:rPr>
      </w:pPr>
      <w:r w:rsidRPr="002A0E01">
        <w:rPr>
          <w:rFonts w:cs="Arial"/>
          <w:iCs/>
          <w:color w:val="000000"/>
          <w:sz w:val="22"/>
          <w:szCs w:val="24"/>
          <w:u w:val="single"/>
        </w:rPr>
        <w:t xml:space="preserve">Celkový zahraniční obchod ČR </w:t>
      </w:r>
    </w:p>
    <w:p w:rsidR="001B1B58" w:rsidRPr="002A0E01" w:rsidRDefault="001B1B58" w:rsidP="001327EA">
      <w:pPr>
        <w:pStyle w:val="Styl2"/>
        <w:spacing w:before="60" w:after="60"/>
        <w:ind w:left="993" w:hanging="937"/>
        <w:contextualSpacing w:val="0"/>
        <w:rPr>
          <w:rFonts w:cs="Arial"/>
          <w:sz w:val="22"/>
          <w:szCs w:val="24"/>
        </w:rPr>
      </w:pPr>
      <w:r w:rsidRPr="002A0E01">
        <w:rPr>
          <w:rFonts w:cs="Arial"/>
          <w:sz w:val="22"/>
          <w:szCs w:val="24"/>
        </w:rPr>
        <w:t>Tabulka – Vývoj vývozu 10 nejvíce vyvážených agrárních pol</w:t>
      </w:r>
      <w:r w:rsidR="00DE61A3" w:rsidRPr="002A0E01">
        <w:rPr>
          <w:rFonts w:cs="Arial"/>
          <w:sz w:val="22"/>
          <w:szCs w:val="24"/>
        </w:rPr>
        <w:t>ožek z ČR v letech 2010 až 2015</w:t>
      </w:r>
    </w:p>
    <w:p w:rsidR="001B1B58" w:rsidRPr="002A0E01" w:rsidRDefault="001B1B58" w:rsidP="001327EA">
      <w:pPr>
        <w:pStyle w:val="Styl2"/>
        <w:spacing w:before="60" w:after="60"/>
        <w:ind w:left="993" w:hanging="937"/>
        <w:contextualSpacing w:val="0"/>
        <w:rPr>
          <w:rFonts w:cs="Arial"/>
          <w:sz w:val="22"/>
          <w:szCs w:val="24"/>
        </w:rPr>
      </w:pPr>
      <w:r w:rsidRPr="002A0E01">
        <w:rPr>
          <w:rFonts w:cs="Arial"/>
          <w:sz w:val="22"/>
          <w:szCs w:val="24"/>
        </w:rPr>
        <w:t>Tabulka – Vývoj dovozu 10 nejvíce dovážených agrárních položek do ČR v letech 2010 až 2015</w:t>
      </w:r>
    </w:p>
    <w:p w:rsidR="001B1B58" w:rsidRPr="002A0E01" w:rsidRDefault="001B1B58" w:rsidP="001B1B58">
      <w:pPr>
        <w:pStyle w:val="Styl2"/>
        <w:spacing w:after="0"/>
        <w:ind w:left="993" w:hanging="993"/>
        <w:rPr>
          <w:rFonts w:cs="Arial"/>
          <w:iCs/>
          <w:color w:val="000000"/>
          <w:sz w:val="22"/>
          <w:szCs w:val="24"/>
          <w:u w:val="single"/>
        </w:rPr>
      </w:pPr>
    </w:p>
    <w:p w:rsidR="001B1B58" w:rsidRPr="002A0E01" w:rsidRDefault="001B1B58" w:rsidP="00D96BCB">
      <w:pPr>
        <w:pStyle w:val="Styl2"/>
        <w:numPr>
          <w:ilvl w:val="0"/>
          <w:numId w:val="7"/>
        </w:numPr>
        <w:spacing w:after="0"/>
        <w:rPr>
          <w:rFonts w:cs="Arial"/>
          <w:iCs/>
          <w:color w:val="000000"/>
          <w:sz w:val="22"/>
          <w:szCs w:val="24"/>
          <w:u w:val="single"/>
        </w:rPr>
      </w:pPr>
      <w:r w:rsidRPr="002A0E01">
        <w:rPr>
          <w:rFonts w:cs="Arial"/>
          <w:iCs/>
          <w:color w:val="000000"/>
          <w:sz w:val="22"/>
          <w:szCs w:val="24"/>
          <w:u w:val="single"/>
        </w:rPr>
        <w:t>Zahraniční obchod ČR – EU</w:t>
      </w:r>
    </w:p>
    <w:p w:rsidR="001B1B58" w:rsidRPr="002A0E01" w:rsidRDefault="001B1B58" w:rsidP="001327EA">
      <w:pPr>
        <w:pStyle w:val="Styl2"/>
        <w:spacing w:before="60" w:after="60"/>
        <w:ind w:left="993" w:hanging="937"/>
        <w:contextualSpacing w:val="0"/>
        <w:rPr>
          <w:rFonts w:cs="Arial"/>
          <w:sz w:val="22"/>
          <w:szCs w:val="24"/>
        </w:rPr>
      </w:pPr>
      <w:r w:rsidRPr="002A0E01">
        <w:rPr>
          <w:rFonts w:cs="Arial"/>
          <w:sz w:val="22"/>
          <w:szCs w:val="24"/>
        </w:rPr>
        <w:t>Tabulka – Vývoj vývozu 10 nejvíce vyvážených agrárních položek z</w:t>
      </w:r>
      <w:r w:rsidR="00DE61A3" w:rsidRPr="002A0E01">
        <w:rPr>
          <w:rFonts w:cs="Arial"/>
          <w:sz w:val="22"/>
          <w:szCs w:val="24"/>
        </w:rPr>
        <w:t xml:space="preserve"> ČR do EU v letech 2010 až 2015</w:t>
      </w:r>
    </w:p>
    <w:p w:rsidR="001B1B58" w:rsidRPr="002A0E01" w:rsidRDefault="001B1B58" w:rsidP="001327EA">
      <w:pPr>
        <w:pStyle w:val="Styl2"/>
        <w:spacing w:before="60" w:after="60"/>
        <w:ind w:left="993" w:hanging="937"/>
        <w:contextualSpacing w:val="0"/>
        <w:rPr>
          <w:rFonts w:cs="Arial"/>
          <w:sz w:val="22"/>
          <w:szCs w:val="24"/>
        </w:rPr>
      </w:pPr>
      <w:r w:rsidRPr="002A0E01">
        <w:rPr>
          <w:rFonts w:cs="Arial"/>
          <w:sz w:val="22"/>
          <w:szCs w:val="24"/>
        </w:rPr>
        <w:t>Tabulka – Vývoj dovozu 10 nejvíce dovážených agrárních položek z EU do ČR v letech 201</w:t>
      </w:r>
      <w:r w:rsidR="00DE61A3" w:rsidRPr="002A0E01">
        <w:rPr>
          <w:rFonts w:cs="Arial"/>
          <w:sz w:val="22"/>
          <w:szCs w:val="24"/>
        </w:rPr>
        <w:t>0 až 2015</w:t>
      </w:r>
    </w:p>
    <w:p w:rsidR="001B1B58" w:rsidRPr="002A0E01" w:rsidRDefault="001B1B58" w:rsidP="001B1B58">
      <w:pPr>
        <w:pStyle w:val="Styl2"/>
        <w:spacing w:after="0"/>
        <w:ind w:left="993" w:hanging="993"/>
        <w:rPr>
          <w:rFonts w:cs="Arial"/>
          <w:sz w:val="22"/>
          <w:szCs w:val="24"/>
          <w:u w:val="single"/>
        </w:rPr>
      </w:pPr>
    </w:p>
    <w:p w:rsidR="001B1B58" w:rsidRPr="002A0E01" w:rsidRDefault="001B1B58" w:rsidP="00D96BCB">
      <w:pPr>
        <w:pStyle w:val="Styl2"/>
        <w:numPr>
          <w:ilvl w:val="0"/>
          <w:numId w:val="7"/>
        </w:numPr>
        <w:spacing w:after="0"/>
        <w:rPr>
          <w:rFonts w:cs="Arial"/>
          <w:sz w:val="22"/>
          <w:szCs w:val="24"/>
          <w:u w:val="single"/>
        </w:rPr>
      </w:pPr>
      <w:r w:rsidRPr="002A0E01">
        <w:rPr>
          <w:rFonts w:cs="Arial"/>
          <w:sz w:val="22"/>
          <w:szCs w:val="24"/>
          <w:u w:val="single"/>
        </w:rPr>
        <w:t>Zahraniční obchod ČR – mimounijní země</w:t>
      </w:r>
    </w:p>
    <w:p w:rsidR="001B1B58" w:rsidRPr="002A0E01" w:rsidRDefault="001B1B58" w:rsidP="001327EA">
      <w:pPr>
        <w:pStyle w:val="Styl2"/>
        <w:spacing w:before="60" w:after="0"/>
        <w:ind w:left="993" w:hanging="937"/>
        <w:contextualSpacing w:val="0"/>
        <w:rPr>
          <w:rFonts w:cs="Arial"/>
          <w:sz w:val="22"/>
          <w:szCs w:val="24"/>
        </w:rPr>
      </w:pPr>
      <w:r w:rsidRPr="002A0E01">
        <w:rPr>
          <w:rFonts w:cs="Arial"/>
          <w:sz w:val="22"/>
          <w:szCs w:val="24"/>
        </w:rPr>
        <w:t>Tabulka – Vývoj vývozu 10 nejvíce vyvážených agrárních položek z ČR do mimounij</w:t>
      </w:r>
      <w:r w:rsidR="00DE61A3" w:rsidRPr="002A0E01">
        <w:rPr>
          <w:rFonts w:cs="Arial"/>
          <w:sz w:val="22"/>
          <w:szCs w:val="24"/>
        </w:rPr>
        <w:t>ních zemí v letech 2010 až 2015</w:t>
      </w:r>
    </w:p>
    <w:p w:rsidR="001B1B58" w:rsidRPr="002A0E01" w:rsidRDefault="001B1B58" w:rsidP="001327EA">
      <w:pPr>
        <w:pStyle w:val="Styl2"/>
        <w:spacing w:before="60" w:after="0"/>
        <w:ind w:left="993" w:hanging="937"/>
        <w:contextualSpacing w:val="0"/>
        <w:rPr>
          <w:rFonts w:cs="Arial"/>
          <w:sz w:val="22"/>
          <w:szCs w:val="24"/>
        </w:rPr>
      </w:pPr>
      <w:r w:rsidRPr="002A0E01">
        <w:rPr>
          <w:rFonts w:cs="Arial"/>
          <w:sz w:val="22"/>
          <w:szCs w:val="24"/>
        </w:rPr>
        <w:t>Tabulka – Vývoj dovozu 10 nejvíce dovážených agrárních položek z mimounijních zemí do ČR v le</w:t>
      </w:r>
      <w:r w:rsidR="00DE61A3" w:rsidRPr="002A0E01">
        <w:rPr>
          <w:rFonts w:cs="Arial"/>
          <w:sz w:val="22"/>
          <w:szCs w:val="24"/>
        </w:rPr>
        <w:t>tech 2010 až 2015</w:t>
      </w:r>
    </w:p>
    <w:p w:rsidR="00A9720B" w:rsidRPr="002A0E01" w:rsidRDefault="00A9720B" w:rsidP="001327EA">
      <w:pPr>
        <w:pStyle w:val="Styl2"/>
        <w:spacing w:before="60" w:after="0"/>
        <w:ind w:left="993" w:hanging="937"/>
        <w:contextualSpacing w:val="0"/>
        <w:rPr>
          <w:rFonts w:cs="Arial"/>
          <w:sz w:val="22"/>
          <w:szCs w:val="24"/>
        </w:rPr>
      </w:pPr>
    </w:p>
    <w:p w:rsidR="002E4E29" w:rsidRPr="002A0E01" w:rsidRDefault="00A9720B" w:rsidP="00A9720B">
      <w:pPr>
        <w:spacing w:before="0" w:line="240" w:lineRule="auto"/>
        <w:ind w:firstLine="0"/>
        <w:rPr>
          <w:rFonts w:cs="Arial"/>
          <w:i/>
          <w:sz w:val="22"/>
          <w:szCs w:val="24"/>
        </w:rPr>
      </w:pPr>
      <w:r w:rsidRPr="002A0E01">
        <w:rPr>
          <w:rFonts w:cs="Arial"/>
          <w:i/>
          <w:sz w:val="22"/>
          <w:szCs w:val="24"/>
        </w:rPr>
        <w:t xml:space="preserve">Pozn.: Komodity </w:t>
      </w:r>
      <w:r w:rsidR="00FE0D82" w:rsidRPr="002A0E01">
        <w:rPr>
          <w:rFonts w:cs="Arial"/>
          <w:i/>
          <w:sz w:val="22"/>
          <w:szCs w:val="24"/>
        </w:rPr>
        <w:t>definované</w:t>
      </w:r>
      <w:r w:rsidRPr="002A0E01">
        <w:rPr>
          <w:rFonts w:cs="Arial"/>
          <w:i/>
          <w:sz w:val="22"/>
          <w:szCs w:val="24"/>
        </w:rPr>
        <w:t xml:space="preserve"> čtyřmístn</w:t>
      </w:r>
      <w:r w:rsidR="00FE0D82" w:rsidRPr="002A0E01">
        <w:rPr>
          <w:rFonts w:cs="Arial"/>
          <w:i/>
          <w:sz w:val="22"/>
          <w:szCs w:val="24"/>
        </w:rPr>
        <w:t>ými</w:t>
      </w:r>
      <w:r w:rsidRPr="002A0E01">
        <w:rPr>
          <w:rFonts w:cs="Arial"/>
          <w:i/>
          <w:sz w:val="22"/>
          <w:szCs w:val="24"/>
        </w:rPr>
        <w:t xml:space="preserve"> kód</w:t>
      </w:r>
      <w:r w:rsidR="00FE0D82" w:rsidRPr="002A0E01">
        <w:rPr>
          <w:rFonts w:cs="Arial"/>
          <w:i/>
          <w:sz w:val="22"/>
          <w:szCs w:val="24"/>
        </w:rPr>
        <w:t>y</w:t>
      </w:r>
      <w:r w:rsidRPr="002A0E01">
        <w:rPr>
          <w:rFonts w:cs="Arial"/>
          <w:i/>
          <w:sz w:val="22"/>
          <w:szCs w:val="24"/>
        </w:rPr>
        <w:t xml:space="preserve"> celního sazebníku jsou v tabulkách 1 až 3 řazeny podle hodnoty vývozu v mil. Kč v roce 2015</w:t>
      </w:r>
      <w:r w:rsidR="00971966" w:rsidRPr="002A0E01">
        <w:rPr>
          <w:rFonts w:cs="Arial"/>
          <w:i/>
          <w:sz w:val="22"/>
          <w:szCs w:val="24"/>
        </w:rPr>
        <w:t xml:space="preserve"> a z</w:t>
      </w:r>
      <w:r w:rsidRPr="002A0E01">
        <w:rPr>
          <w:rFonts w:cs="Arial"/>
          <w:i/>
          <w:sz w:val="22"/>
          <w:szCs w:val="24"/>
        </w:rPr>
        <w:t>pracovány jsou na základě osmimístné celní nomenklatury, tj. jedná se o data bez dopočtů.</w:t>
      </w:r>
    </w:p>
    <w:p w:rsidR="00A9720B" w:rsidRPr="002A0E01" w:rsidRDefault="00A9720B" w:rsidP="00A9720B">
      <w:pPr>
        <w:spacing w:before="0" w:line="240" w:lineRule="auto"/>
        <w:ind w:firstLine="0"/>
        <w:rPr>
          <w:rFonts w:cs="Arial"/>
          <w:i/>
          <w:sz w:val="22"/>
          <w:szCs w:val="24"/>
        </w:rPr>
      </w:pPr>
    </w:p>
    <w:p w:rsidR="001B1B58" w:rsidRPr="002A0E01" w:rsidRDefault="002E4E29" w:rsidP="00D96BCB">
      <w:pPr>
        <w:pStyle w:val="Styl2"/>
        <w:numPr>
          <w:ilvl w:val="0"/>
          <w:numId w:val="7"/>
        </w:numPr>
        <w:spacing w:before="60" w:after="60"/>
        <w:contextualSpacing w:val="0"/>
        <w:rPr>
          <w:rFonts w:cs="Arial"/>
          <w:sz w:val="22"/>
          <w:szCs w:val="24"/>
          <w:u w:val="single"/>
        </w:rPr>
      </w:pPr>
      <w:r w:rsidRPr="002A0E01">
        <w:rPr>
          <w:rFonts w:cs="Arial"/>
          <w:sz w:val="22"/>
          <w:szCs w:val="24"/>
          <w:u w:val="single"/>
        </w:rPr>
        <w:t xml:space="preserve">Pořadí zemí dle hodnoty agrárního </w:t>
      </w:r>
      <w:r w:rsidR="009815F5" w:rsidRPr="002A0E01">
        <w:rPr>
          <w:rFonts w:cs="Arial"/>
          <w:sz w:val="22"/>
          <w:szCs w:val="24"/>
          <w:u w:val="single"/>
        </w:rPr>
        <w:t>vý</w:t>
      </w:r>
      <w:r w:rsidRPr="002A0E01">
        <w:rPr>
          <w:rFonts w:cs="Arial"/>
          <w:sz w:val="22"/>
          <w:szCs w:val="24"/>
          <w:u w:val="single"/>
        </w:rPr>
        <w:t xml:space="preserve">vozu </w:t>
      </w:r>
      <w:r w:rsidR="00F23A3E" w:rsidRPr="002A0E01">
        <w:rPr>
          <w:rFonts w:cs="Arial"/>
          <w:sz w:val="22"/>
          <w:szCs w:val="24"/>
          <w:u w:val="single"/>
        </w:rPr>
        <w:t>z</w:t>
      </w:r>
      <w:r w:rsidRPr="002A0E01">
        <w:rPr>
          <w:rFonts w:cs="Arial"/>
          <w:sz w:val="22"/>
          <w:szCs w:val="24"/>
          <w:u w:val="single"/>
        </w:rPr>
        <w:t xml:space="preserve"> ČR</w:t>
      </w:r>
    </w:p>
    <w:p w:rsidR="002E4E29" w:rsidRPr="002A0E01" w:rsidRDefault="002E4E29" w:rsidP="00D96BCB">
      <w:pPr>
        <w:pStyle w:val="Styl2"/>
        <w:numPr>
          <w:ilvl w:val="0"/>
          <w:numId w:val="7"/>
        </w:numPr>
        <w:spacing w:before="60" w:after="60"/>
        <w:contextualSpacing w:val="0"/>
        <w:rPr>
          <w:rFonts w:cs="Arial"/>
          <w:sz w:val="22"/>
          <w:szCs w:val="24"/>
          <w:u w:val="single"/>
        </w:rPr>
      </w:pPr>
      <w:r w:rsidRPr="002A0E01">
        <w:rPr>
          <w:rFonts w:cs="Arial"/>
          <w:sz w:val="22"/>
          <w:szCs w:val="24"/>
          <w:u w:val="single"/>
        </w:rPr>
        <w:t>Pořadí zemí dle hodnoty agrárního dovozu do ČR</w:t>
      </w:r>
    </w:p>
    <w:p w:rsidR="00A21355" w:rsidRPr="002A0E01" w:rsidRDefault="00A21355">
      <w:pPr>
        <w:spacing w:before="0" w:line="240" w:lineRule="auto"/>
        <w:ind w:firstLine="0"/>
        <w:jc w:val="left"/>
        <w:rPr>
          <w:rFonts w:cs="Arial"/>
          <w:b/>
          <w:sz w:val="18"/>
        </w:rPr>
      </w:pPr>
    </w:p>
    <w:p w:rsidR="00A21355" w:rsidRPr="002A0E01" w:rsidRDefault="00F25BB3" w:rsidP="00A21355">
      <w:pPr>
        <w:spacing w:before="0" w:line="240" w:lineRule="auto"/>
        <w:ind w:firstLine="0"/>
        <w:rPr>
          <w:rFonts w:cs="Arial"/>
          <w:i/>
          <w:sz w:val="22"/>
          <w:szCs w:val="24"/>
        </w:rPr>
      </w:pPr>
      <w:r w:rsidRPr="002A0E01">
        <w:rPr>
          <w:rFonts w:cs="Arial"/>
          <w:i/>
          <w:sz w:val="22"/>
          <w:szCs w:val="24"/>
        </w:rPr>
        <w:t>Pozn. Vzhledem k</w:t>
      </w:r>
      <w:r w:rsidR="00A9720B" w:rsidRPr="002A0E01">
        <w:rPr>
          <w:rFonts w:cs="Arial"/>
          <w:i/>
          <w:sz w:val="22"/>
          <w:szCs w:val="24"/>
        </w:rPr>
        <w:t>e</w:t>
      </w:r>
      <w:r w:rsidRPr="002A0E01">
        <w:rPr>
          <w:rFonts w:cs="Arial"/>
          <w:i/>
          <w:sz w:val="22"/>
          <w:szCs w:val="24"/>
        </w:rPr>
        <w:t xml:space="preserve"> zpracování dat </w:t>
      </w:r>
      <w:r w:rsidR="00DE61A3" w:rsidRPr="002A0E01">
        <w:rPr>
          <w:rFonts w:cs="Arial"/>
          <w:i/>
          <w:sz w:val="22"/>
          <w:szCs w:val="24"/>
        </w:rPr>
        <w:t xml:space="preserve">na základě </w:t>
      </w:r>
      <w:r w:rsidRPr="002A0E01">
        <w:rPr>
          <w:rFonts w:cs="Arial"/>
          <w:i/>
          <w:sz w:val="22"/>
          <w:szCs w:val="24"/>
        </w:rPr>
        <w:t xml:space="preserve">osmimístné celní nomenklatury jsou </w:t>
      </w:r>
      <w:r w:rsidR="00A9720B" w:rsidRPr="002A0E01">
        <w:rPr>
          <w:rFonts w:cs="Arial"/>
          <w:i/>
          <w:sz w:val="22"/>
          <w:szCs w:val="24"/>
        </w:rPr>
        <w:t>údaje v</w:t>
      </w:r>
      <w:r w:rsidR="00FE0D82" w:rsidRPr="002A0E01">
        <w:rPr>
          <w:rFonts w:cs="Arial"/>
          <w:i/>
          <w:sz w:val="22"/>
          <w:szCs w:val="24"/>
        </w:rPr>
        <w:t> </w:t>
      </w:r>
      <w:r w:rsidRPr="002A0E01">
        <w:rPr>
          <w:rFonts w:cs="Arial"/>
          <w:i/>
          <w:sz w:val="22"/>
          <w:szCs w:val="24"/>
        </w:rPr>
        <w:t xml:space="preserve">tabulkách </w:t>
      </w:r>
      <w:r w:rsidR="00A9720B" w:rsidRPr="002A0E01">
        <w:rPr>
          <w:rFonts w:cs="Arial"/>
          <w:i/>
          <w:sz w:val="22"/>
          <w:szCs w:val="24"/>
        </w:rPr>
        <w:t xml:space="preserve">4 a 5 </w:t>
      </w:r>
      <w:r w:rsidR="00FE0D82" w:rsidRPr="002A0E01">
        <w:rPr>
          <w:rFonts w:cs="Arial"/>
          <w:i/>
          <w:sz w:val="22"/>
          <w:szCs w:val="24"/>
        </w:rPr>
        <w:t xml:space="preserve">rovněž </w:t>
      </w:r>
      <w:r w:rsidRPr="002A0E01">
        <w:rPr>
          <w:rFonts w:cs="Arial"/>
          <w:i/>
          <w:sz w:val="22"/>
          <w:szCs w:val="24"/>
        </w:rPr>
        <w:t>uvedeny bez dopočtů.</w:t>
      </w:r>
    </w:p>
    <w:p w:rsidR="00B060EE" w:rsidRPr="002A0E01" w:rsidRDefault="00B060EE" w:rsidP="00B060EE">
      <w:pPr>
        <w:spacing w:line="276" w:lineRule="auto"/>
        <w:ind w:firstLine="0"/>
        <w:rPr>
          <w:rFonts w:cs="Arial"/>
          <w:sz w:val="24"/>
          <w:szCs w:val="24"/>
        </w:rPr>
      </w:pPr>
    </w:p>
    <w:p w:rsidR="00B060EE" w:rsidRPr="002A0E01" w:rsidRDefault="00B060EE" w:rsidP="00B060EE">
      <w:pPr>
        <w:spacing w:line="276" w:lineRule="auto"/>
        <w:ind w:firstLine="0"/>
        <w:rPr>
          <w:rFonts w:cs="Arial"/>
          <w:sz w:val="24"/>
          <w:szCs w:val="24"/>
        </w:rPr>
      </w:pPr>
    </w:p>
    <w:p w:rsidR="00B060EE" w:rsidRPr="002A0E01" w:rsidRDefault="00B060EE" w:rsidP="00B060EE">
      <w:pPr>
        <w:spacing w:line="276" w:lineRule="auto"/>
        <w:ind w:firstLine="0"/>
        <w:rPr>
          <w:rFonts w:cs="Arial"/>
          <w:sz w:val="24"/>
          <w:szCs w:val="24"/>
        </w:rPr>
      </w:pPr>
    </w:p>
    <w:p w:rsidR="00B060EE" w:rsidRPr="002A0E01" w:rsidRDefault="00B060EE" w:rsidP="00B060EE">
      <w:pPr>
        <w:spacing w:line="276" w:lineRule="auto"/>
        <w:ind w:firstLine="0"/>
        <w:rPr>
          <w:rFonts w:cs="Arial"/>
          <w:sz w:val="24"/>
          <w:szCs w:val="24"/>
        </w:rPr>
      </w:pPr>
    </w:p>
    <w:p w:rsidR="00B060EE" w:rsidRPr="002A0E01" w:rsidRDefault="00B060EE" w:rsidP="00B060EE">
      <w:pPr>
        <w:spacing w:line="276" w:lineRule="auto"/>
        <w:ind w:firstLine="0"/>
        <w:rPr>
          <w:rFonts w:cs="Arial"/>
          <w:sz w:val="24"/>
          <w:szCs w:val="24"/>
        </w:rPr>
      </w:pPr>
    </w:p>
    <w:p w:rsidR="00B060EE" w:rsidRPr="002A0E01" w:rsidRDefault="00B060EE" w:rsidP="00B060EE">
      <w:pPr>
        <w:spacing w:line="276" w:lineRule="auto"/>
        <w:ind w:firstLine="0"/>
        <w:rPr>
          <w:rFonts w:cs="Arial"/>
          <w:sz w:val="24"/>
          <w:szCs w:val="24"/>
        </w:rPr>
      </w:pPr>
    </w:p>
    <w:p w:rsidR="001B1B58" w:rsidRPr="002A0E01" w:rsidRDefault="001B1B58" w:rsidP="00A32827">
      <w:pPr>
        <w:pStyle w:val="Styl2"/>
        <w:rPr>
          <w:rFonts w:cs="Arial"/>
          <w:b w:val="0"/>
          <w:i/>
          <w:sz w:val="24"/>
          <w:szCs w:val="24"/>
        </w:rPr>
        <w:sectPr w:rsidR="001B1B58" w:rsidRPr="002A0E01" w:rsidSect="000E5873">
          <w:footerReference w:type="default" r:id="rId14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881C67" w:rsidRPr="002A0E01" w:rsidRDefault="00881C67" w:rsidP="00D96BCB">
      <w:pPr>
        <w:pStyle w:val="Styl2"/>
        <w:numPr>
          <w:ilvl w:val="0"/>
          <w:numId w:val="8"/>
        </w:numPr>
        <w:spacing w:after="0"/>
        <w:rPr>
          <w:rFonts w:cs="Arial"/>
          <w:iCs/>
          <w:color w:val="000000"/>
          <w:sz w:val="24"/>
          <w:u w:val="single"/>
        </w:rPr>
      </w:pPr>
      <w:r w:rsidRPr="002A0E01">
        <w:rPr>
          <w:rFonts w:cs="Arial"/>
          <w:iCs/>
          <w:color w:val="000000"/>
          <w:sz w:val="24"/>
          <w:u w:val="single"/>
        </w:rPr>
        <w:lastRenderedPageBreak/>
        <w:t xml:space="preserve">Celkový zahraniční obchod ČR </w:t>
      </w:r>
    </w:p>
    <w:p w:rsidR="00380434" w:rsidRPr="002A0E01" w:rsidRDefault="00881C67" w:rsidP="0019082B">
      <w:pPr>
        <w:pStyle w:val="Styl2"/>
        <w:spacing w:before="60" w:after="60"/>
        <w:contextualSpacing w:val="0"/>
        <w:rPr>
          <w:rFonts w:cs="Arial"/>
          <w:sz w:val="24"/>
          <w:szCs w:val="24"/>
        </w:rPr>
      </w:pPr>
      <w:r w:rsidRPr="002A0E01">
        <w:rPr>
          <w:rFonts w:cs="Arial"/>
          <w:sz w:val="24"/>
          <w:szCs w:val="24"/>
        </w:rPr>
        <w:t xml:space="preserve">Tabulka – Vývoj vývozu 10 nejvíce vyvážených agrárních položek z ČR v letech </w:t>
      </w:r>
      <w:r w:rsidR="00DE61A3" w:rsidRPr="002A0E01">
        <w:rPr>
          <w:rFonts w:cs="Arial"/>
          <w:sz w:val="24"/>
          <w:szCs w:val="24"/>
        </w:rPr>
        <w:t>2010 až 2015</w:t>
      </w:r>
    </w:p>
    <w:p w:rsidR="00881C67" w:rsidRPr="002A0E01" w:rsidRDefault="00EF320F" w:rsidP="00881C67">
      <w:pPr>
        <w:spacing w:line="240" w:lineRule="auto"/>
        <w:ind w:firstLine="0"/>
        <w:rPr>
          <w:rFonts w:cs="Arial"/>
          <w:i/>
          <w:szCs w:val="16"/>
        </w:rPr>
      </w:pPr>
      <w:r w:rsidRPr="00EF320F">
        <w:drawing>
          <wp:inline distT="0" distB="0" distL="0" distR="0">
            <wp:extent cx="8910084" cy="5143978"/>
            <wp:effectExtent l="0" t="0" r="5715" b="0"/>
            <wp:docPr id="30" name="Obrázek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1689" cy="5144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320F">
        <w:t xml:space="preserve"> </w:t>
      </w:r>
      <w:r w:rsidR="00881C67" w:rsidRPr="002A0E01">
        <w:rPr>
          <w:rFonts w:cs="Arial"/>
          <w:i/>
          <w:szCs w:val="16"/>
        </w:rPr>
        <w:t xml:space="preserve">Zdroj: Databáze zahraničního obchodu ČSÚ, </w:t>
      </w:r>
      <w:r w:rsidR="00DE61A3" w:rsidRPr="002A0E01">
        <w:rPr>
          <w:rFonts w:cs="Arial"/>
          <w:i/>
          <w:szCs w:val="16"/>
        </w:rPr>
        <w:t>únor</w:t>
      </w:r>
      <w:r w:rsidR="00881C67" w:rsidRPr="002A0E01">
        <w:rPr>
          <w:rFonts w:cs="Arial"/>
          <w:i/>
          <w:szCs w:val="16"/>
        </w:rPr>
        <w:t xml:space="preserve"> 201</w:t>
      </w:r>
      <w:r w:rsidR="00DE61A3" w:rsidRPr="002A0E01">
        <w:rPr>
          <w:rFonts w:cs="Arial"/>
          <w:i/>
          <w:szCs w:val="16"/>
        </w:rPr>
        <w:t>6</w:t>
      </w:r>
    </w:p>
    <w:p w:rsidR="00881C67" w:rsidRPr="002A0E01" w:rsidRDefault="00881C67" w:rsidP="0019082B">
      <w:pPr>
        <w:pStyle w:val="Styl2"/>
        <w:spacing w:before="60" w:after="60"/>
        <w:contextualSpacing w:val="0"/>
        <w:rPr>
          <w:rFonts w:cs="Arial"/>
          <w:sz w:val="24"/>
          <w:szCs w:val="24"/>
        </w:rPr>
      </w:pPr>
      <w:r w:rsidRPr="002A0E01">
        <w:rPr>
          <w:rFonts w:cs="Arial"/>
          <w:i/>
          <w:sz w:val="16"/>
          <w:szCs w:val="16"/>
        </w:rPr>
        <w:br w:type="page"/>
      </w:r>
      <w:r w:rsidRPr="002A0E01">
        <w:rPr>
          <w:rFonts w:cs="Arial"/>
          <w:sz w:val="24"/>
          <w:szCs w:val="24"/>
        </w:rPr>
        <w:lastRenderedPageBreak/>
        <w:t xml:space="preserve">Tabulka – Vývoj dovozu 10 nejvíce dovážených agrárních položek </w:t>
      </w:r>
      <w:r w:rsidR="00BE41EB" w:rsidRPr="002A0E01">
        <w:rPr>
          <w:rFonts w:cs="Arial"/>
          <w:sz w:val="24"/>
          <w:szCs w:val="24"/>
        </w:rPr>
        <w:t>do</w:t>
      </w:r>
      <w:r w:rsidRPr="002A0E01">
        <w:rPr>
          <w:rFonts w:cs="Arial"/>
          <w:sz w:val="24"/>
          <w:szCs w:val="24"/>
        </w:rPr>
        <w:t xml:space="preserve"> ČR v letech 20</w:t>
      </w:r>
      <w:r w:rsidR="00C02743" w:rsidRPr="002A0E01">
        <w:rPr>
          <w:rFonts w:cs="Arial"/>
          <w:sz w:val="24"/>
          <w:szCs w:val="24"/>
        </w:rPr>
        <w:t>10</w:t>
      </w:r>
      <w:r w:rsidRPr="002A0E01">
        <w:rPr>
          <w:rFonts w:cs="Arial"/>
          <w:sz w:val="24"/>
          <w:szCs w:val="24"/>
        </w:rPr>
        <w:t xml:space="preserve"> až 201</w:t>
      </w:r>
      <w:r w:rsidR="00C02743" w:rsidRPr="002A0E01">
        <w:rPr>
          <w:rFonts w:cs="Arial"/>
          <w:sz w:val="24"/>
          <w:szCs w:val="24"/>
        </w:rPr>
        <w:t>5</w:t>
      </w:r>
      <w:r w:rsidRPr="002A0E01">
        <w:rPr>
          <w:rFonts w:cs="Arial"/>
          <w:sz w:val="24"/>
          <w:szCs w:val="24"/>
        </w:rPr>
        <w:t xml:space="preserve"> </w:t>
      </w:r>
    </w:p>
    <w:p w:rsidR="00881C67" w:rsidRPr="002A0E01" w:rsidRDefault="004C6EEF" w:rsidP="0019082B">
      <w:pPr>
        <w:ind w:firstLine="0"/>
        <w:contextualSpacing/>
        <w:rPr>
          <w:rFonts w:cs="Arial"/>
          <w:i/>
        </w:rPr>
      </w:pPr>
      <w:r w:rsidRPr="004C6EEF">
        <w:drawing>
          <wp:inline distT="0" distB="0" distL="0" distR="0">
            <wp:extent cx="8878186" cy="5125562"/>
            <wp:effectExtent l="0" t="0" r="0" b="0"/>
            <wp:docPr id="31" name="Obrázek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4410" cy="5134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6EEF">
        <w:t xml:space="preserve"> </w:t>
      </w:r>
      <w:bookmarkStart w:id="2" w:name="_GoBack"/>
      <w:bookmarkEnd w:id="2"/>
      <w:r w:rsidR="00881C67" w:rsidRPr="002A0E01">
        <w:rPr>
          <w:rFonts w:cs="Arial"/>
          <w:i/>
        </w:rPr>
        <w:t xml:space="preserve">Zdroj: Databáze zahraničního obchodu ČSÚ, </w:t>
      </w:r>
      <w:r w:rsidR="0098367A" w:rsidRPr="002A0E01">
        <w:rPr>
          <w:rFonts w:cs="Arial"/>
          <w:i/>
        </w:rPr>
        <w:t>únor 2016</w:t>
      </w:r>
    </w:p>
    <w:p w:rsidR="00881C67" w:rsidRPr="002A0E01" w:rsidRDefault="00881C67" w:rsidP="00881C67">
      <w:pPr>
        <w:pStyle w:val="Styl2"/>
        <w:spacing w:after="0"/>
        <w:ind w:left="993" w:hanging="993"/>
        <w:rPr>
          <w:rFonts w:cs="Arial"/>
          <w:iCs/>
          <w:color w:val="000000"/>
          <w:sz w:val="24"/>
          <w:u w:val="single"/>
        </w:rPr>
      </w:pPr>
      <w:r w:rsidRPr="002A0E01">
        <w:rPr>
          <w:rFonts w:cs="Arial"/>
          <w:b w:val="0"/>
          <w:i/>
          <w:iCs/>
          <w:color w:val="000000"/>
        </w:rPr>
        <w:br w:type="page"/>
      </w:r>
      <w:r w:rsidR="00D96BCB" w:rsidRPr="002A0E01">
        <w:rPr>
          <w:rFonts w:cs="Arial"/>
          <w:iCs/>
          <w:color w:val="000000"/>
          <w:sz w:val="24"/>
          <w:u w:val="single"/>
        </w:rPr>
        <w:lastRenderedPageBreak/>
        <w:t>2)</w:t>
      </w:r>
      <w:r w:rsidR="00D96BCB" w:rsidRPr="002A0E01">
        <w:rPr>
          <w:rFonts w:cs="Arial"/>
          <w:b w:val="0"/>
          <w:i/>
          <w:iCs/>
          <w:color w:val="000000"/>
          <w:u w:val="single"/>
        </w:rPr>
        <w:t xml:space="preserve"> </w:t>
      </w:r>
      <w:r w:rsidRPr="002A0E01">
        <w:rPr>
          <w:rFonts w:cs="Arial"/>
          <w:iCs/>
          <w:color w:val="000000"/>
          <w:sz w:val="24"/>
          <w:u w:val="single"/>
        </w:rPr>
        <w:t>Zahraniční obchod ČR – EU</w:t>
      </w:r>
    </w:p>
    <w:p w:rsidR="002C5411" w:rsidRPr="002A0E01" w:rsidRDefault="002C5411" w:rsidP="002C5411">
      <w:pPr>
        <w:pStyle w:val="Styl2"/>
        <w:spacing w:before="60" w:after="60"/>
        <w:contextualSpacing w:val="0"/>
        <w:rPr>
          <w:rFonts w:cs="Arial"/>
          <w:sz w:val="24"/>
          <w:szCs w:val="24"/>
        </w:rPr>
      </w:pPr>
      <w:r w:rsidRPr="002A0E01">
        <w:rPr>
          <w:rFonts w:cs="Arial"/>
          <w:sz w:val="24"/>
          <w:szCs w:val="24"/>
        </w:rPr>
        <w:t xml:space="preserve">Tabulka – Vývoj vývozu 10 nejvíce vyvážených agrárních položek z ČR </w:t>
      </w:r>
      <w:r w:rsidR="00BE41EB" w:rsidRPr="002A0E01">
        <w:rPr>
          <w:rFonts w:cs="Arial"/>
          <w:sz w:val="24"/>
          <w:szCs w:val="24"/>
        </w:rPr>
        <w:t xml:space="preserve">do EU </w:t>
      </w:r>
      <w:r w:rsidRPr="002A0E01">
        <w:rPr>
          <w:rFonts w:cs="Arial"/>
          <w:sz w:val="24"/>
          <w:szCs w:val="24"/>
        </w:rPr>
        <w:t xml:space="preserve">v letech </w:t>
      </w:r>
      <w:r w:rsidR="00613D98" w:rsidRPr="002A0E01">
        <w:rPr>
          <w:rFonts w:cs="Arial"/>
          <w:sz w:val="24"/>
          <w:szCs w:val="24"/>
        </w:rPr>
        <w:t>2010 až 2015</w:t>
      </w:r>
    </w:p>
    <w:p w:rsidR="0019082B" w:rsidRPr="002A0E01" w:rsidRDefault="003A7F99" w:rsidP="002C5411">
      <w:pPr>
        <w:ind w:firstLine="0"/>
        <w:contextualSpacing/>
        <w:rPr>
          <w:rFonts w:cs="Arial"/>
          <w:i/>
          <w:szCs w:val="16"/>
        </w:rPr>
      </w:pPr>
      <w:r w:rsidRPr="003A7F99">
        <w:drawing>
          <wp:inline distT="0" distB="0" distL="0" distR="0" wp14:anchorId="4B574BF6" wp14:editId="6F09F2FB">
            <wp:extent cx="8891270" cy="5135251"/>
            <wp:effectExtent l="0" t="0" r="5080" b="8255"/>
            <wp:docPr id="17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5135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9082B" w:rsidRPr="002A0E01">
        <w:rPr>
          <w:rFonts w:cs="Arial"/>
          <w:i/>
          <w:szCs w:val="16"/>
        </w:rPr>
        <w:t xml:space="preserve">Zdroj: Databáze zahraničního obchodu ČSÚ, </w:t>
      </w:r>
      <w:r w:rsidR="00613D98" w:rsidRPr="002A0E01">
        <w:rPr>
          <w:rFonts w:cs="Arial"/>
          <w:i/>
          <w:szCs w:val="16"/>
        </w:rPr>
        <w:t>únor 2016</w:t>
      </w:r>
    </w:p>
    <w:p w:rsidR="0012578C" w:rsidRPr="002A0E01" w:rsidRDefault="0019082B" w:rsidP="002C5411">
      <w:pPr>
        <w:pStyle w:val="Styl2"/>
        <w:spacing w:after="60"/>
        <w:rPr>
          <w:rFonts w:cs="Arial"/>
          <w:sz w:val="24"/>
          <w:szCs w:val="24"/>
        </w:rPr>
      </w:pPr>
      <w:r w:rsidRPr="002A0E01">
        <w:rPr>
          <w:rFonts w:cs="Arial"/>
          <w:i/>
          <w:sz w:val="16"/>
          <w:szCs w:val="16"/>
        </w:rPr>
        <w:br w:type="page"/>
      </w:r>
      <w:r w:rsidR="002C5411" w:rsidRPr="002A0E01">
        <w:rPr>
          <w:rFonts w:cs="Arial"/>
          <w:sz w:val="24"/>
          <w:szCs w:val="24"/>
        </w:rPr>
        <w:lastRenderedPageBreak/>
        <w:t>Tabulka – Vývoj dovozu 10 nejvíce dovážených agrárních položek z</w:t>
      </w:r>
      <w:r w:rsidR="00BE41EB" w:rsidRPr="002A0E01">
        <w:rPr>
          <w:rFonts w:cs="Arial"/>
          <w:sz w:val="24"/>
          <w:szCs w:val="24"/>
        </w:rPr>
        <w:t xml:space="preserve"> EU </w:t>
      </w:r>
      <w:r w:rsidR="002C5411" w:rsidRPr="002A0E01">
        <w:rPr>
          <w:rFonts w:cs="Arial"/>
          <w:sz w:val="24"/>
          <w:szCs w:val="24"/>
        </w:rPr>
        <w:t xml:space="preserve">do </w:t>
      </w:r>
      <w:r w:rsidR="00BE41EB" w:rsidRPr="002A0E01">
        <w:rPr>
          <w:rFonts w:cs="Arial"/>
          <w:sz w:val="24"/>
          <w:szCs w:val="24"/>
        </w:rPr>
        <w:t xml:space="preserve">ČR </w:t>
      </w:r>
      <w:r w:rsidR="002C5411" w:rsidRPr="002A0E01">
        <w:rPr>
          <w:rFonts w:cs="Arial"/>
          <w:sz w:val="24"/>
          <w:szCs w:val="24"/>
        </w:rPr>
        <w:t xml:space="preserve">v letech </w:t>
      </w:r>
      <w:r w:rsidR="00613D98" w:rsidRPr="002A0E01">
        <w:rPr>
          <w:rFonts w:cs="Arial"/>
          <w:sz w:val="24"/>
          <w:szCs w:val="24"/>
        </w:rPr>
        <w:t>2010 až 2015</w:t>
      </w:r>
    </w:p>
    <w:p w:rsidR="002C5411" w:rsidRPr="002A0E01" w:rsidRDefault="003A7F99" w:rsidP="00651FFD">
      <w:pPr>
        <w:ind w:firstLine="0"/>
        <w:rPr>
          <w:rFonts w:cs="Arial"/>
          <w:i/>
          <w:szCs w:val="16"/>
        </w:rPr>
      </w:pPr>
      <w:r w:rsidRPr="003A7F99">
        <w:drawing>
          <wp:inline distT="0" distB="0" distL="0" distR="0" wp14:anchorId="13F17CDF" wp14:editId="3250423E">
            <wp:extent cx="8891270" cy="5135251"/>
            <wp:effectExtent l="0" t="0" r="5080" b="8255"/>
            <wp:docPr id="18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5135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51FFD" w:rsidRPr="002A0E01">
        <w:rPr>
          <w:rFonts w:cs="Arial"/>
          <w:i/>
          <w:szCs w:val="16"/>
        </w:rPr>
        <w:t xml:space="preserve">Zdroj: Databáze zahraničního obchodu ČSÚ, </w:t>
      </w:r>
      <w:r w:rsidR="00613D98" w:rsidRPr="002A0E01">
        <w:rPr>
          <w:rFonts w:cs="Arial"/>
          <w:i/>
          <w:szCs w:val="16"/>
        </w:rPr>
        <w:t>únor 2016</w:t>
      </w:r>
    </w:p>
    <w:p w:rsidR="002C5411" w:rsidRPr="002A0E01" w:rsidRDefault="002C5411" w:rsidP="002C5411">
      <w:pPr>
        <w:pStyle w:val="Styl2"/>
        <w:spacing w:after="0"/>
        <w:ind w:left="993" w:hanging="993"/>
        <w:rPr>
          <w:rFonts w:cs="Arial"/>
          <w:sz w:val="24"/>
          <w:u w:val="single"/>
        </w:rPr>
      </w:pPr>
      <w:r w:rsidRPr="002A0E01">
        <w:rPr>
          <w:rFonts w:cs="Arial"/>
          <w:b w:val="0"/>
          <w:i/>
          <w:sz w:val="16"/>
          <w:szCs w:val="16"/>
        </w:rPr>
        <w:br w:type="page"/>
      </w:r>
      <w:r w:rsidR="00D96BCB" w:rsidRPr="002A0E01">
        <w:rPr>
          <w:rFonts w:cs="Arial"/>
          <w:sz w:val="24"/>
          <w:u w:val="single"/>
        </w:rPr>
        <w:lastRenderedPageBreak/>
        <w:t xml:space="preserve">3) </w:t>
      </w:r>
      <w:r w:rsidRPr="002A0E01">
        <w:rPr>
          <w:rFonts w:cs="Arial"/>
          <w:sz w:val="24"/>
          <w:u w:val="single"/>
        </w:rPr>
        <w:t xml:space="preserve">Zahraniční obchod ČR – </w:t>
      </w:r>
      <w:r w:rsidR="00AA6B1A" w:rsidRPr="002A0E01">
        <w:rPr>
          <w:rFonts w:cs="Arial"/>
          <w:sz w:val="24"/>
          <w:u w:val="single"/>
        </w:rPr>
        <w:t>mimounijní země</w:t>
      </w:r>
    </w:p>
    <w:p w:rsidR="00B74C59" w:rsidRPr="002A0E01" w:rsidRDefault="002C5411" w:rsidP="00B74C59">
      <w:pPr>
        <w:pStyle w:val="Styl2"/>
        <w:spacing w:before="60" w:after="0"/>
        <w:contextualSpacing w:val="0"/>
        <w:rPr>
          <w:rFonts w:cs="Arial"/>
          <w:sz w:val="24"/>
          <w:szCs w:val="24"/>
        </w:rPr>
      </w:pPr>
      <w:r w:rsidRPr="002A0E01">
        <w:rPr>
          <w:rFonts w:cs="Arial"/>
          <w:sz w:val="24"/>
          <w:szCs w:val="24"/>
        </w:rPr>
        <w:t xml:space="preserve">Tabulka – Vývoj vývozu 10 nejvíce vyvážených agrárních položek z ČR </w:t>
      </w:r>
      <w:r w:rsidR="00BE41EB" w:rsidRPr="002A0E01">
        <w:rPr>
          <w:rFonts w:cs="Arial"/>
          <w:sz w:val="24"/>
          <w:szCs w:val="24"/>
        </w:rPr>
        <w:t xml:space="preserve">do </w:t>
      </w:r>
      <w:r w:rsidR="00AA6B1A" w:rsidRPr="002A0E01">
        <w:rPr>
          <w:rFonts w:cs="Arial"/>
          <w:sz w:val="24"/>
          <w:szCs w:val="24"/>
        </w:rPr>
        <w:t>mimounijních zemí</w:t>
      </w:r>
      <w:r w:rsidR="00BE41EB" w:rsidRPr="002A0E01">
        <w:rPr>
          <w:rFonts w:cs="Arial"/>
          <w:sz w:val="24"/>
          <w:szCs w:val="24"/>
        </w:rPr>
        <w:t xml:space="preserve"> </w:t>
      </w:r>
      <w:r w:rsidRPr="002A0E01">
        <w:rPr>
          <w:rFonts w:cs="Arial"/>
          <w:sz w:val="24"/>
          <w:szCs w:val="24"/>
        </w:rPr>
        <w:t xml:space="preserve">v letech </w:t>
      </w:r>
      <w:r w:rsidR="00613D98" w:rsidRPr="002A0E01">
        <w:rPr>
          <w:rFonts w:cs="Arial"/>
          <w:sz w:val="24"/>
          <w:szCs w:val="24"/>
        </w:rPr>
        <w:t>2010 až 2015</w:t>
      </w:r>
    </w:p>
    <w:p w:rsidR="00F84EA0" w:rsidRDefault="00F84EA0" w:rsidP="00B74C59">
      <w:pPr>
        <w:ind w:firstLine="0"/>
        <w:contextualSpacing/>
        <w:rPr>
          <w:rFonts w:cs="Arial"/>
          <w:i/>
        </w:rPr>
      </w:pPr>
      <w:r w:rsidRPr="00F84EA0">
        <w:drawing>
          <wp:inline distT="0" distB="0" distL="0" distR="0" wp14:anchorId="3A20BED7" wp14:editId="154611CE">
            <wp:extent cx="8891270" cy="5036968"/>
            <wp:effectExtent l="0" t="0" r="5080" b="0"/>
            <wp:docPr id="29" name="Obrázek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5036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4C59" w:rsidRPr="002A0E01" w:rsidRDefault="00B74C59" w:rsidP="00B74C59">
      <w:pPr>
        <w:ind w:firstLine="0"/>
        <w:contextualSpacing/>
        <w:rPr>
          <w:rFonts w:cs="Arial"/>
          <w:i/>
        </w:rPr>
      </w:pPr>
      <w:r w:rsidRPr="002A0E01">
        <w:rPr>
          <w:rFonts w:cs="Arial"/>
          <w:i/>
        </w:rPr>
        <w:t xml:space="preserve">Zdroj: Databáze zahraničního obchodu ČSÚ, </w:t>
      </w:r>
      <w:r w:rsidR="00613D98" w:rsidRPr="002A0E01">
        <w:rPr>
          <w:rFonts w:cs="Arial"/>
          <w:i/>
        </w:rPr>
        <w:t>únor 2016</w:t>
      </w:r>
    </w:p>
    <w:p w:rsidR="00B74C59" w:rsidRPr="002A0E01" w:rsidRDefault="00134CD1" w:rsidP="00B74C59">
      <w:pPr>
        <w:pStyle w:val="Styl2"/>
        <w:spacing w:before="60" w:after="0"/>
        <w:contextualSpacing w:val="0"/>
        <w:rPr>
          <w:rFonts w:cs="Arial"/>
          <w:sz w:val="24"/>
          <w:szCs w:val="24"/>
        </w:rPr>
      </w:pPr>
      <w:r w:rsidRPr="002A0E01">
        <w:rPr>
          <w:rFonts w:cs="Arial"/>
          <w:sz w:val="24"/>
          <w:szCs w:val="24"/>
        </w:rPr>
        <w:br w:type="column"/>
      </w:r>
      <w:r w:rsidR="00B74C59" w:rsidRPr="002A0E01">
        <w:rPr>
          <w:rFonts w:cs="Arial"/>
          <w:sz w:val="24"/>
          <w:szCs w:val="24"/>
        </w:rPr>
        <w:lastRenderedPageBreak/>
        <w:t xml:space="preserve">Tabulka – Vývoj dovozu 10 nejvíce dovážených agrárních položek z </w:t>
      </w:r>
      <w:r w:rsidR="00AA6B1A" w:rsidRPr="002A0E01">
        <w:rPr>
          <w:rFonts w:cs="Arial"/>
          <w:sz w:val="24"/>
          <w:szCs w:val="24"/>
        </w:rPr>
        <w:t xml:space="preserve">mimounijních zemí </w:t>
      </w:r>
      <w:r w:rsidR="00B74C59" w:rsidRPr="002A0E01">
        <w:rPr>
          <w:rFonts w:cs="Arial"/>
          <w:sz w:val="24"/>
          <w:szCs w:val="24"/>
        </w:rPr>
        <w:t xml:space="preserve">do </w:t>
      </w:r>
      <w:r w:rsidR="00BE41EB" w:rsidRPr="002A0E01">
        <w:rPr>
          <w:rFonts w:cs="Arial"/>
          <w:sz w:val="24"/>
          <w:szCs w:val="24"/>
        </w:rPr>
        <w:t xml:space="preserve">ČR </w:t>
      </w:r>
      <w:r w:rsidR="00B74C59" w:rsidRPr="002A0E01">
        <w:rPr>
          <w:rFonts w:cs="Arial"/>
          <w:sz w:val="24"/>
          <w:szCs w:val="24"/>
        </w:rPr>
        <w:t xml:space="preserve">v letech </w:t>
      </w:r>
      <w:r w:rsidR="00C02743" w:rsidRPr="002A0E01">
        <w:rPr>
          <w:rFonts w:cs="Arial"/>
          <w:sz w:val="24"/>
          <w:szCs w:val="24"/>
        </w:rPr>
        <w:t>2010 až 2015*</w:t>
      </w:r>
    </w:p>
    <w:p w:rsidR="00651FFD" w:rsidRPr="002A0E01" w:rsidRDefault="007E63EB" w:rsidP="004C2508">
      <w:pPr>
        <w:ind w:firstLine="0"/>
        <w:contextualSpacing/>
        <w:rPr>
          <w:rFonts w:cs="Arial"/>
          <w:i/>
          <w:szCs w:val="16"/>
        </w:rPr>
      </w:pPr>
      <w:r w:rsidRPr="007E63EB">
        <w:drawing>
          <wp:inline distT="0" distB="0" distL="0" distR="0" wp14:anchorId="61C74F5C" wp14:editId="363C779B">
            <wp:extent cx="8891270" cy="5160267"/>
            <wp:effectExtent l="0" t="0" r="5080" b="2540"/>
            <wp:docPr id="28" name="Obrázek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5160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C5411" w:rsidRPr="002A0E01">
        <w:rPr>
          <w:rFonts w:cs="Arial"/>
          <w:i/>
          <w:szCs w:val="16"/>
        </w:rPr>
        <w:t>Zdroj: Databáze zahra</w:t>
      </w:r>
      <w:r w:rsidR="004C2508" w:rsidRPr="002A0E01">
        <w:rPr>
          <w:rFonts w:cs="Arial"/>
          <w:i/>
          <w:szCs w:val="16"/>
        </w:rPr>
        <w:t xml:space="preserve">ničního obchodu ČSÚ, </w:t>
      </w:r>
      <w:r w:rsidR="00613D98" w:rsidRPr="002A0E01">
        <w:rPr>
          <w:rFonts w:cs="Arial"/>
          <w:i/>
          <w:szCs w:val="16"/>
        </w:rPr>
        <w:t>únor 2016</w:t>
      </w:r>
    </w:p>
    <w:p w:rsidR="004C2508" w:rsidRPr="002A0E01" w:rsidRDefault="004C2508" w:rsidP="004C2508">
      <w:pPr>
        <w:ind w:firstLine="0"/>
        <w:contextualSpacing/>
        <w:rPr>
          <w:rFonts w:cs="Arial"/>
        </w:rPr>
        <w:sectPr w:rsidR="004C2508" w:rsidRPr="002A0E01" w:rsidSect="004C2508">
          <w:pgSz w:w="16838" w:h="11906" w:orient="landscape"/>
          <w:pgMar w:top="1361" w:right="1418" w:bottom="1361" w:left="1418" w:header="709" w:footer="709" w:gutter="0"/>
          <w:cols w:space="708"/>
          <w:docGrid w:linePitch="360"/>
        </w:sectPr>
      </w:pPr>
    </w:p>
    <w:p w:rsidR="007E03F5" w:rsidRPr="002A0E01" w:rsidRDefault="00D96BCB" w:rsidP="001B1B58">
      <w:pPr>
        <w:pStyle w:val="Nadpis3"/>
        <w:ind w:firstLine="0"/>
        <w:jc w:val="left"/>
        <w:rPr>
          <w:rFonts w:ascii="Arial" w:hAnsi="Arial" w:cs="Arial"/>
          <w:sz w:val="24"/>
          <w:szCs w:val="22"/>
        </w:rPr>
      </w:pPr>
      <w:bookmarkStart w:id="3" w:name="_Toc413330137"/>
      <w:r w:rsidRPr="002A0E01">
        <w:rPr>
          <w:rFonts w:ascii="Arial" w:hAnsi="Arial" w:cs="Arial"/>
          <w:sz w:val="24"/>
          <w:szCs w:val="22"/>
        </w:rPr>
        <w:lastRenderedPageBreak/>
        <w:t xml:space="preserve">4) </w:t>
      </w:r>
      <w:r w:rsidR="007E03F5" w:rsidRPr="002A0E01">
        <w:rPr>
          <w:rFonts w:ascii="Arial" w:hAnsi="Arial" w:cs="Arial"/>
          <w:sz w:val="24"/>
          <w:szCs w:val="22"/>
        </w:rPr>
        <w:t>Pořadí zemí dle hodnoty agrárního vývozu z ČR</w:t>
      </w:r>
      <w:bookmarkEnd w:id="3"/>
      <w:r w:rsidR="007E03F5" w:rsidRPr="002A0E01">
        <w:rPr>
          <w:rFonts w:ascii="Arial" w:hAnsi="Arial" w:cs="Arial"/>
          <w:sz w:val="24"/>
          <w:szCs w:val="22"/>
        </w:rPr>
        <w:t xml:space="preserve"> </w:t>
      </w:r>
    </w:p>
    <w:p w:rsidR="006D6AEF" w:rsidRPr="002A0E01" w:rsidRDefault="00323E48" w:rsidP="00354B6A">
      <w:pPr>
        <w:ind w:firstLine="0"/>
        <w:contextualSpacing/>
        <w:rPr>
          <w:rFonts w:cs="Arial"/>
          <w:i/>
          <w:szCs w:val="16"/>
        </w:rPr>
      </w:pPr>
      <w:r w:rsidRPr="00323E48">
        <w:drawing>
          <wp:inline distT="0" distB="0" distL="0" distR="0" wp14:anchorId="1C3D1005" wp14:editId="6D9C4157">
            <wp:extent cx="5760720" cy="7260190"/>
            <wp:effectExtent l="0" t="0" r="0" b="0"/>
            <wp:docPr id="25" name="Obrázek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26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54B6A" w:rsidRPr="002A0E01">
        <w:rPr>
          <w:rFonts w:cs="Arial"/>
          <w:i/>
          <w:szCs w:val="16"/>
        </w:rPr>
        <w:t>Pozn</w:t>
      </w:r>
      <w:r w:rsidR="002F2A38" w:rsidRPr="002A0E01">
        <w:rPr>
          <w:rFonts w:cs="Arial"/>
          <w:i/>
          <w:szCs w:val="16"/>
        </w:rPr>
        <w:t xml:space="preserve">. Barevně jsou zvýrazněny země </w:t>
      </w:r>
      <w:r w:rsidR="00354B6A" w:rsidRPr="002A0E01">
        <w:rPr>
          <w:rFonts w:cs="Arial"/>
          <w:i/>
          <w:szCs w:val="16"/>
        </w:rPr>
        <w:t>EU</w:t>
      </w:r>
      <w:r w:rsidR="00613D98" w:rsidRPr="002A0E01">
        <w:rPr>
          <w:rFonts w:cs="Arial"/>
          <w:i/>
          <w:szCs w:val="16"/>
        </w:rPr>
        <w:t> </w:t>
      </w:r>
      <w:r w:rsidR="00354B6A" w:rsidRPr="002A0E01">
        <w:rPr>
          <w:rFonts w:cs="Arial"/>
          <w:i/>
          <w:szCs w:val="16"/>
        </w:rPr>
        <w:t xml:space="preserve">28, </w:t>
      </w:r>
      <w:r w:rsidR="006D6AEF" w:rsidRPr="002A0E01">
        <w:rPr>
          <w:rFonts w:cs="Arial"/>
          <w:i/>
          <w:szCs w:val="16"/>
        </w:rPr>
        <w:t xml:space="preserve">řazeno podle </w:t>
      </w:r>
      <w:r w:rsidR="00613D98" w:rsidRPr="002A0E01">
        <w:rPr>
          <w:rFonts w:cs="Arial"/>
          <w:i/>
          <w:szCs w:val="16"/>
        </w:rPr>
        <w:t xml:space="preserve">roku </w:t>
      </w:r>
      <w:r w:rsidR="006D6AEF" w:rsidRPr="002A0E01">
        <w:rPr>
          <w:rFonts w:cs="Arial"/>
          <w:i/>
          <w:szCs w:val="16"/>
        </w:rPr>
        <w:t>2015</w:t>
      </w:r>
      <w:r w:rsidR="00360245" w:rsidRPr="002A0E01">
        <w:rPr>
          <w:rFonts w:cs="Arial"/>
          <w:i/>
          <w:szCs w:val="16"/>
        </w:rPr>
        <w:t>.</w:t>
      </w:r>
    </w:p>
    <w:p w:rsidR="00354B6A" w:rsidRPr="002A0E01" w:rsidRDefault="00354B6A" w:rsidP="00354B6A">
      <w:pPr>
        <w:ind w:firstLine="0"/>
        <w:contextualSpacing/>
        <w:rPr>
          <w:rFonts w:cs="Arial"/>
          <w:i/>
          <w:szCs w:val="16"/>
        </w:rPr>
      </w:pPr>
      <w:r w:rsidRPr="002A0E01">
        <w:rPr>
          <w:rFonts w:cs="Arial"/>
          <w:i/>
          <w:szCs w:val="16"/>
        </w:rPr>
        <w:t xml:space="preserve">Databáze zahraničního obchodu ČSÚ, </w:t>
      </w:r>
      <w:r w:rsidR="00613D98" w:rsidRPr="002A0E01">
        <w:rPr>
          <w:rFonts w:cs="Arial"/>
          <w:i/>
          <w:szCs w:val="16"/>
        </w:rPr>
        <w:t>únor 2016</w:t>
      </w:r>
    </w:p>
    <w:p w:rsidR="00354B6A" w:rsidRPr="002A0E01" w:rsidRDefault="00354B6A" w:rsidP="00354B6A">
      <w:pPr>
        <w:rPr>
          <w:rFonts w:cs="Arial"/>
        </w:rPr>
      </w:pPr>
    </w:p>
    <w:p w:rsidR="007E03F5" w:rsidRPr="002A0E01" w:rsidRDefault="007E03F5" w:rsidP="00D96BCB">
      <w:pPr>
        <w:pStyle w:val="Nadpis3"/>
        <w:ind w:firstLine="0"/>
        <w:jc w:val="left"/>
        <w:rPr>
          <w:rFonts w:ascii="Arial" w:hAnsi="Arial" w:cs="Arial"/>
          <w:sz w:val="24"/>
          <w:szCs w:val="22"/>
        </w:rPr>
      </w:pPr>
      <w:bookmarkStart w:id="4" w:name="_Toc384374704"/>
      <w:r w:rsidRPr="002A0E01">
        <w:rPr>
          <w:rFonts w:ascii="Arial" w:hAnsi="Arial" w:cs="Arial"/>
          <w:b w:val="0"/>
          <w:bCs w:val="0"/>
          <w:color w:val="000000"/>
          <w:sz w:val="18"/>
          <w:szCs w:val="18"/>
        </w:rPr>
        <w:br w:type="page"/>
      </w:r>
      <w:bookmarkStart w:id="5" w:name="_Toc413330138"/>
      <w:r w:rsidR="00D96BCB" w:rsidRPr="002A0E01">
        <w:rPr>
          <w:rFonts w:ascii="Arial" w:hAnsi="Arial" w:cs="Arial"/>
          <w:sz w:val="24"/>
          <w:szCs w:val="22"/>
        </w:rPr>
        <w:lastRenderedPageBreak/>
        <w:t>5)</w:t>
      </w:r>
      <w:r w:rsidR="00D96BCB" w:rsidRPr="002A0E01">
        <w:rPr>
          <w:rFonts w:ascii="Arial" w:hAnsi="Arial" w:cs="Arial"/>
          <w:b w:val="0"/>
          <w:bCs w:val="0"/>
          <w:color w:val="000000"/>
          <w:sz w:val="18"/>
          <w:szCs w:val="18"/>
        </w:rPr>
        <w:t xml:space="preserve"> </w:t>
      </w:r>
      <w:r w:rsidRPr="002A0E01">
        <w:rPr>
          <w:rFonts w:ascii="Arial" w:hAnsi="Arial" w:cs="Arial"/>
          <w:sz w:val="24"/>
          <w:szCs w:val="22"/>
        </w:rPr>
        <w:t>Pořadí zemí dle hodnoty agrárního dovozu do ČR</w:t>
      </w:r>
      <w:bookmarkEnd w:id="4"/>
      <w:bookmarkEnd w:id="5"/>
      <w:r w:rsidRPr="002A0E01">
        <w:rPr>
          <w:rFonts w:ascii="Arial" w:hAnsi="Arial" w:cs="Arial"/>
          <w:sz w:val="24"/>
          <w:szCs w:val="22"/>
        </w:rPr>
        <w:t xml:space="preserve"> </w:t>
      </w:r>
      <w:r w:rsidR="00D96BCB" w:rsidRPr="002A0E01">
        <w:rPr>
          <w:rFonts w:ascii="Arial" w:hAnsi="Arial" w:cs="Arial"/>
          <w:sz w:val="24"/>
          <w:szCs w:val="22"/>
        </w:rPr>
        <w:t xml:space="preserve"> </w:t>
      </w:r>
    </w:p>
    <w:p w:rsidR="006D6AEF" w:rsidRPr="002A0E01" w:rsidRDefault="0008109D" w:rsidP="006D6AEF">
      <w:pPr>
        <w:ind w:firstLine="0"/>
        <w:contextualSpacing/>
        <w:rPr>
          <w:rFonts w:cs="Arial"/>
          <w:i/>
          <w:szCs w:val="16"/>
        </w:rPr>
      </w:pPr>
      <w:r w:rsidRPr="0008109D">
        <w:drawing>
          <wp:inline distT="0" distB="0" distL="0" distR="0" wp14:anchorId="3A46483B" wp14:editId="354DCDE3">
            <wp:extent cx="5760720" cy="7322687"/>
            <wp:effectExtent l="0" t="0" r="0" b="0"/>
            <wp:docPr id="26" name="Obráze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322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6AEF" w:rsidRPr="002A0E01">
        <w:rPr>
          <w:rFonts w:cs="Arial"/>
          <w:i/>
          <w:szCs w:val="16"/>
        </w:rPr>
        <w:t>Pozn. Barevně jsou zvýrazněny země EU</w:t>
      </w:r>
      <w:r w:rsidR="00EB4D6E" w:rsidRPr="002A0E01">
        <w:rPr>
          <w:rFonts w:cs="Arial"/>
          <w:i/>
          <w:szCs w:val="16"/>
        </w:rPr>
        <w:t xml:space="preserve"> </w:t>
      </w:r>
      <w:r w:rsidR="006D6AEF" w:rsidRPr="002A0E01">
        <w:rPr>
          <w:rFonts w:cs="Arial"/>
          <w:i/>
          <w:szCs w:val="16"/>
        </w:rPr>
        <w:t>28, řazeno</w:t>
      </w:r>
      <w:r w:rsidR="00305265" w:rsidRPr="002A0E01">
        <w:rPr>
          <w:rFonts w:cs="Arial"/>
          <w:i/>
          <w:szCs w:val="16"/>
        </w:rPr>
        <w:t xml:space="preserve"> podle </w:t>
      </w:r>
      <w:r w:rsidR="00613D98" w:rsidRPr="002A0E01">
        <w:rPr>
          <w:rFonts w:cs="Arial"/>
          <w:i/>
        </w:rPr>
        <w:t>roku</w:t>
      </w:r>
      <w:r w:rsidR="00305265" w:rsidRPr="002A0E01">
        <w:rPr>
          <w:rFonts w:cs="Arial"/>
          <w:i/>
        </w:rPr>
        <w:t xml:space="preserve"> </w:t>
      </w:r>
      <w:r w:rsidR="00305265" w:rsidRPr="002A0E01">
        <w:rPr>
          <w:rFonts w:cs="Arial"/>
          <w:i/>
          <w:szCs w:val="16"/>
        </w:rPr>
        <w:t>2015</w:t>
      </w:r>
      <w:r w:rsidR="00360245" w:rsidRPr="002A0E01">
        <w:rPr>
          <w:rFonts w:cs="Arial"/>
          <w:i/>
          <w:szCs w:val="16"/>
        </w:rPr>
        <w:t>.</w:t>
      </w:r>
    </w:p>
    <w:p w:rsidR="00354B6A" w:rsidRPr="002A0E01" w:rsidRDefault="006D6AEF" w:rsidP="003E29A9">
      <w:pPr>
        <w:ind w:firstLine="0"/>
        <w:contextualSpacing/>
        <w:rPr>
          <w:rFonts w:cs="Arial"/>
        </w:rPr>
      </w:pPr>
      <w:r w:rsidRPr="002A0E01">
        <w:rPr>
          <w:rFonts w:cs="Arial"/>
          <w:i/>
          <w:szCs w:val="16"/>
        </w:rPr>
        <w:t xml:space="preserve">Zdroj: Databáze zahraničního obchodu ČSÚ, </w:t>
      </w:r>
      <w:r w:rsidR="00613D98" w:rsidRPr="002A0E01">
        <w:rPr>
          <w:rFonts w:cs="Arial"/>
          <w:i/>
          <w:szCs w:val="16"/>
        </w:rPr>
        <w:t>únor 2016</w:t>
      </w:r>
    </w:p>
    <w:p w:rsidR="00354B6A" w:rsidRPr="002A0E01" w:rsidRDefault="00354B6A" w:rsidP="003E29A9">
      <w:pPr>
        <w:ind w:firstLine="0"/>
        <w:rPr>
          <w:rFonts w:cs="Arial"/>
        </w:rPr>
      </w:pPr>
    </w:p>
    <w:p w:rsidR="00354B6A" w:rsidRPr="002A0E01" w:rsidRDefault="00354B6A" w:rsidP="003E29A9">
      <w:pPr>
        <w:ind w:firstLine="0"/>
        <w:rPr>
          <w:rFonts w:cs="Arial"/>
        </w:rPr>
      </w:pPr>
    </w:p>
    <w:p w:rsidR="00163AB9" w:rsidRPr="002A0E01" w:rsidRDefault="00163AB9" w:rsidP="004C2508">
      <w:pPr>
        <w:pStyle w:val="Nadpis8"/>
        <w:spacing w:before="0"/>
        <w:ind w:firstLine="0"/>
        <w:rPr>
          <w:rFonts w:ascii="Arial" w:hAnsi="Arial" w:cs="Arial"/>
        </w:rPr>
      </w:pPr>
    </w:p>
    <w:sectPr w:rsidR="00163AB9" w:rsidRPr="002A0E01" w:rsidSect="009911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6BD1" w:rsidRDefault="00AB6BD1" w:rsidP="000906F6">
      <w:pPr>
        <w:spacing w:before="0" w:line="240" w:lineRule="auto"/>
      </w:pPr>
      <w:r>
        <w:separator/>
      </w:r>
    </w:p>
  </w:endnote>
  <w:endnote w:type="continuationSeparator" w:id="0">
    <w:p w:rsidR="00AB6BD1" w:rsidRDefault="00AB6BD1" w:rsidP="000906F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434" w:rsidRPr="00B060EE" w:rsidRDefault="00380434">
    <w:pPr>
      <w:pStyle w:val="Zpat"/>
      <w:jc w:val="center"/>
      <w:rPr>
        <w:rFonts w:ascii="Times New Roman" w:hAnsi="Times New Roman"/>
      </w:rPr>
    </w:pPr>
    <w:r w:rsidRPr="00B060EE">
      <w:rPr>
        <w:rFonts w:ascii="Times New Roman" w:hAnsi="Times New Roman"/>
      </w:rPr>
      <w:fldChar w:fldCharType="begin"/>
    </w:r>
    <w:r w:rsidRPr="00B060EE">
      <w:rPr>
        <w:rFonts w:ascii="Times New Roman" w:hAnsi="Times New Roman"/>
      </w:rPr>
      <w:instrText xml:space="preserve"> PAGE   \* MERGEFORMAT </w:instrText>
    </w:r>
    <w:r w:rsidRPr="00B060EE">
      <w:rPr>
        <w:rFonts w:ascii="Times New Roman" w:hAnsi="Times New Roman"/>
      </w:rPr>
      <w:fldChar w:fldCharType="separate"/>
    </w:r>
    <w:r w:rsidR="004C6EEF">
      <w:rPr>
        <w:rFonts w:ascii="Times New Roman" w:hAnsi="Times New Roman"/>
        <w:noProof/>
      </w:rPr>
      <w:t>9</w:t>
    </w:r>
    <w:r w:rsidRPr="00B060EE">
      <w:rPr>
        <w:rFonts w:ascii="Times New Roman" w:hAnsi="Times New Roman"/>
        <w:noProof/>
      </w:rPr>
      <w:fldChar w:fldCharType="end"/>
    </w:r>
  </w:p>
  <w:p w:rsidR="00380434" w:rsidRDefault="0038043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6BD1" w:rsidRDefault="00AB6BD1" w:rsidP="000906F6">
      <w:pPr>
        <w:spacing w:before="0" w:line="240" w:lineRule="auto"/>
      </w:pPr>
      <w:r>
        <w:separator/>
      </w:r>
    </w:p>
  </w:footnote>
  <w:footnote w:type="continuationSeparator" w:id="0">
    <w:p w:rsidR="00AB6BD1" w:rsidRDefault="00AB6BD1" w:rsidP="000906F6">
      <w:pPr>
        <w:spacing w:before="0" w:line="240" w:lineRule="auto"/>
      </w:pPr>
      <w:r>
        <w:continuationSeparator/>
      </w:r>
    </w:p>
  </w:footnote>
  <w:footnote w:id="1">
    <w:p w:rsidR="00273FDF" w:rsidRDefault="00273FDF" w:rsidP="00273FDF">
      <w:pPr>
        <w:pStyle w:val="Textpoznpodarou"/>
        <w:tabs>
          <w:tab w:val="left" w:pos="851"/>
        </w:tabs>
        <w:ind w:left="567" w:firstLine="0"/>
      </w:pPr>
      <w:r>
        <w:rPr>
          <w:rStyle w:val="Znakapoznpodarou"/>
        </w:rPr>
        <w:footnoteRef/>
      </w:r>
      <w:r>
        <w:t xml:space="preserve"> </w:t>
      </w:r>
      <w:r>
        <w:tab/>
        <w:t xml:space="preserve">K čemuž přispěly mezi jiným </w:t>
      </w:r>
      <w:r w:rsidRPr="006010CB">
        <w:t>nárůst dovozu denaturovaného lihu a pokles vývozu nedenaturovaného lihu min. 80%</w:t>
      </w:r>
      <w:r>
        <w:t>.</w:t>
      </w:r>
    </w:p>
  </w:footnote>
  <w:footnote w:id="2">
    <w:p w:rsidR="00C25F03" w:rsidRDefault="00C25F03" w:rsidP="009F0BFC">
      <w:pPr>
        <w:pStyle w:val="Textpoznpodarou"/>
        <w:tabs>
          <w:tab w:val="left" w:pos="851"/>
        </w:tabs>
        <w:ind w:left="567" w:firstLine="0"/>
      </w:pPr>
      <w:r>
        <w:rPr>
          <w:rStyle w:val="Znakapoznpodarou"/>
        </w:rPr>
        <w:footnoteRef/>
      </w:r>
      <w:r>
        <w:t xml:space="preserve"> </w:t>
      </w:r>
      <w:r w:rsidR="009F0BFC">
        <w:tab/>
        <w:t>Ř</w:t>
      </w:r>
      <w:r>
        <w:t>epkový olej celních kódů HS 1514 11 a 19, tj. s nízkým obsahem kyseliny erukové</w:t>
      </w:r>
      <w:r w:rsidR="009F0BFC">
        <w:t>.</w:t>
      </w:r>
    </w:p>
  </w:footnote>
  <w:footnote w:id="3">
    <w:p w:rsidR="00185CD8" w:rsidRDefault="00185CD8" w:rsidP="009F0BFC">
      <w:pPr>
        <w:pStyle w:val="Textpoznpodarou"/>
        <w:tabs>
          <w:tab w:val="left" w:pos="851"/>
        </w:tabs>
        <w:ind w:left="567" w:firstLine="0"/>
      </w:pPr>
      <w:r>
        <w:rPr>
          <w:rStyle w:val="Znakapoznpodarou"/>
        </w:rPr>
        <w:footnoteRef/>
      </w:r>
      <w:r>
        <w:t xml:space="preserve"> </w:t>
      </w:r>
      <w:r w:rsidR="009F0BFC">
        <w:tab/>
      </w:r>
      <w:r>
        <w:t>Surové mléko vymezeno přibližně položkou celního sazebníku KN 0401 20 99.</w:t>
      </w:r>
    </w:p>
  </w:footnote>
  <w:footnote w:id="4">
    <w:p w:rsidR="00185CD8" w:rsidRDefault="00185CD8" w:rsidP="009F0BFC">
      <w:pPr>
        <w:pStyle w:val="Textpoznpodarou"/>
        <w:tabs>
          <w:tab w:val="left" w:pos="851"/>
        </w:tabs>
        <w:ind w:left="567" w:firstLine="0"/>
      </w:pPr>
      <w:r>
        <w:rPr>
          <w:rStyle w:val="Znakapoznpodarou"/>
        </w:rPr>
        <w:footnoteRef/>
      </w:r>
      <w:r>
        <w:t xml:space="preserve"> </w:t>
      </w:r>
      <w:r w:rsidR="009F0BFC">
        <w:tab/>
      </w:r>
      <w:r>
        <w:t>Potravinové přípravky jiné vymezené dle celního sazebníku HS 2106.</w:t>
      </w:r>
    </w:p>
  </w:footnote>
  <w:footnote w:id="5">
    <w:p w:rsidR="0053314A" w:rsidRDefault="0053314A" w:rsidP="009F0BFC">
      <w:pPr>
        <w:pStyle w:val="Textpoznpodarou"/>
        <w:tabs>
          <w:tab w:val="left" w:pos="851"/>
        </w:tabs>
        <w:ind w:left="567" w:firstLine="0"/>
      </w:pPr>
      <w:r>
        <w:rPr>
          <w:rStyle w:val="Znakapoznpodarou"/>
        </w:rPr>
        <w:footnoteRef/>
      </w:r>
      <w:r>
        <w:t xml:space="preserve"> </w:t>
      </w:r>
      <w:r w:rsidR="009F0BFC">
        <w:tab/>
        <w:t>B</w:t>
      </w:r>
      <w:r w:rsidRPr="0053314A">
        <w:t xml:space="preserve">ez tabáku a tabákových výrobků se </w:t>
      </w:r>
      <w:r w:rsidR="009F0BFC">
        <w:t xml:space="preserve">záporná </w:t>
      </w:r>
      <w:r w:rsidRPr="0053314A">
        <w:t>bilance českého AZO naopak meziročně mírně prohloubila</w:t>
      </w:r>
      <w:r w:rsidR="009F0BFC">
        <w:t>, a to</w:t>
      </w:r>
      <w:r w:rsidRPr="0053314A">
        <w:t xml:space="preserve"> na 27,6 mld. Kč</w:t>
      </w:r>
      <w:r w:rsidR="009F0BFC">
        <w:t>.</w:t>
      </w:r>
    </w:p>
  </w:footnote>
  <w:footnote w:id="6">
    <w:p w:rsidR="00185CD8" w:rsidRDefault="00185CD8" w:rsidP="00185CD8">
      <w:pPr>
        <w:pStyle w:val="Textpoznpodarou"/>
      </w:pPr>
      <w:r>
        <w:rPr>
          <w:rStyle w:val="Znakapoznpodarou"/>
        </w:rPr>
        <w:footnoteRef/>
      </w:r>
      <w:r>
        <w:t xml:space="preserve"> Údaje v textu za celkový český agrární obchod s jednotlivými zeměmi uváděn s dopočty.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B5245"/>
    <w:multiLevelType w:val="hybridMultilevel"/>
    <w:tmpl w:val="D4C2B5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33703F"/>
    <w:multiLevelType w:val="hybridMultilevel"/>
    <w:tmpl w:val="C1BAB16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6F5508"/>
    <w:multiLevelType w:val="hybridMultilevel"/>
    <w:tmpl w:val="920AED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DD585B"/>
    <w:multiLevelType w:val="hybridMultilevel"/>
    <w:tmpl w:val="267EFB8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8964BA"/>
    <w:multiLevelType w:val="hybridMultilevel"/>
    <w:tmpl w:val="FC20F1C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4663A0"/>
    <w:multiLevelType w:val="hybridMultilevel"/>
    <w:tmpl w:val="FC20F1C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442D5D"/>
    <w:multiLevelType w:val="hybridMultilevel"/>
    <w:tmpl w:val="84321B92"/>
    <w:lvl w:ilvl="0" w:tplc="A9BC1694">
      <w:start w:val="5"/>
      <w:numFmt w:val="decimal"/>
      <w:lvlText w:val="%1)"/>
      <w:lvlJc w:val="left"/>
      <w:pPr>
        <w:ind w:left="1080" w:hanging="360"/>
      </w:pPr>
      <w:rPr>
        <w:rFonts w:ascii="Calibri" w:hAnsi="Calibri" w:cs="Calibri" w:hint="default"/>
        <w:b w:val="0"/>
        <w:color w:val="000000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CF33A28"/>
    <w:multiLevelType w:val="hybridMultilevel"/>
    <w:tmpl w:val="748EF0B2"/>
    <w:lvl w:ilvl="0" w:tplc="9806B42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9C538A"/>
    <w:multiLevelType w:val="hybridMultilevel"/>
    <w:tmpl w:val="3C781934"/>
    <w:lvl w:ilvl="0" w:tplc="2F4828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8"/>
  </w:num>
  <w:num w:numId="7">
    <w:abstractNumId w:val="1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715"/>
    <w:rsid w:val="0000262E"/>
    <w:rsid w:val="000032E0"/>
    <w:rsid w:val="00012465"/>
    <w:rsid w:val="00015384"/>
    <w:rsid w:val="0001593B"/>
    <w:rsid w:val="00020B12"/>
    <w:rsid w:val="00021F90"/>
    <w:rsid w:val="00023B2E"/>
    <w:rsid w:val="00042034"/>
    <w:rsid w:val="000451A3"/>
    <w:rsid w:val="00047A99"/>
    <w:rsid w:val="00057539"/>
    <w:rsid w:val="00067080"/>
    <w:rsid w:val="00077B34"/>
    <w:rsid w:val="0008109D"/>
    <w:rsid w:val="00083C16"/>
    <w:rsid w:val="000854E7"/>
    <w:rsid w:val="000906F6"/>
    <w:rsid w:val="00090DFE"/>
    <w:rsid w:val="000912B2"/>
    <w:rsid w:val="00091961"/>
    <w:rsid w:val="000A435D"/>
    <w:rsid w:val="000A6F82"/>
    <w:rsid w:val="000A7C0A"/>
    <w:rsid w:val="000B39E7"/>
    <w:rsid w:val="000B4B8A"/>
    <w:rsid w:val="000D1ACC"/>
    <w:rsid w:val="000D7DD3"/>
    <w:rsid w:val="000E5873"/>
    <w:rsid w:val="000F3C74"/>
    <w:rsid w:val="000F5E2F"/>
    <w:rsid w:val="001037E3"/>
    <w:rsid w:val="00110CDC"/>
    <w:rsid w:val="00111F18"/>
    <w:rsid w:val="00112DC1"/>
    <w:rsid w:val="00115590"/>
    <w:rsid w:val="0012578C"/>
    <w:rsid w:val="001306A8"/>
    <w:rsid w:val="00130E49"/>
    <w:rsid w:val="001316B0"/>
    <w:rsid w:val="001327EA"/>
    <w:rsid w:val="00134CD1"/>
    <w:rsid w:val="0016389E"/>
    <w:rsid w:val="00163AB9"/>
    <w:rsid w:val="0016536D"/>
    <w:rsid w:val="00166FC5"/>
    <w:rsid w:val="00171B4A"/>
    <w:rsid w:val="00185CD8"/>
    <w:rsid w:val="0019082B"/>
    <w:rsid w:val="001938C1"/>
    <w:rsid w:val="00194CED"/>
    <w:rsid w:val="0019579D"/>
    <w:rsid w:val="001A1D9F"/>
    <w:rsid w:val="001A3298"/>
    <w:rsid w:val="001A494A"/>
    <w:rsid w:val="001A7C8B"/>
    <w:rsid w:val="001B1B58"/>
    <w:rsid w:val="001C35DC"/>
    <w:rsid w:val="001C3BD1"/>
    <w:rsid w:val="001C6935"/>
    <w:rsid w:val="001C6FD6"/>
    <w:rsid w:val="001C7D89"/>
    <w:rsid w:val="001D2634"/>
    <w:rsid w:val="001E0765"/>
    <w:rsid w:val="001E4BEE"/>
    <w:rsid w:val="001E61C8"/>
    <w:rsid w:val="001F78EF"/>
    <w:rsid w:val="002023E0"/>
    <w:rsid w:val="002067EB"/>
    <w:rsid w:val="00212B8D"/>
    <w:rsid w:val="00212BA3"/>
    <w:rsid w:val="002163B2"/>
    <w:rsid w:val="0022319B"/>
    <w:rsid w:val="002256BA"/>
    <w:rsid w:val="00227377"/>
    <w:rsid w:val="00231B27"/>
    <w:rsid w:val="0023366C"/>
    <w:rsid w:val="00245572"/>
    <w:rsid w:val="00246FB0"/>
    <w:rsid w:val="00254911"/>
    <w:rsid w:val="00266BF5"/>
    <w:rsid w:val="00267ECB"/>
    <w:rsid w:val="002715D5"/>
    <w:rsid w:val="00271C45"/>
    <w:rsid w:val="00273FDF"/>
    <w:rsid w:val="00280ED5"/>
    <w:rsid w:val="00284233"/>
    <w:rsid w:val="002869D8"/>
    <w:rsid w:val="00286A80"/>
    <w:rsid w:val="002A0BBA"/>
    <w:rsid w:val="002A0E01"/>
    <w:rsid w:val="002C41F1"/>
    <w:rsid w:val="002C42C4"/>
    <w:rsid w:val="002C5411"/>
    <w:rsid w:val="002E4E29"/>
    <w:rsid w:val="002E580F"/>
    <w:rsid w:val="002E5D2F"/>
    <w:rsid w:val="002F07F0"/>
    <w:rsid w:val="002F21B2"/>
    <w:rsid w:val="002F2A38"/>
    <w:rsid w:val="002F3F6E"/>
    <w:rsid w:val="00305265"/>
    <w:rsid w:val="00311A5D"/>
    <w:rsid w:val="00315558"/>
    <w:rsid w:val="0032311C"/>
    <w:rsid w:val="00323E48"/>
    <w:rsid w:val="00326F98"/>
    <w:rsid w:val="0033206D"/>
    <w:rsid w:val="003411BA"/>
    <w:rsid w:val="003463A9"/>
    <w:rsid w:val="003524CB"/>
    <w:rsid w:val="003532D0"/>
    <w:rsid w:val="00354B6A"/>
    <w:rsid w:val="00360245"/>
    <w:rsid w:val="003608E0"/>
    <w:rsid w:val="00376C90"/>
    <w:rsid w:val="0038000E"/>
    <w:rsid w:val="00380434"/>
    <w:rsid w:val="00380481"/>
    <w:rsid w:val="00386137"/>
    <w:rsid w:val="00391A38"/>
    <w:rsid w:val="00392FDF"/>
    <w:rsid w:val="003A2D08"/>
    <w:rsid w:val="003A5DFA"/>
    <w:rsid w:val="003A69B1"/>
    <w:rsid w:val="003A7F99"/>
    <w:rsid w:val="003B0178"/>
    <w:rsid w:val="003B5F62"/>
    <w:rsid w:val="003E2194"/>
    <w:rsid w:val="003E29A9"/>
    <w:rsid w:val="003E5E98"/>
    <w:rsid w:val="003F152D"/>
    <w:rsid w:val="00403A73"/>
    <w:rsid w:val="00416315"/>
    <w:rsid w:val="004247D4"/>
    <w:rsid w:val="004362AE"/>
    <w:rsid w:val="00441083"/>
    <w:rsid w:val="004568AC"/>
    <w:rsid w:val="00460D34"/>
    <w:rsid w:val="00465398"/>
    <w:rsid w:val="00466EC2"/>
    <w:rsid w:val="004700A7"/>
    <w:rsid w:val="00472CF9"/>
    <w:rsid w:val="00472EF2"/>
    <w:rsid w:val="00485BB7"/>
    <w:rsid w:val="00494425"/>
    <w:rsid w:val="004A0499"/>
    <w:rsid w:val="004A0DF7"/>
    <w:rsid w:val="004A38B8"/>
    <w:rsid w:val="004B0233"/>
    <w:rsid w:val="004B3F60"/>
    <w:rsid w:val="004C2508"/>
    <w:rsid w:val="004C312A"/>
    <w:rsid w:val="004C3159"/>
    <w:rsid w:val="004C434A"/>
    <w:rsid w:val="004C4357"/>
    <w:rsid w:val="004C6EEF"/>
    <w:rsid w:val="004C7A63"/>
    <w:rsid w:val="004D46A6"/>
    <w:rsid w:val="004E003B"/>
    <w:rsid w:val="004F177A"/>
    <w:rsid w:val="005024B2"/>
    <w:rsid w:val="00503F24"/>
    <w:rsid w:val="00510F65"/>
    <w:rsid w:val="00514110"/>
    <w:rsid w:val="0051583C"/>
    <w:rsid w:val="00524F21"/>
    <w:rsid w:val="0053314A"/>
    <w:rsid w:val="00533EA8"/>
    <w:rsid w:val="00536165"/>
    <w:rsid w:val="00553877"/>
    <w:rsid w:val="00554B18"/>
    <w:rsid w:val="00561F39"/>
    <w:rsid w:val="0056515A"/>
    <w:rsid w:val="0058033C"/>
    <w:rsid w:val="00587269"/>
    <w:rsid w:val="005A263A"/>
    <w:rsid w:val="005B0D28"/>
    <w:rsid w:val="005B1603"/>
    <w:rsid w:val="005B310E"/>
    <w:rsid w:val="005B563E"/>
    <w:rsid w:val="005C01BF"/>
    <w:rsid w:val="005C516A"/>
    <w:rsid w:val="005D3A5C"/>
    <w:rsid w:val="005D3DFC"/>
    <w:rsid w:val="005D4AE7"/>
    <w:rsid w:val="005D4BBA"/>
    <w:rsid w:val="005D4FCF"/>
    <w:rsid w:val="005E29A1"/>
    <w:rsid w:val="005E51D9"/>
    <w:rsid w:val="005E72EC"/>
    <w:rsid w:val="005F3529"/>
    <w:rsid w:val="006010CB"/>
    <w:rsid w:val="00605422"/>
    <w:rsid w:val="0061201D"/>
    <w:rsid w:val="00613D98"/>
    <w:rsid w:val="00623D3B"/>
    <w:rsid w:val="00643A2F"/>
    <w:rsid w:val="0064479A"/>
    <w:rsid w:val="00650B24"/>
    <w:rsid w:val="00651FFD"/>
    <w:rsid w:val="0065483E"/>
    <w:rsid w:val="006725CE"/>
    <w:rsid w:val="00672637"/>
    <w:rsid w:val="006728B4"/>
    <w:rsid w:val="006A3C42"/>
    <w:rsid w:val="006B45E8"/>
    <w:rsid w:val="006C4852"/>
    <w:rsid w:val="006C59DA"/>
    <w:rsid w:val="006C62BF"/>
    <w:rsid w:val="006D1813"/>
    <w:rsid w:val="006D5E8C"/>
    <w:rsid w:val="006D6AEF"/>
    <w:rsid w:val="006E0A2F"/>
    <w:rsid w:val="006F1CE6"/>
    <w:rsid w:val="006F27F7"/>
    <w:rsid w:val="006F2EFD"/>
    <w:rsid w:val="00712B03"/>
    <w:rsid w:val="00715A37"/>
    <w:rsid w:val="007337A6"/>
    <w:rsid w:val="00734D4F"/>
    <w:rsid w:val="00762405"/>
    <w:rsid w:val="00770902"/>
    <w:rsid w:val="007740A1"/>
    <w:rsid w:val="00786370"/>
    <w:rsid w:val="00793D56"/>
    <w:rsid w:val="007A02B4"/>
    <w:rsid w:val="007A140F"/>
    <w:rsid w:val="007A432A"/>
    <w:rsid w:val="007B43C8"/>
    <w:rsid w:val="007C64F1"/>
    <w:rsid w:val="007D34AC"/>
    <w:rsid w:val="007D3894"/>
    <w:rsid w:val="007E03F5"/>
    <w:rsid w:val="007E5715"/>
    <w:rsid w:val="007E63EB"/>
    <w:rsid w:val="007F6478"/>
    <w:rsid w:val="007F73F2"/>
    <w:rsid w:val="00800905"/>
    <w:rsid w:val="0080736C"/>
    <w:rsid w:val="008123D7"/>
    <w:rsid w:val="008175A6"/>
    <w:rsid w:val="0084115C"/>
    <w:rsid w:val="00841D11"/>
    <w:rsid w:val="00843FD6"/>
    <w:rsid w:val="008461CA"/>
    <w:rsid w:val="008632E5"/>
    <w:rsid w:val="008777B5"/>
    <w:rsid w:val="008818B5"/>
    <w:rsid w:val="00881C67"/>
    <w:rsid w:val="00891880"/>
    <w:rsid w:val="0089458A"/>
    <w:rsid w:val="00894C4A"/>
    <w:rsid w:val="00896240"/>
    <w:rsid w:val="00896822"/>
    <w:rsid w:val="008A6280"/>
    <w:rsid w:val="008A7827"/>
    <w:rsid w:val="008C4045"/>
    <w:rsid w:val="008C6207"/>
    <w:rsid w:val="008D0811"/>
    <w:rsid w:val="008D2C52"/>
    <w:rsid w:val="008D72E7"/>
    <w:rsid w:val="008E1064"/>
    <w:rsid w:val="008E2BA8"/>
    <w:rsid w:val="008E2CCD"/>
    <w:rsid w:val="008E421B"/>
    <w:rsid w:val="008F60BD"/>
    <w:rsid w:val="008F7C02"/>
    <w:rsid w:val="00900F34"/>
    <w:rsid w:val="00915AB1"/>
    <w:rsid w:val="009174B0"/>
    <w:rsid w:val="00920E10"/>
    <w:rsid w:val="00931D6E"/>
    <w:rsid w:val="009325FB"/>
    <w:rsid w:val="00933651"/>
    <w:rsid w:val="00933A2F"/>
    <w:rsid w:val="00933B5E"/>
    <w:rsid w:val="0094248E"/>
    <w:rsid w:val="00944E2B"/>
    <w:rsid w:val="009464A1"/>
    <w:rsid w:val="009464C0"/>
    <w:rsid w:val="00947D21"/>
    <w:rsid w:val="009628B0"/>
    <w:rsid w:val="009630CA"/>
    <w:rsid w:val="00970806"/>
    <w:rsid w:val="00971966"/>
    <w:rsid w:val="009801FB"/>
    <w:rsid w:val="0098101B"/>
    <w:rsid w:val="009815F5"/>
    <w:rsid w:val="0098367A"/>
    <w:rsid w:val="00991115"/>
    <w:rsid w:val="00991236"/>
    <w:rsid w:val="00996112"/>
    <w:rsid w:val="009B6D49"/>
    <w:rsid w:val="009C5DA2"/>
    <w:rsid w:val="009C6D93"/>
    <w:rsid w:val="009D62B6"/>
    <w:rsid w:val="009E1C62"/>
    <w:rsid w:val="009E6607"/>
    <w:rsid w:val="009E759D"/>
    <w:rsid w:val="009F0BFC"/>
    <w:rsid w:val="009F1841"/>
    <w:rsid w:val="00A07B41"/>
    <w:rsid w:val="00A21355"/>
    <w:rsid w:val="00A242DA"/>
    <w:rsid w:val="00A32827"/>
    <w:rsid w:val="00A36D7A"/>
    <w:rsid w:val="00A46D98"/>
    <w:rsid w:val="00A5714F"/>
    <w:rsid w:val="00A671F7"/>
    <w:rsid w:val="00A6743C"/>
    <w:rsid w:val="00A70374"/>
    <w:rsid w:val="00A750AA"/>
    <w:rsid w:val="00A75A0E"/>
    <w:rsid w:val="00A80CD8"/>
    <w:rsid w:val="00A9720B"/>
    <w:rsid w:val="00AA0571"/>
    <w:rsid w:val="00AA6B1A"/>
    <w:rsid w:val="00AB2058"/>
    <w:rsid w:val="00AB6BD1"/>
    <w:rsid w:val="00AD7549"/>
    <w:rsid w:val="00AD7AFE"/>
    <w:rsid w:val="00AE247E"/>
    <w:rsid w:val="00AE3624"/>
    <w:rsid w:val="00AE3FE1"/>
    <w:rsid w:val="00AE5685"/>
    <w:rsid w:val="00AE6AB1"/>
    <w:rsid w:val="00B060EE"/>
    <w:rsid w:val="00B13EB4"/>
    <w:rsid w:val="00B20165"/>
    <w:rsid w:val="00B23FC7"/>
    <w:rsid w:val="00B25605"/>
    <w:rsid w:val="00B40E12"/>
    <w:rsid w:val="00B457EC"/>
    <w:rsid w:val="00B53D71"/>
    <w:rsid w:val="00B556E5"/>
    <w:rsid w:val="00B65654"/>
    <w:rsid w:val="00B74C59"/>
    <w:rsid w:val="00B81D1B"/>
    <w:rsid w:val="00B82715"/>
    <w:rsid w:val="00B85216"/>
    <w:rsid w:val="00B85D60"/>
    <w:rsid w:val="00B86CFA"/>
    <w:rsid w:val="00B907F2"/>
    <w:rsid w:val="00B93CE9"/>
    <w:rsid w:val="00BA11D6"/>
    <w:rsid w:val="00BA4EB1"/>
    <w:rsid w:val="00BA5EB8"/>
    <w:rsid w:val="00BB2045"/>
    <w:rsid w:val="00BD096E"/>
    <w:rsid w:val="00BD2FCB"/>
    <w:rsid w:val="00BD3A85"/>
    <w:rsid w:val="00BD3E86"/>
    <w:rsid w:val="00BE41EB"/>
    <w:rsid w:val="00C02743"/>
    <w:rsid w:val="00C17033"/>
    <w:rsid w:val="00C25F03"/>
    <w:rsid w:val="00C30B34"/>
    <w:rsid w:val="00C3427F"/>
    <w:rsid w:val="00C53184"/>
    <w:rsid w:val="00C554E6"/>
    <w:rsid w:val="00C61E79"/>
    <w:rsid w:val="00C63FC4"/>
    <w:rsid w:val="00C752DF"/>
    <w:rsid w:val="00C83CE9"/>
    <w:rsid w:val="00C978C0"/>
    <w:rsid w:val="00CA030B"/>
    <w:rsid w:val="00CA6CB2"/>
    <w:rsid w:val="00CB1433"/>
    <w:rsid w:val="00CB68BD"/>
    <w:rsid w:val="00CC1D39"/>
    <w:rsid w:val="00CC3F48"/>
    <w:rsid w:val="00CE4C22"/>
    <w:rsid w:val="00CE79DE"/>
    <w:rsid w:val="00CF43BF"/>
    <w:rsid w:val="00D034EB"/>
    <w:rsid w:val="00D03777"/>
    <w:rsid w:val="00D063CC"/>
    <w:rsid w:val="00D1412E"/>
    <w:rsid w:val="00D1772D"/>
    <w:rsid w:val="00D3318B"/>
    <w:rsid w:val="00D33474"/>
    <w:rsid w:val="00D36B8C"/>
    <w:rsid w:val="00D50398"/>
    <w:rsid w:val="00D5793C"/>
    <w:rsid w:val="00D65D5D"/>
    <w:rsid w:val="00D7296A"/>
    <w:rsid w:val="00D8279E"/>
    <w:rsid w:val="00D868A6"/>
    <w:rsid w:val="00D942A1"/>
    <w:rsid w:val="00D95648"/>
    <w:rsid w:val="00D96BCB"/>
    <w:rsid w:val="00DA06CF"/>
    <w:rsid w:val="00DA13C2"/>
    <w:rsid w:val="00DA2637"/>
    <w:rsid w:val="00DB3F2C"/>
    <w:rsid w:val="00DB511C"/>
    <w:rsid w:val="00DC0FB2"/>
    <w:rsid w:val="00DC25AE"/>
    <w:rsid w:val="00DC6956"/>
    <w:rsid w:val="00DD0663"/>
    <w:rsid w:val="00DD24AD"/>
    <w:rsid w:val="00DD2DAE"/>
    <w:rsid w:val="00DD39A4"/>
    <w:rsid w:val="00DD432B"/>
    <w:rsid w:val="00DE61A3"/>
    <w:rsid w:val="00DE743B"/>
    <w:rsid w:val="00DF6075"/>
    <w:rsid w:val="00E24D86"/>
    <w:rsid w:val="00E26745"/>
    <w:rsid w:val="00E50C2E"/>
    <w:rsid w:val="00E827DD"/>
    <w:rsid w:val="00E85E23"/>
    <w:rsid w:val="00E86D9F"/>
    <w:rsid w:val="00EA35B8"/>
    <w:rsid w:val="00EA48A9"/>
    <w:rsid w:val="00EA4F22"/>
    <w:rsid w:val="00EB4973"/>
    <w:rsid w:val="00EB4D6E"/>
    <w:rsid w:val="00EC63A8"/>
    <w:rsid w:val="00ED21F1"/>
    <w:rsid w:val="00ED5384"/>
    <w:rsid w:val="00ED64B4"/>
    <w:rsid w:val="00EE7D7F"/>
    <w:rsid w:val="00EF156E"/>
    <w:rsid w:val="00EF320F"/>
    <w:rsid w:val="00EF35D3"/>
    <w:rsid w:val="00EF3677"/>
    <w:rsid w:val="00EF7D97"/>
    <w:rsid w:val="00F064B8"/>
    <w:rsid w:val="00F0732D"/>
    <w:rsid w:val="00F125FA"/>
    <w:rsid w:val="00F15BAB"/>
    <w:rsid w:val="00F23A3E"/>
    <w:rsid w:val="00F25853"/>
    <w:rsid w:val="00F25BA5"/>
    <w:rsid w:val="00F25BB3"/>
    <w:rsid w:val="00F27E4B"/>
    <w:rsid w:val="00F35FF8"/>
    <w:rsid w:val="00F366AB"/>
    <w:rsid w:val="00F5147C"/>
    <w:rsid w:val="00F52AB0"/>
    <w:rsid w:val="00F60CDD"/>
    <w:rsid w:val="00F703D4"/>
    <w:rsid w:val="00F84EA0"/>
    <w:rsid w:val="00FB08CC"/>
    <w:rsid w:val="00FB5B39"/>
    <w:rsid w:val="00FC47BF"/>
    <w:rsid w:val="00FD2C56"/>
    <w:rsid w:val="00FE0584"/>
    <w:rsid w:val="00FE0D82"/>
    <w:rsid w:val="00FE33D3"/>
    <w:rsid w:val="00FF058C"/>
    <w:rsid w:val="00FF3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82715"/>
    <w:pPr>
      <w:spacing w:before="60" w:line="300" w:lineRule="atLeast"/>
      <w:ind w:firstLine="567"/>
      <w:jc w:val="both"/>
    </w:pPr>
    <w:rPr>
      <w:rFonts w:ascii="Arial" w:eastAsia="Times New Roman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01593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163AB9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1593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36D7A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A36D7A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rsid w:val="00163AB9"/>
    <w:rPr>
      <w:rFonts w:ascii="Times New Roman" w:eastAsia="Times New Roman" w:hAnsi="Times New Roman"/>
      <w:b/>
      <w:bCs/>
      <w:sz w:val="36"/>
      <w:szCs w:val="36"/>
    </w:rPr>
  </w:style>
  <w:style w:type="character" w:styleId="Siln">
    <w:name w:val="Strong"/>
    <w:uiPriority w:val="22"/>
    <w:qFormat/>
    <w:rsid w:val="00163AB9"/>
    <w:rPr>
      <w:b/>
      <w:bCs/>
    </w:rPr>
  </w:style>
  <w:style w:type="paragraph" w:customStyle="1" w:styleId="TabNadpis">
    <w:name w:val="TabNadpis"/>
    <w:basedOn w:val="Normln"/>
    <w:next w:val="Normln"/>
    <w:link w:val="TabNadpisChar"/>
    <w:rsid w:val="00B82715"/>
    <w:pPr>
      <w:keepNext/>
      <w:spacing w:before="0" w:after="120" w:line="240" w:lineRule="auto"/>
      <w:ind w:left="1021" w:hanging="1021"/>
    </w:pPr>
    <w:rPr>
      <w:b/>
    </w:rPr>
  </w:style>
  <w:style w:type="paragraph" w:customStyle="1" w:styleId="TabPoz">
    <w:name w:val="TabPoz"/>
    <w:basedOn w:val="TabNadpis"/>
    <w:link w:val="TabPozChar"/>
    <w:rsid w:val="00B82715"/>
    <w:pPr>
      <w:spacing w:before="60" w:after="0"/>
      <w:ind w:left="284" w:hanging="284"/>
    </w:pPr>
    <w:rPr>
      <w:i/>
      <w:sz w:val="16"/>
    </w:rPr>
  </w:style>
  <w:style w:type="character" w:customStyle="1" w:styleId="TabNadpisChar">
    <w:name w:val="TabNadpis Char"/>
    <w:link w:val="TabNadpis"/>
    <w:rsid w:val="00B82715"/>
    <w:rPr>
      <w:rFonts w:ascii="Arial" w:eastAsia="Times New Roman" w:hAnsi="Arial"/>
      <w:b/>
    </w:rPr>
  </w:style>
  <w:style w:type="character" w:customStyle="1" w:styleId="TabPozChar">
    <w:name w:val="TabPoz Char"/>
    <w:link w:val="TabPoz"/>
    <w:rsid w:val="00B82715"/>
    <w:rPr>
      <w:rFonts w:ascii="Arial" w:eastAsia="Times New Roman" w:hAnsi="Arial"/>
      <w:b/>
      <w:i/>
      <w:sz w:val="16"/>
    </w:rPr>
  </w:style>
  <w:style w:type="table" w:styleId="Mkatabulky">
    <w:name w:val="Table Grid"/>
    <w:basedOn w:val="Normlntabulka"/>
    <w:uiPriority w:val="59"/>
    <w:rsid w:val="00B827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6Char">
    <w:name w:val="Nadpis 6 Char"/>
    <w:link w:val="Nadpis6"/>
    <w:uiPriority w:val="9"/>
    <w:semiHidden/>
    <w:rsid w:val="00A36D7A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8Char">
    <w:name w:val="Nadpis 8 Char"/>
    <w:link w:val="Nadpis8"/>
    <w:uiPriority w:val="9"/>
    <w:rsid w:val="00A36D7A"/>
    <w:rPr>
      <w:rFonts w:ascii="Calibri" w:eastAsia="Times New Roman" w:hAnsi="Calibri" w:cs="Times New Roman"/>
      <w:i/>
      <w:iCs/>
      <w:sz w:val="24"/>
      <w:szCs w:val="24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A36D7A"/>
    <w:pPr>
      <w:spacing w:before="0" w:line="240" w:lineRule="auto"/>
      <w:ind w:firstLine="0"/>
    </w:pPr>
    <w:rPr>
      <w:color w:val="000000"/>
      <w:sz w:val="22"/>
      <w:szCs w:val="22"/>
    </w:rPr>
  </w:style>
  <w:style w:type="character" w:customStyle="1" w:styleId="Zkladntext3Char">
    <w:name w:val="Základní text 3 Char"/>
    <w:link w:val="Zkladntext3"/>
    <w:uiPriority w:val="99"/>
    <w:semiHidden/>
    <w:rsid w:val="00A36D7A"/>
    <w:rPr>
      <w:rFonts w:ascii="Arial" w:eastAsia="Times New Roman" w:hAnsi="Arial" w:cs="Arial"/>
      <w:color w:val="000000"/>
      <w:sz w:val="22"/>
      <w:szCs w:val="22"/>
    </w:rPr>
  </w:style>
  <w:style w:type="paragraph" w:customStyle="1" w:styleId="Styl1">
    <w:name w:val="Styl1"/>
    <w:basedOn w:val="Normln"/>
    <w:link w:val="Styl1Char"/>
    <w:qFormat/>
    <w:rsid w:val="00A5714F"/>
    <w:pPr>
      <w:spacing w:before="0"/>
      <w:ind w:firstLine="0"/>
      <w:contextualSpacing/>
    </w:pPr>
    <w:rPr>
      <w:b/>
    </w:rPr>
  </w:style>
  <w:style w:type="paragraph" w:customStyle="1" w:styleId="Styl2">
    <w:name w:val="Styl2"/>
    <w:basedOn w:val="TabNadpis"/>
    <w:link w:val="Styl2Char"/>
    <w:qFormat/>
    <w:rsid w:val="00090DFE"/>
    <w:pPr>
      <w:ind w:left="709" w:hanging="709"/>
      <w:contextualSpacing/>
    </w:pPr>
  </w:style>
  <w:style w:type="character" w:customStyle="1" w:styleId="Styl1Char">
    <w:name w:val="Styl1 Char"/>
    <w:link w:val="Styl1"/>
    <w:rsid w:val="00A5714F"/>
    <w:rPr>
      <w:rFonts w:ascii="Arial" w:eastAsia="Times New Roman" w:hAnsi="Arial"/>
      <w:b/>
    </w:rPr>
  </w:style>
  <w:style w:type="character" w:customStyle="1" w:styleId="Nadpis1Char">
    <w:name w:val="Nadpis 1 Char"/>
    <w:link w:val="Nadpis1"/>
    <w:uiPriority w:val="9"/>
    <w:rsid w:val="0001593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Styl2Char">
    <w:name w:val="Styl2 Char"/>
    <w:link w:val="Styl2"/>
    <w:rsid w:val="00090DFE"/>
    <w:rPr>
      <w:rFonts w:ascii="Arial" w:eastAsia="Times New Roman" w:hAnsi="Arial"/>
      <w:b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01593B"/>
    <w:pPr>
      <w:keepLines/>
      <w:spacing w:before="480" w:after="0" w:line="276" w:lineRule="auto"/>
      <w:ind w:firstLine="0"/>
      <w:jc w:val="left"/>
      <w:outlineLvl w:val="9"/>
    </w:pPr>
    <w:rPr>
      <w:color w:val="365F91"/>
      <w:kern w:val="0"/>
      <w:sz w:val="28"/>
      <w:szCs w:val="28"/>
      <w:lang w:eastAsia="en-US"/>
    </w:rPr>
  </w:style>
  <w:style w:type="character" w:customStyle="1" w:styleId="Nadpis3Char">
    <w:name w:val="Nadpis 3 Char"/>
    <w:link w:val="Nadpis3"/>
    <w:uiPriority w:val="9"/>
    <w:rsid w:val="0001593B"/>
    <w:rPr>
      <w:rFonts w:ascii="Cambria" w:eastAsia="Times New Roman" w:hAnsi="Cambria" w:cs="Times New Roman"/>
      <w:b/>
      <w:bCs/>
      <w:sz w:val="26"/>
      <w:szCs w:val="26"/>
    </w:rPr>
  </w:style>
  <w:style w:type="paragraph" w:styleId="Obsah9">
    <w:name w:val="toc 9"/>
    <w:basedOn w:val="Normln"/>
    <w:next w:val="Normln"/>
    <w:autoRedefine/>
    <w:uiPriority w:val="39"/>
    <w:semiHidden/>
    <w:unhideWhenUsed/>
    <w:rsid w:val="0001593B"/>
    <w:pPr>
      <w:ind w:left="1600"/>
    </w:pPr>
  </w:style>
  <w:style w:type="paragraph" w:styleId="Obsah1">
    <w:name w:val="toc 1"/>
    <w:basedOn w:val="Normln"/>
    <w:next w:val="Normln"/>
    <w:autoRedefine/>
    <w:uiPriority w:val="39"/>
    <w:unhideWhenUsed/>
    <w:rsid w:val="0001593B"/>
  </w:style>
  <w:style w:type="character" w:styleId="Hypertextovodkaz">
    <w:name w:val="Hyperlink"/>
    <w:uiPriority w:val="99"/>
    <w:unhideWhenUsed/>
    <w:rsid w:val="0001593B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0906F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0906F6"/>
    <w:rPr>
      <w:rFonts w:ascii="Arial" w:eastAsia="Times New Roman" w:hAnsi="Arial"/>
    </w:rPr>
  </w:style>
  <w:style w:type="paragraph" w:styleId="Zpat">
    <w:name w:val="footer"/>
    <w:basedOn w:val="Normln"/>
    <w:link w:val="ZpatChar"/>
    <w:uiPriority w:val="99"/>
    <w:unhideWhenUsed/>
    <w:rsid w:val="000906F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906F6"/>
    <w:rPr>
      <w:rFonts w:ascii="Arial" w:eastAsia="Times New Roman" w:hAnsi="Aria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101B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8101B"/>
    <w:rPr>
      <w:rFonts w:ascii="Tahoma" w:eastAsia="Times New Roman" w:hAnsi="Tahoma" w:cs="Tahoma"/>
      <w:sz w:val="16"/>
      <w:szCs w:val="16"/>
    </w:rPr>
  </w:style>
  <w:style w:type="paragraph" w:styleId="Bezmezer">
    <w:name w:val="No Spacing"/>
    <w:link w:val="BezmezerChar"/>
    <w:uiPriority w:val="1"/>
    <w:qFormat/>
    <w:rsid w:val="007E03F5"/>
    <w:rPr>
      <w:rFonts w:eastAsia="Times New Roman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1"/>
    <w:rsid w:val="007E03F5"/>
    <w:rPr>
      <w:rFonts w:eastAsia="Times New Roman"/>
      <w:sz w:val="22"/>
      <w:szCs w:val="22"/>
      <w:lang w:eastAsia="en-US"/>
    </w:rPr>
  </w:style>
  <w:style w:type="paragraph" w:styleId="Obsah3">
    <w:name w:val="toc 3"/>
    <w:basedOn w:val="Normln"/>
    <w:next w:val="Normln"/>
    <w:autoRedefine/>
    <w:uiPriority w:val="39"/>
    <w:unhideWhenUsed/>
    <w:rsid w:val="007E03F5"/>
    <w:pPr>
      <w:spacing w:before="0" w:after="200" w:line="240" w:lineRule="auto"/>
      <w:ind w:left="440" w:firstLine="0"/>
    </w:pPr>
    <w:rPr>
      <w:rFonts w:ascii="Calibri" w:eastAsia="Calibri" w:hAnsi="Calibri"/>
      <w:sz w:val="22"/>
      <w:szCs w:val="22"/>
      <w:lang w:eastAsia="en-US"/>
    </w:rPr>
  </w:style>
  <w:style w:type="paragraph" w:customStyle="1" w:styleId="Dovoz">
    <w:name w:val="Dovoz"/>
    <w:aliases w:val="vývoz"/>
    <w:basedOn w:val="Normln"/>
    <w:link w:val="DovozChar"/>
    <w:qFormat/>
    <w:rsid w:val="007E03F5"/>
    <w:pPr>
      <w:spacing w:before="0" w:after="200" w:line="240" w:lineRule="auto"/>
      <w:ind w:firstLine="0"/>
    </w:pPr>
    <w:rPr>
      <w:rFonts w:ascii="Calibri" w:eastAsia="Calibri" w:hAnsi="Calibri"/>
      <w:b/>
      <w:noProof/>
      <w:sz w:val="22"/>
      <w:szCs w:val="22"/>
    </w:rPr>
  </w:style>
  <w:style w:type="character" w:customStyle="1" w:styleId="DovozChar">
    <w:name w:val="Dovoz Char"/>
    <w:aliases w:val="vývoz Char"/>
    <w:link w:val="Dovoz"/>
    <w:rsid w:val="007E03F5"/>
    <w:rPr>
      <w:b/>
      <w:noProof/>
      <w:sz w:val="22"/>
      <w:szCs w:val="22"/>
    </w:rPr>
  </w:style>
  <w:style w:type="paragraph" w:customStyle="1" w:styleId="TabPramZprac">
    <w:name w:val="TabPramZprac"/>
    <w:basedOn w:val="Normln"/>
    <w:link w:val="TabPramZpracChar"/>
    <w:rsid w:val="006F1CE6"/>
    <w:pPr>
      <w:keepNext/>
      <w:spacing w:line="240" w:lineRule="auto"/>
      <w:ind w:left="851" w:hanging="851"/>
    </w:pPr>
    <w:rPr>
      <w:i/>
      <w:sz w:val="16"/>
    </w:rPr>
  </w:style>
  <w:style w:type="character" w:customStyle="1" w:styleId="TabPramZpracChar">
    <w:name w:val="TabPramZprac Char"/>
    <w:basedOn w:val="Standardnpsmoodstavce"/>
    <w:link w:val="TabPramZprac"/>
    <w:rsid w:val="006F1CE6"/>
    <w:rPr>
      <w:rFonts w:ascii="Arial" w:eastAsia="Times New Roman" w:hAnsi="Arial"/>
      <w:i/>
      <w:sz w:val="16"/>
    </w:rPr>
  </w:style>
  <w:style w:type="paragraph" w:customStyle="1" w:styleId="mezera">
    <w:name w:val="mezera"/>
    <w:basedOn w:val="Normln"/>
    <w:next w:val="Normln"/>
    <w:rsid w:val="006F1CE6"/>
    <w:pPr>
      <w:spacing w:line="240" w:lineRule="auto"/>
      <w:ind w:firstLine="0"/>
    </w:pPr>
    <w:rPr>
      <w:sz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5F352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F3529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F3529"/>
    <w:rPr>
      <w:rFonts w:ascii="Arial" w:eastAsia="Times New Roman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F352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F3529"/>
    <w:rPr>
      <w:rFonts w:ascii="Arial" w:eastAsia="Times New Roman" w:hAnsi="Arial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70806"/>
    <w:pPr>
      <w:spacing w:before="0" w:line="240" w:lineRule="auto"/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70806"/>
    <w:rPr>
      <w:rFonts w:ascii="Arial" w:eastAsia="Times New Roman" w:hAnsi="Arial"/>
    </w:rPr>
  </w:style>
  <w:style w:type="character" w:styleId="Znakapoznpodarou">
    <w:name w:val="footnote reference"/>
    <w:basedOn w:val="Standardnpsmoodstavce"/>
    <w:uiPriority w:val="99"/>
    <w:semiHidden/>
    <w:unhideWhenUsed/>
    <w:rsid w:val="00970806"/>
    <w:rPr>
      <w:vertAlign w:val="superscript"/>
    </w:rPr>
  </w:style>
  <w:style w:type="paragraph" w:customStyle="1" w:styleId="UZEI-logo">
    <w:name w:val="UZEI-logo"/>
    <w:basedOn w:val="Normln"/>
    <w:next w:val="Normln"/>
    <w:rsid w:val="00273FDF"/>
    <w:pPr>
      <w:keepNext/>
      <w:spacing w:before="120" w:line="240" w:lineRule="auto"/>
      <w:ind w:firstLine="0"/>
      <w:jc w:val="center"/>
    </w:pPr>
    <w:rPr>
      <w:b/>
      <w:caps/>
      <w:kern w:val="28"/>
      <w:szCs w:val="24"/>
    </w:rPr>
  </w:style>
  <w:style w:type="paragraph" w:customStyle="1" w:styleId="T-nzevvstupu">
    <w:name w:val="TÚ - název výstupu"/>
    <w:basedOn w:val="Normln"/>
    <w:next w:val="T-sloanzev"/>
    <w:rsid w:val="00273FDF"/>
    <w:pPr>
      <w:pBdr>
        <w:bottom w:val="single" w:sz="4" w:space="1" w:color="548DD4"/>
      </w:pBdr>
      <w:spacing w:before="2160" w:line="240" w:lineRule="auto"/>
      <w:ind w:firstLine="0"/>
      <w:jc w:val="center"/>
    </w:pPr>
    <w:rPr>
      <w:sz w:val="56"/>
      <w:szCs w:val="56"/>
    </w:rPr>
  </w:style>
  <w:style w:type="paragraph" w:customStyle="1" w:styleId="T-sloanzev">
    <w:name w:val="TÚ - číslo a název"/>
    <w:basedOn w:val="Normln"/>
    <w:next w:val="T-slovstupu"/>
    <w:rsid w:val="00273FDF"/>
    <w:pPr>
      <w:spacing w:before="0" w:line="240" w:lineRule="auto"/>
      <w:ind w:firstLine="0"/>
      <w:jc w:val="left"/>
    </w:pPr>
    <w:rPr>
      <w:szCs w:val="24"/>
    </w:rPr>
  </w:style>
  <w:style w:type="paragraph" w:customStyle="1" w:styleId="T-slovstupu">
    <w:name w:val="TÚ - číslo výstupu"/>
    <w:basedOn w:val="T-sloanzev"/>
    <w:next w:val="T-odpovdneitel"/>
    <w:rsid w:val="00273FDF"/>
    <w:pPr>
      <w:spacing w:before="240"/>
      <w:jc w:val="center"/>
    </w:pPr>
  </w:style>
  <w:style w:type="paragraph" w:customStyle="1" w:styleId="T-odpovdneitel">
    <w:name w:val="TÚ - odpovědný řešitel"/>
    <w:basedOn w:val="T-sloanzev"/>
    <w:next w:val="T-spolueitel1"/>
    <w:rsid w:val="00273FDF"/>
    <w:pPr>
      <w:spacing w:before="1800"/>
      <w:ind w:left="2268" w:hanging="2268"/>
    </w:pPr>
  </w:style>
  <w:style w:type="paragraph" w:customStyle="1" w:styleId="T-spolueitel1">
    <w:name w:val="TÚ - spoluřešitel1"/>
    <w:basedOn w:val="T-sloanzev"/>
    <w:qFormat/>
    <w:rsid w:val="00273FDF"/>
    <w:pPr>
      <w:spacing w:before="240"/>
      <w:ind w:left="2268" w:hanging="226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82715"/>
    <w:pPr>
      <w:spacing w:before="60" w:line="300" w:lineRule="atLeast"/>
      <w:ind w:firstLine="567"/>
      <w:jc w:val="both"/>
    </w:pPr>
    <w:rPr>
      <w:rFonts w:ascii="Arial" w:eastAsia="Times New Roman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01593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163AB9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1593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36D7A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A36D7A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rsid w:val="00163AB9"/>
    <w:rPr>
      <w:rFonts w:ascii="Times New Roman" w:eastAsia="Times New Roman" w:hAnsi="Times New Roman"/>
      <w:b/>
      <w:bCs/>
      <w:sz w:val="36"/>
      <w:szCs w:val="36"/>
    </w:rPr>
  </w:style>
  <w:style w:type="character" w:styleId="Siln">
    <w:name w:val="Strong"/>
    <w:uiPriority w:val="22"/>
    <w:qFormat/>
    <w:rsid w:val="00163AB9"/>
    <w:rPr>
      <w:b/>
      <w:bCs/>
    </w:rPr>
  </w:style>
  <w:style w:type="paragraph" w:customStyle="1" w:styleId="TabNadpis">
    <w:name w:val="TabNadpis"/>
    <w:basedOn w:val="Normln"/>
    <w:next w:val="Normln"/>
    <w:link w:val="TabNadpisChar"/>
    <w:rsid w:val="00B82715"/>
    <w:pPr>
      <w:keepNext/>
      <w:spacing w:before="0" w:after="120" w:line="240" w:lineRule="auto"/>
      <w:ind w:left="1021" w:hanging="1021"/>
    </w:pPr>
    <w:rPr>
      <w:b/>
    </w:rPr>
  </w:style>
  <w:style w:type="paragraph" w:customStyle="1" w:styleId="TabPoz">
    <w:name w:val="TabPoz"/>
    <w:basedOn w:val="TabNadpis"/>
    <w:link w:val="TabPozChar"/>
    <w:rsid w:val="00B82715"/>
    <w:pPr>
      <w:spacing w:before="60" w:after="0"/>
      <w:ind w:left="284" w:hanging="284"/>
    </w:pPr>
    <w:rPr>
      <w:i/>
      <w:sz w:val="16"/>
    </w:rPr>
  </w:style>
  <w:style w:type="character" w:customStyle="1" w:styleId="TabNadpisChar">
    <w:name w:val="TabNadpis Char"/>
    <w:link w:val="TabNadpis"/>
    <w:rsid w:val="00B82715"/>
    <w:rPr>
      <w:rFonts w:ascii="Arial" w:eastAsia="Times New Roman" w:hAnsi="Arial"/>
      <w:b/>
    </w:rPr>
  </w:style>
  <w:style w:type="character" w:customStyle="1" w:styleId="TabPozChar">
    <w:name w:val="TabPoz Char"/>
    <w:link w:val="TabPoz"/>
    <w:rsid w:val="00B82715"/>
    <w:rPr>
      <w:rFonts w:ascii="Arial" w:eastAsia="Times New Roman" w:hAnsi="Arial"/>
      <w:b/>
      <w:i/>
      <w:sz w:val="16"/>
    </w:rPr>
  </w:style>
  <w:style w:type="table" w:styleId="Mkatabulky">
    <w:name w:val="Table Grid"/>
    <w:basedOn w:val="Normlntabulka"/>
    <w:uiPriority w:val="59"/>
    <w:rsid w:val="00B827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6Char">
    <w:name w:val="Nadpis 6 Char"/>
    <w:link w:val="Nadpis6"/>
    <w:uiPriority w:val="9"/>
    <w:semiHidden/>
    <w:rsid w:val="00A36D7A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8Char">
    <w:name w:val="Nadpis 8 Char"/>
    <w:link w:val="Nadpis8"/>
    <w:uiPriority w:val="9"/>
    <w:rsid w:val="00A36D7A"/>
    <w:rPr>
      <w:rFonts w:ascii="Calibri" w:eastAsia="Times New Roman" w:hAnsi="Calibri" w:cs="Times New Roman"/>
      <w:i/>
      <w:iCs/>
      <w:sz w:val="24"/>
      <w:szCs w:val="24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A36D7A"/>
    <w:pPr>
      <w:spacing w:before="0" w:line="240" w:lineRule="auto"/>
      <w:ind w:firstLine="0"/>
    </w:pPr>
    <w:rPr>
      <w:color w:val="000000"/>
      <w:sz w:val="22"/>
      <w:szCs w:val="22"/>
    </w:rPr>
  </w:style>
  <w:style w:type="character" w:customStyle="1" w:styleId="Zkladntext3Char">
    <w:name w:val="Základní text 3 Char"/>
    <w:link w:val="Zkladntext3"/>
    <w:uiPriority w:val="99"/>
    <w:semiHidden/>
    <w:rsid w:val="00A36D7A"/>
    <w:rPr>
      <w:rFonts w:ascii="Arial" w:eastAsia="Times New Roman" w:hAnsi="Arial" w:cs="Arial"/>
      <w:color w:val="000000"/>
      <w:sz w:val="22"/>
      <w:szCs w:val="22"/>
    </w:rPr>
  </w:style>
  <w:style w:type="paragraph" w:customStyle="1" w:styleId="Styl1">
    <w:name w:val="Styl1"/>
    <w:basedOn w:val="Normln"/>
    <w:link w:val="Styl1Char"/>
    <w:qFormat/>
    <w:rsid w:val="00A5714F"/>
    <w:pPr>
      <w:spacing w:before="0"/>
      <w:ind w:firstLine="0"/>
      <w:contextualSpacing/>
    </w:pPr>
    <w:rPr>
      <w:b/>
    </w:rPr>
  </w:style>
  <w:style w:type="paragraph" w:customStyle="1" w:styleId="Styl2">
    <w:name w:val="Styl2"/>
    <w:basedOn w:val="TabNadpis"/>
    <w:link w:val="Styl2Char"/>
    <w:qFormat/>
    <w:rsid w:val="00090DFE"/>
    <w:pPr>
      <w:ind w:left="709" w:hanging="709"/>
      <w:contextualSpacing/>
    </w:pPr>
  </w:style>
  <w:style w:type="character" w:customStyle="1" w:styleId="Styl1Char">
    <w:name w:val="Styl1 Char"/>
    <w:link w:val="Styl1"/>
    <w:rsid w:val="00A5714F"/>
    <w:rPr>
      <w:rFonts w:ascii="Arial" w:eastAsia="Times New Roman" w:hAnsi="Arial"/>
      <w:b/>
    </w:rPr>
  </w:style>
  <w:style w:type="character" w:customStyle="1" w:styleId="Nadpis1Char">
    <w:name w:val="Nadpis 1 Char"/>
    <w:link w:val="Nadpis1"/>
    <w:uiPriority w:val="9"/>
    <w:rsid w:val="0001593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Styl2Char">
    <w:name w:val="Styl2 Char"/>
    <w:link w:val="Styl2"/>
    <w:rsid w:val="00090DFE"/>
    <w:rPr>
      <w:rFonts w:ascii="Arial" w:eastAsia="Times New Roman" w:hAnsi="Arial"/>
      <w:b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01593B"/>
    <w:pPr>
      <w:keepLines/>
      <w:spacing w:before="480" w:after="0" w:line="276" w:lineRule="auto"/>
      <w:ind w:firstLine="0"/>
      <w:jc w:val="left"/>
      <w:outlineLvl w:val="9"/>
    </w:pPr>
    <w:rPr>
      <w:color w:val="365F91"/>
      <w:kern w:val="0"/>
      <w:sz w:val="28"/>
      <w:szCs w:val="28"/>
      <w:lang w:eastAsia="en-US"/>
    </w:rPr>
  </w:style>
  <w:style w:type="character" w:customStyle="1" w:styleId="Nadpis3Char">
    <w:name w:val="Nadpis 3 Char"/>
    <w:link w:val="Nadpis3"/>
    <w:uiPriority w:val="9"/>
    <w:rsid w:val="0001593B"/>
    <w:rPr>
      <w:rFonts w:ascii="Cambria" w:eastAsia="Times New Roman" w:hAnsi="Cambria" w:cs="Times New Roman"/>
      <w:b/>
      <w:bCs/>
      <w:sz w:val="26"/>
      <w:szCs w:val="26"/>
    </w:rPr>
  </w:style>
  <w:style w:type="paragraph" w:styleId="Obsah9">
    <w:name w:val="toc 9"/>
    <w:basedOn w:val="Normln"/>
    <w:next w:val="Normln"/>
    <w:autoRedefine/>
    <w:uiPriority w:val="39"/>
    <w:semiHidden/>
    <w:unhideWhenUsed/>
    <w:rsid w:val="0001593B"/>
    <w:pPr>
      <w:ind w:left="1600"/>
    </w:pPr>
  </w:style>
  <w:style w:type="paragraph" w:styleId="Obsah1">
    <w:name w:val="toc 1"/>
    <w:basedOn w:val="Normln"/>
    <w:next w:val="Normln"/>
    <w:autoRedefine/>
    <w:uiPriority w:val="39"/>
    <w:unhideWhenUsed/>
    <w:rsid w:val="0001593B"/>
  </w:style>
  <w:style w:type="character" w:styleId="Hypertextovodkaz">
    <w:name w:val="Hyperlink"/>
    <w:uiPriority w:val="99"/>
    <w:unhideWhenUsed/>
    <w:rsid w:val="0001593B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0906F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0906F6"/>
    <w:rPr>
      <w:rFonts w:ascii="Arial" w:eastAsia="Times New Roman" w:hAnsi="Arial"/>
    </w:rPr>
  </w:style>
  <w:style w:type="paragraph" w:styleId="Zpat">
    <w:name w:val="footer"/>
    <w:basedOn w:val="Normln"/>
    <w:link w:val="ZpatChar"/>
    <w:uiPriority w:val="99"/>
    <w:unhideWhenUsed/>
    <w:rsid w:val="000906F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906F6"/>
    <w:rPr>
      <w:rFonts w:ascii="Arial" w:eastAsia="Times New Roman" w:hAnsi="Aria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101B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8101B"/>
    <w:rPr>
      <w:rFonts w:ascii="Tahoma" w:eastAsia="Times New Roman" w:hAnsi="Tahoma" w:cs="Tahoma"/>
      <w:sz w:val="16"/>
      <w:szCs w:val="16"/>
    </w:rPr>
  </w:style>
  <w:style w:type="paragraph" w:styleId="Bezmezer">
    <w:name w:val="No Spacing"/>
    <w:link w:val="BezmezerChar"/>
    <w:uiPriority w:val="1"/>
    <w:qFormat/>
    <w:rsid w:val="007E03F5"/>
    <w:rPr>
      <w:rFonts w:eastAsia="Times New Roman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1"/>
    <w:rsid w:val="007E03F5"/>
    <w:rPr>
      <w:rFonts w:eastAsia="Times New Roman"/>
      <w:sz w:val="22"/>
      <w:szCs w:val="22"/>
      <w:lang w:eastAsia="en-US"/>
    </w:rPr>
  </w:style>
  <w:style w:type="paragraph" w:styleId="Obsah3">
    <w:name w:val="toc 3"/>
    <w:basedOn w:val="Normln"/>
    <w:next w:val="Normln"/>
    <w:autoRedefine/>
    <w:uiPriority w:val="39"/>
    <w:unhideWhenUsed/>
    <w:rsid w:val="007E03F5"/>
    <w:pPr>
      <w:spacing w:before="0" w:after="200" w:line="240" w:lineRule="auto"/>
      <w:ind w:left="440" w:firstLine="0"/>
    </w:pPr>
    <w:rPr>
      <w:rFonts w:ascii="Calibri" w:eastAsia="Calibri" w:hAnsi="Calibri"/>
      <w:sz w:val="22"/>
      <w:szCs w:val="22"/>
      <w:lang w:eastAsia="en-US"/>
    </w:rPr>
  </w:style>
  <w:style w:type="paragraph" w:customStyle="1" w:styleId="Dovoz">
    <w:name w:val="Dovoz"/>
    <w:aliases w:val="vývoz"/>
    <w:basedOn w:val="Normln"/>
    <w:link w:val="DovozChar"/>
    <w:qFormat/>
    <w:rsid w:val="007E03F5"/>
    <w:pPr>
      <w:spacing w:before="0" w:after="200" w:line="240" w:lineRule="auto"/>
      <w:ind w:firstLine="0"/>
    </w:pPr>
    <w:rPr>
      <w:rFonts w:ascii="Calibri" w:eastAsia="Calibri" w:hAnsi="Calibri"/>
      <w:b/>
      <w:noProof/>
      <w:sz w:val="22"/>
      <w:szCs w:val="22"/>
    </w:rPr>
  </w:style>
  <w:style w:type="character" w:customStyle="1" w:styleId="DovozChar">
    <w:name w:val="Dovoz Char"/>
    <w:aliases w:val="vývoz Char"/>
    <w:link w:val="Dovoz"/>
    <w:rsid w:val="007E03F5"/>
    <w:rPr>
      <w:b/>
      <w:noProof/>
      <w:sz w:val="22"/>
      <w:szCs w:val="22"/>
    </w:rPr>
  </w:style>
  <w:style w:type="paragraph" w:customStyle="1" w:styleId="TabPramZprac">
    <w:name w:val="TabPramZprac"/>
    <w:basedOn w:val="Normln"/>
    <w:link w:val="TabPramZpracChar"/>
    <w:rsid w:val="006F1CE6"/>
    <w:pPr>
      <w:keepNext/>
      <w:spacing w:line="240" w:lineRule="auto"/>
      <w:ind w:left="851" w:hanging="851"/>
    </w:pPr>
    <w:rPr>
      <w:i/>
      <w:sz w:val="16"/>
    </w:rPr>
  </w:style>
  <w:style w:type="character" w:customStyle="1" w:styleId="TabPramZpracChar">
    <w:name w:val="TabPramZprac Char"/>
    <w:basedOn w:val="Standardnpsmoodstavce"/>
    <w:link w:val="TabPramZprac"/>
    <w:rsid w:val="006F1CE6"/>
    <w:rPr>
      <w:rFonts w:ascii="Arial" w:eastAsia="Times New Roman" w:hAnsi="Arial"/>
      <w:i/>
      <w:sz w:val="16"/>
    </w:rPr>
  </w:style>
  <w:style w:type="paragraph" w:customStyle="1" w:styleId="mezera">
    <w:name w:val="mezera"/>
    <w:basedOn w:val="Normln"/>
    <w:next w:val="Normln"/>
    <w:rsid w:val="006F1CE6"/>
    <w:pPr>
      <w:spacing w:line="240" w:lineRule="auto"/>
      <w:ind w:firstLine="0"/>
    </w:pPr>
    <w:rPr>
      <w:sz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5F352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F3529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F3529"/>
    <w:rPr>
      <w:rFonts w:ascii="Arial" w:eastAsia="Times New Roman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F352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F3529"/>
    <w:rPr>
      <w:rFonts w:ascii="Arial" w:eastAsia="Times New Roman" w:hAnsi="Arial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70806"/>
    <w:pPr>
      <w:spacing w:before="0" w:line="240" w:lineRule="auto"/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70806"/>
    <w:rPr>
      <w:rFonts w:ascii="Arial" w:eastAsia="Times New Roman" w:hAnsi="Arial"/>
    </w:rPr>
  </w:style>
  <w:style w:type="character" w:styleId="Znakapoznpodarou">
    <w:name w:val="footnote reference"/>
    <w:basedOn w:val="Standardnpsmoodstavce"/>
    <w:uiPriority w:val="99"/>
    <w:semiHidden/>
    <w:unhideWhenUsed/>
    <w:rsid w:val="00970806"/>
    <w:rPr>
      <w:vertAlign w:val="superscript"/>
    </w:rPr>
  </w:style>
  <w:style w:type="paragraph" w:customStyle="1" w:styleId="UZEI-logo">
    <w:name w:val="UZEI-logo"/>
    <w:basedOn w:val="Normln"/>
    <w:next w:val="Normln"/>
    <w:rsid w:val="00273FDF"/>
    <w:pPr>
      <w:keepNext/>
      <w:spacing w:before="120" w:line="240" w:lineRule="auto"/>
      <w:ind w:firstLine="0"/>
      <w:jc w:val="center"/>
    </w:pPr>
    <w:rPr>
      <w:b/>
      <w:caps/>
      <w:kern w:val="28"/>
      <w:szCs w:val="24"/>
    </w:rPr>
  </w:style>
  <w:style w:type="paragraph" w:customStyle="1" w:styleId="T-nzevvstupu">
    <w:name w:val="TÚ - název výstupu"/>
    <w:basedOn w:val="Normln"/>
    <w:next w:val="T-sloanzev"/>
    <w:rsid w:val="00273FDF"/>
    <w:pPr>
      <w:pBdr>
        <w:bottom w:val="single" w:sz="4" w:space="1" w:color="548DD4"/>
      </w:pBdr>
      <w:spacing w:before="2160" w:line="240" w:lineRule="auto"/>
      <w:ind w:firstLine="0"/>
      <w:jc w:val="center"/>
    </w:pPr>
    <w:rPr>
      <w:sz w:val="56"/>
      <w:szCs w:val="56"/>
    </w:rPr>
  </w:style>
  <w:style w:type="paragraph" w:customStyle="1" w:styleId="T-sloanzev">
    <w:name w:val="TÚ - číslo a název"/>
    <w:basedOn w:val="Normln"/>
    <w:next w:val="T-slovstupu"/>
    <w:rsid w:val="00273FDF"/>
    <w:pPr>
      <w:spacing w:before="0" w:line="240" w:lineRule="auto"/>
      <w:ind w:firstLine="0"/>
      <w:jc w:val="left"/>
    </w:pPr>
    <w:rPr>
      <w:szCs w:val="24"/>
    </w:rPr>
  </w:style>
  <w:style w:type="paragraph" w:customStyle="1" w:styleId="T-slovstupu">
    <w:name w:val="TÚ - číslo výstupu"/>
    <w:basedOn w:val="T-sloanzev"/>
    <w:next w:val="T-odpovdneitel"/>
    <w:rsid w:val="00273FDF"/>
    <w:pPr>
      <w:spacing w:before="240"/>
      <w:jc w:val="center"/>
    </w:pPr>
  </w:style>
  <w:style w:type="paragraph" w:customStyle="1" w:styleId="T-odpovdneitel">
    <w:name w:val="TÚ - odpovědný řešitel"/>
    <w:basedOn w:val="T-sloanzev"/>
    <w:next w:val="T-spolueitel1"/>
    <w:rsid w:val="00273FDF"/>
    <w:pPr>
      <w:spacing w:before="1800"/>
      <w:ind w:left="2268" w:hanging="2268"/>
    </w:pPr>
  </w:style>
  <w:style w:type="paragraph" w:customStyle="1" w:styleId="T-spolueitel1">
    <w:name w:val="TÚ - spoluřešitel1"/>
    <w:basedOn w:val="T-sloanzev"/>
    <w:qFormat/>
    <w:rsid w:val="00273FDF"/>
    <w:pPr>
      <w:spacing w:before="240"/>
      <w:ind w:left="2268" w:hanging="226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7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3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9.emf"/><Relationship Id="rId3" Type="http://schemas.openxmlformats.org/officeDocument/2006/relationships/styles" Target="styles.xml"/><Relationship Id="rId21" Type="http://schemas.openxmlformats.org/officeDocument/2006/relationships/image" Target="media/image12.emf"/><Relationship Id="rId7" Type="http://schemas.openxmlformats.org/officeDocument/2006/relationships/footnotes" Target="footnotes.xml"/><Relationship Id="rId12" Type="http://schemas.openxmlformats.org/officeDocument/2006/relationships/image" Target="media/image4.gif"/><Relationship Id="rId17" Type="http://schemas.openxmlformats.org/officeDocument/2006/relationships/image" Target="media/image8.emf"/><Relationship Id="rId2" Type="http://schemas.openxmlformats.org/officeDocument/2006/relationships/numbering" Target="numbering.xml"/><Relationship Id="rId16" Type="http://schemas.openxmlformats.org/officeDocument/2006/relationships/image" Target="media/image7.emf"/><Relationship Id="rId20" Type="http://schemas.openxmlformats.org/officeDocument/2006/relationships/image" Target="media/image11.e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6.emf"/><Relationship Id="rId23" Type="http://schemas.openxmlformats.org/officeDocument/2006/relationships/fontTable" Target="fontTable.xml"/><Relationship Id="rId10" Type="http://schemas.openxmlformats.org/officeDocument/2006/relationships/image" Target="media/image2.emf"/><Relationship Id="rId19" Type="http://schemas.openxmlformats.org/officeDocument/2006/relationships/image" Target="media/image10.emf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footer" Target="footer1.xml"/><Relationship Id="rId22" Type="http://schemas.openxmlformats.org/officeDocument/2006/relationships/image" Target="media/image13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8D6042-2E06-48ED-98E0-AE616B94C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14</Pages>
  <Words>1282</Words>
  <Characters>7567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8832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10002231</dc:creator>
  <cp:lastModifiedBy>Misiaczek Ondřej</cp:lastModifiedBy>
  <cp:revision>4</cp:revision>
  <cp:lastPrinted>2016-02-08T16:35:00Z</cp:lastPrinted>
  <dcterms:created xsi:type="dcterms:W3CDTF">2016-02-10T17:01:00Z</dcterms:created>
  <dcterms:modified xsi:type="dcterms:W3CDTF">2016-02-10T17:19:00Z</dcterms:modified>
</cp:coreProperties>
</file>