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BE" w:rsidRDefault="00411C4A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1F4EBE" w:rsidRDefault="00411C4A">
      <w:pPr>
        <w:rPr>
          <w:szCs w:val="22"/>
        </w:rPr>
      </w:pPr>
      <w:r>
        <w:rPr>
          <w:szCs w:val="22"/>
        </w:rPr>
        <w:t xml:space="preserve"> </w:t>
      </w:r>
    </w:p>
    <w:p w:rsidR="001F4EBE" w:rsidRDefault="00411C4A">
      <w:pPr>
        <w:jc w:val="center"/>
        <w:outlineLvl w:val="0"/>
        <w:rPr>
          <w:b/>
          <w:bCs/>
          <w:smallCaps/>
          <w:kern w:val="36"/>
          <w:sz w:val="28"/>
          <w:szCs w:val="22"/>
        </w:rPr>
      </w:pPr>
      <w:r>
        <w:rPr>
          <w:szCs w:val="22"/>
        </w:rPr>
        <w:t xml:space="preserve"> </w:t>
      </w:r>
      <w:r>
        <w:rPr>
          <w:b/>
          <w:bCs/>
          <w:smallCaps/>
          <w:kern w:val="36"/>
          <w:sz w:val="28"/>
          <w:szCs w:val="22"/>
        </w:rPr>
        <w:t xml:space="preserve">Výsledky agrárního zahraničního obchodu ČR </w:t>
      </w:r>
    </w:p>
    <w:p w:rsidR="001F4EBE" w:rsidRDefault="00411C4A">
      <w:pPr>
        <w:jc w:val="center"/>
        <w:outlineLvl w:val="0"/>
        <w:rPr>
          <w:b/>
          <w:bCs/>
          <w:smallCaps/>
          <w:kern w:val="36"/>
          <w:sz w:val="28"/>
          <w:szCs w:val="22"/>
        </w:rPr>
      </w:pPr>
      <w:r>
        <w:rPr>
          <w:b/>
          <w:bCs/>
          <w:smallCaps/>
          <w:kern w:val="36"/>
          <w:sz w:val="28"/>
          <w:szCs w:val="22"/>
        </w:rPr>
        <w:t>v 1. pololetí roku 2017</w:t>
      </w:r>
    </w:p>
    <w:p w:rsidR="001F4EBE" w:rsidRDefault="001F4EBE">
      <w:pPr>
        <w:jc w:val="center"/>
        <w:outlineLvl w:val="0"/>
        <w:rPr>
          <w:b/>
          <w:bCs/>
          <w:smallCaps/>
          <w:kern w:val="36"/>
          <w:szCs w:val="22"/>
        </w:rPr>
      </w:pP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>V celkovém zahraničním obchodu ČR tvořilo agrární zboží</w:t>
      </w:r>
      <w:r>
        <w:rPr>
          <w:rStyle w:val="Znakapoznpodarou"/>
          <w:szCs w:val="22"/>
        </w:rPr>
        <w:footnoteReference w:id="1"/>
      </w:r>
      <w:r>
        <w:rPr>
          <w:szCs w:val="22"/>
        </w:rPr>
        <w:t xml:space="preserve"> v 1. pololetí roku 2017 na straně vývozu 4,8 % a na straně dovozu 6,0 %, což představuje nejnižší hodnoty za posledních pět let. V meziročním porovnání se ve sledovaném pololetí o něco větší měrou snížil podíl agrárního zboží na dovozu nežli vývozu (o 0,5</w:t>
      </w:r>
      <w:r>
        <w:rPr>
          <w:szCs w:val="22"/>
        </w:rPr>
        <w:t xml:space="preserve"> p. b. vs. o 0,2 p. b.).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 xml:space="preserve">Obrat českého AZO v první polovině roku 2017 po předchozím růstu meziročně stagnoval (resp. poklesl o pouhých 0,2 %). Hodnota českého agrárního </w:t>
      </w:r>
      <w:r>
        <w:rPr>
          <w:b/>
          <w:szCs w:val="22"/>
        </w:rPr>
        <w:t>exportu</w:t>
      </w:r>
      <w:r>
        <w:rPr>
          <w:szCs w:val="22"/>
        </w:rPr>
        <w:t xml:space="preserve"> se meziročně snížila o 334,6 mil. Kč (tj. o nepatrné 0,3 %) na 101,1 mld. Kč a </w:t>
      </w:r>
      <w:r>
        <w:rPr>
          <w:szCs w:val="22"/>
        </w:rPr>
        <w:t xml:space="preserve">hodnota českého agrárního </w:t>
      </w:r>
      <w:r>
        <w:rPr>
          <w:b/>
          <w:szCs w:val="22"/>
        </w:rPr>
        <w:t>importu</w:t>
      </w:r>
      <w:r>
        <w:rPr>
          <w:szCs w:val="22"/>
        </w:rPr>
        <w:t xml:space="preserve"> poklesla o 104,2 mil. Kč (tj. o minimální 0,1 %) na 112,9 mld. Kč. </w:t>
      </w:r>
      <w:r>
        <w:rPr>
          <w:b/>
          <w:szCs w:val="22"/>
        </w:rPr>
        <w:t>Schodek bilance</w:t>
      </w:r>
      <w:r>
        <w:rPr>
          <w:szCs w:val="22"/>
        </w:rPr>
        <w:t xml:space="preserve"> AZO ČR se tak mírně meziročně </w:t>
      </w:r>
      <w:r>
        <w:rPr>
          <w:b/>
          <w:szCs w:val="22"/>
        </w:rPr>
        <w:t>navýšil</w:t>
      </w:r>
      <w:r>
        <w:rPr>
          <w:szCs w:val="22"/>
        </w:rPr>
        <w:t xml:space="preserve"> o 230,4 mil. Kč (tj. o 2,0 %) na 11,8 mld. Kč. </w:t>
      </w:r>
      <w:r>
        <w:rPr>
          <w:b/>
          <w:szCs w:val="22"/>
        </w:rPr>
        <w:t>Stupeň krytí dovozu vývozem</w:t>
      </w:r>
      <w:r>
        <w:rPr>
          <w:szCs w:val="22"/>
        </w:rPr>
        <w:t xml:space="preserve"> se téměř </w:t>
      </w:r>
      <w:r>
        <w:rPr>
          <w:b/>
          <w:szCs w:val="22"/>
        </w:rPr>
        <w:t>nezměnil</w:t>
      </w:r>
      <w:r>
        <w:rPr>
          <w:szCs w:val="22"/>
        </w:rPr>
        <w:t>, jeho ho</w:t>
      </w:r>
      <w:r>
        <w:rPr>
          <w:szCs w:val="22"/>
        </w:rPr>
        <w:t>dnota poklesla o 0,2 p. b. na 89,6 %.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 xml:space="preserve">Meziroční nárůst bilančního schodku českého AZO za 1. pololetí roku 2017 zapříčinil vývoj ve 2. čtvrtletí. V něm došlo, na rozdíl od 1. čtvrtletí, ke zřetelnému mezičtvrtletnímu a zároveň meziročnímu zhoršení bilance. </w:t>
      </w:r>
      <w:r>
        <w:rPr>
          <w:szCs w:val="22"/>
        </w:rPr>
        <w:t>K meziročnímu navýšení pasivní bilance došlo v první polovině roku 2017 jak v agrárním obchodě s EU 28 (o 18,2 % na 3,8 mld. Kč), tak v menší míře s třetími zeměmi (o 3,0 % na 7,7 mld. Kč)</w:t>
      </w:r>
      <w:r>
        <w:rPr>
          <w:rStyle w:val="Znakapoznpodarou"/>
          <w:szCs w:val="22"/>
        </w:rPr>
        <w:footnoteReference w:id="2"/>
      </w:r>
      <w:r>
        <w:rPr>
          <w:szCs w:val="22"/>
        </w:rPr>
        <w:t>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>Nejvíce</w:t>
      </w:r>
      <w:r>
        <w:rPr>
          <w:b/>
          <w:szCs w:val="22"/>
        </w:rPr>
        <w:t xml:space="preserve"> exportovanými </w:t>
      </w:r>
      <w:r>
        <w:rPr>
          <w:szCs w:val="22"/>
        </w:rPr>
        <w:t>českými agrárními</w:t>
      </w:r>
      <w:r>
        <w:rPr>
          <w:b/>
          <w:szCs w:val="22"/>
        </w:rPr>
        <w:t xml:space="preserve"> </w:t>
      </w:r>
      <w:r>
        <w:rPr>
          <w:szCs w:val="22"/>
        </w:rPr>
        <w:t>položkami</w:t>
      </w:r>
      <w:r>
        <w:rPr>
          <w:rStyle w:val="Znakapoznpodarou"/>
          <w:szCs w:val="22"/>
        </w:rPr>
        <w:footnoteReference w:id="3"/>
      </w:r>
      <w:r>
        <w:rPr>
          <w:szCs w:val="22"/>
        </w:rPr>
        <w:t xml:space="preserve"> byly </w:t>
      </w:r>
      <w:r>
        <w:rPr>
          <w:szCs w:val="22"/>
        </w:rPr>
        <w:t xml:space="preserve">v 1. pololetí roku 2017 </w:t>
      </w:r>
      <w:r>
        <w:rPr>
          <w:b/>
          <w:szCs w:val="22"/>
        </w:rPr>
        <w:t>cigarety</w:t>
      </w:r>
      <w:r>
        <w:rPr>
          <w:szCs w:val="22"/>
        </w:rPr>
        <w:t xml:space="preserve"> (10,5 %), </w:t>
      </w:r>
      <w:r>
        <w:rPr>
          <w:b/>
          <w:szCs w:val="22"/>
        </w:rPr>
        <w:t>pšenice</w:t>
      </w:r>
      <w:r>
        <w:rPr>
          <w:szCs w:val="22"/>
        </w:rPr>
        <w:t xml:space="preserve"> (6,9 %), </w:t>
      </w:r>
      <w:r>
        <w:rPr>
          <w:b/>
          <w:szCs w:val="22"/>
        </w:rPr>
        <w:t>přípravky používané k výživě zvířat</w:t>
      </w:r>
      <w:r>
        <w:rPr>
          <w:szCs w:val="22"/>
        </w:rPr>
        <w:t xml:space="preserve"> (5,1 %), </w:t>
      </w:r>
      <w:r>
        <w:rPr>
          <w:b/>
          <w:szCs w:val="22"/>
        </w:rPr>
        <w:t>pekařské zboží</w:t>
      </w:r>
      <w:r>
        <w:rPr>
          <w:szCs w:val="22"/>
        </w:rPr>
        <w:t xml:space="preserve"> (5,0 %), </w:t>
      </w:r>
      <w:r>
        <w:rPr>
          <w:b/>
          <w:szCs w:val="22"/>
        </w:rPr>
        <w:t xml:space="preserve">nezahuštěné mléko a smetana </w:t>
      </w:r>
      <w:r>
        <w:rPr>
          <w:szCs w:val="22"/>
        </w:rPr>
        <w:t xml:space="preserve">(4,2 %), z čehož necelé tři čtvrtiny tvořilo surové mléko, </w:t>
      </w:r>
      <w:r>
        <w:rPr>
          <w:b/>
          <w:szCs w:val="22"/>
        </w:rPr>
        <w:t>řepkový olej</w:t>
      </w:r>
      <w:r>
        <w:rPr>
          <w:szCs w:val="22"/>
        </w:rPr>
        <w:t xml:space="preserve"> (4,1 %), </w:t>
      </w:r>
      <w:r>
        <w:rPr>
          <w:b/>
          <w:szCs w:val="22"/>
        </w:rPr>
        <w:t>potravinové přípra</w:t>
      </w:r>
      <w:r>
        <w:rPr>
          <w:b/>
          <w:szCs w:val="22"/>
        </w:rPr>
        <w:t>vky</w:t>
      </w:r>
      <w:r>
        <w:rPr>
          <w:rStyle w:val="Znakapoznpodarou"/>
          <w:szCs w:val="22"/>
        </w:rPr>
        <w:footnoteReference w:id="4"/>
      </w:r>
      <w:r>
        <w:rPr>
          <w:szCs w:val="22"/>
        </w:rPr>
        <w:t xml:space="preserve"> (4,0 %), </w:t>
      </w:r>
      <w:r>
        <w:rPr>
          <w:b/>
          <w:szCs w:val="22"/>
        </w:rPr>
        <w:t>pivo</w:t>
      </w:r>
      <w:r>
        <w:rPr>
          <w:szCs w:val="22"/>
        </w:rPr>
        <w:t xml:space="preserve"> (3,2 %), </w:t>
      </w:r>
      <w:r>
        <w:rPr>
          <w:b/>
          <w:szCs w:val="22"/>
        </w:rPr>
        <w:t>čokoláda a ostatní kakaové přípravky</w:t>
      </w:r>
      <w:r>
        <w:rPr>
          <w:szCs w:val="22"/>
        </w:rPr>
        <w:t xml:space="preserve"> (3,2 %), </w:t>
      </w:r>
      <w:r>
        <w:rPr>
          <w:b/>
          <w:szCs w:val="22"/>
        </w:rPr>
        <w:t xml:space="preserve">limonády, sýry a tvaroh, cukrovinky bez kakaa, semena řepky, živý skot, káva, cukr, výtažky a koncentráty z kávy </w:t>
      </w:r>
      <w:r>
        <w:rPr>
          <w:szCs w:val="22"/>
        </w:rPr>
        <w:t>(vč. přípravků na jejich bázi),</w:t>
      </w:r>
      <w:r>
        <w:rPr>
          <w:b/>
          <w:szCs w:val="22"/>
        </w:rPr>
        <w:t xml:space="preserve"> ječmen, slad, zahuštěné mléko a smeta</w:t>
      </w:r>
      <w:r>
        <w:rPr>
          <w:b/>
          <w:szCs w:val="22"/>
        </w:rPr>
        <w:t xml:space="preserve">na, masné přípravky a konzervy, řepkové pokrutiny, uzenky a salámy, kukuřice, pufované obilné výrobky (corn flakes, müsli apod.), slunečnicový olej, vepřové maso </w:t>
      </w:r>
      <w:r>
        <w:rPr>
          <w:szCs w:val="22"/>
        </w:rPr>
        <w:t>a</w:t>
      </w:r>
      <w:r>
        <w:rPr>
          <w:b/>
          <w:szCs w:val="22"/>
        </w:rPr>
        <w:t> živá drůbež</w:t>
      </w:r>
      <w:r>
        <w:rPr>
          <w:szCs w:val="22"/>
        </w:rPr>
        <w:t>.</w:t>
      </w:r>
    </w:p>
    <w:p w:rsidR="001F4EBE" w:rsidRDefault="00411C4A">
      <w:pPr>
        <w:spacing w:line="276" w:lineRule="auto"/>
        <w:rPr>
          <w:b/>
          <w:szCs w:val="22"/>
        </w:rPr>
      </w:pPr>
      <w:r>
        <w:rPr>
          <w:szCs w:val="22"/>
        </w:rPr>
        <w:t xml:space="preserve">Hlavními </w:t>
      </w:r>
      <w:r>
        <w:rPr>
          <w:b/>
          <w:szCs w:val="22"/>
        </w:rPr>
        <w:t xml:space="preserve">importovanými </w:t>
      </w:r>
      <w:r>
        <w:rPr>
          <w:szCs w:val="22"/>
        </w:rPr>
        <w:t>agrárními</w:t>
      </w:r>
      <w:r>
        <w:rPr>
          <w:b/>
          <w:szCs w:val="22"/>
        </w:rPr>
        <w:t xml:space="preserve"> </w:t>
      </w:r>
      <w:r>
        <w:rPr>
          <w:szCs w:val="22"/>
        </w:rPr>
        <w:t>produkty do ČR byly v první polovině roku 2017</w:t>
      </w:r>
      <w:r>
        <w:rPr>
          <w:szCs w:val="22"/>
        </w:rPr>
        <w:t xml:space="preserve"> </w:t>
      </w:r>
      <w:r>
        <w:rPr>
          <w:b/>
          <w:szCs w:val="22"/>
        </w:rPr>
        <w:t>vepřové maso</w:t>
      </w:r>
      <w:r>
        <w:rPr>
          <w:szCs w:val="22"/>
        </w:rPr>
        <w:t xml:space="preserve"> (7,0 %), </w:t>
      </w:r>
      <w:r>
        <w:rPr>
          <w:b/>
          <w:szCs w:val="22"/>
        </w:rPr>
        <w:t>cigarety</w:t>
      </w:r>
      <w:r>
        <w:rPr>
          <w:szCs w:val="22"/>
        </w:rPr>
        <w:t xml:space="preserve"> (4,0 %), </w:t>
      </w:r>
      <w:r>
        <w:rPr>
          <w:b/>
          <w:szCs w:val="22"/>
        </w:rPr>
        <w:t>pekařské zboží</w:t>
      </w:r>
      <w:r>
        <w:rPr>
          <w:szCs w:val="22"/>
        </w:rPr>
        <w:t xml:space="preserve"> (4,0 %), </w:t>
      </w:r>
      <w:r>
        <w:rPr>
          <w:b/>
          <w:szCs w:val="22"/>
        </w:rPr>
        <w:t>čokoláda a ostatní kakaové přípravky</w:t>
      </w:r>
      <w:r>
        <w:rPr>
          <w:szCs w:val="22"/>
        </w:rPr>
        <w:t xml:space="preserve"> (3,8 %), </w:t>
      </w:r>
      <w:r>
        <w:rPr>
          <w:b/>
          <w:szCs w:val="22"/>
        </w:rPr>
        <w:t>sýry a tvaroh</w:t>
      </w:r>
      <w:r>
        <w:rPr>
          <w:szCs w:val="22"/>
        </w:rPr>
        <w:t xml:space="preserve"> (3,8 %), </w:t>
      </w:r>
      <w:r>
        <w:rPr>
          <w:b/>
          <w:szCs w:val="22"/>
        </w:rPr>
        <w:t>potravinové přípravky</w:t>
      </w:r>
      <w:r>
        <w:rPr>
          <w:szCs w:val="22"/>
        </w:rPr>
        <w:t xml:space="preserve"> (3,4 %), </w:t>
      </w:r>
      <w:r>
        <w:rPr>
          <w:b/>
          <w:szCs w:val="22"/>
        </w:rPr>
        <w:t>přípravky používané k výživě zvířat</w:t>
      </w:r>
      <w:r>
        <w:rPr>
          <w:szCs w:val="22"/>
        </w:rPr>
        <w:t xml:space="preserve"> (3,1 %), </w:t>
      </w:r>
      <w:r>
        <w:rPr>
          <w:b/>
          <w:szCs w:val="22"/>
        </w:rPr>
        <w:t>maso a droby drůbeže, káva, víno, limonády, ho</w:t>
      </w:r>
      <w:r>
        <w:rPr>
          <w:b/>
          <w:szCs w:val="22"/>
        </w:rPr>
        <w:t xml:space="preserve">vězí maso, banány, lihoviny, sójové pokrutiny, výtažky a koncentráty z kávy, rajčata, citrusové plody, přípravky z mouky, krupice, škrobu nebo mléka, řepkový olej, konzervované ovoce a ořechy, ryby </w:t>
      </w:r>
      <w:r>
        <w:rPr>
          <w:szCs w:val="22"/>
        </w:rPr>
        <w:t>(čerstvé, chlazené nebo zmrazené),</w:t>
      </w:r>
      <w:r>
        <w:rPr>
          <w:b/>
          <w:szCs w:val="22"/>
        </w:rPr>
        <w:t xml:space="preserve"> cukrovinky bez kakaa, v</w:t>
      </w:r>
      <w:r>
        <w:rPr>
          <w:b/>
          <w:szCs w:val="22"/>
        </w:rPr>
        <w:t>enkovní a pokojové rostliny, omáčky, ochucovadla a hořčice,</w:t>
      </w:r>
      <w:r>
        <w:rPr>
          <w:szCs w:val="22"/>
        </w:rPr>
        <w:t xml:space="preserve"> </w:t>
      </w:r>
      <w:r>
        <w:rPr>
          <w:b/>
          <w:szCs w:val="22"/>
        </w:rPr>
        <w:t xml:space="preserve">papriky </w:t>
      </w:r>
      <w:r>
        <w:rPr>
          <w:szCs w:val="22"/>
        </w:rPr>
        <w:t>a</w:t>
      </w:r>
      <w:r>
        <w:rPr>
          <w:b/>
          <w:szCs w:val="22"/>
        </w:rPr>
        <w:t xml:space="preserve"> přípravky a konzervy z ryb</w:t>
      </w:r>
      <w:r>
        <w:rPr>
          <w:szCs w:val="22"/>
        </w:rPr>
        <w:t>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 xml:space="preserve">V komoditním pohledu ovlivnily v 1. pololetí roku 2017 meziroční vývoj bilance českého AZO jednoznačně největší měrou cigarety, jejichž netto-vývoz poklesl o </w:t>
      </w:r>
      <w:r>
        <w:rPr>
          <w:szCs w:val="22"/>
        </w:rPr>
        <w:t xml:space="preserve">1,6 mld. Kč </w:t>
      </w:r>
      <w:r>
        <w:rPr>
          <w:szCs w:val="22"/>
        </w:rPr>
        <w:lastRenderedPageBreak/>
        <w:t>na 5,8 mld. Kč.</w:t>
      </w:r>
      <w:r>
        <w:rPr>
          <w:rStyle w:val="Znakapoznpodarou"/>
          <w:szCs w:val="22"/>
        </w:rPr>
        <w:footnoteReference w:id="5"/>
      </w:r>
      <w:r>
        <w:rPr>
          <w:szCs w:val="22"/>
        </w:rPr>
        <w:t xml:space="preserve"> Dále se zhoršila bilance obchodu s vepřovým masem (o 1,1 mld. Kč </w:t>
      </w:r>
      <w:r>
        <w:t>na6</w:t>
      </w:r>
      <w:r>
        <w:rPr>
          <w:szCs w:val="22"/>
        </w:rPr>
        <w:t>,6 mld. Kč) a, již v řádově menších hodnotách, se sýry a tvarohem a hovězím masem – ve všech třech případech došlo k nárůstu hodnoty netto-dovozu. Nutno dodat,</w:t>
      </w:r>
      <w:r>
        <w:rPr>
          <w:szCs w:val="22"/>
        </w:rPr>
        <w:t xml:space="preserve"> </w:t>
      </w:r>
      <w:r>
        <w:t>žev</w:t>
      </w:r>
      <w:r>
        <w:rPr>
          <w:szCs w:val="22"/>
        </w:rPr>
        <w:t> množstevním vyjádření schodek bilance u vepřového masa vzrostl jen mírně (o 2,0 %, zatímco hodnota se zvýšila o 21 %) a u sýrů a tvarohu dokonce poklesl (o 4,0 %, zatímco hodnota vzrostla o 26 %), což souvisí mj. s opětovným oživením cen těchto komodi</w:t>
      </w:r>
      <w:r>
        <w:rPr>
          <w:szCs w:val="22"/>
        </w:rPr>
        <w:t>t. Nejvýraznější meziroční nárůst aktiva bilance vykázal ve sledovaném pololetí obchod s pšenicí, cukrem, nezahuštěným mlékem a smetanou, přípravky používanými k výživě zvířat a řepkovými semeny. Vedle toho se změnila pasivní bilance na aktivní u kukuřice.</w:t>
      </w:r>
      <w:r>
        <w:rPr>
          <w:szCs w:val="22"/>
        </w:rPr>
        <w:t xml:space="preserve"> Uvedená meziroční zhoršení bilance byla způsobena zejména nárůstem hodnot na straně dovozu (s výjimkou cigaret, kde došlo k mimořádně vysokému snížení hodnoty exportu, zatímco hodnota importu vzrostla). Ke zmiňovaným zlepšením bilancí došlo především v dů</w:t>
      </w:r>
      <w:r>
        <w:rPr>
          <w:szCs w:val="22"/>
        </w:rPr>
        <w:t>sledku přírůstků hodnot na straně vývozu.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>Hodnota exportované pšenice se meziročně navýšila zejména do Německa (zatímco do Rakouska poklesla) a kukuřice do Německa i Rakouska. Do Německa, které je hlavním odběratelem celé řady komodit, vzrostl nejvíce také</w:t>
      </w:r>
      <w:r>
        <w:rPr>
          <w:szCs w:val="22"/>
        </w:rPr>
        <w:t xml:space="preserve"> export nezahuštěného mléka a smetany a řepky. Vývoz cukru se zvýšil do mnoha zemí v čele s Rakouskem a podobně vzrostl i export přípravků používaných k výživě zvířat (nejvíce do Ruska, ale i Polska a Maďarska). Hodnota importovaného vepřového masa vzrostl</w:t>
      </w:r>
      <w:r>
        <w:rPr>
          <w:szCs w:val="22"/>
        </w:rPr>
        <w:t>a zejména ze Španělska a Německa, hovězího masa z Německa a Nizozemska a sýrů a tvarohu z Německa a ze Slovenska.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 xml:space="preserve">Agrární zboží </w:t>
      </w:r>
      <w:r>
        <w:rPr>
          <w:b/>
          <w:szCs w:val="22"/>
        </w:rPr>
        <w:t>směřovalo z ČR</w:t>
      </w:r>
      <w:r>
        <w:rPr>
          <w:szCs w:val="22"/>
        </w:rPr>
        <w:t xml:space="preserve"> v 1. pololetí roku 2017, stejně jako v předchozích letech, největší měrou na </w:t>
      </w:r>
      <w:r>
        <w:rPr>
          <w:b/>
          <w:szCs w:val="22"/>
        </w:rPr>
        <w:t>Slovensko</w:t>
      </w:r>
      <w:r>
        <w:rPr>
          <w:szCs w:val="22"/>
        </w:rPr>
        <w:t xml:space="preserve"> (21,3 %), do </w:t>
      </w:r>
      <w:r>
        <w:rPr>
          <w:b/>
          <w:szCs w:val="22"/>
        </w:rPr>
        <w:t>Německa</w:t>
      </w:r>
      <w:r>
        <w:rPr>
          <w:szCs w:val="22"/>
        </w:rPr>
        <w:t xml:space="preserve"> (20,3</w:t>
      </w:r>
      <w:r>
        <w:rPr>
          <w:szCs w:val="22"/>
        </w:rPr>
        <w:t xml:space="preserve"> %), </w:t>
      </w:r>
      <w:r>
        <w:rPr>
          <w:b/>
          <w:szCs w:val="22"/>
        </w:rPr>
        <w:t>Polska</w:t>
      </w:r>
      <w:r>
        <w:rPr>
          <w:szCs w:val="22"/>
        </w:rPr>
        <w:t xml:space="preserve"> (11,0 %), </w:t>
      </w:r>
      <w:r>
        <w:rPr>
          <w:b/>
          <w:szCs w:val="22"/>
        </w:rPr>
        <w:t>Itálie</w:t>
      </w:r>
      <w:r>
        <w:rPr>
          <w:szCs w:val="22"/>
        </w:rPr>
        <w:t xml:space="preserve"> (8,7 %), </w:t>
      </w:r>
      <w:r>
        <w:rPr>
          <w:b/>
          <w:szCs w:val="22"/>
        </w:rPr>
        <w:t>Rakouska</w:t>
      </w:r>
      <w:r>
        <w:rPr>
          <w:szCs w:val="22"/>
        </w:rPr>
        <w:t xml:space="preserve"> (5,8 %) a </w:t>
      </w:r>
      <w:r>
        <w:rPr>
          <w:b/>
          <w:szCs w:val="22"/>
        </w:rPr>
        <w:t>Maďarska</w:t>
      </w:r>
      <w:r>
        <w:rPr>
          <w:szCs w:val="22"/>
        </w:rPr>
        <w:t xml:space="preserve"> (4,4 %). Pouze do Německa a Rakouska přitom hodnota českého agrárního vývozu meziročně vzrostla, do ostatních uvedených zemí poklesla. Z třetích zemí byly pro ČR nejvýznamnějšími destinacemi</w:t>
      </w:r>
      <w:r>
        <w:rPr>
          <w:szCs w:val="22"/>
        </w:rPr>
        <w:t xml:space="preserve"> Rusko (1,3 %), Japonsko (0,7 %), Švýcarsko (0,6 %) a Turecko (0,6 %).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 xml:space="preserve">Český agrární </w:t>
      </w:r>
      <w:r>
        <w:rPr>
          <w:b/>
          <w:szCs w:val="22"/>
        </w:rPr>
        <w:t>dovoz</w:t>
      </w:r>
      <w:r>
        <w:rPr>
          <w:szCs w:val="22"/>
        </w:rPr>
        <w:t xml:space="preserve"> pocházel v první polovině roku 2017 především z </w:t>
      </w:r>
      <w:r>
        <w:rPr>
          <w:b/>
          <w:szCs w:val="22"/>
        </w:rPr>
        <w:t>Německa</w:t>
      </w:r>
      <w:r>
        <w:rPr>
          <w:szCs w:val="22"/>
        </w:rPr>
        <w:t xml:space="preserve"> (21,1 %), </w:t>
      </w:r>
      <w:r>
        <w:rPr>
          <w:b/>
          <w:szCs w:val="22"/>
        </w:rPr>
        <w:t>Polska</w:t>
      </w:r>
      <w:r>
        <w:rPr>
          <w:szCs w:val="22"/>
        </w:rPr>
        <w:t xml:space="preserve"> (16,2 %), odkud však hodnota dovozu výrazně poklesla (o 3,9 mld. Kč), </w:t>
      </w:r>
      <w:r>
        <w:rPr>
          <w:b/>
          <w:szCs w:val="22"/>
        </w:rPr>
        <w:t>Nizozemska</w:t>
      </w:r>
      <w:r>
        <w:rPr>
          <w:szCs w:val="22"/>
        </w:rPr>
        <w:t xml:space="preserve"> (7,5 %), </w:t>
      </w:r>
      <w:r>
        <w:rPr>
          <w:b/>
          <w:szCs w:val="22"/>
        </w:rPr>
        <w:t>Slovenska</w:t>
      </w:r>
      <w:r>
        <w:rPr>
          <w:szCs w:val="22"/>
        </w:rPr>
        <w:t xml:space="preserve"> (6,6 %), </w:t>
      </w:r>
      <w:r>
        <w:rPr>
          <w:b/>
          <w:szCs w:val="22"/>
        </w:rPr>
        <w:t>Španělska</w:t>
      </w:r>
      <w:r>
        <w:rPr>
          <w:szCs w:val="22"/>
        </w:rPr>
        <w:t xml:space="preserve"> (6,4 %) a </w:t>
      </w:r>
      <w:r>
        <w:rPr>
          <w:b/>
          <w:szCs w:val="22"/>
        </w:rPr>
        <w:t>Itálie</w:t>
      </w:r>
      <w:r>
        <w:rPr>
          <w:szCs w:val="22"/>
        </w:rPr>
        <w:t xml:space="preserve"> (5,5 %). Z mimounijních zemí byly našimi hlavními dodavateli Čína (1,3 %), Turecko (1,2 %), USA (1,0 %), Norsko (0,9 %) a na páté místo se propadla Brazílie (nižší dovozy drůbežího masa v důsledku omezení vyplý</w:t>
      </w:r>
      <w:r>
        <w:rPr>
          <w:szCs w:val="22"/>
        </w:rPr>
        <w:t>vajících z podezření na hygienické nedostatky při výrobě v této zemi a klesajících importů kávy).</w:t>
      </w:r>
    </w:p>
    <w:p w:rsidR="001F4EBE" w:rsidRDefault="00411C4A">
      <w:pPr>
        <w:spacing w:line="276" w:lineRule="auto"/>
        <w:rPr>
          <w:szCs w:val="22"/>
        </w:rPr>
      </w:pPr>
      <w:r>
        <w:rPr>
          <w:szCs w:val="22"/>
        </w:rPr>
        <w:t>Co se týče vývoje bilancí v teritoriálním pohledu, nejvýrazněji se v 1. pololetí roku 2017 snížila hodnota schodku v agrárním obchodě s Německem (o 2,2 mld. K</w:t>
      </w:r>
      <w:r>
        <w:rPr>
          <w:szCs w:val="22"/>
        </w:rPr>
        <w:t>č na 3,3 mld. Kč) a Polskem (o 2,1 mld. Kč na 7,2 mld. Kč). V menší míře se pak zlepšila pasivní bilance obchodu s Belgií a kladná bilance obchodu s Rumunskem. Naproti tomu zhoršení, a to pokles aktiva, zaznamenal agrární obchod se Slovenskem (o 2,1 mld. K</w:t>
      </w:r>
      <w:r>
        <w:rPr>
          <w:szCs w:val="22"/>
        </w:rPr>
        <w:t>č na 14,0 mld. Kč), Spojeným královstvím (o 1,2 mld. Kč na 548,2 mil. Kč), dále Maďarskem a Itálií. Vedle toho se prohloubila také hodnota záporné bilance obchodu se Španělskem (vyšší dovozy vepřového masa, ale i zeleniny a ovoce).</w:t>
      </w:r>
    </w:p>
    <w:p w:rsidR="001F4EBE" w:rsidRDefault="001F4EBE">
      <w:pPr>
        <w:spacing w:line="276" w:lineRule="auto"/>
        <w:rPr>
          <w:szCs w:val="22"/>
        </w:rPr>
      </w:pPr>
    </w:p>
    <w:p w:rsidR="001F4EBE" w:rsidRDefault="001F4EBE">
      <w:pPr>
        <w:spacing w:line="276" w:lineRule="auto"/>
        <w:rPr>
          <w:szCs w:val="22"/>
        </w:rPr>
      </w:pPr>
    </w:p>
    <w:p w:rsidR="001F4EBE" w:rsidRDefault="00411C4A">
      <w:pPr>
        <w:pStyle w:val="Styl2"/>
        <w:rPr>
          <w:rFonts w:cs="Arial"/>
          <w:sz w:val="22"/>
          <w:szCs w:val="22"/>
        </w:rPr>
      </w:pPr>
      <w:r>
        <w:br w:type="column"/>
      </w:r>
      <w:r>
        <w:rPr>
          <w:rFonts w:cs="Arial"/>
          <w:sz w:val="22"/>
          <w:szCs w:val="22"/>
        </w:rPr>
        <w:lastRenderedPageBreak/>
        <w:t>Graf 1 – Vývoj bilanc</w:t>
      </w:r>
      <w:r>
        <w:rPr>
          <w:rFonts w:cs="Arial"/>
          <w:sz w:val="22"/>
          <w:szCs w:val="22"/>
        </w:rPr>
        <w:t xml:space="preserve">e AZO ČR v roce 2012 až 1. pololetí 2017 podle čtvrtletí (mld. Kč) </w:t>
      </w:r>
    </w:p>
    <w:p w:rsidR="001F4EBE" w:rsidRDefault="00411C4A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5759533" cy="315214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33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BE" w:rsidRDefault="00411C4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Pozn.: EU 15 – původní členové EU, EU 13 – noví členové EU (od 2004), TZ - třetí (mimounijní) země.</w:t>
      </w:r>
    </w:p>
    <w:p w:rsidR="001F4EBE" w:rsidRDefault="00411C4A">
      <w:pPr>
        <w:pStyle w:val="TabPoz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Zdroj: Databáze zahraničního obchodu ČSÚ, srpen 2017</w:t>
      </w:r>
    </w:p>
    <w:p w:rsidR="001F4EBE" w:rsidRDefault="001F4EBE">
      <w:pPr>
        <w:pStyle w:val="TabNadpis"/>
        <w:jc w:val="center"/>
        <w:rPr>
          <w:rFonts w:cs="Arial"/>
          <w:sz w:val="22"/>
        </w:rPr>
      </w:pPr>
    </w:p>
    <w:p w:rsidR="001F4EBE" w:rsidRDefault="00411C4A">
      <w:pPr>
        <w:spacing w:line="276" w:lineRule="auto"/>
        <w:ind w:firstLine="708"/>
        <w:rPr>
          <w:szCs w:val="22"/>
        </w:rPr>
      </w:pPr>
      <w:r>
        <w:rPr>
          <w:szCs w:val="22"/>
        </w:rPr>
        <w:t>Údaje o zahraničním obchodu za c</w:t>
      </w:r>
      <w:r>
        <w:rPr>
          <w:szCs w:val="22"/>
        </w:rPr>
        <w:t xml:space="preserve">elé 1. pololetí roku 2017 zveřejnil Český statistický úřad 7. srpna 2017. Data za toto pololetí, ale i rok 2016 jsou předběžná. </w:t>
      </w:r>
    </w:p>
    <w:p w:rsidR="001F4EBE" w:rsidRDefault="001F4EBE">
      <w:pPr>
        <w:spacing w:after="240"/>
        <w:ind w:firstLine="708"/>
        <w:rPr>
          <w:szCs w:val="22"/>
        </w:rPr>
      </w:pPr>
    </w:p>
    <w:p w:rsidR="001F4EBE" w:rsidRDefault="00411C4A">
      <w:pPr>
        <w:spacing w:after="240" w:line="276" w:lineRule="auto"/>
        <w:ind w:firstLine="708"/>
        <w:rPr>
          <w:szCs w:val="22"/>
        </w:rPr>
      </w:pPr>
      <w:r>
        <w:rPr>
          <w:szCs w:val="22"/>
        </w:rPr>
        <w:t>Materiál zpracoval odbor 17240 na základě aktuálních statistických údajů ČSÚ a podkladů ÚZEI (TÚ č. 72/2017).</w:t>
      </w:r>
    </w:p>
    <w:p w:rsidR="001F4EBE" w:rsidRDefault="00411C4A">
      <w:pPr>
        <w:rPr>
          <w:i/>
          <w:szCs w:val="22"/>
        </w:rPr>
      </w:pPr>
      <w:r>
        <w:rPr>
          <w:szCs w:val="22"/>
        </w:rPr>
        <w:t>Dne 10. srpna</w:t>
      </w:r>
      <w:r>
        <w:rPr>
          <w:szCs w:val="22"/>
        </w:rPr>
        <w:t xml:space="preserve"> 2017</w:t>
      </w:r>
    </w:p>
    <w:p w:rsidR="001F4EBE" w:rsidRDefault="00411C4A">
      <w:pPr>
        <w:pStyle w:val="TabNadpis"/>
        <w:rPr>
          <w:rFonts w:cs="Arial"/>
          <w:sz w:val="22"/>
        </w:rPr>
      </w:pPr>
      <w:r>
        <w:br w:type="column"/>
      </w:r>
      <w:r>
        <w:rPr>
          <w:rFonts w:cs="Arial"/>
          <w:sz w:val="22"/>
        </w:rPr>
        <w:lastRenderedPageBreak/>
        <w:t>Tabulka 1 – Vývoj AZO ČR v 1. pololetích let 2012 až 2017 (mld. Kč)</w:t>
      </w:r>
    </w:p>
    <w:p w:rsidR="001F4EBE" w:rsidRDefault="00411C4A">
      <w:r>
        <w:rPr>
          <w:noProof/>
          <w:lang w:eastAsia="cs-CZ"/>
        </w:rPr>
        <w:drawing>
          <wp:inline distT="0" distB="0" distL="0" distR="0">
            <wp:extent cx="5759450" cy="1947585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75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Pozn.: Agrární zboží je vymezené kapitolami 01 až 24 celního sazebníku.</w:t>
      </w:r>
    </w:p>
    <w:p w:rsidR="001F4EBE" w:rsidRDefault="00411C4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Výpočty jsou provedeny z nezaokrouhlených dat.</w:t>
      </w:r>
    </w:p>
    <w:p w:rsidR="001F4EBE" w:rsidRDefault="00411C4A">
      <w:pPr>
        <w:pStyle w:val="TabPoz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Zdroj: Databáze zahraničního obchodu ČSÚ, srpen 2017</w:t>
      </w: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411C4A">
      <w:pPr>
        <w:pStyle w:val="TabNadpis"/>
        <w:jc w:val="center"/>
        <w:rPr>
          <w:rFonts w:cs="Arial"/>
          <w:sz w:val="22"/>
        </w:rPr>
      </w:pPr>
      <w:r>
        <w:rPr>
          <w:rFonts w:cs="Arial"/>
          <w:sz w:val="22"/>
        </w:rPr>
        <w:t>Tabulka 2 – Vývoj AZO ČR v roce 2015 až 1. pololetí roku 2017 podle čtvrtletí (mld. Kč)</w:t>
      </w:r>
    </w:p>
    <w:p w:rsidR="001F4EBE" w:rsidRDefault="00411C4A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>
        <w:rPr>
          <w:noProof/>
        </w:rPr>
        <w:drawing>
          <wp:inline distT="0" distB="0" distL="0" distR="0">
            <wp:extent cx="5759450" cy="2974391"/>
            <wp:effectExtent l="0" t="0" r="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43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Pozn.: Agrární zboží je vymezené kapitolami 01 až 24 celního sazebníku.</w:t>
      </w:r>
    </w:p>
    <w:p w:rsidR="001F4EBE" w:rsidRDefault="00411C4A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>
        <w:rPr>
          <w:rFonts w:cs="Arial"/>
          <w:b w:val="0"/>
          <w:sz w:val="18"/>
        </w:rPr>
        <w:t>Výpočty jsou provedeny z nezaokrouhlených dat.</w:t>
      </w:r>
    </w:p>
    <w:p w:rsidR="001F4EBE" w:rsidRDefault="00411C4A">
      <w:pPr>
        <w:pStyle w:val="TabPoz"/>
        <w:contextualSpacing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18"/>
        </w:rPr>
        <w:t>Zdroj: Databáze zahraničního obchodu ČSÚ, srpe</w:t>
      </w:r>
      <w:r>
        <w:rPr>
          <w:rFonts w:cs="Arial"/>
          <w:b w:val="0"/>
          <w:sz w:val="18"/>
        </w:rPr>
        <w:t>n 2017</w:t>
      </w: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1F4EBE" w:rsidRDefault="001F4EBE">
      <w:pPr>
        <w:spacing w:before="100" w:beforeAutospacing="1" w:line="0" w:lineRule="atLeast"/>
        <w:jc w:val="center"/>
        <w:rPr>
          <w:noProof/>
        </w:rPr>
      </w:pPr>
    </w:p>
    <w:p w:rsidR="001F4EBE" w:rsidRDefault="001F4EBE">
      <w:pPr>
        <w:spacing w:before="100" w:beforeAutospacing="1" w:line="0" w:lineRule="atLeast"/>
        <w:jc w:val="center"/>
        <w:rPr>
          <w:noProof/>
        </w:rPr>
      </w:pPr>
    </w:p>
    <w:p w:rsidR="001F4EBE" w:rsidRDefault="00411C4A">
      <w:pPr>
        <w:pStyle w:val="Styl2"/>
        <w:ind w:left="993" w:hanging="993"/>
        <w:rPr>
          <w:rFonts w:cs="Arial"/>
          <w:sz w:val="22"/>
          <w:szCs w:val="22"/>
        </w:rPr>
      </w:pPr>
      <w:bookmarkStart w:id="0" w:name="_Toc417464156"/>
      <w:r>
        <w:rPr>
          <w:rFonts w:cs="Arial"/>
          <w:sz w:val="22"/>
          <w:szCs w:val="22"/>
        </w:rPr>
        <w:t>Graf 2 – Vývoj hodnoty vývozu agrárního zboží z ČR v roce 2012 až 1. pololetí 2017 podle čtvrtletí (mld. Kč)</w:t>
      </w:r>
      <w:bookmarkEnd w:id="0"/>
    </w:p>
    <w:p w:rsidR="001F4EBE" w:rsidRDefault="00411C4A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>
            <wp:extent cx="5747657" cy="3157855"/>
            <wp:effectExtent l="0" t="0" r="5715" b="4445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657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BE" w:rsidRDefault="00411C4A">
      <w:pPr>
        <w:pStyle w:val="Styl2"/>
        <w:ind w:left="0" w:firstLine="0"/>
        <w:rPr>
          <w:rFonts w:cs="Arial"/>
          <w:b w:val="0"/>
        </w:rPr>
      </w:pPr>
      <w:bookmarkStart w:id="1" w:name="_Toc417464157"/>
      <w:r>
        <w:rPr>
          <w:rFonts w:cs="Arial"/>
          <w:b w:val="0"/>
          <w:i/>
        </w:rPr>
        <w:t>Zdroj: Databáze zahraničního obchodu ČSÚ, srpen 2017</w:t>
      </w:r>
    </w:p>
    <w:p w:rsidR="001F4EBE" w:rsidRDefault="001F4EBE">
      <w:pPr>
        <w:pStyle w:val="Styl2"/>
        <w:rPr>
          <w:rFonts w:cs="Arial"/>
          <w:sz w:val="22"/>
        </w:rPr>
      </w:pPr>
    </w:p>
    <w:p w:rsidR="001F4EBE" w:rsidRDefault="001F4EBE">
      <w:pPr>
        <w:pStyle w:val="Styl2"/>
        <w:rPr>
          <w:rFonts w:cs="Arial"/>
          <w:sz w:val="22"/>
        </w:rPr>
      </w:pPr>
    </w:p>
    <w:p w:rsidR="001F4EBE" w:rsidRDefault="001F4EBE">
      <w:pPr>
        <w:pStyle w:val="Styl2"/>
        <w:rPr>
          <w:rFonts w:cs="Arial"/>
          <w:sz w:val="22"/>
        </w:rPr>
      </w:pPr>
    </w:p>
    <w:p w:rsidR="001F4EBE" w:rsidRDefault="00411C4A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 xml:space="preserve">v roce 2012 až </w:t>
      </w:r>
      <w:r>
        <w:rPr>
          <w:rFonts w:cs="Arial"/>
          <w:sz w:val="22"/>
          <w:szCs w:val="22"/>
        </w:rPr>
        <w:t>1. pololetí 2017 podle čtvrtletí (mld. Kč)</w:t>
      </w:r>
    </w:p>
    <w:p w:rsidR="001F4EBE" w:rsidRDefault="00411C4A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>
            <wp:extent cx="5747385" cy="3152140"/>
            <wp:effectExtent l="0" t="0" r="5715" b="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BE" w:rsidRDefault="00411C4A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szCs w:val="16"/>
        </w:rPr>
        <w:t xml:space="preserve">Zdroj: Databáze zahraničního obchodu ČSÚ, </w:t>
      </w:r>
      <w:r>
        <w:rPr>
          <w:rFonts w:cs="Arial"/>
          <w:b w:val="0"/>
          <w:i/>
        </w:rPr>
        <w:t>srpen 2017</w:t>
      </w:r>
    </w:p>
    <w:p w:rsidR="001F4EBE" w:rsidRDefault="001F4EBE">
      <w:pPr>
        <w:pStyle w:val="Styl2"/>
        <w:rPr>
          <w:rFonts w:cs="Arial"/>
          <w:b w:val="0"/>
        </w:rPr>
      </w:pPr>
    </w:p>
    <w:p w:rsidR="001F4EBE" w:rsidRDefault="00411C4A">
      <w:pPr>
        <w:pStyle w:val="Styl2"/>
        <w:rPr>
          <w:rFonts w:cs="Arial"/>
          <w:sz w:val="22"/>
          <w:szCs w:val="22"/>
        </w:rPr>
      </w:pPr>
      <w:r>
        <w:br w:type="column"/>
      </w:r>
      <w:r>
        <w:rPr>
          <w:rFonts w:cs="Arial"/>
          <w:sz w:val="22"/>
          <w:szCs w:val="22"/>
        </w:rPr>
        <w:lastRenderedPageBreak/>
        <w:t>Přílohy:</w:t>
      </w:r>
    </w:p>
    <w:p w:rsidR="001F4EBE" w:rsidRDefault="001F4EBE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F4EBE" w:rsidRDefault="00411C4A">
      <w:pPr>
        <w:pStyle w:val="Styl2"/>
        <w:numPr>
          <w:ilvl w:val="0"/>
          <w:numId w:val="9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2012 až 1. pololetí roku 2017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</w:t>
      </w:r>
      <w:r>
        <w:rPr>
          <w:rFonts w:cs="Arial"/>
          <w:sz w:val="22"/>
          <w:szCs w:val="22"/>
        </w:rPr>
        <w:t>ývoj dovozu 10 nejvíce dovážených agrárních položek do ČR v roce 2012 až 1. pololetí roku 2017</w:t>
      </w:r>
    </w:p>
    <w:p w:rsidR="001F4EBE" w:rsidRDefault="001F4EBE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F4EBE" w:rsidRDefault="00411C4A">
      <w:pPr>
        <w:pStyle w:val="Styl2"/>
        <w:numPr>
          <w:ilvl w:val="0"/>
          <w:numId w:val="9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2012 až 1. pololetí roku 2017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do ČR v roce 2012 až 1. pololetí roku 2017</w:t>
      </w:r>
    </w:p>
    <w:p w:rsidR="001F4EBE" w:rsidRDefault="001F4EBE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F4EBE" w:rsidRDefault="00411C4A">
      <w:pPr>
        <w:pStyle w:val="Styl2"/>
        <w:numPr>
          <w:ilvl w:val="0"/>
          <w:numId w:val="9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</w:t>
      </w:r>
    </w:p>
    <w:p w:rsidR="001F4EBE" w:rsidRDefault="00411C4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mimounijních zemí v roce 2012 až 1</w:t>
      </w:r>
      <w:r>
        <w:rPr>
          <w:rFonts w:cs="Arial"/>
          <w:sz w:val="22"/>
          <w:szCs w:val="22"/>
        </w:rPr>
        <w:t>. pololetí roku 2017</w:t>
      </w:r>
    </w:p>
    <w:p w:rsidR="001F4EBE" w:rsidRDefault="00411C4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2012 až 1. pololetí roku 2017</w:t>
      </w:r>
    </w:p>
    <w:p w:rsidR="001F4EBE" w:rsidRDefault="001F4EBE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1F4EBE" w:rsidRDefault="00411C4A">
      <w:pPr>
        <w:rPr>
          <w:i/>
          <w:szCs w:val="22"/>
        </w:rPr>
      </w:pPr>
      <w:r>
        <w:rPr>
          <w:i/>
          <w:szCs w:val="22"/>
        </w:rPr>
        <w:t>Pozn.: Komodity definované 4-místným kódem HS jsou do tabulek 1 až 3 vybrány na </w:t>
      </w:r>
      <w:r>
        <w:rPr>
          <w:i/>
          <w:szCs w:val="22"/>
        </w:rPr>
        <w:t>základě hodnot vývozů a dovozů ve finančním vyjádření za období roku 2012 až 1. čtvrtletí roku 2017 a řazeny jsou podle roku 2016. Data jsou na této úrovni HS bez dopočtů.</w:t>
      </w:r>
    </w:p>
    <w:p w:rsidR="001F4EBE" w:rsidRDefault="001F4EBE">
      <w:pPr>
        <w:rPr>
          <w:i/>
          <w:szCs w:val="22"/>
        </w:rPr>
      </w:pPr>
    </w:p>
    <w:p w:rsidR="001F4EBE" w:rsidRDefault="00411C4A">
      <w:pPr>
        <w:pStyle w:val="Styl2"/>
        <w:numPr>
          <w:ilvl w:val="0"/>
          <w:numId w:val="9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:rsidR="001F4EBE" w:rsidRDefault="00411C4A">
      <w:pPr>
        <w:pStyle w:val="Styl2"/>
        <w:numPr>
          <w:ilvl w:val="0"/>
          <w:numId w:val="9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</w:t>
      </w:r>
      <w:r>
        <w:rPr>
          <w:rFonts w:cs="Arial"/>
          <w:sz w:val="22"/>
          <w:szCs w:val="22"/>
          <w:u w:val="single"/>
        </w:rPr>
        <w:t>ozu do ČR</w:t>
      </w:r>
    </w:p>
    <w:p w:rsidR="001F4EBE" w:rsidRDefault="001F4EBE">
      <w:pPr>
        <w:jc w:val="left"/>
        <w:rPr>
          <w:b/>
          <w:szCs w:val="22"/>
        </w:rPr>
      </w:pPr>
    </w:p>
    <w:p w:rsidR="001F4EBE" w:rsidRDefault="00411C4A">
      <w:pPr>
        <w:rPr>
          <w:i/>
          <w:szCs w:val="22"/>
        </w:rPr>
      </w:pPr>
      <w:r>
        <w:rPr>
          <w:i/>
          <w:szCs w:val="22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</w:t>
      </w:r>
      <w:r>
        <w:rPr>
          <w:i/>
          <w:szCs w:val="22"/>
        </w:rPr>
        <w:t xml:space="preserve">se o data s dopočty. </w:t>
      </w:r>
    </w:p>
    <w:p w:rsidR="001F4EBE" w:rsidRDefault="001F4EBE">
      <w:pPr>
        <w:spacing w:line="276" w:lineRule="auto"/>
        <w:rPr>
          <w:sz w:val="24"/>
        </w:rPr>
      </w:pPr>
    </w:p>
    <w:p w:rsidR="001F4EBE" w:rsidRDefault="001F4EBE">
      <w:pPr>
        <w:spacing w:line="276" w:lineRule="auto"/>
        <w:rPr>
          <w:sz w:val="24"/>
        </w:rPr>
      </w:pPr>
    </w:p>
    <w:p w:rsidR="001F4EBE" w:rsidRDefault="001F4EBE">
      <w:pPr>
        <w:spacing w:line="276" w:lineRule="auto"/>
        <w:rPr>
          <w:sz w:val="24"/>
        </w:rPr>
      </w:pPr>
    </w:p>
    <w:p w:rsidR="001F4EBE" w:rsidRDefault="001F4EBE">
      <w:pPr>
        <w:spacing w:line="276" w:lineRule="auto"/>
        <w:rPr>
          <w:sz w:val="24"/>
        </w:rPr>
      </w:pPr>
    </w:p>
    <w:p w:rsidR="001F4EBE" w:rsidRDefault="001F4EBE">
      <w:pPr>
        <w:spacing w:line="276" w:lineRule="auto"/>
        <w:rPr>
          <w:sz w:val="24"/>
        </w:rPr>
      </w:pPr>
    </w:p>
    <w:p w:rsidR="001F4EBE" w:rsidRDefault="001F4EBE">
      <w:pPr>
        <w:spacing w:line="276" w:lineRule="auto"/>
        <w:rPr>
          <w:sz w:val="24"/>
        </w:rPr>
      </w:pPr>
    </w:p>
    <w:p w:rsidR="001F4EBE" w:rsidRDefault="001F4EBE">
      <w:pPr>
        <w:pStyle w:val="Styl2"/>
        <w:rPr>
          <w:rFonts w:cs="Arial"/>
          <w:b w:val="0"/>
          <w:i/>
          <w:sz w:val="24"/>
          <w:szCs w:val="24"/>
        </w:rPr>
        <w:sectPr w:rsidR="001F4EBE">
          <w:headerReference w:type="even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F4EBE" w:rsidRDefault="00411C4A">
      <w:pPr>
        <w:pStyle w:val="Styl2"/>
        <w:numPr>
          <w:ilvl w:val="0"/>
          <w:numId w:val="10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2012 až 1. pololetí roku 2017</w:t>
      </w:r>
    </w:p>
    <w:p w:rsidR="001F4EBE" w:rsidRDefault="00411C4A">
      <w:pPr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586188"/>
            <wp:effectExtent l="0" t="0" r="5080" b="5080"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61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ind w:right="677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Pozn.: Upřesnění názvů komodit: </w:t>
      </w:r>
      <w:r>
        <w:rPr>
          <w:i/>
          <w:sz w:val="18"/>
          <w:szCs w:val="16"/>
        </w:rPr>
        <w:t>HS 2402 cigarety vč. doutníků a doutníčků, HS 1514 řepkový olej vč. hořčičného, HS 1905 pekařské zboží vč. sušenek a oplatek, HS 2106 potravinové přípravky jiné a HS 0401 mléko a smetana pouze nezahuštěné.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</w:t>
      </w:r>
      <w:r>
        <w:rPr>
          <w:i/>
          <w:sz w:val="18"/>
          <w:szCs w:val="16"/>
        </w:rPr>
        <w:t>17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2012 až 1. pololetí roku 2017</w:t>
      </w:r>
    </w:p>
    <w:p w:rsidR="001F4EBE" w:rsidRDefault="00411C4A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>
            <wp:extent cx="8891270" cy="4586188"/>
            <wp:effectExtent l="0" t="0" r="5080" b="5080"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61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 Upřesnění názvů komodit: HS 1905 pekařské zboží vč. sušenek a oplatek, HS 2402 cigarety vč. doutníků a doutníčků a HS 2106 potravinové př</w:t>
      </w:r>
      <w:r>
        <w:rPr>
          <w:i/>
          <w:sz w:val="18"/>
          <w:szCs w:val="16"/>
        </w:rPr>
        <w:t>ípravky jiné.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2017</w:t>
      </w:r>
    </w:p>
    <w:p w:rsidR="001F4EBE" w:rsidRDefault="00411C4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v roce 2012 až 1. pololetí roku 2017</w:t>
      </w:r>
    </w:p>
    <w:p w:rsidR="001F4EBE" w:rsidRDefault="00411C4A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586188"/>
            <wp:effectExtent l="0" t="0" r="5080" b="508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61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ind w:right="677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Pozn.: Upřesnění názvů komodit: </w:t>
      </w:r>
      <w:r>
        <w:rPr>
          <w:i/>
          <w:sz w:val="18"/>
          <w:szCs w:val="16"/>
        </w:rPr>
        <w:t>HS 2402 cigarety vč. doutníků a doutníčků, HS 1514 řepkový olej vč. hořčičného, HS 1905 pekařské zboží vč. sušenek a oplatek, HS 0401 mléko a smetana nezahuštěné a HS 2106 potravinové přípravky jiné.</w:t>
      </w:r>
    </w:p>
    <w:p w:rsidR="001F4EBE" w:rsidRDefault="00411C4A">
      <w:pPr>
        <w:ind w:right="677"/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2017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lastRenderedPageBreak/>
        <w:t>Ta</w:t>
      </w:r>
      <w:r>
        <w:rPr>
          <w:rFonts w:cs="Arial"/>
          <w:sz w:val="22"/>
          <w:szCs w:val="22"/>
        </w:rPr>
        <w:t>bulka – Vývoj dovozu 10 nejvíce dovážených agrárních položek z EU do ČR v roce 2012 až 1. pololetí roku 2017</w:t>
      </w:r>
    </w:p>
    <w:p w:rsidR="001F4EBE" w:rsidRDefault="00411C4A">
      <w:pPr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586188"/>
            <wp:effectExtent l="0" t="0" r="5080" b="5080"/>
            <wp:docPr id="10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61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 Upřesnění názvů komodit: HS 1905 pekařské zboží vč. sušenek a oplatek, HS 2402 cigarety vč. doutníků a doutníčků a HS 2106 potravinové pří</w:t>
      </w:r>
      <w:r>
        <w:rPr>
          <w:i/>
          <w:sz w:val="18"/>
          <w:szCs w:val="16"/>
        </w:rPr>
        <w:t>pravky jiné.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2017</w:t>
      </w:r>
    </w:p>
    <w:p w:rsidR="001F4EBE" w:rsidRDefault="00411C4A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br w:type="page"/>
      </w:r>
      <w:r>
        <w:rPr>
          <w:rFonts w:cs="Arial"/>
          <w:sz w:val="22"/>
          <w:szCs w:val="22"/>
          <w:u w:val="single"/>
        </w:rPr>
        <w:lastRenderedPageBreak/>
        <w:t>3) Zahraniční obchod ČR – mimounijní země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mimounijních zemí v roce 2012 až 1. pololetí roku 2017</w:t>
      </w:r>
    </w:p>
    <w:p w:rsidR="001F4EBE" w:rsidRDefault="00411C4A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>
            <wp:extent cx="8891270" cy="4586188"/>
            <wp:effectExtent l="0" t="0" r="5080" b="5080"/>
            <wp:docPr id="1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61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</w:t>
      </w:r>
      <w:r>
        <w:t xml:space="preserve"> </w:t>
      </w:r>
      <w:r>
        <w:rPr>
          <w:i/>
          <w:sz w:val="18"/>
          <w:szCs w:val="16"/>
        </w:rPr>
        <w:t>Upřesnění ná</w:t>
      </w:r>
      <w:r>
        <w:rPr>
          <w:i/>
          <w:sz w:val="18"/>
          <w:szCs w:val="16"/>
        </w:rPr>
        <w:t>zvů komodit: HS 2402 cigarety vč. doutníků a doutníčků a HS 2106 potravinové přípravky jiné.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2017</w:t>
      </w:r>
    </w:p>
    <w:p w:rsidR="001F4EBE" w:rsidRDefault="00411C4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br w:type="column"/>
      </w:r>
      <w:r>
        <w:rPr>
          <w:rFonts w:cs="Arial"/>
          <w:sz w:val="22"/>
          <w:szCs w:val="22"/>
        </w:rPr>
        <w:lastRenderedPageBreak/>
        <w:t xml:space="preserve">Tabulka – Vývoj dovozu 10 nejvíce dovážených agrárních položek z mimounijních zemí do ČR v roce 2012 až </w:t>
      </w:r>
      <w:r>
        <w:rPr>
          <w:rFonts w:cs="Arial"/>
          <w:sz w:val="22"/>
          <w:szCs w:val="22"/>
        </w:rPr>
        <w:t>1. pololetí roku 2017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8891270" cy="4586188"/>
            <wp:effectExtent l="0" t="0" r="5080" b="5080"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861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Pozn.: Upřesnění názvů komodit: HS 2106 potravinové přípravky jiné, HS 0802 skořápkové ovoce bez kokosů, para a kešu ořechů a HS 2401 tabák nezpracovaný.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Zdroj: Databáze zahraničního obchodu ČSÚ, srpen 2017</w:t>
      </w:r>
    </w:p>
    <w:p w:rsidR="001F4EBE" w:rsidRDefault="001F4EBE">
      <w:pPr>
        <w:contextualSpacing/>
        <w:sectPr w:rsidR="001F4EBE">
          <w:headerReference w:type="even" r:id="rId21"/>
          <w:headerReference w:type="default" r:id="rId22"/>
          <w:headerReference w:type="first" r:id="rId23"/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1F4EBE" w:rsidRDefault="00411C4A">
      <w:pPr>
        <w:pStyle w:val="Nadpis3"/>
        <w:jc w:val="left"/>
        <w:rPr>
          <w:szCs w:val="22"/>
        </w:rPr>
      </w:pPr>
      <w:bookmarkStart w:id="2" w:name="_Toc413330137"/>
      <w:r>
        <w:rPr>
          <w:szCs w:val="22"/>
        </w:rPr>
        <w:lastRenderedPageBreak/>
        <w:t>4) Pořadí zemí dle hodnoty agrárního vývozu z ČR</w:t>
      </w:r>
      <w:bookmarkEnd w:id="2"/>
      <w:r>
        <w:rPr>
          <w:szCs w:val="22"/>
        </w:rPr>
        <w:t xml:space="preserve"> </w:t>
      </w:r>
    </w:p>
    <w:p w:rsidR="001F4EBE" w:rsidRDefault="00411C4A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5760720" cy="6758939"/>
            <wp:effectExtent l="0" t="0" r="0" b="4445"/>
            <wp:docPr id="13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589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</w:t>
      </w:r>
      <w:bookmarkStart w:id="3" w:name="_GoBack"/>
      <w:bookmarkEnd w:id="3"/>
      <w:r>
        <w:rPr>
          <w:i/>
          <w:sz w:val="18"/>
          <w:szCs w:val="16"/>
        </w:rPr>
        <w:t>n. Barevně jsou zvýrazněny země EU 28, řazeno podle 1. pololetí roku 2017.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vývozu 98 %.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Pramen: </w:t>
      </w:r>
      <w:r>
        <w:rPr>
          <w:i/>
          <w:sz w:val="18"/>
          <w:szCs w:val="16"/>
        </w:rPr>
        <w:t>Databáze zahraničního obchodu ČSÚ, srpen 2017</w:t>
      </w:r>
    </w:p>
    <w:p w:rsidR="001F4EBE" w:rsidRDefault="001F4EBE"/>
    <w:p w:rsidR="001F4EBE" w:rsidRDefault="00411C4A">
      <w:pPr>
        <w:pStyle w:val="Nadpis3"/>
        <w:jc w:val="left"/>
        <w:rPr>
          <w:szCs w:val="22"/>
        </w:rPr>
      </w:pPr>
      <w:bookmarkStart w:id="4" w:name="_Toc384374704"/>
      <w:r>
        <w:br w:type="page"/>
      </w:r>
      <w:bookmarkStart w:id="5" w:name="_Toc413330138"/>
      <w:r>
        <w:rPr>
          <w:szCs w:val="22"/>
        </w:rPr>
        <w:lastRenderedPageBreak/>
        <w:t>5)</w:t>
      </w:r>
      <w:r>
        <w:rPr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4"/>
      <w:bookmarkEnd w:id="5"/>
    </w:p>
    <w:p w:rsidR="001F4EBE" w:rsidRDefault="00411C4A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>
            <wp:extent cx="5760720" cy="6967223"/>
            <wp:effectExtent l="0" t="0" r="0" b="5080"/>
            <wp:docPr id="14" name="Obráze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672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 28, řazeno podle 1. čtvrtletí roku 2017.</w:t>
      </w:r>
    </w:p>
    <w:p w:rsidR="001F4EBE" w:rsidRDefault="00411C4A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dovozu 97 %.</w:t>
      </w:r>
    </w:p>
    <w:p w:rsidR="001F4EBE" w:rsidRDefault="00411C4A">
      <w:pPr>
        <w:contextualSpacing/>
      </w:pPr>
      <w:r>
        <w:rPr>
          <w:i/>
          <w:sz w:val="18"/>
          <w:szCs w:val="16"/>
        </w:rPr>
        <w:t>Zdroj: Databáz</w:t>
      </w:r>
      <w:r>
        <w:rPr>
          <w:i/>
          <w:sz w:val="18"/>
          <w:szCs w:val="16"/>
        </w:rPr>
        <w:t>e zahraničního obchodu ČSÚ, srpen 2017</w:t>
      </w:r>
    </w:p>
    <w:p w:rsidR="001F4EBE" w:rsidRDefault="001F4EBE"/>
    <w:p w:rsidR="001F4EBE" w:rsidRDefault="001F4EBE"/>
    <w:p w:rsidR="001F4EBE" w:rsidRDefault="001F4EBE">
      <w:pPr>
        <w:rPr>
          <w:szCs w:val="22"/>
        </w:rPr>
      </w:pPr>
    </w:p>
    <w:sectPr w:rsidR="001F4EBE">
      <w:headerReference w:type="even" r:id="rId26"/>
      <w:headerReference w:type="default" r:id="rId27"/>
      <w:footerReference w:type="default" r:id="rId28"/>
      <w:headerReference w:type="first" r:id="rId29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4A" w:rsidRDefault="00411C4A">
      <w:r>
        <w:separator/>
      </w:r>
    </w:p>
  </w:endnote>
  <w:endnote w:type="continuationSeparator" w:id="0">
    <w:p w:rsidR="00411C4A" w:rsidRDefault="0041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411C4A">
    <w:pPr>
      <w:pStyle w:val="Zpat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  \* MERGEFORMAT</w:instrText>
    </w:r>
    <w:r>
      <w:rPr>
        <w:rFonts w:ascii="Times New Roman" w:eastAsia="Times New Roman" w:hAnsi="Times New Roman" w:cs="Times New Roman"/>
      </w:rPr>
      <w:fldChar w:fldCharType="separate"/>
    </w:r>
    <w:r w:rsidR="009D2559">
      <w:rPr>
        <w:rFonts w:ascii="Times New Roman" w:eastAsia="Times New Roman" w:hAnsi="Times New Roman" w:cs="Times New Roman"/>
        <w:noProof/>
      </w:rPr>
      <w:t>12</w:t>
    </w:r>
    <w:r>
      <w:rPr>
        <w:rFonts w:ascii="Times New Roman" w:eastAsia="Times New Roman" w:hAnsi="Times New Roman" w:cs="Times New Roman"/>
      </w:rPr>
      <w:fldChar w:fldCharType="end"/>
    </w:r>
  </w:p>
  <w:p w:rsidR="001F4EBE" w:rsidRDefault="001F4E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411C4A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9D2559">
      <w:rPr>
        <w:noProof/>
      </w:rPr>
      <w:t>14</w:t>
    </w:r>
    <w:r>
      <w:fldChar w:fldCharType="end"/>
    </w:r>
  </w:p>
  <w:p w:rsidR="001F4EBE" w:rsidRDefault="001F4E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4A" w:rsidRDefault="00411C4A">
      <w:r>
        <w:separator/>
      </w:r>
    </w:p>
  </w:footnote>
  <w:footnote w:type="continuationSeparator" w:id="0">
    <w:p w:rsidR="00411C4A" w:rsidRDefault="00411C4A">
      <w:r>
        <w:continuationSeparator/>
      </w:r>
    </w:p>
  </w:footnote>
  <w:footnote w:id="1">
    <w:p w:rsidR="001F4EBE" w:rsidRDefault="00411C4A">
      <w:pPr>
        <w:pStyle w:val="Textpoznpodarou"/>
        <w:tabs>
          <w:tab w:val="left" w:pos="851"/>
        </w:tabs>
      </w:pPr>
      <w:r>
        <w:rPr>
          <w:rStyle w:val="Znakapoznpodarou"/>
        </w:rPr>
        <w:footnoteRef/>
      </w:r>
      <w:r>
        <w:t xml:space="preserve">   Vymezené kapitolami 1 až 24 celního sazebníku.</w:t>
      </w:r>
    </w:p>
  </w:footnote>
  <w:footnote w:id="2">
    <w:p w:rsidR="001F4EBE" w:rsidRDefault="00411C4A">
      <w:pPr>
        <w:pStyle w:val="Textpoznpodarou"/>
        <w:tabs>
          <w:tab w:val="left" w:pos="851"/>
        </w:tabs>
        <w:ind w:left="851" w:hanging="284"/>
      </w:pPr>
      <w:r>
        <w:rPr>
          <w:rStyle w:val="Znakapoznpodarou"/>
        </w:rPr>
        <w:footnoteRef/>
      </w:r>
      <w:r>
        <w:t xml:space="preserve"> </w:t>
      </w:r>
      <w:r>
        <w:tab/>
        <w:t>Součet bilancí obchodu s EU 28 a třetími zeměmi se nerovná př</w:t>
      </w:r>
      <w:r>
        <w:t>esně celkové bilanci, neboť některé obchodní operace nejsou v databázi přiřazeny ani jedné ze skupin.</w:t>
      </w:r>
    </w:p>
  </w:footnote>
  <w:footnote w:id="3">
    <w:p w:rsidR="001F4EBE" w:rsidRDefault="00411C4A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 i podrobnějších kódů celní nomenklatury.</w:t>
      </w:r>
    </w:p>
  </w:footnote>
  <w:footnote w:id="4">
    <w:p w:rsidR="001F4EBE" w:rsidRDefault="00411C4A">
      <w:pPr>
        <w:pStyle w:val="Textpoznpodarou"/>
        <w:tabs>
          <w:tab w:val="left" w:pos="851"/>
        </w:tabs>
      </w:pPr>
      <w:r>
        <w:rPr>
          <w:rStyle w:val="Znakapoznpodarou"/>
        </w:rPr>
        <w:footnoteRef/>
      </w:r>
      <w:r>
        <w:t xml:space="preserve"> </w:t>
      </w:r>
      <w:r>
        <w:tab/>
      </w:r>
      <w:r>
        <w:t>Potravinové přípravky jiné HS 2106.</w:t>
      </w:r>
    </w:p>
  </w:footnote>
  <w:footnote w:id="5">
    <w:p w:rsidR="001F4EBE" w:rsidRDefault="00411C4A">
      <w:pPr>
        <w:pStyle w:val="Textpoznpodarou"/>
        <w:tabs>
          <w:tab w:val="left" w:pos="851"/>
        </w:tabs>
        <w:ind w:left="851" w:hanging="284"/>
      </w:pPr>
      <w:r>
        <w:rPr>
          <w:rStyle w:val="Znakapoznpodarou"/>
        </w:rPr>
        <w:footnoteRef/>
      </w:r>
      <w:r>
        <w:t xml:space="preserve"> </w:t>
      </w:r>
      <w:r>
        <w:tab/>
        <w:t>Po propadu během roku 2016 však vykazoval netto-vývoz v průběhu 1. pololetí 2017 rostoucí trend.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411C4A">
    <w:r>
      <w:pict>
        <v:shape id="WordPictureWatermark162168c89-69a7-41cc-8395-13fe0d61b1a9" o:spid="_x0000_s2056" style="position:absolute;left:0;text-align:left;margin-left:0;margin-top:0;width:8in;height:414pt;z-index:-251661824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6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411C4A">
    <w:r>
      <w:pict>
        <v:shape id="WordPictureWatermark1d116c2a1-339a-4e11-ae68-2b34eadc85af" o:spid="_x0000_s2053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6"/>
          <v:formulas/>
          <v:path o:connecttype="segmen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1F4E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411C4A">
    <w:r>
      <w:pict>
        <v:shape id="WordPictureWatermark161f96fd6-553e-4853-bc0a-ef03c58cd177" o:spid="_x0000_s2054" style="position:absolute;left:0;text-align:left;margin-left:0;margin-top:0;width:8in;height:414pt;z-index:-25165977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6"/>
          <v:formulas/>
          <v:path o:connecttype="segment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411C4A">
    <w:r>
      <w:pict>
        <v:shape id="WordPictureWatermark10227b329-2c11-4836-8767-aa09275fec74" o:spid="_x0000_s2050" style="position:absolute;left:0;text-align:left;margin-left:0;margin-top:0;width:8in;height:414pt;z-index:-251655680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image16"/>
          <v:formulas/>
          <v:path o:connecttype="segment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1F4EB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EBE" w:rsidRDefault="001F4E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288"/>
    <w:multiLevelType w:val="multilevel"/>
    <w:tmpl w:val="CF2088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7136333"/>
    <w:multiLevelType w:val="multilevel"/>
    <w:tmpl w:val="CF6CE4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9C00B14"/>
    <w:multiLevelType w:val="multilevel"/>
    <w:tmpl w:val="66380E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D1F6935"/>
    <w:multiLevelType w:val="multilevel"/>
    <w:tmpl w:val="BC1635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E222DD5"/>
    <w:multiLevelType w:val="multilevel"/>
    <w:tmpl w:val="01C08A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3AD5C3E"/>
    <w:multiLevelType w:val="multilevel"/>
    <w:tmpl w:val="F5FA26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26204B27"/>
    <w:multiLevelType w:val="multilevel"/>
    <w:tmpl w:val="CC34A5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319E461A"/>
    <w:multiLevelType w:val="multilevel"/>
    <w:tmpl w:val="4C7EF3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40974CC"/>
    <w:multiLevelType w:val="multilevel"/>
    <w:tmpl w:val="263630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34CA650D"/>
    <w:multiLevelType w:val="multilevel"/>
    <w:tmpl w:val="C2F25C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42520C43"/>
    <w:multiLevelType w:val="multilevel"/>
    <w:tmpl w:val="38AC69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487C0548"/>
    <w:multiLevelType w:val="multilevel"/>
    <w:tmpl w:val="A142E0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8F53239"/>
    <w:multiLevelType w:val="multilevel"/>
    <w:tmpl w:val="BE7A07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D17430C"/>
    <w:multiLevelType w:val="multilevel"/>
    <w:tmpl w:val="BC5002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D353A41"/>
    <w:multiLevelType w:val="multilevel"/>
    <w:tmpl w:val="05447E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D3DA1"/>
    <w:multiLevelType w:val="multilevel"/>
    <w:tmpl w:val="3912C5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6D02110"/>
    <w:multiLevelType w:val="multilevel"/>
    <w:tmpl w:val="382EC5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5C655F60"/>
    <w:multiLevelType w:val="multilevel"/>
    <w:tmpl w:val="7DCEC3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5CAB532A"/>
    <w:multiLevelType w:val="multilevel"/>
    <w:tmpl w:val="62828B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E1E6C24"/>
    <w:multiLevelType w:val="multilevel"/>
    <w:tmpl w:val="F49208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33AFA"/>
    <w:multiLevelType w:val="multilevel"/>
    <w:tmpl w:val="B4A49F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73EA2B1F"/>
    <w:multiLevelType w:val="multilevel"/>
    <w:tmpl w:val="144E56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4"/>
  </w:num>
  <w:num w:numId="5">
    <w:abstractNumId w:val="13"/>
  </w:num>
  <w:num w:numId="6">
    <w:abstractNumId w:val="1"/>
  </w:num>
  <w:num w:numId="7">
    <w:abstractNumId w:val="16"/>
  </w:num>
  <w:num w:numId="8">
    <w:abstractNumId w:val="10"/>
  </w:num>
  <w:num w:numId="9">
    <w:abstractNumId w:val="14"/>
  </w:num>
  <w:num w:numId="10">
    <w:abstractNumId w:val="19"/>
  </w:num>
  <w:num w:numId="11">
    <w:abstractNumId w:val="8"/>
  </w:num>
  <w:num w:numId="12">
    <w:abstractNumId w:val="20"/>
  </w:num>
  <w:num w:numId="13">
    <w:abstractNumId w:val="18"/>
  </w:num>
  <w:num w:numId="14">
    <w:abstractNumId w:val="15"/>
  </w:num>
  <w:num w:numId="15">
    <w:abstractNumId w:val="7"/>
  </w:num>
  <w:num w:numId="16">
    <w:abstractNumId w:val="5"/>
  </w:num>
  <w:num w:numId="17">
    <w:abstractNumId w:val="2"/>
  </w:num>
  <w:num w:numId="18">
    <w:abstractNumId w:val="6"/>
  </w:num>
  <w:num w:numId="19">
    <w:abstractNumId w:val="21"/>
  </w:num>
  <w:num w:numId="20">
    <w:abstractNumId w:val="12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27674493949302/2017-MZE-17243"/>
    <w:docVar w:name="dms_cj" w:val="49302/2017-MZE-17243"/>
    <w:docVar w:name="dms_datum" w:val="14. 8. 2017"/>
    <w:docVar w:name="dms_datum_textem" w:val="14. srpna 2017"/>
    <w:docVar w:name="dms_datum_vzniku" w:val="10. 8. 2017 16:57:19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arian Jurečka_x000d__x000a_ministr zemědělství"/>
    <w:docVar w:name="dms_podpisova_dolozka_funkce" w:val="ministr zemědělství"/>
    <w:docVar w:name="dms_podpisova_dolozka_jmeno" w:val="Ing. Marian Jure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pololetí r. 2017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1F4EBE"/>
    <w:rsid w:val="001F4EBE"/>
    <w:rsid w:val="00411C4A"/>
    <w:rsid w:val="009D2559"/>
    <w:rsid w:val="00C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Nadpis">
    <w:name w:val="TabNadpis"/>
    <w:basedOn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Pr>
      <w:rFonts w:ascii="Arial" w:eastAsia="Arial" w:hAnsi="Arial" w:cs="Arial"/>
      <w:b/>
      <w:lang w:eastAsia="cs-CZ"/>
    </w:rPr>
  </w:style>
  <w:style w:type="character" w:customStyle="1" w:styleId="TabPozChar">
    <w:name w:val="TabPoz Char"/>
    <w:link w:val="TabPoz"/>
    <w:rPr>
      <w:rFonts w:ascii="Arial" w:eastAsia="Arial" w:hAnsi="Arial" w:cs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link w:val="Styl2"/>
    <w:rPr>
      <w:rFonts w:ascii="Arial" w:eastAsia="Arial" w:hAnsi="Arial" w:cs="Arial"/>
      <w:b/>
      <w:lang w:eastAsia="cs-CZ"/>
    </w:rPr>
  </w:style>
  <w:style w:type="paragraph" w:styleId="Textpoznpodarou">
    <w:name w:val="footnote text"/>
    <w:basedOn w:val="Normln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semiHidden/>
    <w:rPr>
      <w:rFonts w:ascii="Arial" w:eastAsia="Arial" w:hAnsi="Arial" w:cs="Arial"/>
      <w:lang w:eastAsia="cs-CZ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Nadpis">
    <w:name w:val="TabNadpis"/>
    <w:basedOn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Pr>
      <w:rFonts w:ascii="Arial" w:eastAsia="Arial" w:hAnsi="Arial" w:cs="Arial"/>
      <w:b/>
      <w:lang w:eastAsia="cs-CZ"/>
    </w:rPr>
  </w:style>
  <w:style w:type="character" w:customStyle="1" w:styleId="TabPozChar">
    <w:name w:val="TabPoz Char"/>
    <w:link w:val="TabPoz"/>
    <w:rPr>
      <w:rFonts w:ascii="Arial" w:eastAsia="Arial" w:hAnsi="Arial" w:cs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link w:val="Styl2"/>
    <w:rPr>
      <w:rFonts w:ascii="Arial" w:eastAsia="Arial" w:hAnsi="Arial" w:cs="Arial"/>
      <w:b/>
      <w:lang w:eastAsia="cs-CZ"/>
    </w:rPr>
  </w:style>
  <w:style w:type="paragraph" w:styleId="Textpoznpodarou">
    <w:name w:val="footnote text"/>
    <w:basedOn w:val="Normln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semiHidden/>
    <w:rPr>
      <w:rFonts w:ascii="Arial" w:eastAsia="Arial" w:hAnsi="Arial" w:cs="Arial"/>
      <w:lang w:eastAsia="cs-CZ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10.wmf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wmf"/><Relationship Id="rId25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header" Target="header4.xml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1698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3</cp:revision>
  <dcterms:created xsi:type="dcterms:W3CDTF">2017-08-14T09:07:00Z</dcterms:created>
  <dcterms:modified xsi:type="dcterms:W3CDTF">2017-08-14T09:08:00Z</dcterms:modified>
</cp:coreProperties>
</file>