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85" w:rsidRPr="004837AB" w:rsidRDefault="002E580F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Výsledky agrárn</w:t>
      </w:r>
      <w:r w:rsidR="00AE5685" w:rsidRPr="004837AB">
        <w:rPr>
          <w:rFonts w:cs="Arial"/>
          <w:b/>
          <w:bCs/>
          <w:smallCaps/>
          <w:kern w:val="36"/>
          <w:sz w:val="28"/>
          <w:szCs w:val="22"/>
        </w:rPr>
        <w:t xml:space="preserve">ího zahraničního obchodu ČR </w:t>
      </w:r>
    </w:p>
    <w:p w:rsidR="002E580F" w:rsidRPr="004837AB" w:rsidRDefault="004837AB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</w:t>
      </w:r>
      <w:r w:rsidR="00C11FB0">
        <w:rPr>
          <w:rFonts w:cs="Arial"/>
          <w:b/>
          <w:bCs/>
          <w:smallCaps/>
          <w:kern w:val="36"/>
          <w:sz w:val="28"/>
          <w:szCs w:val="22"/>
        </w:rPr>
        <w:t> 1. čtvrtletí roku 201</w:t>
      </w:r>
      <w:r w:rsidR="00CF1D84">
        <w:rPr>
          <w:rFonts w:cs="Arial"/>
          <w:b/>
          <w:bCs/>
          <w:smallCaps/>
          <w:kern w:val="36"/>
          <w:sz w:val="28"/>
          <w:szCs w:val="22"/>
        </w:rPr>
        <w:t>8</w:t>
      </w:r>
    </w:p>
    <w:p w:rsidR="00AE5685" w:rsidRPr="004837AB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2"/>
          <w:szCs w:val="22"/>
        </w:rPr>
      </w:pPr>
    </w:p>
    <w:p w:rsidR="002C7DE0" w:rsidRPr="009416F4" w:rsidRDefault="00C83E71" w:rsidP="002C7DE0">
      <w:pPr>
        <w:spacing w:line="276" w:lineRule="auto"/>
        <w:rPr>
          <w:rFonts w:cs="Arial"/>
          <w:sz w:val="22"/>
          <w:szCs w:val="22"/>
        </w:rPr>
      </w:pPr>
      <w:r w:rsidRPr="009416F4">
        <w:rPr>
          <w:rFonts w:cs="Arial"/>
          <w:sz w:val="22"/>
          <w:szCs w:val="22"/>
        </w:rPr>
        <w:t>Agrární zboží</w:t>
      </w:r>
      <w:r w:rsidRPr="009416F4">
        <w:rPr>
          <w:rStyle w:val="Znakapoznpodarou"/>
          <w:rFonts w:cs="Arial"/>
          <w:sz w:val="22"/>
          <w:szCs w:val="22"/>
        </w:rPr>
        <w:footnoteReference w:id="1"/>
      </w:r>
      <w:r w:rsidRPr="009416F4">
        <w:rPr>
          <w:rFonts w:cs="Arial"/>
          <w:sz w:val="22"/>
          <w:szCs w:val="22"/>
        </w:rPr>
        <w:t xml:space="preserve"> v</w:t>
      </w:r>
      <w:r w:rsidR="002C7DE0" w:rsidRPr="009416F4">
        <w:rPr>
          <w:rFonts w:cs="Arial"/>
          <w:sz w:val="22"/>
          <w:szCs w:val="22"/>
        </w:rPr>
        <w:t> celkové</w:t>
      </w:r>
      <w:r w:rsidR="004E10C3" w:rsidRPr="009416F4">
        <w:rPr>
          <w:rFonts w:cs="Arial"/>
          <w:sz w:val="22"/>
          <w:szCs w:val="22"/>
        </w:rPr>
        <w:t>m</w:t>
      </w:r>
      <w:r w:rsidR="002C7DE0" w:rsidRPr="009416F4">
        <w:rPr>
          <w:rFonts w:cs="Arial"/>
          <w:sz w:val="22"/>
          <w:szCs w:val="22"/>
        </w:rPr>
        <w:t xml:space="preserve"> zahraniční</w:t>
      </w:r>
      <w:r w:rsidR="00B32EC1" w:rsidRPr="009416F4">
        <w:rPr>
          <w:rFonts w:cs="Arial"/>
          <w:sz w:val="22"/>
          <w:szCs w:val="22"/>
        </w:rPr>
        <w:t>m</w:t>
      </w:r>
      <w:r w:rsidR="002C7DE0" w:rsidRPr="009416F4">
        <w:rPr>
          <w:rFonts w:cs="Arial"/>
          <w:sz w:val="22"/>
          <w:szCs w:val="22"/>
        </w:rPr>
        <w:t xml:space="preserve"> obchodu </w:t>
      </w:r>
      <w:r w:rsidR="004E10C3" w:rsidRPr="009416F4">
        <w:rPr>
          <w:rFonts w:cs="Arial"/>
          <w:sz w:val="22"/>
          <w:szCs w:val="22"/>
        </w:rPr>
        <w:t>ČR tvořilo</w:t>
      </w:r>
      <w:r w:rsidR="002C7DE0" w:rsidRPr="009416F4">
        <w:rPr>
          <w:rFonts w:cs="Arial"/>
          <w:sz w:val="22"/>
          <w:szCs w:val="22"/>
        </w:rPr>
        <w:t xml:space="preserve"> </w:t>
      </w:r>
      <w:r w:rsidRPr="009416F4">
        <w:rPr>
          <w:rFonts w:cs="Arial"/>
          <w:sz w:val="22"/>
          <w:szCs w:val="22"/>
        </w:rPr>
        <w:t>v</w:t>
      </w:r>
      <w:r w:rsidR="003D51BF" w:rsidRPr="009416F4">
        <w:rPr>
          <w:rFonts w:cs="Arial"/>
          <w:sz w:val="22"/>
          <w:szCs w:val="22"/>
        </w:rPr>
        <w:t> 1. čtvrtletí roku 201</w:t>
      </w:r>
      <w:r w:rsidR="00CF1D84" w:rsidRPr="009416F4">
        <w:rPr>
          <w:rFonts w:cs="Arial"/>
          <w:sz w:val="22"/>
          <w:szCs w:val="22"/>
        </w:rPr>
        <w:t>8</w:t>
      </w:r>
      <w:r w:rsidRPr="009416F4">
        <w:rPr>
          <w:rFonts w:cs="Arial"/>
          <w:sz w:val="22"/>
          <w:szCs w:val="22"/>
        </w:rPr>
        <w:t xml:space="preserve"> </w:t>
      </w:r>
      <w:r w:rsidR="00354FC0">
        <w:rPr>
          <w:rFonts w:cs="Arial"/>
          <w:sz w:val="22"/>
          <w:szCs w:val="22"/>
        </w:rPr>
        <w:t>na </w:t>
      </w:r>
      <w:r w:rsidR="002C7DE0" w:rsidRPr="009416F4">
        <w:rPr>
          <w:rFonts w:cs="Arial"/>
          <w:sz w:val="22"/>
          <w:szCs w:val="22"/>
        </w:rPr>
        <w:t xml:space="preserve">straně </w:t>
      </w:r>
      <w:r w:rsidRPr="009416F4">
        <w:rPr>
          <w:rFonts w:cs="Arial"/>
          <w:sz w:val="22"/>
          <w:szCs w:val="22"/>
        </w:rPr>
        <w:t>vývozu</w:t>
      </w:r>
      <w:r w:rsidR="002C7DE0" w:rsidRPr="009416F4">
        <w:rPr>
          <w:rFonts w:cs="Arial"/>
          <w:sz w:val="22"/>
          <w:szCs w:val="22"/>
        </w:rPr>
        <w:t xml:space="preserve"> </w:t>
      </w:r>
      <w:r w:rsidR="003D51BF" w:rsidRPr="009416F4">
        <w:rPr>
          <w:rFonts w:cs="Arial"/>
          <w:b/>
          <w:sz w:val="22"/>
          <w:szCs w:val="22"/>
        </w:rPr>
        <w:t>4,</w:t>
      </w:r>
      <w:r w:rsidR="009416F4" w:rsidRPr="009416F4">
        <w:rPr>
          <w:rFonts w:cs="Arial"/>
          <w:b/>
          <w:sz w:val="22"/>
          <w:szCs w:val="22"/>
        </w:rPr>
        <w:t>1</w:t>
      </w:r>
      <w:r w:rsidRPr="009416F4">
        <w:rPr>
          <w:rFonts w:cs="Arial"/>
          <w:b/>
          <w:sz w:val="22"/>
          <w:szCs w:val="22"/>
        </w:rPr>
        <w:t xml:space="preserve"> %</w:t>
      </w:r>
      <w:r w:rsidRPr="009416F4">
        <w:rPr>
          <w:rFonts w:cs="Arial"/>
          <w:sz w:val="22"/>
          <w:szCs w:val="22"/>
        </w:rPr>
        <w:t xml:space="preserve"> </w:t>
      </w:r>
      <w:r w:rsidR="002C7DE0" w:rsidRPr="009416F4">
        <w:rPr>
          <w:rFonts w:cs="Arial"/>
          <w:sz w:val="22"/>
          <w:szCs w:val="22"/>
        </w:rPr>
        <w:t xml:space="preserve">a </w:t>
      </w:r>
      <w:r w:rsidRPr="009416F4">
        <w:rPr>
          <w:rFonts w:cs="Arial"/>
          <w:sz w:val="22"/>
          <w:szCs w:val="22"/>
        </w:rPr>
        <w:t xml:space="preserve">na straně dovozu </w:t>
      </w:r>
      <w:r w:rsidR="003D51BF" w:rsidRPr="009416F4">
        <w:rPr>
          <w:rFonts w:cs="Arial"/>
          <w:b/>
          <w:sz w:val="22"/>
          <w:szCs w:val="22"/>
        </w:rPr>
        <w:t>5,</w:t>
      </w:r>
      <w:r w:rsidR="009416F4" w:rsidRPr="009416F4">
        <w:rPr>
          <w:rFonts w:cs="Arial"/>
          <w:b/>
          <w:sz w:val="22"/>
          <w:szCs w:val="22"/>
        </w:rPr>
        <w:t>7</w:t>
      </w:r>
      <w:r w:rsidRPr="009416F4">
        <w:rPr>
          <w:rFonts w:cs="Arial"/>
          <w:b/>
          <w:sz w:val="22"/>
          <w:szCs w:val="22"/>
        </w:rPr>
        <w:t xml:space="preserve"> %</w:t>
      </w:r>
      <w:r w:rsidRPr="009416F4">
        <w:rPr>
          <w:rFonts w:cs="Arial"/>
          <w:sz w:val="22"/>
          <w:szCs w:val="22"/>
        </w:rPr>
        <w:t xml:space="preserve">, což </w:t>
      </w:r>
      <w:r w:rsidR="00044D5F" w:rsidRPr="009416F4">
        <w:rPr>
          <w:rFonts w:cs="Arial"/>
          <w:sz w:val="22"/>
          <w:szCs w:val="22"/>
        </w:rPr>
        <w:t xml:space="preserve">je </w:t>
      </w:r>
      <w:r w:rsidR="003D51BF" w:rsidRPr="009416F4">
        <w:rPr>
          <w:rFonts w:cs="Arial"/>
          <w:sz w:val="22"/>
          <w:szCs w:val="22"/>
        </w:rPr>
        <w:t>v obou případech vzhlede</w:t>
      </w:r>
      <w:r w:rsidR="00044D5F" w:rsidRPr="009416F4">
        <w:rPr>
          <w:rFonts w:cs="Arial"/>
          <w:sz w:val="22"/>
          <w:szCs w:val="22"/>
        </w:rPr>
        <w:t>m k předchozím letům podprůměrná hodnota</w:t>
      </w:r>
      <w:r w:rsidR="002C7DE0" w:rsidRPr="009416F4">
        <w:rPr>
          <w:rFonts w:cs="Arial"/>
          <w:sz w:val="22"/>
          <w:szCs w:val="22"/>
        </w:rPr>
        <w:t xml:space="preserve">, viz tab. </w:t>
      </w:r>
      <w:r w:rsidRPr="009416F4">
        <w:rPr>
          <w:rFonts w:cs="Arial"/>
          <w:sz w:val="22"/>
          <w:szCs w:val="22"/>
        </w:rPr>
        <w:t>2</w:t>
      </w:r>
      <w:r w:rsidR="002C7DE0" w:rsidRPr="009416F4">
        <w:rPr>
          <w:rFonts w:cs="Arial"/>
          <w:sz w:val="22"/>
          <w:szCs w:val="22"/>
        </w:rPr>
        <w:t>.</w:t>
      </w:r>
      <w:r w:rsidR="003D51BF" w:rsidRPr="009416F4">
        <w:rPr>
          <w:rFonts w:cs="Arial"/>
          <w:sz w:val="22"/>
          <w:szCs w:val="22"/>
        </w:rPr>
        <w:t xml:space="preserve"> Výraznější pokles přitom v meziročním porovnání zaznamenal </w:t>
      </w:r>
      <w:r w:rsidR="004E10C3" w:rsidRPr="009416F4">
        <w:rPr>
          <w:rFonts w:cs="Arial"/>
          <w:sz w:val="22"/>
          <w:szCs w:val="22"/>
        </w:rPr>
        <w:t xml:space="preserve">ve sledovaném čtvrtletí </w:t>
      </w:r>
      <w:r w:rsidR="003D51BF" w:rsidRPr="009416F4">
        <w:rPr>
          <w:rFonts w:cs="Arial"/>
          <w:sz w:val="22"/>
          <w:szCs w:val="22"/>
        </w:rPr>
        <w:t>podíl agrárního zboží v</w:t>
      </w:r>
      <w:r w:rsidR="009416F4" w:rsidRPr="009416F4">
        <w:rPr>
          <w:rFonts w:cs="Arial"/>
          <w:sz w:val="22"/>
          <w:szCs w:val="22"/>
        </w:rPr>
        <w:t>e</w:t>
      </w:r>
      <w:r w:rsidR="003D51BF" w:rsidRPr="009416F4">
        <w:rPr>
          <w:rFonts w:cs="Arial"/>
          <w:sz w:val="22"/>
          <w:szCs w:val="22"/>
        </w:rPr>
        <w:t> </w:t>
      </w:r>
      <w:r w:rsidR="009416F4" w:rsidRPr="009416F4">
        <w:rPr>
          <w:rFonts w:cs="Arial"/>
          <w:sz w:val="22"/>
          <w:szCs w:val="22"/>
        </w:rPr>
        <w:t>vý</w:t>
      </w:r>
      <w:r w:rsidR="003D51BF" w:rsidRPr="009416F4">
        <w:rPr>
          <w:rFonts w:cs="Arial"/>
          <w:sz w:val="22"/>
          <w:szCs w:val="22"/>
        </w:rPr>
        <w:t xml:space="preserve">vozu než </w:t>
      </w:r>
      <w:r w:rsidR="009416F4" w:rsidRPr="009416F4">
        <w:rPr>
          <w:rFonts w:cs="Arial"/>
          <w:sz w:val="22"/>
          <w:szCs w:val="22"/>
        </w:rPr>
        <w:t>do</w:t>
      </w:r>
      <w:r w:rsidR="003D51BF" w:rsidRPr="009416F4">
        <w:rPr>
          <w:rFonts w:cs="Arial"/>
          <w:sz w:val="22"/>
          <w:szCs w:val="22"/>
        </w:rPr>
        <w:t>vozu</w:t>
      </w:r>
      <w:r w:rsidR="004E10C3" w:rsidRPr="009416F4">
        <w:rPr>
          <w:rFonts w:cs="Arial"/>
          <w:sz w:val="22"/>
          <w:szCs w:val="22"/>
        </w:rPr>
        <w:t xml:space="preserve"> (</w:t>
      </w:r>
      <w:r w:rsidR="009416F4" w:rsidRPr="009416F4">
        <w:rPr>
          <w:rFonts w:cs="Arial"/>
          <w:sz w:val="22"/>
          <w:szCs w:val="22"/>
        </w:rPr>
        <w:t>o </w:t>
      </w:r>
      <w:r w:rsidR="004E10C3" w:rsidRPr="009416F4">
        <w:rPr>
          <w:rFonts w:cs="Arial"/>
          <w:sz w:val="22"/>
          <w:szCs w:val="22"/>
        </w:rPr>
        <w:t>0,</w:t>
      </w:r>
      <w:r w:rsidR="009416F4" w:rsidRPr="009416F4">
        <w:rPr>
          <w:rFonts w:cs="Arial"/>
          <w:sz w:val="22"/>
          <w:szCs w:val="22"/>
        </w:rPr>
        <w:t>5</w:t>
      </w:r>
      <w:r w:rsidR="004E10C3" w:rsidRPr="009416F4">
        <w:rPr>
          <w:rFonts w:cs="Arial"/>
          <w:sz w:val="22"/>
          <w:szCs w:val="22"/>
        </w:rPr>
        <w:t xml:space="preserve"> p. b. </w:t>
      </w:r>
      <w:proofErr w:type="gramStart"/>
      <w:r w:rsidR="004E10C3" w:rsidRPr="009416F4">
        <w:rPr>
          <w:rFonts w:cs="Arial"/>
          <w:sz w:val="22"/>
          <w:szCs w:val="22"/>
        </w:rPr>
        <w:t>vs.</w:t>
      </w:r>
      <w:proofErr w:type="gramEnd"/>
      <w:r w:rsidR="004E10C3" w:rsidRPr="009416F4">
        <w:rPr>
          <w:rFonts w:cs="Arial"/>
          <w:sz w:val="22"/>
          <w:szCs w:val="22"/>
        </w:rPr>
        <w:t xml:space="preserve"> </w:t>
      </w:r>
      <w:r w:rsidR="00044D5F" w:rsidRPr="009416F4">
        <w:rPr>
          <w:rFonts w:cs="Arial"/>
          <w:sz w:val="22"/>
          <w:szCs w:val="22"/>
        </w:rPr>
        <w:t xml:space="preserve">o </w:t>
      </w:r>
      <w:r w:rsidR="004E10C3" w:rsidRPr="009416F4">
        <w:rPr>
          <w:rFonts w:cs="Arial"/>
          <w:sz w:val="22"/>
          <w:szCs w:val="22"/>
        </w:rPr>
        <w:t>0,</w:t>
      </w:r>
      <w:r w:rsidR="009416F4" w:rsidRPr="009416F4">
        <w:rPr>
          <w:rFonts w:cs="Arial"/>
          <w:sz w:val="22"/>
          <w:szCs w:val="22"/>
        </w:rPr>
        <w:t>2</w:t>
      </w:r>
      <w:r w:rsidR="004E10C3" w:rsidRPr="009416F4">
        <w:rPr>
          <w:rFonts w:cs="Arial"/>
          <w:sz w:val="22"/>
          <w:szCs w:val="22"/>
        </w:rPr>
        <w:t xml:space="preserve"> p. b.)</w:t>
      </w:r>
      <w:r w:rsidR="003D51BF" w:rsidRPr="009416F4">
        <w:rPr>
          <w:rFonts w:cs="Arial"/>
          <w:sz w:val="22"/>
          <w:szCs w:val="22"/>
        </w:rPr>
        <w:t>.</w:t>
      </w:r>
    </w:p>
    <w:p w:rsidR="003D51BF" w:rsidRPr="00516E92" w:rsidRDefault="007456EA" w:rsidP="003D51BF">
      <w:pPr>
        <w:spacing w:line="276" w:lineRule="auto"/>
        <w:rPr>
          <w:rFonts w:cs="Arial"/>
          <w:sz w:val="22"/>
          <w:szCs w:val="22"/>
        </w:rPr>
      </w:pPr>
      <w:r w:rsidRPr="007456EA">
        <w:rPr>
          <w:rFonts w:cs="Arial"/>
          <w:sz w:val="22"/>
          <w:szCs w:val="22"/>
        </w:rPr>
        <w:t>V</w:t>
      </w:r>
      <w:r w:rsidR="00B176E3" w:rsidRPr="007456EA">
        <w:rPr>
          <w:rFonts w:cs="Arial"/>
          <w:sz w:val="22"/>
          <w:szCs w:val="22"/>
        </w:rPr>
        <w:t> roce 201</w:t>
      </w:r>
      <w:r w:rsidRPr="007456EA">
        <w:rPr>
          <w:rFonts w:cs="Arial"/>
          <w:sz w:val="22"/>
          <w:szCs w:val="22"/>
        </w:rPr>
        <w:t>7</w:t>
      </w:r>
      <w:r w:rsidR="00B176E3" w:rsidRPr="007456EA">
        <w:rPr>
          <w:rFonts w:cs="Arial"/>
          <w:sz w:val="22"/>
          <w:szCs w:val="22"/>
        </w:rPr>
        <w:t xml:space="preserve"> </w:t>
      </w:r>
      <w:r w:rsidRPr="007456EA">
        <w:rPr>
          <w:rFonts w:cs="Arial"/>
          <w:sz w:val="22"/>
          <w:szCs w:val="22"/>
        </w:rPr>
        <w:t>došlo k poklesu</w:t>
      </w:r>
      <w:r w:rsidR="00044D5F" w:rsidRPr="007456EA">
        <w:rPr>
          <w:rFonts w:cs="Arial"/>
          <w:sz w:val="22"/>
          <w:szCs w:val="22"/>
        </w:rPr>
        <w:t xml:space="preserve"> hodnot</w:t>
      </w:r>
      <w:r w:rsidRPr="007456EA">
        <w:rPr>
          <w:rFonts w:cs="Arial"/>
          <w:sz w:val="22"/>
          <w:szCs w:val="22"/>
        </w:rPr>
        <w:t>y</w:t>
      </w:r>
      <w:r w:rsidR="00044D5F" w:rsidRPr="007456EA">
        <w:rPr>
          <w:rFonts w:cs="Arial"/>
          <w:sz w:val="22"/>
          <w:szCs w:val="22"/>
        </w:rPr>
        <w:t xml:space="preserve"> českého</w:t>
      </w:r>
      <w:r w:rsidR="003D51BF" w:rsidRPr="007456EA">
        <w:rPr>
          <w:rFonts w:cs="Arial"/>
          <w:sz w:val="22"/>
          <w:szCs w:val="22"/>
        </w:rPr>
        <w:t xml:space="preserve"> agrární</w:t>
      </w:r>
      <w:r w:rsidR="00044D5F" w:rsidRPr="007456EA">
        <w:rPr>
          <w:rFonts w:cs="Arial"/>
          <w:sz w:val="22"/>
          <w:szCs w:val="22"/>
        </w:rPr>
        <w:t>ho</w:t>
      </w:r>
      <w:r w:rsidR="003D51BF" w:rsidRPr="007456EA">
        <w:rPr>
          <w:rFonts w:cs="Arial"/>
          <w:sz w:val="22"/>
          <w:szCs w:val="22"/>
        </w:rPr>
        <w:t xml:space="preserve"> vývoz</w:t>
      </w:r>
      <w:r w:rsidR="00044D5F" w:rsidRPr="007456EA">
        <w:rPr>
          <w:rFonts w:cs="Arial"/>
          <w:sz w:val="22"/>
          <w:szCs w:val="22"/>
        </w:rPr>
        <w:t>u</w:t>
      </w:r>
      <w:r w:rsidR="003D51BF" w:rsidRPr="007456EA">
        <w:rPr>
          <w:rFonts w:cs="Arial"/>
          <w:sz w:val="22"/>
          <w:szCs w:val="22"/>
        </w:rPr>
        <w:t xml:space="preserve"> a </w:t>
      </w:r>
      <w:r w:rsidRPr="007456EA">
        <w:rPr>
          <w:rFonts w:cs="Arial"/>
          <w:sz w:val="22"/>
          <w:szCs w:val="22"/>
        </w:rPr>
        <w:t xml:space="preserve">naopak nárůstu hodnoty českého agrárního </w:t>
      </w:r>
      <w:r w:rsidR="003D51BF" w:rsidRPr="007456EA">
        <w:rPr>
          <w:rFonts w:cs="Arial"/>
          <w:sz w:val="22"/>
          <w:szCs w:val="22"/>
        </w:rPr>
        <w:t>dovoz</w:t>
      </w:r>
      <w:r w:rsidR="00044D5F" w:rsidRPr="007456EA">
        <w:rPr>
          <w:rFonts w:cs="Arial"/>
          <w:sz w:val="22"/>
          <w:szCs w:val="22"/>
        </w:rPr>
        <w:t>u</w:t>
      </w:r>
      <w:r w:rsidR="004E10C3" w:rsidRPr="007456EA">
        <w:rPr>
          <w:rFonts w:cs="Arial"/>
          <w:sz w:val="22"/>
          <w:szCs w:val="22"/>
        </w:rPr>
        <w:t>. V</w:t>
      </w:r>
      <w:r w:rsidR="003D51BF" w:rsidRPr="007456EA">
        <w:rPr>
          <w:rFonts w:cs="Arial"/>
          <w:sz w:val="22"/>
          <w:szCs w:val="22"/>
        </w:rPr>
        <w:t> 1. čtvrtletí roku 201</w:t>
      </w:r>
      <w:r w:rsidRPr="007456EA">
        <w:rPr>
          <w:rFonts w:cs="Arial"/>
          <w:sz w:val="22"/>
          <w:szCs w:val="22"/>
        </w:rPr>
        <w:t>8</w:t>
      </w:r>
      <w:r w:rsidR="003D51BF" w:rsidRPr="007456EA">
        <w:rPr>
          <w:rFonts w:cs="Arial"/>
          <w:sz w:val="22"/>
          <w:szCs w:val="22"/>
        </w:rPr>
        <w:t xml:space="preserve"> pak </w:t>
      </w:r>
      <w:r w:rsidRPr="007456EA">
        <w:rPr>
          <w:rFonts w:cs="Arial"/>
          <w:sz w:val="22"/>
          <w:szCs w:val="22"/>
        </w:rPr>
        <w:t>pokračovalo</w:t>
      </w:r>
      <w:r w:rsidR="003D51BF" w:rsidRPr="007456EA">
        <w:rPr>
          <w:rFonts w:cs="Arial"/>
          <w:sz w:val="22"/>
          <w:szCs w:val="22"/>
        </w:rPr>
        <w:t xml:space="preserve"> </w:t>
      </w:r>
      <w:r w:rsidR="00044D5F" w:rsidRPr="007456EA">
        <w:rPr>
          <w:rFonts w:cs="Arial"/>
          <w:sz w:val="22"/>
          <w:szCs w:val="22"/>
        </w:rPr>
        <w:t>její</w:t>
      </w:r>
      <w:r w:rsidRPr="007456EA">
        <w:rPr>
          <w:rFonts w:cs="Arial"/>
          <w:sz w:val="22"/>
          <w:szCs w:val="22"/>
        </w:rPr>
        <w:t xml:space="preserve"> výraznější</w:t>
      </w:r>
      <w:r w:rsidR="00044D5F" w:rsidRPr="007456EA">
        <w:rPr>
          <w:rFonts w:cs="Arial"/>
          <w:sz w:val="22"/>
          <w:szCs w:val="22"/>
        </w:rPr>
        <w:t xml:space="preserve"> </w:t>
      </w:r>
      <w:r w:rsidR="006110A2" w:rsidRPr="007456EA">
        <w:rPr>
          <w:rFonts w:cs="Arial"/>
          <w:sz w:val="22"/>
          <w:szCs w:val="22"/>
        </w:rPr>
        <w:t xml:space="preserve">meziroční </w:t>
      </w:r>
      <w:r w:rsidR="00044D5F" w:rsidRPr="007456EA">
        <w:rPr>
          <w:rFonts w:cs="Arial"/>
          <w:sz w:val="22"/>
          <w:szCs w:val="22"/>
        </w:rPr>
        <w:t>snížení</w:t>
      </w:r>
      <w:r w:rsidR="006110A2" w:rsidRPr="007456EA">
        <w:rPr>
          <w:rFonts w:cs="Arial"/>
          <w:sz w:val="22"/>
          <w:szCs w:val="22"/>
        </w:rPr>
        <w:t xml:space="preserve"> </w:t>
      </w:r>
      <w:r w:rsidR="003D51BF" w:rsidRPr="007456EA">
        <w:rPr>
          <w:rFonts w:cs="Arial"/>
          <w:sz w:val="22"/>
          <w:szCs w:val="22"/>
        </w:rPr>
        <w:t xml:space="preserve">na straně </w:t>
      </w:r>
      <w:r w:rsidR="003D51BF" w:rsidRPr="007456EA">
        <w:rPr>
          <w:rFonts w:cs="Arial"/>
          <w:b/>
          <w:sz w:val="22"/>
          <w:szCs w:val="22"/>
        </w:rPr>
        <w:t>exportu</w:t>
      </w:r>
      <w:r w:rsidR="003D51BF" w:rsidRPr="007456EA">
        <w:rPr>
          <w:rFonts w:cs="Arial"/>
          <w:sz w:val="22"/>
          <w:szCs w:val="22"/>
        </w:rPr>
        <w:t xml:space="preserve"> </w:t>
      </w:r>
      <w:r w:rsidR="002648C1" w:rsidRPr="007456EA">
        <w:rPr>
          <w:rFonts w:cs="Arial"/>
          <w:sz w:val="22"/>
          <w:szCs w:val="22"/>
        </w:rPr>
        <w:t>o </w:t>
      </w:r>
      <w:r w:rsidRPr="007456EA">
        <w:rPr>
          <w:rFonts w:cs="Arial"/>
          <w:sz w:val="22"/>
          <w:szCs w:val="22"/>
        </w:rPr>
        <w:t>6,6</w:t>
      </w:r>
      <w:r w:rsidR="004E10C3" w:rsidRPr="007456EA">
        <w:rPr>
          <w:rFonts w:cs="Arial"/>
          <w:sz w:val="22"/>
          <w:szCs w:val="22"/>
        </w:rPr>
        <w:t> </w:t>
      </w:r>
      <w:r w:rsidR="003D51BF" w:rsidRPr="007456EA">
        <w:rPr>
          <w:rFonts w:cs="Arial"/>
          <w:sz w:val="22"/>
          <w:szCs w:val="22"/>
        </w:rPr>
        <w:t>ml</w:t>
      </w:r>
      <w:r w:rsidRPr="007456EA">
        <w:rPr>
          <w:rFonts w:cs="Arial"/>
          <w:sz w:val="22"/>
          <w:szCs w:val="22"/>
        </w:rPr>
        <w:t>d</w:t>
      </w:r>
      <w:r w:rsidR="003D51BF" w:rsidRPr="007456EA">
        <w:rPr>
          <w:rFonts w:cs="Arial"/>
          <w:sz w:val="22"/>
          <w:szCs w:val="22"/>
        </w:rPr>
        <w:t xml:space="preserve">. Kč (tj. o </w:t>
      </w:r>
      <w:r w:rsidRPr="007456EA">
        <w:rPr>
          <w:rFonts w:cs="Arial"/>
          <w:sz w:val="22"/>
          <w:szCs w:val="22"/>
        </w:rPr>
        <w:t>13,3</w:t>
      </w:r>
      <w:r w:rsidR="003D51BF" w:rsidRPr="007456EA">
        <w:rPr>
          <w:rFonts w:cs="Arial"/>
          <w:sz w:val="22"/>
          <w:szCs w:val="22"/>
        </w:rPr>
        <w:t xml:space="preserve"> %) na 4</w:t>
      </w:r>
      <w:r w:rsidRPr="007456EA">
        <w:rPr>
          <w:rFonts w:cs="Arial"/>
          <w:sz w:val="22"/>
          <w:szCs w:val="22"/>
        </w:rPr>
        <w:t>3,4</w:t>
      </w:r>
      <w:r w:rsidR="003D51BF" w:rsidRPr="007456EA">
        <w:rPr>
          <w:rFonts w:cs="Arial"/>
          <w:sz w:val="22"/>
          <w:szCs w:val="22"/>
        </w:rPr>
        <w:t xml:space="preserve"> mld. Kč</w:t>
      </w:r>
      <w:r w:rsidR="00ED35E5">
        <w:rPr>
          <w:rFonts w:cs="Arial"/>
          <w:sz w:val="22"/>
          <w:szCs w:val="22"/>
        </w:rPr>
        <w:t>;</w:t>
      </w:r>
      <w:r w:rsidR="003D51BF" w:rsidRPr="007456EA">
        <w:rPr>
          <w:rFonts w:cs="Arial"/>
          <w:sz w:val="22"/>
          <w:szCs w:val="22"/>
        </w:rPr>
        <w:t xml:space="preserve"> na straně </w:t>
      </w:r>
      <w:r w:rsidR="00044D5F" w:rsidRPr="007456EA">
        <w:rPr>
          <w:rFonts w:cs="Arial"/>
          <w:b/>
          <w:sz w:val="22"/>
          <w:szCs w:val="22"/>
        </w:rPr>
        <w:t>importu</w:t>
      </w:r>
      <w:r w:rsidR="003D51BF" w:rsidRPr="007456EA">
        <w:rPr>
          <w:rFonts w:cs="Arial"/>
          <w:sz w:val="22"/>
          <w:szCs w:val="22"/>
        </w:rPr>
        <w:t xml:space="preserve"> </w:t>
      </w:r>
      <w:r w:rsidRPr="00E52040">
        <w:rPr>
          <w:rFonts w:cs="Arial"/>
          <w:sz w:val="22"/>
          <w:szCs w:val="22"/>
        </w:rPr>
        <w:t>mírně</w:t>
      </w:r>
      <w:r w:rsidR="00ED35E5" w:rsidRPr="00E52040">
        <w:rPr>
          <w:rFonts w:cs="Arial"/>
          <w:sz w:val="22"/>
          <w:szCs w:val="22"/>
        </w:rPr>
        <w:t>jší,</w:t>
      </w:r>
      <w:r w:rsidRPr="00E52040">
        <w:rPr>
          <w:rFonts w:cs="Arial"/>
          <w:sz w:val="22"/>
          <w:szCs w:val="22"/>
        </w:rPr>
        <w:t xml:space="preserve"> a</w:t>
      </w:r>
      <w:r w:rsidRPr="007456EA">
        <w:rPr>
          <w:rFonts w:cs="Arial"/>
          <w:sz w:val="22"/>
          <w:szCs w:val="22"/>
        </w:rPr>
        <w:t xml:space="preserve"> to </w:t>
      </w:r>
      <w:r w:rsidR="002648C1" w:rsidRPr="007456EA">
        <w:rPr>
          <w:rFonts w:cs="Arial"/>
          <w:sz w:val="22"/>
          <w:szCs w:val="22"/>
        </w:rPr>
        <w:t>o </w:t>
      </w:r>
      <w:r w:rsidR="001D7DB4" w:rsidRPr="007456EA">
        <w:rPr>
          <w:rFonts w:cs="Arial"/>
          <w:sz w:val="22"/>
          <w:szCs w:val="22"/>
        </w:rPr>
        <w:t>2,</w:t>
      </w:r>
      <w:r w:rsidR="00985DAA">
        <w:rPr>
          <w:rFonts w:cs="Arial"/>
          <w:sz w:val="22"/>
          <w:szCs w:val="22"/>
        </w:rPr>
        <w:t>0</w:t>
      </w:r>
      <w:r w:rsidR="001D7DB4" w:rsidRPr="007456EA">
        <w:rPr>
          <w:rFonts w:cs="Arial"/>
          <w:sz w:val="22"/>
          <w:szCs w:val="22"/>
        </w:rPr>
        <w:t xml:space="preserve"> mld. Kč (tj. </w:t>
      </w:r>
      <w:r w:rsidR="00044D5F" w:rsidRPr="007456EA">
        <w:rPr>
          <w:rFonts w:cs="Arial"/>
          <w:sz w:val="22"/>
          <w:szCs w:val="22"/>
        </w:rPr>
        <w:t>o </w:t>
      </w:r>
      <w:r w:rsidR="003D51BF" w:rsidRPr="007456EA">
        <w:rPr>
          <w:rFonts w:cs="Arial"/>
          <w:sz w:val="22"/>
          <w:szCs w:val="22"/>
        </w:rPr>
        <w:t>3,</w:t>
      </w:r>
      <w:r w:rsidRPr="007456EA">
        <w:rPr>
          <w:rFonts w:cs="Arial"/>
          <w:sz w:val="22"/>
          <w:szCs w:val="22"/>
        </w:rPr>
        <w:t>6</w:t>
      </w:r>
      <w:r w:rsidR="003D51BF" w:rsidRPr="007456EA">
        <w:rPr>
          <w:rFonts w:cs="Arial"/>
          <w:sz w:val="22"/>
          <w:szCs w:val="22"/>
        </w:rPr>
        <w:t xml:space="preserve"> %) na 5</w:t>
      </w:r>
      <w:r w:rsidRPr="007456EA">
        <w:rPr>
          <w:rFonts w:cs="Arial"/>
          <w:sz w:val="22"/>
          <w:szCs w:val="22"/>
        </w:rPr>
        <w:t>3,5</w:t>
      </w:r>
      <w:r w:rsidR="003D51BF" w:rsidRPr="007456EA">
        <w:rPr>
          <w:rFonts w:cs="Arial"/>
          <w:sz w:val="22"/>
          <w:szCs w:val="22"/>
        </w:rPr>
        <w:t xml:space="preserve"> mld. Kč</w:t>
      </w:r>
      <w:r w:rsidR="003D51BF" w:rsidRPr="00624630">
        <w:rPr>
          <w:rFonts w:cs="Arial"/>
          <w:sz w:val="22"/>
          <w:szCs w:val="22"/>
        </w:rPr>
        <w:t>.</w:t>
      </w:r>
      <w:r w:rsidR="002648C1" w:rsidRPr="00624630">
        <w:rPr>
          <w:rFonts w:cs="Arial"/>
          <w:sz w:val="22"/>
          <w:szCs w:val="22"/>
        </w:rPr>
        <w:t xml:space="preserve"> Na rozdíl od předchozího roku se </w:t>
      </w:r>
      <w:r w:rsidR="004E10C3" w:rsidRPr="00624630">
        <w:rPr>
          <w:rFonts w:cs="Arial"/>
          <w:sz w:val="22"/>
          <w:szCs w:val="22"/>
        </w:rPr>
        <w:t>však</w:t>
      </w:r>
      <w:r w:rsidR="002648C1" w:rsidRPr="00624630">
        <w:rPr>
          <w:rFonts w:cs="Arial"/>
          <w:sz w:val="22"/>
          <w:szCs w:val="22"/>
        </w:rPr>
        <w:t xml:space="preserve"> v 1.</w:t>
      </w:r>
      <w:r w:rsidR="004E10C3" w:rsidRPr="00624630">
        <w:rPr>
          <w:rFonts w:cs="Arial"/>
          <w:sz w:val="22"/>
          <w:szCs w:val="22"/>
        </w:rPr>
        <w:t> </w:t>
      </w:r>
      <w:r w:rsidR="002648C1" w:rsidRPr="00624630">
        <w:rPr>
          <w:rFonts w:cs="Arial"/>
          <w:sz w:val="22"/>
          <w:szCs w:val="22"/>
        </w:rPr>
        <w:t>čtvrtletí roku 201</w:t>
      </w:r>
      <w:r w:rsidRPr="00624630">
        <w:rPr>
          <w:rFonts w:cs="Arial"/>
          <w:sz w:val="22"/>
          <w:szCs w:val="22"/>
        </w:rPr>
        <w:t>8</w:t>
      </w:r>
      <w:r w:rsidR="002648C1" w:rsidRPr="00624630">
        <w:rPr>
          <w:rFonts w:cs="Arial"/>
          <w:sz w:val="22"/>
          <w:szCs w:val="22"/>
        </w:rPr>
        <w:t xml:space="preserve"> meziročně </w:t>
      </w:r>
      <w:r w:rsidR="0045265A" w:rsidRPr="00624630">
        <w:rPr>
          <w:rFonts w:cs="Arial"/>
          <w:sz w:val="22"/>
          <w:szCs w:val="22"/>
        </w:rPr>
        <w:t xml:space="preserve">významně </w:t>
      </w:r>
      <w:r w:rsidR="002648C1" w:rsidRPr="00624630">
        <w:rPr>
          <w:rFonts w:cs="Arial"/>
          <w:b/>
          <w:sz w:val="22"/>
          <w:szCs w:val="22"/>
        </w:rPr>
        <w:t>z</w:t>
      </w:r>
      <w:r w:rsidR="0045265A" w:rsidRPr="00624630">
        <w:rPr>
          <w:rFonts w:cs="Arial"/>
          <w:b/>
          <w:sz w:val="22"/>
          <w:szCs w:val="22"/>
        </w:rPr>
        <w:t>horš</w:t>
      </w:r>
      <w:r w:rsidR="002648C1" w:rsidRPr="00624630">
        <w:rPr>
          <w:rFonts w:cs="Arial"/>
          <w:b/>
          <w:sz w:val="22"/>
          <w:szCs w:val="22"/>
        </w:rPr>
        <w:t>ila záporná bilance</w:t>
      </w:r>
      <w:r w:rsidR="002648C1" w:rsidRPr="00624630">
        <w:rPr>
          <w:rFonts w:cs="Arial"/>
          <w:sz w:val="22"/>
          <w:szCs w:val="22"/>
        </w:rPr>
        <w:t xml:space="preserve"> českého AZO o </w:t>
      </w:r>
      <w:r w:rsidR="0045265A" w:rsidRPr="00624630">
        <w:rPr>
          <w:rFonts w:cs="Arial"/>
          <w:sz w:val="22"/>
          <w:szCs w:val="22"/>
        </w:rPr>
        <w:t>4</w:t>
      </w:r>
      <w:r w:rsidR="002648C1" w:rsidRPr="00624630">
        <w:rPr>
          <w:rFonts w:cs="Arial"/>
          <w:sz w:val="22"/>
          <w:szCs w:val="22"/>
        </w:rPr>
        <w:t xml:space="preserve">,6 mld. Kč na </w:t>
      </w:r>
      <w:r w:rsidR="0045265A" w:rsidRPr="00624630">
        <w:rPr>
          <w:rFonts w:cs="Arial"/>
          <w:sz w:val="22"/>
          <w:szCs w:val="22"/>
        </w:rPr>
        <w:t>10</w:t>
      </w:r>
      <w:r w:rsidR="002648C1" w:rsidRPr="00624630">
        <w:rPr>
          <w:rFonts w:cs="Arial"/>
          <w:sz w:val="22"/>
          <w:szCs w:val="22"/>
        </w:rPr>
        <w:t>,2 mld. Kč</w:t>
      </w:r>
      <w:r w:rsidR="0045265A" w:rsidRPr="00624630">
        <w:rPr>
          <w:rFonts w:cs="Arial"/>
          <w:sz w:val="22"/>
          <w:szCs w:val="22"/>
        </w:rPr>
        <w:t xml:space="preserve"> (tj. zhoršení o 83,0 %)</w:t>
      </w:r>
      <w:r w:rsidR="002648C1" w:rsidRPr="00624630">
        <w:rPr>
          <w:rFonts w:cs="Arial"/>
          <w:sz w:val="22"/>
          <w:szCs w:val="22"/>
        </w:rPr>
        <w:t xml:space="preserve"> a </w:t>
      </w:r>
      <w:r w:rsidR="002648C1" w:rsidRPr="00624630">
        <w:rPr>
          <w:rFonts w:cs="Arial"/>
          <w:b/>
          <w:sz w:val="22"/>
          <w:szCs w:val="22"/>
        </w:rPr>
        <w:t>stupeň krytí dovozu vývozem</w:t>
      </w:r>
      <w:r w:rsidR="002648C1" w:rsidRPr="00624630">
        <w:rPr>
          <w:rFonts w:cs="Arial"/>
          <w:sz w:val="22"/>
          <w:szCs w:val="22"/>
        </w:rPr>
        <w:t xml:space="preserve"> </w:t>
      </w:r>
      <w:r w:rsidR="004E10C3" w:rsidRPr="00624630">
        <w:rPr>
          <w:rFonts w:cs="Arial"/>
          <w:sz w:val="22"/>
          <w:szCs w:val="22"/>
        </w:rPr>
        <w:t xml:space="preserve">se </w:t>
      </w:r>
      <w:r w:rsidR="0045265A" w:rsidRPr="00624630">
        <w:rPr>
          <w:rFonts w:cs="Arial"/>
          <w:sz w:val="22"/>
          <w:szCs w:val="22"/>
        </w:rPr>
        <w:t>sníž</w:t>
      </w:r>
      <w:r w:rsidR="004E10C3" w:rsidRPr="00624630">
        <w:rPr>
          <w:rFonts w:cs="Arial"/>
          <w:sz w:val="22"/>
          <w:szCs w:val="22"/>
        </w:rPr>
        <w:t xml:space="preserve">il </w:t>
      </w:r>
      <w:r w:rsidR="002648C1" w:rsidRPr="00624630">
        <w:rPr>
          <w:rFonts w:cs="Arial"/>
          <w:sz w:val="22"/>
          <w:szCs w:val="22"/>
        </w:rPr>
        <w:t xml:space="preserve">o </w:t>
      </w:r>
      <w:r w:rsidR="0045265A" w:rsidRPr="00624630">
        <w:rPr>
          <w:rFonts w:cs="Arial"/>
          <w:sz w:val="22"/>
          <w:szCs w:val="22"/>
        </w:rPr>
        <w:t>9,0</w:t>
      </w:r>
      <w:r w:rsidR="002648C1" w:rsidRPr="00624630">
        <w:rPr>
          <w:rFonts w:cs="Arial"/>
          <w:sz w:val="22"/>
          <w:szCs w:val="22"/>
        </w:rPr>
        <w:t xml:space="preserve"> p. b. </w:t>
      </w:r>
      <w:proofErr w:type="gramStart"/>
      <w:r w:rsidR="002648C1" w:rsidRPr="00624630">
        <w:rPr>
          <w:rFonts w:cs="Arial"/>
          <w:sz w:val="22"/>
          <w:szCs w:val="22"/>
        </w:rPr>
        <w:t>na</w:t>
      </w:r>
      <w:proofErr w:type="gramEnd"/>
      <w:r w:rsidR="002648C1" w:rsidRPr="00624630">
        <w:rPr>
          <w:rFonts w:cs="Arial"/>
          <w:sz w:val="22"/>
          <w:szCs w:val="22"/>
        </w:rPr>
        <w:t xml:space="preserve"> </w:t>
      </w:r>
      <w:r w:rsidR="00624630" w:rsidRPr="00624630">
        <w:rPr>
          <w:rFonts w:cs="Arial"/>
          <w:sz w:val="22"/>
          <w:szCs w:val="22"/>
        </w:rPr>
        <w:t>81,0</w:t>
      </w:r>
      <w:r w:rsidR="002648C1" w:rsidRPr="00624630">
        <w:rPr>
          <w:rFonts w:cs="Arial"/>
          <w:sz w:val="22"/>
          <w:szCs w:val="22"/>
        </w:rPr>
        <w:t xml:space="preserve"> </w:t>
      </w:r>
      <w:r w:rsidR="002648C1" w:rsidRPr="00516E92">
        <w:rPr>
          <w:rFonts w:cs="Arial"/>
          <w:sz w:val="22"/>
          <w:szCs w:val="22"/>
        </w:rPr>
        <w:t>%.</w:t>
      </w:r>
      <w:r w:rsidR="00BF08C5" w:rsidRPr="00516E92">
        <w:rPr>
          <w:rFonts w:cs="Arial"/>
          <w:sz w:val="22"/>
          <w:szCs w:val="22"/>
        </w:rPr>
        <w:t xml:space="preserve"> </w:t>
      </w:r>
      <w:r w:rsidR="00B04F8F" w:rsidRPr="00B04F8F">
        <w:rPr>
          <w:rFonts w:cs="Arial"/>
          <w:sz w:val="22"/>
          <w:szCs w:val="22"/>
        </w:rPr>
        <w:t xml:space="preserve">V 1. čtvrtletí roku 2018 </w:t>
      </w:r>
      <w:r w:rsidR="00B04F8F">
        <w:rPr>
          <w:rFonts w:cs="Arial"/>
          <w:sz w:val="22"/>
          <w:szCs w:val="22"/>
        </w:rPr>
        <w:t>se b</w:t>
      </w:r>
      <w:r w:rsidR="002722F8" w:rsidRPr="00516E92">
        <w:rPr>
          <w:rFonts w:cs="Arial"/>
          <w:sz w:val="22"/>
          <w:szCs w:val="22"/>
        </w:rPr>
        <w:t xml:space="preserve">ilanční schodek ČR velmi zhoršil zejména v agrárním obchodě se zeměmi </w:t>
      </w:r>
      <w:r w:rsidR="002722F8" w:rsidRPr="00516E92">
        <w:rPr>
          <w:rFonts w:cs="Arial"/>
          <w:b/>
          <w:sz w:val="22"/>
          <w:szCs w:val="22"/>
        </w:rPr>
        <w:t>EU 28</w:t>
      </w:r>
      <w:r w:rsidR="002722F8" w:rsidRPr="00516E92">
        <w:rPr>
          <w:rFonts w:cs="Arial"/>
          <w:sz w:val="22"/>
          <w:szCs w:val="22"/>
        </w:rPr>
        <w:t xml:space="preserve"> (o 4,5 mld. Kč na 6,0 mld. Kč), zatímco vůči </w:t>
      </w:r>
      <w:r w:rsidR="002722F8" w:rsidRPr="00516E92">
        <w:rPr>
          <w:rFonts w:cs="Arial"/>
          <w:b/>
          <w:sz w:val="22"/>
          <w:szCs w:val="22"/>
        </w:rPr>
        <w:t>třetím zemím</w:t>
      </w:r>
      <w:r w:rsidR="009115BB">
        <w:rPr>
          <w:rFonts w:cs="Arial"/>
          <w:sz w:val="22"/>
          <w:szCs w:val="22"/>
        </w:rPr>
        <w:t xml:space="preserve"> se </w:t>
      </w:r>
      <w:r w:rsidR="002722F8" w:rsidRPr="00516E92">
        <w:rPr>
          <w:rFonts w:cs="Arial"/>
          <w:sz w:val="22"/>
          <w:szCs w:val="22"/>
        </w:rPr>
        <w:t>prohl</w:t>
      </w:r>
      <w:bookmarkStart w:id="0" w:name="_GoBack"/>
      <w:bookmarkEnd w:id="0"/>
      <w:r w:rsidR="002722F8" w:rsidRPr="00516E92">
        <w:rPr>
          <w:rFonts w:cs="Arial"/>
          <w:sz w:val="22"/>
          <w:szCs w:val="22"/>
        </w:rPr>
        <w:t>oubil jenom mírně (o 0,1 mld. Kč na 4,0 mld. Kč).</w:t>
      </w:r>
    </w:p>
    <w:p w:rsidR="00682032" w:rsidRPr="00B372EA" w:rsidRDefault="009268AC" w:rsidP="00682032">
      <w:pPr>
        <w:spacing w:line="276" w:lineRule="auto"/>
        <w:rPr>
          <w:rFonts w:cs="Arial"/>
          <w:b/>
          <w:sz w:val="22"/>
          <w:szCs w:val="22"/>
        </w:rPr>
      </w:pPr>
      <w:r w:rsidRPr="00417CD4">
        <w:rPr>
          <w:rFonts w:cs="Arial"/>
          <w:sz w:val="22"/>
          <w:szCs w:val="22"/>
        </w:rPr>
        <w:t>Nejvíce</w:t>
      </w:r>
      <w:r w:rsidR="00BD3E86" w:rsidRPr="00417CD4">
        <w:rPr>
          <w:rFonts w:cs="Arial"/>
          <w:b/>
          <w:sz w:val="22"/>
          <w:szCs w:val="22"/>
        </w:rPr>
        <w:t xml:space="preserve"> </w:t>
      </w:r>
      <w:r w:rsidR="00711975" w:rsidRPr="00711975">
        <w:rPr>
          <w:rFonts w:cs="Arial"/>
          <w:b/>
          <w:sz w:val="22"/>
          <w:szCs w:val="22"/>
        </w:rPr>
        <w:t>vyváženými</w:t>
      </w:r>
      <w:r w:rsidR="00BD3E86" w:rsidRPr="00417CD4">
        <w:rPr>
          <w:rFonts w:cs="Arial"/>
          <w:b/>
          <w:sz w:val="22"/>
          <w:szCs w:val="22"/>
        </w:rPr>
        <w:t xml:space="preserve"> </w:t>
      </w:r>
      <w:r w:rsidR="005E3195" w:rsidRPr="00417CD4">
        <w:rPr>
          <w:rFonts w:cs="Arial"/>
          <w:sz w:val="22"/>
          <w:szCs w:val="22"/>
        </w:rPr>
        <w:t>českými agrárními</w:t>
      </w:r>
      <w:r w:rsidR="005E3195" w:rsidRPr="00417CD4">
        <w:rPr>
          <w:rFonts w:cs="Arial"/>
          <w:b/>
          <w:sz w:val="22"/>
          <w:szCs w:val="22"/>
        </w:rPr>
        <w:t xml:space="preserve"> </w:t>
      </w:r>
      <w:r w:rsidR="00BD3E86" w:rsidRPr="00417CD4">
        <w:rPr>
          <w:rFonts w:cs="Arial"/>
          <w:sz w:val="22"/>
          <w:szCs w:val="22"/>
        </w:rPr>
        <w:t>položkami</w:t>
      </w:r>
      <w:r w:rsidR="00A9539E" w:rsidRPr="00417CD4">
        <w:rPr>
          <w:rStyle w:val="Znakapoznpodarou"/>
          <w:rFonts w:cs="Arial"/>
          <w:sz w:val="22"/>
          <w:szCs w:val="22"/>
        </w:rPr>
        <w:footnoteReference w:id="2"/>
      </w:r>
      <w:r w:rsidR="00BD3E86" w:rsidRPr="00417CD4">
        <w:rPr>
          <w:rFonts w:cs="Arial"/>
          <w:sz w:val="22"/>
          <w:szCs w:val="22"/>
        </w:rPr>
        <w:t xml:space="preserve"> byly </w:t>
      </w:r>
      <w:r w:rsidR="00F23A3C" w:rsidRPr="00417CD4">
        <w:rPr>
          <w:rFonts w:cs="Arial"/>
          <w:sz w:val="22"/>
          <w:szCs w:val="22"/>
        </w:rPr>
        <w:t>v</w:t>
      </w:r>
      <w:r w:rsidR="005E3195" w:rsidRPr="00417CD4">
        <w:rPr>
          <w:rFonts w:cs="Arial"/>
          <w:sz w:val="22"/>
          <w:szCs w:val="22"/>
        </w:rPr>
        <w:t> 1. čtvrtletí roku 201</w:t>
      </w:r>
      <w:r w:rsidR="0019534E" w:rsidRPr="00417CD4">
        <w:rPr>
          <w:rFonts w:cs="Arial"/>
          <w:sz w:val="22"/>
          <w:szCs w:val="22"/>
        </w:rPr>
        <w:t>8</w:t>
      </w:r>
      <w:r w:rsidR="00BE53F1" w:rsidRPr="00417CD4">
        <w:rPr>
          <w:rFonts w:cs="Arial"/>
          <w:sz w:val="22"/>
          <w:szCs w:val="22"/>
        </w:rPr>
        <w:t xml:space="preserve"> </w:t>
      </w:r>
      <w:r w:rsidR="0019534E" w:rsidRPr="00417CD4">
        <w:rPr>
          <w:rFonts w:cs="Arial"/>
          <w:b/>
          <w:sz w:val="22"/>
          <w:szCs w:val="22"/>
        </w:rPr>
        <w:t xml:space="preserve">přípravky používané k výživě zvířat </w:t>
      </w:r>
      <w:r w:rsidR="0019534E" w:rsidRPr="00417CD4">
        <w:rPr>
          <w:rFonts w:cs="Arial"/>
          <w:sz w:val="22"/>
          <w:szCs w:val="22"/>
        </w:rPr>
        <w:t>(s téměř 7% podílem</w:t>
      </w:r>
      <w:r w:rsidR="00ED35E5">
        <w:rPr>
          <w:rFonts w:cs="Arial"/>
          <w:sz w:val="22"/>
          <w:szCs w:val="22"/>
        </w:rPr>
        <w:t xml:space="preserve"> </w:t>
      </w:r>
      <w:r w:rsidR="00ED35E5" w:rsidRPr="00E52040">
        <w:rPr>
          <w:rFonts w:cs="Arial"/>
          <w:sz w:val="22"/>
          <w:szCs w:val="22"/>
        </w:rPr>
        <w:t>na celkovém agrárním vývozu</w:t>
      </w:r>
      <w:r w:rsidR="0019534E" w:rsidRPr="00E52040">
        <w:rPr>
          <w:rFonts w:cs="Arial"/>
          <w:sz w:val="22"/>
          <w:szCs w:val="22"/>
        </w:rPr>
        <w:t>,</w:t>
      </w:r>
      <w:r w:rsidR="0019534E" w:rsidRPr="00417CD4">
        <w:rPr>
          <w:rFonts w:cs="Arial"/>
          <w:sz w:val="22"/>
          <w:szCs w:val="22"/>
        </w:rPr>
        <w:t xml:space="preserve"> navýšení proti 1. čtvrtletí roku 2017 o 1,5 p. b.), které odsunuly tradiční vývoz </w:t>
      </w:r>
      <w:r w:rsidR="0019534E" w:rsidRPr="00417CD4">
        <w:rPr>
          <w:rFonts w:cs="Arial"/>
          <w:b/>
          <w:sz w:val="22"/>
          <w:szCs w:val="22"/>
        </w:rPr>
        <w:t>cigaret</w:t>
      </w:r>
      <w:r w:rsidR="0019534E" w:rsidRPr="00417CD4">
        <w:rPr>
          <w:rStyle w:val="Znakapoznpodarou"/>
          <w:rFonts w:cs="Arial"/>
          <w:b/>
          <w:sz w:val="22"/>
          <w:szCs w:val="22"/>
        </w:rPr>
        <w:footnoteReference w:id="3"/>
      </w:r>
      <w:r w:rsidR="00354FC0">
        <w:rPr>
          <w:rFonts w:cs="Arial"/>
          <w:sz w:val="22"/>
          <w:szCs w:val="22"/>
        </w:rPr>
        <w:t xml:space="preserve"> na </w:t>
      </w:r>
      <w:r w:rsidR="0019534E" w:rsidRPr="00417CD4">
        <w:rPr>
          <w:rFonts w:cs="Arial"/>
          <w:sz w:val="22"/>
          <w:szCs w:val="22"/>
        </w:rPr>
        <w:t>druhé místo (podíl 6,6 %</w:t>
      </w:r>
      <w:r w:rsidR="00074081" w:rsidRPr="00417CD4">
        <w:rPr>
          <w:rFonts w:cs="Arial"/>
          <w:sz w:val="22"/>
          <w:szCs w:val="22"/>
        </w:rPr>
        <w:t xml:space="preserve">, </w:t>
      </w:r>
      <w:r w:rsidR="00682032">
        <w:rPr>
          <w:rFonts w:cs="Arial"/>
          <w:sz w:val="22"/>
          <w:szCs w:val="22"/>
        </w:rPr>
        <w:t xml:space="preserve">meziroční </w:t>
      </w:r>
      <w:r w:rsidR="00074081" w:rsidRPr="00417CD4">
        <w:rPr>
          <w:rFonts w:cs="Arial"/>
          <w:sz w:val="22"/>
          <w:szCs w:val="22"/>
        </w:rPr>
        <w:t xml:space="preserve">pokles o 1,6 p. </w:t>
      </w:r>
      <w:r w:rsidR="00682032">
        <w:rPr>
          <w:rFonts w:cs="Arial"/>
          <w:sz w:val="22"/>
          <w:szCs w:val="22"/>
        </w:rPr>
        <w:t>b.</w:t>
      </w:r>
      <w:r w:rsidR="00ED35E5">
        <w:rPr>
          <w:rFonts w:cs="Arial"/>
          <w:sz w:val="22"/>
          <w:szCs w:val="22"/>
        </w:rPr>
        <w:t xml:space="preserve">). </w:t>
      </w:r>
      <w:r w:rsidR="00ED35E5" w:rsidRPr="00E52040">
        <w:rPr>
          <w:rFonts w:cs="Arial"/>
          <w:sz w:val="22"/>
          <w:szCs w:val="22"/>
        </w:rPr>
        <w:t>Dále</w:t>
      </w:r>
      <w:r w:rsidR="00074081" w:rsidRPr="00417CD4">
        <w:rPr>
          <w:rFonts w:cs="Arial"/>
          <w:sz w:val="22"/>
          <w:szCs w:val="22"/>
        </w:rPr>
        <w:t xml:space="preserve"> </w:t>
      </w:r>
      <w:r w:rsidR="00074081" w:rsidRPr="00417CD4">
        <w:rPr>
          <w:rFonts w:cs="Arial"/>
          <w:b/>
          <w:sz w:val="22"/>
          <w:szCs w:val="22"/>
        </w:rPr>
        <w:t xml:space="preserve">pekařské zboží </w:t>
      </w:r>
      <w:r w:rsidR="00074081" w:rsidRPr="00E52040">
        <w:rPr>
          <w:rFonts w:cs="Arial"/>
          <w:sz w:val="22"/>
          <w:szCs w:val="22"/>
        </w:rPr>
        <w:t>(</w:t>
      </w:r>
      <w:r w:rsidR="00ED35E5" w:rsidRPr="00E52040">
        <w:rPr>
          <w:rFonts w:cs="Arial"/>
          <w:sz w:val="22"/>
          <w:szCs w:val="22"/>
        </w:rPr>
        <w:t>s podílem</w:t>
      </w:r>
      <w:r w:rsidR="00ED35E5">
        <w:rPr>
          <w:rFonts w:cs="Arial"/>
          <w:sz w:val="22"/>
          <w:szCs w:val="22"/>
        </w:rPr>
        <w:t xml:space="preserve"> </w:t>
      </w:r>
      <w:r w:rsidR="00074081" w:rsidRPr="00417CD4">
        <w:rPr>
          <w:rFonts w:cs="Arial"/>
          <w:sz w:val="22"/>
          <w:szCs w:val="22"/>
        </w:rPr>
        <w:t xml:space="preserve">5,6 %), </w:t>
      </w:r>
      <w:r w:rsidR="00074081" w:rsidRPr="00417CD4">
        <w:rPr>
          <w:rFonts w:cs="Arial"/>
          <w:b/>
          <w:sz w:val="22"/>
          <w:szCs w:val="22"/>
        </w:rPr>
        <w:t xml:space="preserve">nezahuštěné mléko a smetana </w:t>
      </w:r>
      <w:r w:rsidR="00074081" w:rsidRPr="00417CD4">
        <w:rPr>
          <w:rFonts w:cs="Arial"/>
          <w:sz w:val="22"/>
          <w:szCs w:val="22"/>
        </w:rPr>
        <w:t>(5,3</w:t>
      </w:r>
      <w:r w:rsidR="00EC2915">
        <w:rPr>
          <w:rFonts w:cs="Arial"/>
          <w:sz w:val="22"/>
          <w:szCs w:val="22"/>
        </w:rPr>
        <w:t> </w:t>
      </w:r>
      <w:r w:rsidR="00074081" w:rsidRPr="00417CD4">
        <w:rPr>
          <w:rFonts w:cs="Arial"/>
          <w:sz w:val="22"/>
          <w:szCs w:val="22"/>
        </w:rPr>
        <w:t>%</w:t>
      </w:r>
      <w:r w:rsidR="004E6758" w:rsidRPr="00417CD4">
        <w:rPr>
          <w:rFonts w:cs="Arial"/>
          <w:sz w:val="22"/>
          <w:szCs w:val="22"/>
        </w:rPr>
        <w:t>, navýšení podílu proti 1.</w:t>
      </w:r>
      <w:r w:rsidR="00EC2915">
        <w:rPr>
          <w:rFonts w:cs="Arial"/>
          <w:sz w:val="22"/>
          <w:szCs w:val="22"/>
        </w:rPr>
        <w:t> </w:t>
      </w:r>
      <w:r w:rsidR="004E6758" w:rsidRPr="00417CD4">
        <w:rPr>
          <w:rFonts w:cs="Arial"/>
          <w:sz w:val="22"/>
          <w:szCs w:val="22"/>
        </w:rPr>
        <w:t xml:space="preserve">čtvrtletí </w:t>
      </w:r>
      <w:r w:rsidR="00ED35E5" w:rsidRPr="00E52040">
        <w:rPr>
          <w:rFonts w:cs="Arial"/>
          <w:sz w:val="22"/>
          <w:szCs w:val="22"/>
        </w:rPr>
        <w:t>2017</w:t>
      </w:r>
      <w:r w:rsidR="00ED35E5">
        <w:rPr>
          <w:rFonts w:cs="Arial"/>
          <w:sz w:val="22"/>
          <w:szCs w:val="22"/>
        </w:rPr>
        <w:t xml:space="preserve"> </w:t>
      </w:r>
      <w:r w:rsidR="004E6758" w:rsidRPr="00417CD4">
        <w:rPr>
          <w:rFonts w:cs="Arial"/>
          <w:sz w:val="22"/>
          <w:szCs w:val="22"/>
        </w:rPr>
        <w:t>o 1,2</w:t>
      </w:r>
      <w:r w:rsidR="00EC2915">
        <w:rPr>
          <w:rFonts w:cs="Arial"/>
          <w:sz w:val="22"/>
          <w:szCs w:val="22"/>
        </w:rPr>
        <w:t> p. </w:t>
      </w:r>
      <w:r w:rsidR="004E6758" w:rsidRPr="00417CD4">
        <w:rPr>
          <w:rFonts w:cs="Arial"/>
          <w:sz w:val="22"/>
          <w:szCs w:val="22"/>
        </w:rPr>
        <w:t>b.</w:t>
      </w:r>
      <w:r w:rsidR="00074081" w:rsidRPr="00417CD4">
        <w:rPr>
          <w:rFonts w:cs="Arial"/>
          <w:sz w:val="22"/>
          <w:szCs w:val="22"/>
        </w:rPr>
        <w:t>)</w:t>
      </w:r>
      <w:r w:rsidR="00074081" w:rsidRPr="00417CD4">
        <w:rPr>
          <w:rStyle w:val="Znakapoznpodarou"/>
          <w:rFonts w:cs="Arial"/>
          <w:b/>
          <w:sz w:val="22"/>
          <w:szCs w:val="22"/>
        </w:rPr>
        <w:footnoteReference w:id="4"/>
      </w:r>
      <w:r w:rsidR="00074081" w:rsidRPr="00417CD4">
        <w:rPr>
          <w:rFonts w:cs="Arial"/>
          <w:sz w:val="22"/>
          <w:szCs w:val="22"/>
        </w:rPr>
        <w:t>,</w:t>
      </w:r>
      <w:r w:rsidR="004E6758" w:rsidRPr="00417CD4">
        <w:rPr>
          <w:rFonts w:cs="Arial"/>
          <w:b/>
          <w:sz w:val="22"/>
          <w:szCs w:val="22"/>
        </w:rPr>
        <w:t xml:space="preserve"> potravinové přípravky</w:t>
      </w:r>
      <w:r w:rsidR="004E6758" w:rsidRPr="00417CD4">
        <w:rPr>
          <w:rStyle w:val="Znakapoznpodarou"/>
          <w:rFonts w:cs="Arial"/>
          <w:b/>
          <w:sz w:val="22"/>
          <w:szCs w:val="22"/>
        </w:rPr>
        <w:footnoteReference w:id="5"/>
      </w:r>
      <w:r w:rsidR="004E6758" w:rsidRPr="00417CD4">
        <w:rPr>
          <w:rFonts w:cs="Arial"/>
          <w:b/>
          <w:sz w:val="22"/>
          <w:szCs w:val="22"/>
        </w:rPr>
        <w:t xml:space="preserve"> </w:t>
      </w:r>
      <w:r w:rsidR="004E6758" w:rsidRPr="00417CD4">
        <w:rPr>
          <w:rFonts w:cs="Arial"/>
          <w:sz w:val="22"/>
          <w:szCs w:val="22"/>
        </w:rPr>
        <w:t>(5</w:t>
      </w:r>
      <w:r w:rsidR="00B06A1B" w:rsidRPr="00E52040">
        <w:rPr>
          <w:rFonts w:cs="Arial"/>
          <w:sz w:val="22"/>
          <w:szCs w:val="22"/>
        </w:rPr>
        <w:t>,0</w:t>
      </w:r>
      <w:r w:rsidR="004E6758" w:rsidRPr="00417CD4">
        <w:rPr>
          <w:rFonts w:cs="Arial"/>
          <w:sz w:val="22"/>
          <w:szCs w:val="22"/>
        </w:rPr>
        <w:t xml:space="preserve"> %), </w:t>
      </w:r>
      <w:r w:rsidR="004E6758" w:rsidRPr="00417CD4">
        <w:rPr>
          <w:rFonts w:cs="Arial"/>
          <w:b/>
          <w:sz w:val="22"/>
          <w:szCs w:val="22"/>
        </w:rPr>
        <w:t xml:space="preserve">pšenice </w:t>
      </w:r>
      <w:r w:rsidR="004E6758" w:rsidRPr="00417CD4">
        <w:rPr>
          <w:rFonts w:cs="Arial"/>
          <w:sz w:val="22"/>
          <w:szCs w:val="22"/>
        </w:rPr>
        <w:t>(</w:t>
      </w:r>
      <w:r w:rsidR="0009226D" w:rsidRPr="00417CD4">
        <w:rPr>
          <w:rFonts w:cs="Arial"/>
          <w:sz w:val="22"/>
          <w:szCs w:val="22"/>
        </w:rPr>
        <w:t>5</w:t>
      </w:r>
      <w:r w:rsidR="00B06A1B" w:rsidRPr="00E52040">
        <w:rPr>
          <w:rFonts w:cs="Arial"/>
          <w:sz w:val="22"/>
          <w:szCs w:val="22"/>
        </w:rPr>
        <w:t>,0</w:t>
      </w:r>
      <w:r w:rsidR="00EC2915">
        <w:rPr>
          <w:rFonts w:cs="Arial"/>
          <w:sz w:val="22"/>
          <w:szCs w:val="22"/>
        </w:rPr>
        <w:t> </w:t>
      </w:r>
      <w:r w:rsidR="004E6758" w:rsidRPr="00417CD4">
        <w:rPr>
          <w:rFonts w:cs="Arial"/>
          <w:sz w:val="22"/>
          <w:szCs w:val="22"/>
        </w:rPr>
        <w:t>%),</w:t>
      </w:r>
      <w:r w:rsidR="0009226D" w:rsidRPr="00417CD4">
        <w:rPr>
          <w:rFonts w:cs="Arial"/>
          <w:b/>
          <w:sz w:val="22"/>
          <w:szCs w:val="22"/>
        </w:rPr>
        <w:t xml:space="preserve"> čokoláda a ostatní kakaové přípravky </w:t>
      </w:r>
      <w:r w:rsidR="0009226D" w:rsidRPr="00417CD4">
        <w:rPr>
          <w:rFonts w:cs="Arial"/>
          <w:sz w:val="22"/>
          <w:szCs w:val="22"/>
        </w:rPr>
        <w:t>(3,9</w:t>
      </w:r>
      <w:r w:rsidR="00EC2915">
        <w:rPr>
          <w:rFonts w:cs="Arial"/>
          <w:sz w:val="22"/>
          <w:szCs w:val="22"/>
        </w:rPr>
        <w:t> </w:t>
      </w:r>
      <w:r w:rsidR="0009226D" w:rsidRPr="00417CD4">
        <w:rPr>
          <w:rFonts w:cs="Arial"/>
          <w:sz w:val="22"/>
          <w:szCs w:val="22"/>
        </w:rPr>
        <w:t>%),</w:t>
      </w:r>
      <w:r w:rsidR="0009226D" w:rsidRPr="00417CD4">
        <w:rPr>
          <w:rFonts w:cs="Arial"/>
          <w:b/>
          <w:sz w:val="22"/>
          <w:szCs w:val="22"/>
        </w:rPr>
        <w:t xml:space="preserve"> pivo </w:t>
      </w:r>
      <w:r w:rsidR="0009226D" w:rsidRPr="00417CD4">
        <w:rPr>
          <w:rFonts w:cs="Arial"/>
          <w:sz w:val="22"/>
          <w:szCs w:val="22"/>
        </w:rPr>
        <w:t>(3,2</w:t>
      </w:r>
      <w:r w:rsidR="00EC2915">
        <w:rPr>
          <w:rFonts w:cs="Arial"/>
          <w:sz w:val="22"/>
          <w:szCs w:val="22"/>
        </w:rPr>
        <w:t> </w:t>
      </w:r>
      <w:r w:rsidR="0009226D" w:rsidRPr="00417CD4">
        <w:rPr>
          <w:rFonts w:cs="Arial"/>
          <w:sz w:val="22"/>
          <w:szCs w:val="22"/>
        </w:rPr>
        <w:t xml:space="preserve">%), </w:t>
      </w:r>
      <w:r w:rsidR="0009226D" w:rsidRPr="00417CD4">
        <w:rPr>
          <w:rFonts w:cs="Arial"/>
          <w:b/>
          <w:sz w:val="22"/>
          <w:szCs w:val="22"/>
        </w:rPr>
        <w:t xml:space="preserve">sýry a tvaroh </w:t>
      </w:r>
      <w:r w:rsidR="0009226D" w:rsidRPr="00417CD4">
        <w:rPr>
          <w:rFonts w:cs="Arial"/>
          <w:sz w:val="22"/>
          <w:szCs w:val="22"/>
        </w:rPr>
        <w:t>(3</w:t>
      </w:r>
      <w:r w:rsidR="00B06A1B" w:rsidRPr="00E52040">
        <w:rPr>
          <w:rFonts w:cs="Arial"/>
          <w:sz w:val="22"/>
          <w:szCs w:val="22"/>
        </w:rPr>
        <w:t>,0</w:t>
      </w:r>
      <w:r w:rsidR="0009226D" w:rsidRPr="00417CD4">
        <w:rPr>
          <w:rFonts w:cs="Arial"/>
          <w:sz w:val="22"/>
          <w:szCs w:val="22"/>
        </w:rPr>
        <w:t> %),</w:t>
      </w:r>
      <w:r w:rsidR="0009226D" w:rsidRPr="00417CD4">
        <w:rPr>
          <w:rFonts w:cs="Arial"/>
          <w:b/>
          <w:sz w:val="22"/>
          <w:szCs w:val="22"/>
        </w:rPr>
        <w:t xml:space="preserve"> řepkový olej, limonády, živý skot, káva, cukrovinky </w:t>
      </w:r>
      <w:r w:rsidR="0009226D" w:rsidRPr="00417CD4">
        <w:rPr>
          <w:rFonts w:cs="Arial"/>
          <w:sz w:val="22"/>
          <w:szCs w:val="22"/>
        </w:rPr>
        <w:t xml:space="preserve">(bez kakaa), </w:t>
      </w:r>
      <w:r w:rsidR="0009226D" w:rsidRPr="00417CD4">
        <w:rPr>
          <w:rFonts w:cs="Arial"/>
          <w:b/>
          <w:sz w:val="22"/>
          <w:szCs w:val="22"/>
        </w:rPr>
        <w:t xml:space="preserve">semena řepky, výtažky a esence kávy a čaje, cukr, masné přípravky a konzervy, chmel, pokrutiny, živá drůbež, </w:t>
      </w:r>
      <w:r w:rsidR="007C6F1A">
        <w:rPr>
          <w:rFonts w:cs="Arial"/>
          <w:b/>
          <w:sz w:val="22"/>
          <w:szCs w:val="22"/>
        </w:rPr>
        <w:t>uzenky a </w:t>
      </w:r>
      <w:r w:rsidR="0009226D" w:rsidRPr="00417CD4">
        <w:rPr>
          <w:rFonts w:cs="Arial"/>
          <w:b/>
          <w:sz w:val="22"/>
          <w:szCs w:val="22"/>
        </w:rPr>
        <w:t>salámy</w:t>
      </w:r>
      <w:r w:rsidR="00417CD4" w:rsidRPr="00417CD4">
        <w:rPr>
          <w:rFonts w:cs="Arial"/>
          <w:b/>
          <w:sz w:val="22"/>
          <w:szCs w:val="22"/>
        </w:rPr>
        <w:t xml:space="preserve">, </w:t>
      </w:r>
      <w:proofErr w:type="spellStart"/>
      <w:r w:rsidR="00417CD4" w:rsidRPr="00417CD4">
        <w:rPr>
          <w:rFonts w:cs="Arial"/>
          <w:b/>
          <w:sz w:val="22"/>
          <w:szCs w:val="22"/>
        </w:rPr>
        <w:t>pufované</w:t>
      </w:r>
      <w:proofErr w:type="spellEnd"/>
      <w:r w:rsidR="00417CD4" w:rsidRPr="00417CD4">
        <w:rPr>
          <w:rFonts w:cs="Arial"/>
          <w:b/>
          <w:sz w:val="22"/>
          <w:szCs w:val="22"/>
        </w:rPr>
        <w:t xml:space="preserve"> obilné výrobky </w:t>
      </w:r>
      <w:r w:rsidR="00354FC0" w:rsidRPr="00354FC0">
        <w:rPr>
          <w:rFonts w:cs="Arial"/>
          <w:sz w:val="22"/>
          <w:szCs w:val="22"/>
        </w:rPr>
        <w:t>(</w:t>
      </w:r>
      <w:proofErr w:type="spellStart"/>
      <w:r w:rsidR="00417CD4" w:rsidRPr="00354FC0">
        <w:rPr>
          <w:rFonts w:cs="Arial"/>
          <w:sz w:val="22"/>
          <w:szCs w:val="22"/>
        </w:rPr>
        <w:t>corn</w:t>
      </w:r>
      <w:proofErr w:type="spellEnd"/>
      <w:r w:rsidR="00417CD4" w:rsidRPr="00354FC0">
        <w:rPr>
          <w:rFonts w:cs="Arial"/>
          <w:sz w:val="22"/>
          <w:szCs w:val="22"/>
        </w:rPr>
        <w:t xml:space="preserve"> </w:t>
      </w:r>
      <w:proofErr w:type="spellStart"/>
      <w:r w:rsidR="00417CD4" w:rsidRPr="00354FC0">
        <w:rPr>
          <w:rFonts w:cs="Arial"/>
          <w:sz w:val="22"/>
          <w:szCs w:val="22"/>
        </w:rPr>
        <w:t>flakes</w:t>
      </w:r>
      <w:proofErr w:type="spellEnd"/>
      <w:r w:rsidR="00417CD4" w:rsidRPr="00354FC0">
        <w:rPr>
          <w:rFonts w:cs="Arial"/>
          <w:sz w:val="22"/>
          <w:szCs w:val="22"/>
        </w:rPr>
        <w:t>, müsli apod.</w:t>
      </w:r>
      <w:r w:rsidR="00354FC0">
        <w:rPr>
          <w:rFonts w:cs="Arial"/>
          <w:sz w:val="22"/>
          <w:szCs w:val="22"/>
        </w:rPr>
        <w:t>)</w:t>
      </w:r>
      <w:r w:rsidR="00417CD4" w:rsidRPr="00417CD4">
        <w:rPr>
          <w:rFonts w:cs="Arial"/>
          <w:b/>
          <w:sz w:val="22"/>
          <w:szCs w:val="22"/>
        </w:rPr>
        <w:t xml:space="preserve">, </w:t>
      </w:r>
      <w:r w:rsidR="007C6F1A">
        <w:rPr>
          <w:rFonts w:cs="Arial"/>
          <w:b/>
          <w:sz w:val="22"/>
          <w:szCs w:val="22"/>
        </w:rPr>
        <w:t>zahuštěné mléko a </w:t>
      </w:r>
      <w:r w:rsidR="00417CD4" w:rsidRPr="00417CD4">
        <w:rPr>
          <w:rFonts w:cs="Arial"/>
          <w:b/>
          <w:sz w:val="22"/>
          <w:szCs w:val="22"/>
        </w:rPr>
        <w:t xml:space="preserve">smetana, </w:t>
      </w:r>
      <w:proofErr w:type="spellStart"/>
      <w:r w:rsidR="00417CD4" w:rsidRPr="00417CD4">
        <w:rPr>
          <w:rFonts w:cs="Arial"/>
          <w:b/>
          <w:sz w:val="22"/>
          <w:szCs w:val="22"/>
        </w:rPr>
        <w:t>ethylalkohol</w:t>
      </w:r>
      <w:proofErr w:type="spellEnd"/>
      <w:r w:rsidR="00417CD4" w:rsidRPr="00417CD4">
        <w:rPr>
          <w:rFonts w:cs="Arial"/>
          <w:b/>
          <w:sz w:val="22"/>
          <w:szCs w:val="22"/>
        </w:rPr>
        <w:t xml:space="preserve">, slad, ječmen, slunečnicový olej </w:t>
      </w:r>
      <w:r w:rsidR="00417CD4" w:rsidRPr="00417CD4">
        <w:rPr>
          <w:rFonts w:cs="Arial"/>
          <w:sz w:val="22"/>
          <w:szCs w:val="22"/>
        </w:rPr>
        <w:t xml:space="preserve">a </w:t>
      </w:r>
      <w:r w:rsidR="00417CD4" w:rsidRPr="00417CD4">
        <w:rPr>
          <w:rFonts w:cs="Arial"/>
          <w:b/>
          <w:sz w:val="22"/>
          <w:szCs w:val="22"/>
        </w:rPr>
        <w:t>podmáslí.</w:t>
      </w:r>
      <w:r w:rsidR="00682032">
        <w:rPr>
          <w:rFonts w:cs="Arial"/>
          <w:b/>
          <w:sz w:val="22"/>
          <w:szCs w:val="22"/>
        </w:rPr>
        <w:t xml:space="preserve"> </w:t>
      </w:r>
      <w:r w:rsidR="00682032" w:rsidRPr="00B372EA">
        <w:rPr>
          <w:rFonts w:cs="Arial"/>
          <w:sz w:val="22"/>
          <w:szCs w:val="22"/>
        </w:rPr>
        <w:t xml:space="preserve">Další komodity zaujímaly v českém agrárním </w:t>
      </w:r>
      <w:r w:rsidR="00682032">
        <w:rPr>
          <w:rFonts w:cs="Arial"/>
          <w:sz w:val="22"/>
          <w:szCs w:val="22"/>
        </w:rPr>
        <w:t>vý</w:t>
      </w:r>
      <w:r w:rsidR="00682032" w:rsidRPr="00B372EA">
        <w:rPr>
          <w:rFonts w:cs="Arial"/>
          <w:sz w:val="22"/>
          <w:szCs w:val="22"/>
        </w:rPr>
        <w:t>vozu již méně než 1% podíl.</w:t>
      </w:r>
    </w:p>
    <w:p w:rsidR="00B372EA" w:rsidRPr="00B372EA" w:rsidRDefault="009268AC" w:rsidP="00B372EA">
      <w:pPr>
        <w:spacing w:line="276" w:lineRule="auto"/>
        <w:rPr>
          <w:rFonts w:cs="Arial"/>
          <w:b/>
          <w:sz w:val="22"/>
          <w:szCs w:val="22"/>
        </w:rPr>
      </w:pPr>
      <w:r w:rsidRPr="00B372EA">
        <w:rPr>
          <w:rFonts w:cs="Arial"/>
          <w:sz w:val="22"/>
          <w:szCs w:val="22"/>
        </w:rPr>
        <w:t>Hlavními</w:t>
      </w:r>
      <w:r w:rsidR="00BE53F1" w:rsidRPr="00B372EA">
        <w:rPr>
          <w:rFonts w:cs="Arial"/>
          <w:sz w:val="22"/>
          <w:szCs w:val="22"/>
        </w:rPr>
        <w:t xml:space="preserve"> </w:t>
      </w:r>
      <w:r w:rsidR="00711975" w:rsidRPr="00711975">
        <w:rPr>
          <w:rFonts w:cs="Arial"/>
          <w:b/>
          <w:sz w:val="22"/>
          <w:szCs w:val="22"/>
        </w:rPr>
        <w:t>dováženými</w:t>
      </w:r>
      <w:r w:rsidR="00C25F03" w:rsidRPr="00B372EA">
        <w:rPr>
          <w:rFonts w:cs="Arial"/>
          <w:b/>
          <w:sz w:val="22"/>
          <w:szCs w:val="22"/>
        </w:rPr>
        <w:t xml:space="preserve"> </w:t>
      </w:r>
      <w:r w:rsidR="002553B9" w:rsidRPr="00B372EA">
        <w:rPr>
          <w:rFonts w:cs="Arial"/>
          <w:sz w:val="22"/>
          <w:szCs w:val="22"/>
        </w:rPr>
        <w:t>agrárními</w:t>
      </w:r>
      <w:r w:rsidR="002553B9" w:rsidRPr="00B372EA">
        <w:rPr>
          <w:rFonts w:cs="Arial"/>
          <w:b/>
          <w:sz w:val="22"/>
          <w:szCs w:val="22"/>
        </w:rPr>
        <w:t xml:space="preserve"> </w:t>
      </w:r>
      <w:r w:rsidR="002553B9" w:rsidRPr="00B372EA">
        <w:rPr>
          <w:rFonts w:cs="Arial"/>
          <w:sz w:val="22"/>
          <w:szCs w:val="22"/>
        </w:rPr>
        <w:t xml:space="preserve">produkty </w:t>
      </w:r>
      <w:r w:rsidR="007D34AC" w:rsidRPr="00B372EA">
        <w:rPr>
          <w:rFonts w:cs="Arial"/>
          <w:sz w:val="22"/>
          <w:szCs w:val="22"/>
        </w:rPr>
        <w:t xml:space="preserve">do ČR </w:t>
      </w:r>
      <w:r w:rsidR="00BE53F1" w:rsidRPr="00B372EA">
        <w:rPr>
          <w:rFonts w:cs="Arial"/>
          <w:sz w:val="22"/>
          <w:szCs w:val="22"/>
        </w:rPr>
        <w:t xml:space="preserve">byly </w:t>
      </w:r>
      <w:r w:rsidR="00BF6D19" w:rsidRPr="00B372EA">
        <w:rPr>
          <w:rFonts w:cs="Arial"/>
          <w:sz w:val="22"/>
          <w:szCs w:val="22"/>
        </w:rPr>
        <w:t>v</w:t>
      </w:r>
      <w:r w:rsidR="005E3195" w:rsidRPr="00B372EA">
        <w:rPr>
          <w:rFonts w:cs="Arial"/>
          <w:sz w:val="22"/>
          <w:szCs w:val="22"/>
        </w:rPr>
        <w:t> lednu až březnu 201</w:t>
      </w:r>
      <w:r w:rsidR="00D15861" w:rsidRPr="00B372EA">
        <w:rPr>
          <w:rFonts w:cs="Arial"/>
          <w:sz w:val="22"/>
          <w:szCs w:val="22"/>
        </w:rPr>
        <w:t>8</w:t>
      </w:r>
      <w:r w:rsidR="00F7279D" w:rsidRPr="00B372EA">
        <w:rPr>
          <w:rFonts w:cs="Arial"/>
          <w:sz w:val="22"/>
          <w:szCs w:val="22"/>
        </w:rPr>
        <w:t xml:space="preserve"> </w:t>
      </w:r>
      <w:r w:rsidR="00F7279D" w:rsidRPr="00B372EA">
        <w:rPr>
          <w:rFonts w:cs="Arial"/>
          <w:b/>
          <w:sz w:val="22"/>
          <w:szCs w:val="22"/>
        </w:rPr>
        <w:t>vepřové maso</w:t>
      </w:r>
      <w:r w:rsidR="00277BD7" w:rsidRPr="00B372EA">
        <w:rPr>
          <w:rFonts w:cs="Arial"/>
          <w:b/>
          <w:sz w:val="22"/>
          <w:szCs w:val="22"/>
        </w:rPr>
        <w:t xml:space="preserve"> </w:t>
      </w:r>
      <w:r w:rsidR="00277BD7" w:rsidRPr="00B372EA">
        <w:rPr>
          <w:rFonts w:cs="Arial"/>
          <w:sz w:val="22"/>
          <w:szCs w:val="22"/>
        </w:rPr>
        <w:t>(</w:t>
      </w:r>
      <w:r w:rsidR="005E3195" w:rsidRPr="00B372EA">
        <w:rPr>
          <w:rFonts w:cs="Arial"/>
          <w:sz w:val="22"/>
          <w:szCs w:val="22"/>
        </w:rPr>
        <w:t>s </w:t>
      </w:r>
      <w:r w:rsidR="00BB4E67" w:rsidRPr="00B372EA">
        <w:rPr>
          <w:rFonts w:cs="Arial"/>
          <w:sz w:val="22"/>
          <w:szCs w:val="22"/>
        </w:rPr>
        <w:t xml:space="preserve">meziročně </w:t>
      </w:r>
      <w:r w:rsidR="00D15861" w:rsidRPr="00B372EA">
        <w:rPr>
          <w:rFonts w:cs="Arial"/>
          <w:sz w:val="22"/>
          <w:szCs w:val="22"/>
        </w:rPr>
        <w:t>niž</w:t>
      </w:r>
      <w:r w:rsidR="00BB4E67" w:rsidRPr="00B372EA">
        <w:rPr>
          <w:rFonts w:cs="Arial"/>
          <w:sz w:val="22"/>
          <w:szCs w:val="22"/>
        </w:rPr>
        <w:t>ším podílem</w:t>
      </w:r>
      <w:r w:rsidR="00D15861" w:rsidRPr="00B372EA">
        <w:rPr>
          <w:rFonts w:cs="Arial"/>
          <w:sz w:val="22"/>
          <w:szCs w:val="22"/>
        </w:rPr>
        <w:t xml:space="preserve"> o 0,1</w:t>
      </w:r>
      <w:r w:rsidR="00EC2915">
        <w:rPr>
          <w:rFonts w:cs="Arial"/>
          <w:sz w:val="22"/>
          <w:szCs w:val="22"/>
        </w:rPr>
        <w:t> </w:t>
      </w:r>
      <w:r w:rsidR="00D15861" w:rsidRPr="00B372EA">
        <w:rPr>
          <w:rFonts w:cs="Arial"/>
          <w:sz w:val="22"/>
          <w:szCs w:val="22"/>
        </w:rPr>
        <w:t>p.</w:t>
      </w:r>
      <w:r w:rsidR="00EC2915">
        <w:rPr>
          <w:rFonts w:cs="Arial"/>
          <w:sz w:val="22"/>
          <w:szCs w:val="22"/>
        </w:rPr>
        <w:t> </w:t>
      </w:r>
      <w:r w:rsidR="00D15861" w:rsidRPr="00B372EA">
        <w:rPr>
          <w:rFonts w:cs="Arial"/>
          <w:sz w:val="22"/>
          <w:szCs w:val="22"/>
        </w:rPr>
        <w:t>b.</w:t>
      </w:r>
      <w:r w:rsidR="00BB4E67" w:rsidRPr="00B372EA">
        <w:rPr>
          <w:rFonts w:cs="Arial"/>
          <w:sz w:val="22"/>
          <w:szCs w:val="22"/>
        </w:rPr>
        <w:t>, a</w:t>
      </w:r>
      <w:r w:rsidR="00EC2915">
        <w:rPr>
          <w:rFonts w:cs="Arial"/>
          <w:sz w:val="22"/>
          <w:szCs w:val="22"/>
        </w:rPr>
        <w:t> </w:t>
      </w:r>
      <w:r w:rsidR="00BB4E67" w:rsidRPr="00B372EA">
        <w:rPr>
          <w:rFonts w:cs="Arial"/>
          <w:sz w:val="22"/>
          <w:szCs w:val="22"/>
        </w:rPr>
        <w:t xml:space="preserve">to </w:t>
      </w:r>
      <w:r w:rsidR="007A309C" w:rsidRPr="00B372EA">
        <w:rPr>
          <w:rFonts w:cs="Arial"/>
          <w:sz w:val="22"/>
          <w:szCs w:val="22"/>
        </w:rPr>
        <w:t>6,</w:t>
      </w:r>
      <w:r w:rsidR="00D15861" w:rsidRPr="00B372EA">
        <w:rPr>
          <w:rFonts w:cs="Arial"/>
          <w:sz w:val="22"/>
          <w:szCs w:val="22"/>
        </w:rPr>
        <w:t>5</w:t>
      </w:r>
      <w:r w:rsidR="00277BD7" w:rsidRPr="00B372EA">
        <w:rPr>
          <w:rFonts w:cs="Arial"/>
          <w:sz w:val="22"/>
          <w:szCs w:val="22"/>
        </w:rPr>
        <w:t>%)</w:t>
      </w:r>
      <w:r w:rsidR="00F7279D" w:rsidRPr="00B372EA">
        <w:rPr>
          <w:rFonts w:cs="Arial"/>
          <w:sz w:val="22"/>
          <w:szCs w:val="22"/>
        </w:rPr>
        <w:t>,</w:t>
      </w:r>
      <w:r w:rsidR="00F7279D" w:rsidRPr="00B372EA">
        <w:rPr>
          <w:rFonts w:cs="Arial"/>
          <w:b/>
          <w:sz w:val="22"/>
          <w:szCs w:val="22"/>
        </w:rPr>
        <w:t xml:space="preserve"> </w:t>
      </w:r>
      <w:r w:rsidR="00D15861" w:rsidRPr="00B372EA">
        <w:rPr>
          <w:rFonts w:cs="Arial"/>
          <w:b/>
          <w:sz w:val="22"/>
          <w:szCs w:val="22"/>
        </w:rPr>
        <w:t xml:space="preserve">pekařské zboží </w:t>
      </w:r>
      <w:r w:rsidR="00D15861" w:rsidRPr="00B372EA">
        <w:rPr>
          <w:rFonts w:cs="Arial"/>
          <w:sz w:val="22"/>
          <w:szCs w:val="22"/>
        </w:rPr>
        <w:t xml:space="preserve">(s 4,2 %), </w:t>
      </w:r>
      <w:r w:rsidR="00F7279D" w:rsidRPr="00B372EA">
        <w:rPr>
          <w:rFonts w:cs="Arial"/>
          <w:b/>
          <w:sz w:val="22"/>
          <w:szCs w:val="22"/>
        </w:rPr>
        <w:t>čokoláda a ostatní kakaové přípravky</w:t>
      </w:r>
      <w:r w:rsidR="00BF6D19" w:rsidRPr="00B372EA">
        <w:rPr>
          <w:rFonts w:cs="Arial"/>
          <w:b/>
          <w:sz w:val="22"/>
          <w:szCs w:val="22"/>
        </w:rPr>
        <w:t xml:space="preserve"> </w:t>
      </w:r>
      <w:r w:rsidR="00BB4E67" w:rsidRPr="00B372EA">
        <w:rPr>
          <w:rFonts w:cs="Arial"/>
          <w:sz w:val="22"/>
          <w:szCs w:val="22"/>
        </w:rPr>
        <w:t>(</w:t>
      </w:r>
      <w:r w:rsidR="002E2ED6" w:rsidRPr="00B372EA">
        <w:rPr>
          <w:rFonts w:cs="Arial"/>
          <w:sz w:val="22"/>
          <w:szCs w:val="22"/>
        </w:rPr>
        <w:t>s</w:t>
      </w:r>
      <w:r w:rsidR="00EC2915">
        <w:rPr>
          <w:rFonts w:cs="Arial"/>
          <w:sz w:val="22"/>
          <w:szCs w:val="22"/>
        </w:rPr>
        <w:t> </w:t>
      </w:r>
      <w:r w:rsidR="00BB4E67" w:rsidRPr="00B372EA">
        <w:rPr>
          <w:rFonts w:cs="Arial"/>
          <w:sz w:val="22"/>
          <w:szCs w:val="22"/>
        </w:rPr>
        <w:t>4,</w:t>
      </w:r>
      <w:r w:rsidR="00D15861" w:rsidRPr="00B372EA">
        <w:rPr>
          <w:rFonts w:cs="Arial"/>
          <w:sz w:val="22"/>
          <w:szCs w:val="22"/>
        </w:rPr>
        <w:t>1</w:t>
      </w:r>
      <w:r w:rsidR="00BB4E67" w:rsidRPr="00B372EA">
        <w:rPr>
          <w:rFonts w:cs="Arial"/>
          <w:sz w:val="22"/>
          <w:szCs w:val="22"/>
        </w:rPr>
        <w:t>%</w:t>
      </w:r>
      <w:r w:rsidR="00044D5F" w:rsidRPr="00B372EA">
        <w:rPr>
          <w:rFonts w:cs="Arial"/>
          <w:sz w:val="22"/>
          <w:szCs w:val="22"/>
        </w:rPr>
        <w:t xml:space="preserve"> podílem</w:t>
      </w:r>
      <w:r w:rsidR="00BF6D19" w:rsidRPr="00B372EA">
        <w:rPr>
          <w:rFonts w:cs="Arial"/>
          <w:sz w:val="22"/>
          <w:szCs w:val="22"/>
        </w:rPr>
        <w:t>)</w:t>
      </w:r>
      <w:r w:rsidR="00F7279D" w:rsidRPr="00B372EA">
        <w:rPr>
          <w:rFonts w:cs="Arial"/>
          <w:sz w:val="22"/>
          <w:szCs w:val="22"/>
        </w:rPr>
        <w:t>,</w:t>
      </w:r>
      <w:r w:rsidR="00F7279D" w:rsidRPr="00B372EA">
        <w:rPr>
          <w:rFonts w:cs="Arial"/>
          <w:b/>
          <w:sz w:val="22"/>
          <w:szCs w:val="22"/>
        </w:rPr>
        <w:t xml:space="preserve"> </w:t>
      </w:r>
      <w:r w:rsidR="00D15861" w:rsidRPr="00B372EA">
        <w:rPr>
          <w:rFonts w:cs="Arial"/>
          <w:b/>
          <w:sz w:val="22"/>
          <w:szCs w:val="22"/>
        </w:rPr>
        <w:t xml:space="preserve">sýry a tvaroh </w:t>
      </w:r>
      <w:r w:rsidR="00D15861" w:rsidRPr="00B372EA">
        <w:rPr>
          <w:rFonts w:cs="Arial"/>
          <w:sz w:val="22"/>
          <w:szCs w:val="22"/>
        </w:rPr>
        <w:t>(s</w:t>
      </w:r>
      <w:r w:rsidR="00EC2915">
        <w:rPr>
          <w:rFonts w:cs="Arial"/>
          <w:sz w:val="22"/>
          <w:szCs w:val="22"/>
        </w:rPr>
        <w:t> </w:t>
      </w:r>
      <w:r w:rsidR="00D15861" w:rsidRPr="00B372EA">
        <w:rPr>
          <w:rFonts w:cs="Arial"/>
          <w:sz w:val="22"/>
          <w:szCs w:val="22"/>
        </w:rPr>
        <w:t>3,8 %)</w:t>
      </w:r>
      <w:r w:rsidR="00F7279D" w:rsidRPr="00B372EA">
        <w:rPr>
          <w:rFonts w:cs="Arial"/>
          <w:sz w:val="22"/>
          <w:szCs w:val="22"/>
        </w:rPr>
        <w:t>,</w:t>
      </w:r>
      <w:r w:rsidR="00F7279D" w:rsidRPr="00B372EA">
        <w:rPr>
          <w:rFonts w:cs="Arial"/>
          <w:b/>
          <w:sz w:val="22"/>
          <w:szCs w:val="22"/>
        </w:rPr>
        <w:t xml:space="preserve"> </w:t>
      </w:r>
      <w:r w:rsidR="003E5362" w:rsidRPr="00B372EA">
        <w:rPr>
          <w:rFonts w:cs="Arial"/>
          <w:b/>
          <w:sz w:val="22"/>
          <w:szCs w:val="22"/>
        </w:rPr>
        <w:t xml:space="preserve">přípravky používané k výživě zvířat, potravinové přípravky, </w:t>
      </w:r>
      <w:r w:rsidR="00F7279D" w:rsidRPr="00B372EA">
        <w:rPr>
          <w:rFonts w:cs="Arial"/>
          <w:b/>
          <w:sz w:val="22"/>
          <w:szCs w:val="22"/>
        </w:rPr>
        <w:t>cigarety</w:t>
      </w:r>
      <w:r w:rsidR="00BB4E67" w:rsidRPr="00B372EA">
        <w:rPr>
          <w:rFonts w:cs="Arial"/>
          <w:b/>
          <w:sz w:val="22"/>
          <w:szCs w:val="22"/>
        </w:rPr>
        <w:t>,</w:t>
      </w:r>
      <w:r w:rsidR="00F7279D" w:rsidRPr="00B372EA">
        <w:rPr>
          <w:rFonts w:cs="Arial"/>
          <w:b/>
          <w:sz w:val="22"/>
          <w:szCs w:val="22"/>
        </w:rPr>
        <w:t xml:space="preserve"> </w:t>
      </w:r>
      <w:r w:rsidR="00BF6D19" w:rsidRPr="00B372EA">
        <w:rPr>
          <w:rFonts w:cs="Arial"/>
          <w:b/>
          <w:sz w:val="22"/>
          <w:szCs w:val="22"/>
        </w:rPr>
        <w:t>maso a</w:t>
      </w:r>
      <w:r w:rsidR="00EC2915">
        <w:rPr>
          <w:rFonts w:cs="Arial"/>
          <w:b/>
          <w:sz w:val="22"/>
          <w:szCs w:val="22"/>
        </w:rPr>
        <w:t> </w:t>
      </w:r>
      <w:r w:rsidR="00BF6D19" w:rsidRPr="00B372EA">
        <w:rPr>
          <w:rFonts w:cs="Arial"/>
          <w:b/>
          <w:sz w:val="22"/>
          <w:szCs w:val="22"/>
        </w:rPr>
        <w:t xml:space="preserve">droby drůbeže, </w:t>
      </w:r>
      <w:r w:rsidR="003E5362" w:rsidRPr="00B372EA">
        <w:rPr>
          <w:rFonts w:cs="Arial"/>
          <w:b/>
          <w:sz w:val="22"/>
          <w:szCs w:val="22"/>
        </w:rPr>
        <w:t xml:space="preserve">citrusové plody, víno, </w:t>
      </w:r>
      <w:r w:rsidR="00BB4E67" w:rsidRPr="00B372EA">
        <w:rPr>
          <w:rFonts w:cs="Arial"/>
          <w:b/>
          <w:sz w:val="22"/>
          <w:szCs w:val="22"/>
        </w:rPr>
        <w:t>káva,</w:t>
      </w:r>
      <w:r w:rsidR="003E5362" w:rsidRPr="00B372EA">
        <w:rPr>
          <w:rFonts w:cs="Arial"/>
          <w:b/>
          <w:sz w:val="22"/>
          <w:szCs w:val="22"/>
        </w:rPr>
        <w:t xml:space="preserve"> banány</w:t>
      </w:r>
      <w:r w:rsidR="00BB4E67" w:rsidRPr="00B372EA">
        <w:rPr>
          <w:rFonts w:cs="Arial"/>
          <w:b/>
          <w:sz w:val="22"/>
          <w:szCs w:val="22"/>
        </w:rPr>
        <w:t>,</w:t>
      </w:r>
      <w:r w:rsidR="003E5362" w:rsidRPr="00B372EA">
        <w:rPr>
          <w:rFonts w:cs="Arial"/>
          <w:b/>
          <w:sz w:val="22"/>
          <w:szCs w:val="22"/>
        </w:rPr>
        <w:t xml:space="preserve"> limonády, hovězí maso, </w:t>
      </w:r>
      <w:proofErr w:type="spellStart"/>
      <w:r w:rsidR="003E5362" w:rsidRPr="00B372EA">
        <w:rPr>
          <w:rFonts w:cs="Arial"/>
          <w:b/>
          <w:sz w:val="22"/>
          <w:szCs w:val="22"/>
        </w:rPr>
        <w:t>ethylalkohol</w:t>
      </w:r>
      <w:proofErr w:type="spellEnd"/>
      <w:r w:rsidR="003E5362" w:rsidRPr="00B372EA">
        <w:rPr>
          <w:rFonts w:cs="Arial"/>
          <w:b/>
          <w:sz w:val="22"/>
          <w:szCs w:val="22"/>
        </w:rPr>
        <w:t>, zelenina, výtažky a</w:t>
      </w:r>
      <w:r w:rsidR="00EC2915">
        <w:rPr>
          <w:rFonts w:cs="Arial"/>
          <w:b/>
          <w:sz w:val="22"/>
          <w:szCs w:val="22"/>
        </w:rPr>
        <w:t> </w:t>
      </w:r>
      <w:r w:rsidR="003E5362" w:rsidRPr="00B372EA">
        <w:rPr>
          <w:rFonts w:cs="Arial"/>
          <w:b/>
          <w:sz w:val="22"/>
          <w:szCs w:val="22"/>
        </w:rPr>
        <w:t>esence kávy a</w:t>
      </w:r>
      <w:r w:rsidR="00EC2915">
        <w:rPr>
          <w:rFonts w:cs="Arial"/>
          <w:b/>
          <w:sz w:val="22"/>
          <w:szCs w:val="22"/>
        </w:rPr>
        <w:t> </w:t>
      </w:r>
      <w:r w:rsidR="003E5362" w:rsidRPr="00B372EA">
        <w:rPr>
          <w:rFonts w:cs="Arial"/>
          <w:b/>
          <w:sz w:val="22"/>
          <w:szCs w:val="22"/>
        </w:rPr>
        <w:t>čaje, sladové přípravky, s</w:t>
      </w:r>
      <w:r w:rsidR="00B372EA" w:rsidRPr="00B372EA">
        <w:rPr>
          <w:rFonts w:cs="Arial"/>
          <w:b/>
          <w:sz w:val="22"/>
          <w:szCs w:val="22"/>
        </w:rPr>
        <w:t>ó</w:t>
      </w:r>
      <w:r w:rsidR="003E5362" w:rsidRPr="00B372EA">
        <w:rPr>
          <w:rFonts w:cs="Arial"/>
          <w:b/>
          <w:sz w:val="22"/>
          <w:szCs w:val="22"/>
        </w:rPr>
        <w:t xml:space="preserve">jové pokrutiny, </w:t>
      </w:r>
      <w:r w:rsidR="00EC2915">
        <w:rPr>
          <w:rFonts w:cs="Arial"/>
          <w:b/>
          <w:sz w:val="22"/>
          <w:szCs w:val="22"/>
        </w:rPr>
        <w:t>rajčata, kukuřice, ovoce a </w:t>
      </w:r>
      <w:r w:rsidR="00B372EA" w:rsidRPr="00B372EA">
        <w:rPr>
          <w:rFonts w:cs="Arial"/>
          <w:b/>
          <w:sz w:val="22"/>
          <w:szCs w:val="22"/>
        </w:rPr>
        <w:t>ořechy, máslo, rybí filé, semena řepky a</w:t>
      </w:r>
      <w:r w:rsidR="00EC2915">
        <w:rPr>
          <w:rFonts w:cs="Arial"/>
          <w:b/>
          <w:sz w:val="22"/>
          <w:szCs w:val="22"/>
        </w:rPr>
        <w:t> </w:t>
      </w:r>
      <w:r w:rsidR="00B372EA" w:rsidRPr="00B372EA">
        <w:rPr>
          <w:rFonts w:cs="Arial"/>
          <w:b/>
          <w:sz w:val="22"/>
          <w:szCs w:val="22"/>
        </w:rPr>
        <w:t>semena slunečnice i</w:t>
      </w:r>
      <w:r w:rsidR="00EC2915">
        <w:rPr>
          <w:rFonts w:cs="Arial"/>
          <w:b/>
          <w:sz w:val="22"/>
          <w:szCs w:val="22"/>
        </w:rPr>
        <w:t> </w:t>
      </w:r>
      <w:r w:rsidR="00B372EA" w:rsidRPr="00B372EA">
        <w:rPr>
          <w:rFonts w:cs="Arial"/>
          <w:b/>
          <w:sz w:val="22"/>
          <w:szCs w:val="22"/>
        </w:rPr>
        <w:t xml:space="preserve">drcená. </w:t>
      </w:r>
      <w:r w:rsidR="00B372EA" w:rsidRPr="00B372EA">
        <w:rPr>
          <w:rFonts w:cs="Arial"/>
          <w:sz w:val="22"/>
          <w:szCs w:val="22"/>
        </w:rPr>
        <w:t>Další komodity zaujímaly v českém agrárním dovozu již méně než 1% podíl.</w:t>
      </w:r>
    </w:p>
    <w:p w:rsidR="00ED28E0" w:rsidRDefault="00ED28E0" w:rsidP="00F9143B">
      <w:pPr>
        <w:spacing w:line="276" w:lineRule="auto"/>
        <w:rPr>
          <w:rFonts w:cs="Arial"/>
          <w:sz w:val="22"/>
          <w:szCs w:val="22"/>
        </w:rPr>
      </w:pPr>
    </w:p>
    <w:p w:rsidR="00E25EA5" w:rsidRDefault="004E0212" w:rsidP="00F9143B">
      <w:pPr>
        <w:spacing w:line="276" w:lineRule="auto"/>
        <w:rPr>
          <w:rFonts w:cs="Arial"/>
          <w:sz w:val="22"/>
          <w:szCs w:val="22"/>
        </w:rPr>
      </w:pPr>
      <w:r w:rsidRPr="004E0212">
        <w:rPr>
          <w:rFonts w:cs="Arial"/>
          <w:sz w:val="22"/>
          <w:szCs w:val="22"/>
        </w:rPr>
        <w:lastRenderedPageBreak/>
        <w:t>V </w:t>
      </w:r>
      <w:r w:rsidRPr="00E25EA5">
        <w:rPr>
          <w:rFonts w:cs="Arial"/>
          <w:b/>
          <w:sz w:val="22"/>
          <w:szCs w:val="22"/>
        </w:rPr>
        <w:t>komoditním pohledu</w:t>
      </w:r>
      <w:r w:rsidRPr="004E0212">
        <w:rPr>
          <w:rFonts w:cs="Arial"/>
          <w:sz w:val="22"/>
          <w:szCs w:val="22"/>
        </w:rPr>
        <w:t xml:space="preserve"> bylo zaznamenáno v 1. čtvrtletí</w:t>
      </w:r>
      <w:r w:rsidR="0091461D">
        <w:rPr>
          <w:rFonts w:cs="Arial"/>
          <w:sz w:val="22"/>
          <w:szCs w:val="22"/>
        </w:rPr>
        <w:t xml:space="preserve"> roku 2018</w:t>
      </w:r>
      <w:r w:rsidRPr="004E0212">
        <w:rPr>
          <w:rFonts w:cs="Arial"/>
          <w:sz w:val="22"/>
          <w:szCs w:val="22"/>
        </w:rPr>
        <w:t xml:space="preserve"> </w:t>
      </w:r>
      <w:r w:rsidR="00EC2915" w:rsidRPr="00E52040">
        <w:rPr>
          <w:rFonts w:cs="Arial"/>
          <w:sz w:val="22"/>
          <w:szCs w:val="22"/>
        </w:rPr>
        <w:t xml:space="preserve">v porovnání se stejným obdobím roku 2017 </w:t>
      </w:r>
      <w:r w:rsidR="00E25EA5" w:rsidRPr="00E52040">
        <w:rPr>
          <w:rFonts w:cs="Arial"/>
          <w:sz w:val="22"/>
          <w:szCs w:val="22"/>
        </w:rPr>
        <w:t>v</w:t>
      </w:r>
      <w:r w:rsidR="00E25EA5">
        <w:rPr>
          <w:rFonts w:cs="Arial"/>
          <w:sz w:val="22"/>
          <w:szCs w:val="22"/>
        </w:rPr>
        <w:t xml:space="preserve">ýraznější </w:t>
      </w:r>
      <w:r w:rsidRPr="004E0212">
        <w:rPr>
          <w:rFonts w:cs="Arial"/>
          <w:sz w:val="22"/>
          <w:szCs w:val="22"/>
        </w:rPr>
        <w:t>zlepšení záporné bilance</w:t>
      </w:r>
      <w:r w:rsidR="00E25EA5">
        <w:rPr>
          <w:rFonts w:cs="Arial"/>
          <w:sz w:val="22"/>
          <w:szCs w:val="22"/>
        </w:rPr>
        <w:t xml:space="preserve"> u </w:t>
      </w:r>
      <w:r w:rsidR="00354FC0">
        <w:rPr>
          <w:rFonts w:cs="Arial"/>
          <w:sz w:val="22"/>
          <w:szCs w:val="22"/>
        </w:rPr>
        <w:t>kávy o 297,1 mil. Kč na </w:t>
      </w:r>
      <w:r w:rsidR="005B73DD">
        <w:rPr>
          <w:rFonts w:cs="Arial"/>
          <w:sz w:val="22"/>
          <w:szCs w:val="22"/>
        </w:rPr>
        <w:t>110,7 mil. Kč, sýr</w:t>
      </w:r>
      <w:r w:rsidR="0091461D">
        <w:rPr>
          <w:rFonts w:cs="Arial"/>
          <w:sz w:val="22"/>
          <w:szCs w:val="22"/>
        </w:rPr>
        <w:t>ů</w:t>
      </w:r>
      <w:r w:rsidR="005B73DD">
        <w:rPr>
          <w:rFonts w:cs="Arial"/>
          <w:sz w:val="22"/>
          <w:szCs w:val="22"/>
        </w:rPr>
        <w:t xml:space="preserve"> a</w:t>
      </w:r>
      <w:r w:rsidR="00EC2915">
        <w:rPr>
          <w:rFonts w:cs="Arial"/>
          <w:sz w:val="22"/>
          <w:szCs w:val="22"/>
        </w:rPr>
        <w:t> </w:t>
      </w:r>
      <w:r w:rsidR="005B73DD">
        <w:rPr>
          <w:rFonts w:cs="Arial"/>
          <w:sz w:val="22"/>
          <w:szCs w:val="22"/>
        </w:rPr>
        <w:t xml:space="preserve">tvarohu o 135 mil. </w:t>
      </w:r>
      <w:r w:rsidR="0091461D">
        <w:rPr>
          <w:rFonts w:cs="Arial"/>
          <w:sz w:val="22"/>
          <w:szCs w:val="22"/>
        </w:rPr>
        <w:t>Kč na 674,4 </w:t>
      </w:r>
      <w:r w:rsidR="005B73DD">
        <w:rPr>
          <w:rFonts w:cs="Arial"/>
          <w:sz w:val="22"/>
          <w:szCs w:val="22"/>
        </w:rPr>
        <w:t>mil</w:t>
      </w:r>
      <w:r w:rsidR="00354FC0">
        <w:rPr>
          <w:rFonts w:cs="Arial"/>
          <w:sz w:val="22"/>
          <w:szCs w:val="22"/>
        </w:rPr>
        <w:t>. Kč, sójových pokrutin o 125,8 </w:t>
      </w:r>
      <w:r w:rsidR="005B73DD">
        <w:rPr>
          <w:rFonts w:cs="Arial"/>
          <w:sz w:val="22"/>
          <w:szCs w:val="22"/>
        </w:rPr>
        <w:t>mil. Kč na 721,0 mil. Kč</w:t>
      </w:r>
      <w:r w:rsidR="00D02F21">
        <w:rPr>
          <w:rFonts w:cs="Arial"/>
          <w:sz w:val="22"/>
          <w:szCs w:val="22"/>
        </w:rPr>
        <w:t>, výtažků a</w:t>
      </w:r>
      <w:r w:rsidR="00EC2915">
        <w:rPr>
          <w:rFonts w:cs="Arial"/>
          <w:sz w:val="22"/>
          <w:szCs w:val="22"/>
        </w:rPr>
        <w:t> </w:t>
      </w:r>
      <w:r w:rsidR="00D02F21">
        <w:rPr>
          <w:rFonts w:cs="Arial"/>
          <w:sz w:val="22"/>
          <w:szCs w:val="22"/>
        </w:rPr>
        <w:t>koncentrátů</w:t>
      </w:r>
      <w:r w:rsidR="00354FC0">
        <w:rPr>
          <w:rFonts w:cs="Arial"/>
          <w:sz w:val="22"/>
          <w:szCs w:val="22"/>
        </w:rPr>
        <w:t xml:space="preserve"> z kávy o 119,7 mil. Kč na 83,4 </w:t>
      </w:r>
      <w:r w:rsidR="00D02F21">
        <w:rPr>
          <w:rFonts w:cs="Arial"/>
          <w:sz w:val="22"/>
          <w:szCs w:val="22"/>
        </w:rPr>
        <w:t>mil.</w:t>
      </w:r>
      <w:r w:rsidR="00354FC0">
        <w:rPr>
          <w:rFonts w:cs="Arial"/>
          <w:sz w:val="22"/>
          <w:szCs w:val="22"/>
        </w:rPr>
        <w:t> </w:t>
      </w:r>
      <w:r w:rsidR="00D02F21">
        <w:rPr>
          <w:rFonts w:cs="Arial"/>
          <w:sz w:val="22"/>
          <w:szCs w:val="22"/>
        </w:rPr>
        <w:t>Kč a</w:t>
      </w:r>
      <w:r w:rsidR="00EC2915">
        <w:rPr>
          <w:rFonts w:cs="Arial"/>
          <w:sz w:val="22"/>
          <w:szCs w:val="22"/>
        </w:rPr>
        <w:t> </w:t>
      </w:r>
      <w:r w:rsidR="00D02F21">
        <w:rPr>
          <w:rFonts w:cs="Arial"/>
          <w:sz w:val="22"/>
          <w:szCs w:val="22"/>
        </w:rPr>
        <w:t>čokolády (s</w:t>
      </w:r>
      <w:r w:rsidR="00EC2915">
        <w:rPr>
          <w:rFonts w:cs="Arial"/>
          <w:sz w:val="22"/>
          <w:szCs w:val="22"/>
        </w:rPr>
        <w:t> </w:t>
      </w:r>
      <w:r w:rsidR="00D02F21">
        <w:rPr>
          <w:rFonts w:cs="Arial"/>
          <w:sz w:val="22"/>
          <w:szCs w:val="22"/>
        </w:rPr>
        <w:t>kakaem) o 119,5 mil. Kč</w:t>
      </w:r>
      <w:r w:rsidR="00EC2915">
        <w:rPr>
          <w:rFonts w:cs="Arial"/>
          <w:sz w:val="22"/>
          <w:szCs w:val="22"/>
        </w:rPr>
        <w:t xml:space="preserve"> na 479,0 mil. Kč. Dále došlo k </w:t>
      </w:r>
      <w:r w:rsidR="00D02F21">
        <w:rPr>
          <w:rFonts w:cs="Arial"/>
          <w:sz w:val="22"/>
          <w:szCs w:val="22"/>
        </w:rPr>
        <w:t>mírnějšímu zlepšení záporné bilance např. u</w:t>
      </w:r>
      <w:r w:rsidR="00EC2915">
        <w:rPr>
          <w:rFonts w:cs="Arial"/>
          <w:sz w:val="22"/>
          <w:szCs w:val="22"/>
        </w:rPr>
        <w:t> </w:t>
      </w:r>
      <w:r w:rsidR="00D02F21">
        <w:rPr>
          <w:rFonts w:cs="Arial"/>
          <w:sz w:val="22"/>
          <w:szCs w:val="22"/>
        </w:rPr>
        <w:t>ovoce, brambor, vepřového masa</w:t>
      </w:r>
      <w:r w:rsidR="00354FC0">
        <w:rPr>
          <w:rFonts w:cs="Arial"/>
          <w:sz w:val="22"/>
          <w:szCs w:val="22"/>
        </w:rPr>
        <w:t xml:space="preserve"> (o 100,7 </w:t>
      </w:r>
      <w:r w:rsidR="00CE405C">
        <w:rPr>
          <w:rFonts w:cs="Arial"/>
          <w:sz w:val="22"/>
          <w:szCs w:val="22"/>
        </w:rPr>
        <w:t>mil.</w:t>
      </w:r>
      <w:r w:rsidR="00EC2915">
        <w:rPr>
          <w:rFonts w:cs="Arial"/>
          <w:sz w:val="22"/>
          <w:szCs w:val="22"/>
        </w:rPr>
        <w:t> </w:t>
      </w:r>
      <w:r w:rsidR="00CE405C">
        <w:rPr>
          <w:rFonts w:cs="Arial"/>
          <w:sz w:val="22"/>
          <w:szCs w:val="22"/>
        </w:rPr>
        <w:t>Kč na 3,0 mld. Kč)</w:t>
      </w:r>
      <w:r w:rsidR="00D02F21">
        <w:rPr>
          <w:rFonts w:cs="Arial"/>
          <w:sz w:val="22"/>
          <w:szCs w:val="22"/>
        </w:rPr>
        <w:t>, rajčat, čerstvých ryb, cibule</w:t>
      </w:r>
      <w:r w:rsidR="00CE405C">
        <w:rPr>
          <w:rFonts w:cs="Arial"/>
          <w:sz w:val="22"/>
          <w:szCs w:val="22"/>
        </w:rPr>
        <w:t xml:space="preserve"> a</w:t>
      </w:r>
      <w:r w:rsidR="00EC2915">
        <w:rPr>
          <w:rFonts w:cs="Arial"/>
          <w:sz w:val="22"/>
          <w:szCs w:val="22"/>
        </w:rPr>
        <w:t> </w:t>
      </w:r>
      <w:r w:rsidR="00CE405C">
        <w:rPr>
          <w:rFonts w:cs="Arial"/>
          <w:sz w:val="22"/>
          <w:szCs w:val="22"/>
        </w:rPr>
        <w:t>zelí.</w:t>
      </w:r>
    </w:p>
    <w:p w:rsidR="00872CF0" w:rsidRPr="009114CC" w:rsidRDefault="00CE405C" w:rsidP="00F9143B">
      <w:pPr>
        <w:spacing w:line="276" w:lineRule="auto"/>
        <w:rPr>
          <w:rFonts w:cs="Arial"/>
          <w:sz w:val="22"/>
          <w:szCs w:val="22"/>
        </w:rPr>
      </w:pPr>
      <w:r w:rsidRPr="009114CC">
        <w:rPr>
          <w:rFonts w:cs="Arial"/>
          <w:sz w:val="22"/>
          <w:szCs w:val="22"/>
        </w:rPr>
        <w:t xml:space="preserve">Naopak </w:t>
      </w:r>
      <w:r w:rsidR="00EC2915" w:rsidRPr="009114CC">
        <w:rPr>
          <w:rFonts w:cs="Arial"/>
          <w:sz w:val="22"/>
          <w:szCs w:val="22"/>
        </w:rPr>
        <w:t xml:space="preserve">meziroční </w:t>
      </w:r>
      <w:r w:rsidR="009114CC" w:rsidRPr="00711975">
        <w:rPr>
          <w:rFonts w:cs="Arial"/>
          <w:sz w:val="22"/>
          <w:szCs w:val="22"/>
          <w:u w:val="single"/>
        </w:rPr>
        <w:t xml:space="preserve">významnější </w:t>
      </w:r>
      <w:r w:rsidRPr="00711975">
        <w:rPr>
          <w:rFonts w:cs="Arial"/>
          <w:sz w:val="22"/>
          <w:szCs w:val="22"/>
          <w:u w:val="single"/>
        </w:rPr>
        <w:t xml:space="preserve">zhoršení </w:t>
      </w:r>
      <w:r w:rsidR="0091461D" w:rsidRPr="00711975">
        <w:rPr>
          <w:rFonts w:cs="Arial"/>
          <w:sz w:val="22"/>
          <w:szCs w:val="22"/>
          <w:u w:val="single"/>
        </w:rPr>
        <w:t>zápor</w:t>
      </w:r>
      <w:r w:rsidRPr="00711975">
        <w:rPr>
          <w:rFonts w:cs="Arial"/>
          <w:sz w:val="22"/>
          <w:szCs w:val="22"/>
          <w:u w:val="single"/>
        </w:rPr>
        <w:t>né bilance</w:t>
      </w:r>
      <w:r w:rsidRPr="009114CC">
        <w:rPr>
          <w:rFonts w:cs="Arial"/>
          <w:sz w:val="22"/>
          <w:szCs w:val="22"/>
        </w:rPr>
        <w:t xml:space="preserve"> bylo v 1. čtvrtletí</w:t>
      </w:r>
      <w:r w:rsidR="0091461D" w:rsidRPr="009114CC">
        <w:rPr>
          <w:rFonts w:cs="Arial"/>
          <w:sz w:val="22"/>
          <w:szCs w:val="22"/>
        </w:rPr>
        <w:t xml:space="preserve"> roku 2018</w:t>
      </w:r>
      <w:r w:rsidRPr="009114CC">
        <w:rPr>
          <w:rFonts w:cs="Arial"/>
          <w:sz w:val="22"/>
          <w:szCs w:val="22"/>
        </w:rPr>
        <w:t xml:space="preserve"> zaznamenáno </w:t>
      </w:r>
      <w:r w:rsidR="0091461D" w:rsidRPr="009114CC">
        <w:rPr>
          <w:rFonts w:cs="Arial"/>
          <w:sz w:val="22"/>
          <w:szCs w:val="22"/>
        </w:rPr>
        <w:t>u</w:t>
      </w:r>
      <w:r w:rsidR="00EC2915" w:rsidRPr="009114CC">
        <w:rPr>
          <w:rFonts w:cs="Arial"/>
          <w:sz w:val="22"/>
          <w:szCs w:val="22"/>
        </w:rPr>
        <w:t> </w:t>
      </w:r>
      <w:r w:rsidR="00872CF0" w:rsidRPr="009114CC">
        <w:rPr>
          <w:rFonts w:cs="Arial"/>
          <w:sz w:val="22"/>
          <w:szCs w:val="22"/>
        </w:rPr>
        <w:t xml:space="preserve">kukuřice o 415,1 mil. Kč na 491,6 mil. Kč, </w:t>
      </w:r>
      <w:r w:rsidR="0091461D" w:rsidRPr="009114CC">
        <w:rPr>
          <w:rFonts w:cs="Arial"/>
          <w:sz w:val="22"/>
          <w:szCs w:val="22"/>
        </w:rPr>
        <w:t>mas</w:t>
      </w:r>
      <w:r w:rsidR="008F0FFD" w:rsidRPr="009114CC">
        <w:rPr>
          <w:rFonts w:cs="Arial"/>
          <w:sz w:val="22"/>
          <w:szCs w:val="22"/>
        </w:rPr>
        <w:t>a a </w:t>
      </w:r>
      <w:r w:rsidR="0091461D" w:rsidRPr="009114CC">
        <w:rPr>
          <w:rFonts w:cs="Arial"/>
          <w:sz w:val="22"/>
          <w:szCs w:val="22"/>
        </w:rPr>
        <w:t>drobů z</w:t>
      </w:r>
      <w:r w:rsidR="00354FC0">
        <w:rPr>
          <w:rFonts w:cs="Arial"/>
          <w:sz w:val="22"/>
          <w:szCs w:val="22"/>
        </w:rPr>
        <w:t> drůbeže o 246,7 </w:t>
      </w:r>
      <w:r w:rsidR="00872CF0" w:rsidRPr="009114CC">
        <w:rPr>
          <w:rFonts w:cs="Arial"/>
          <w:sz w:val="22"/>
          <w:szCs w:val="22"/>
        </w:rPr>
        <w:t>mil. Kč na 1,2 </w:t>
      </w:r>
      <w:r w:rsidR="0091461D" w:rsidRPr="009114CC">
        <w:rPr>
          <w:rFonts w:cs="Arial"/>
          <w:sz w:val="22"/>
          <w:szCs w:val="22"/>
        </w:rPr>
        <w:t xml:space="preserve">mld. Kč, </w:t>
      </w:r>
      <w:proofErr w:type="spellStart"/>
      <w:r w:rsidR="00872CF0" w:rsidRPr="009114CC">
        <w:rPr>
          <w:rFonts w:cs="Arial"/>
          <w:sz w:val="22"/>
          <w:szCs w:val="22"/>
        </w:rPr>
        <w:t>ethylalkoholu</w:t>
      </w:r>
      <w:proofErr w:type="spellEnd"/>
      <w:r w:rsidR="00872CF0" w:rsidRPr="009114CC">
        <w:rPr>
          <w:rFonts w:cs="Arial"/>
          <w:sz w:val="22"/>
          <w:szCs w:val="22"/>
        </w:rPr>
        <w:t xml:space="preserve"> o 149,6 mil. Kč na 550,2 mil. Kč, rybího filé o 146,8 mil. Kč na 444,8 mil. Kč a citrusových plodů o 131,5 mil. Kč na 989,6 mil. Kč. Dále došlo ke zhoršení záporné bilance např. u hovězího masa chlazeného, jablek, másla, vinných hroznů</w:t>
      </w:r>
      <w:r w:rsidR="009114CC" w:rsidRPr="009114CC">
        <w:rPr>
          <w:rFonts w:cs="Arial"/>
          <w:sz w:val="22"/>
          <w:szCs w:val="22"/>
        </w:rPr>
        <w:t xml:space="preserve"> a tabákových náhražek.</w:t>
      </w:r>
    </w:p>
    <w:p w:rsidR="0091461D" w:rsidRDefault="0091461D" w:rsidP="00F9143B">
      <w:pPr>
        <w:spacing w:line="276" w:lineRule="auto"/>
        <w:rPr>
          <w:sz w:val="22"/>
          <w:szCs w:val="22"/>
        </w:rPr>
      </w:pPr>
      <w:r w:rsidRPr="00711975">
        <w:rPr>
          <w:sz w:val="22"/>
          <w:szCs w:val="22"/>
          <w:u w:val="single"/>
        </w:rPr>
        <w:t>Navýšení kladné bilance</w:t>
      </w:r>
      <w:r>
        <w:rPr>
          <w:sz w:val="22"/>
          <w:szCs w:val="22"/>
        </w:rPr>
        <w:t xml:space="preserve"> pokračovalo v 1. čtvrtletí roku 2018 </w:t>
      </w:r>
      <w:r w:rsidR="008F0FFD">
        <w:rPr>
          <w:sz w:val="22"/>
          <w:szCs w:val="22"/>
        </w:rPr>
        <w:t>u</w:t>
      </w:r>
      <w:r w:rsidR="00EC2915">
        <w:rPr>
          <w:sz w:val="22"/>
          <w:szCs w:val="22"/>
        </w:rPr>
        <w:t> </w:t>
      </w:r>
      <w:r w:rsidR="008F0FFD">
        <w:rPr>
          <w:sz w:val="22"/>
          <w:szCs w:val="22"/>
        </w:rPr>
        <w:t xml:space="preserve">nezahuštěného mléka a smetany </w:t>
      </w:r>
      <w:r w:rsidR="00EC2915">
        <w:rPr>
          <w:sz w:val="22"/>
          <w:szCs w:val="22"/>
        </w:rPr>
        <w:t>(</w:t>
      </w:r>
      <w:r w:rsidR="008F0FFD">
        <w:rPr>
          <w:sz w:val="22"/>
          <w:szCs w:val="22"/>
        </w:rPr>
        <w:t>o 388,3 mil. Kč na 2,0 mld. Kč</w:t>
      </w:r>
      <w:r w:rsidR="00EC2915">
        <w:rPr>
          <w:sz w:val="22"/>
          <w:szCs w:val="22"/>
        </w:rPr>
        <w:t>)</w:t>
      </w:r>
      <w:r w:rsidR="008F0FFD">
        <w:rPr>
          <w:sz w:val="22"/>
          <w:szCs w:val="22"/>
        </w:rPr>
        <w:t xml:space="preserve">, přípravků používaných k výživě zvířat </w:t>
      </w:r>
      <w:r w:rsidR="00EC2915">
        <w:rPr>
          <w:sz w:val="22"/>
          <w:szCs w:val="22"/>
        </w:rPr>
        <w:t>(</w:t>
      </w:r>
      <w:r w:rsidR="008F0FFD">
        <w:rPr>
          <w:sz w:val="22"/>
          <w:szCs w:val="22"/>
        </w:rPr>
        <w:t>o 227,5</w:t>
      </w:r>
      <w:r w:rsidR="00EC2915">
        <w:rPr>
          <w:sz w:val="22"/>
          <w:szCs w:val="22"/>
        </w:rPr>
        <w:t> </w:t>
      </w:r>
      <w:r w:rsidR="00433D53">
        <w:rPr>
          <w:sz w:val="22"/>
          <w:szCs w:val="22"/>
        </w:rPr>
        <w:t>mil. </w:t>
      </w:r>
      <w:r w:rsidR="008F0FFD">
        <w:rPr>
          <w:sz w:val="22"/>
          <w:szCs w:val="22"/>
        </w:rPr>
        <w:t>Kč na 997,9 mil. Kč</w:t>
      </w:r>
      <w:r w:rsidR="00EC2915">
        <w:rPr>
          <w:sz w:val="22"/>
          <w:szCs w:val="22"/>
        </w:rPr>
        <w:t>)</w:t>
      </w:r>
      <w:r w:rsidR="008F0FFD">
        <w:rPr>
          <w:sz w:val="22"/>
          <w:szCs w:val="22"/>
        </w:rPr>
        <w:t xml:space="preserve">, živých prasat </w:t>
      </w:r>
      <w:r w:rsidR="00EC2915">
        <w:rPr>
          <w:sz w:val="22"/>
          <w:szCs w:val="22"/>
        </w:rPr>
        <w:t>(</w:t>
      </w:r>
      <w:r w:rsidR="008F0FFD">
        <w:rPr>
          <w:sz w:val="22"/>
          <w:szCs w:val="22"/>
        </w:rPr>
        <w:t>o 116,5 mil. Kč na 269,3 mil. Kč</w:t>
      </w:r>
      <w:r w:rsidR="00EC2915">
        <w:rPr>
          <w:sz w:val="22"/>
          <w:szCs w:val="22"/>
        </w:rPr>
        <w:t>)</w:t>
      </w:r>
      <w:r w:rsidR="008F0FFD">
        <w:rPr>
          <w:sz w:val="22"/>
          <w:szCs w:val="22"/>
        </w:rPr>
        <w:t xml:space="preserve">, živého hovězího dobytka </w:t>
      </w:r>
      <w:r w:rsidR="00EC2915">
        <w:rPr>
          <w:sz w:val="22"/>
          <w:szCs w:val="22"/>
        </w:rPr>
        <w:t>(</w:t>
      </w:r>
      <w:r w:rsidR="008F0FFD">
        <w:rPr>
          <w:sz w:val="22"/>
          <w:szCs w:val="22"/>
        </w:rPr>
        <w:t>o</w:t>
      </w:r>
      <w:r w:rsidR="00EC2915">
        <w:rPr>
          <w:sz w:val="22"/>
          <w:szCs w:val="22"/>
        </w:rPr>
        <w:t> </w:t>
      </w:r>
      <w:r w:rsidR="008F0FFD">
        <w:rPr>
          <w:sz w:val="22"/>
          <w:szCs w:val="22"/>
        </w:rPr>
        <w:t>59,9 mil. Kč na 890,1 mil. Kč</w:t>
      </w:r>
      <w:r w:rsidR="00EC2915">
        <w:rPr>
          <w:sz w:val="22"/>
          <w:szCs w:val="22"/>
        </w:rPr>
        <w:t>)</w:t>
      </w:r>
      <w:r w:rsidR="008F0FFD">
        <w:rPr>
          <w:sz w:val="22"/>
          <w:szCs w:val="22"/>
        </w:rPr>
        <w:t xml:space="preserve">, potravinových přípravků jiných </w:t>
      </w:r>
      <w:r w:rsidR="00EC2915">
        <w:rPr>
          <w:sz w:val="22"/>
          <w:szCs w:val="22"/>
        </w:rPr>
        <w:t>(</w:t>
      </w:r>
      <w:r w:rsidR="008F0FFD">
        <w:rPr>
          <w:sz w:val="22"/>
          <w:szCs w:val="22"/>
        </w:rPr>
        <w:t>o 34,4</w:t>
      </w:r>
      <w:r w:rsidR="00EC2915">
        <w:rPr>
          <w:sz w:val="22"/>
          <w:szCs w:val="22"/>
        </w:rPr>
        <w:t> </w:t>
      </w:r>
      <w:r w:rsidR="00433D53">
        <w:rPr>
          <w:sz w:val="22"/>
          <w:szCs w:val="22"/>
        </w:rPr>
        <w:t>mil. </w:t>
      </w:r>
      <w:r w:rsidR="008F0FFD">
        <w:rPr>
          <w:sz w:val="22"/>
          <w:szCs w:val="22"/>
        </w:rPr>
        <w:t>Kč na 190,8 mil. Kč</w:t>
      </w:r>
      <w:r w:rsidR="00EC2915">
        <w:rPr>
          <w:sz w:val="22"/>
          <w:szCs w:val="22"/>
        </w:rPr>
        <w:t>)</w:t>
      </w:r>
      <w:r w:rsidR="008F0FFD">
        <w:rPr>
          <w:sz w:val="22"/>
          <w:szCs w:val="22"/>
        </w:rPr>
        <w:t xml:space="preserve">, chmele </w:t>
      </w:r>
      <w:r w:rsidR="00EC2915">
        <w:rPr>
          <w:sz w:val="22"/>
          <w:szCs w:val="22"/>
        </w:rPr>
        <w:t>(</w:t>
      </w:r>
      <w:r w:rsidR="008F0FFD">
        <w:rPr>
          <w:sz w:val="22"/>
          <w:szCs w:val="22"/>
        </w:rPr>
        <w:t>o</w:t>
      </w:r>
      <w:r w:rsidR="00EC2915">
        <w:rPr>
          <w:sz w:val="22"/>
          <w:szCs w:val="22"/>
        </w:rPr>
        <w:t> </w:t>
      </w:r>
      <w:r w:rsidR="008F0FFD">
        <w:rPr>
          <w:sz w:val="22"/>
          <w:szCs w:val="22"/>
        </w:rPr>
        <w:t>32,7 mil. Kč na 455,3 mil. Kč</w:t>
      </w:r>
      <w:r w:rsidR="00EC2915">
        <w:rPr>
          <w:sz w:val="22"/>
          <w:szCs w:val="22"/>
        </w:rPr>
        <w:t>) a </w:t>
      </w:r>
      <w:r w:rsidR="008F0FFD">
        <w:rPr>
          <w:sz w:val="22"/>
          <w:szCs w:val="22"/>
        </w:rPr>
        <w:t>přípravků a</w:t>
      </w:r>
      <w:r w:rsidR="00EC2915">
        <w:rPr>
          <w:sz w:val="22"/>
          <w:szCs w:val="22"/>
        </w:rPr>
        <w:t> konzerv z masa a </w:t>
      </w:r>
      <w:r w:rsidR="008F0FFD">
        <w:rPr>
          <w:sz w:val="22"/>
          <w:szCs w:val="22"/>
        </w:rPr>
        <w:t xml:space="preserve">drobů </w:t>
      </w:r>
      <w:r w:rsidR="00EC2915">
        <w:rPr>
          <w:sz w:val="22"/>
          <w:szCs w:val="22"/>
        </w:rPr>
        <w:t>(</w:t>
      </w:r>
      <w:r w:rsidR="008F0FFD">
        <w:rPr>
          <w:sz w:val="22"/>
          <w:szCs w:val="22"/>
        </w:rPr>
        <w:t>o</w:t>
      </w:r>
      <w:r w:rsidR="00EC2915">
        <w:rPr>
          <w:sz w:val="22"/>
          <w:szCs w:val="22"/>
        </w:rPr>
        <w:t> </w:t>
      </w:r>
      <w:r w:rsidR="008F0FFD">
        <w:rPr>
          <w:sz w:val="22"/>
          <w:szCs w:val="22"/>
        </w:rPr>
        <w:t>29,9 mil. Kč na 97,5 mil. Kč</w:t>
      </w:r>
      <w:r w:rsidR="00EC2915">
        <w:rPr>
          <w:sz w:val="22"/>
          <w:szCs w:val="22"/>
        </w:rPr>
        <w:t>)</w:t>
      </w:r>
      <w:r w:rsidR="008F0FFD">
        <w:rPr>
          <w:sz w:val="22"/>
          <w:szCs w:val="22"/>
        </w:rPr>
        <w:t>.</w:t>
      </w:r>
      <w:r w:rsidR="00E80124">
        <w:rPr>
          <w:sz w:val="22"/>
          <w:szCs w:val="22"/>
        </w:rPr>
        <w:t xml:space="preserve"> Vývoz surového mléka se navýšil významněji zejmé</w:t>
      </w:r>
      <w:r w:rsidR="00B81FE6">
        <w:rPr>
          <w:sz w:val="22"/>
          <w:szCs w:val="22"/>
        </w:rPr>
        <w:t>na do Německa</w:t>
      </w:r>
      <w:r w:rsidR="00E80124">
        <w:rPr>
          <w:sz w:val="22"/>
          <w:szCs w:val="22"/>
        </w:rPr>
        <w:t xml:space="preserve">, méně významně pak do </w:t>
      </w:r>
      <w:r w:rsidR="00D838CC">
        <w:rPr>
          <w:sz w:val="22"/>
          <w:szCs w:val="22"/>
        </w:rPr>
        <w:t xml:space="preserve">Maďarska a </w:t>
      </w:r>
      <w:r w:rsidR="00E80124">
        <w:rPr>
          <w:sz w:val="22"/>
          <w:szCs w:val="22"/>
        </w:rPr>
        <w:t>Polska.</w:t>
      </w:r>
      <w:r w:rsidR="00B81FE6">
        <w:rPr>
          <w:sz w:val="22"/>
          <w:szCs w:val="22"/>
        </w:rPr>
        <w:t xml:space="preserve"> V rámci kapitoly </w:t>
      </w:r>
      <w:r w:rsidR="00EC2915">
        <w:rPr>
          <w:sz w:val="22"/>
          <w:szCs w:val="22"/>
        </w:rPr>
        <w:t>„</w:t>
      </w:r>
      <w:r w:rsidR="00B81FE6">
        <w:rPr>
          <w:sz w:val="22"/>
          <w:szCs w:val="22"/>
        </w:rPr>
        <w:t>přípravky používané k výživě zvířat</w:t>
      </w:r>
      <w:r w:rsidR="00EC2915">
        <w:rPr>
          <w:sz w:val="22"/>
          <w:szCs w:val="22"/>
        </w:rPr>
        <w:t>“</w:t>
      </w:r>
      <w:r w:rsidR="00B81FE6">
        <w:rPr>
          <w:sz w:val="22"/>
          <w:szCs w:val="22"/>
        </w:rPr>
        <w:t xml:space="preserve"> se nejvíce vyvážela v 1. čtvrtletí roku 2018 podkapitola </w:t>
      </w:r>
      <w:r w:rsidR="00EC2915">
        <w:rPr>
          <w:sz w:val="22"/>
          <w:szCs w:val="22"/>
        </w:rPr>
        <w:t>„</w:t>
      </w:r>
      <w:r w:rsidR="00B81FE6">
        <w:rPr>
          <w:sz w:val="22"/>
          <w:szCs w:val="22"/>
        </w:rPr>
        <w:t>výživa pro psy a kočky pro drobný prodej obsahující škrob</w:t>
      </w:r>
      <w:r w:rsidR="00EC2915">
        <w:rPr>
          <w:sz w:val="22"/>
          <w:szCs w:val="22"/>
        </w:rPr>
        <w:t>“</w:t>
      </w:r>
      <w:r w:rsidR="00682032">
        <w:rPr>
          <w:sz w:val="22"/>
          <w:szCs w:val="22"/>
        </w:rPr>
        <w:t>. Významnější nárůst vývozu byl zaznamenán především do Nizozemska, Japonska a</w:t>
      </w:r>
      <w:r w:rsidR="00EC2915">
        <w:rPr>
          <w:sz w:val="22"/>
          <w:szCs w:val="22"/>
        </w:rPr>
        <w:t> </w:t>
      </w:r>
      <w:r w:rsidR="00682032">
        <w:rPr>
          <w:sz w:val="22"/>
          <w:szCs w:val="22"/>
        </w:rPr>
        <w:t>Jižní Afriky, vývo</w:t>
      </w:r>
      <w:r w:rsidR="00EC2915">
        <w:rPr>
          <w:sz w:val="22"/>
          <w:szCs w:val="22"/>
        </w:rPr>
        <w:t>z rapidněji poklesl do Belgie a </w:t>
      </w:r>
      <w:r w:rsidR="00682032">
        <w:rPr>
          <w:sz w:val="22"/>
          <w:szCs w:val="22"/>
        </w:rPr>
        <w:t>Ruska.</w:t>
      </w:r>
    </w:p>
    <w:p w:rsidR="00CB744B" w:rsidRPr="0091461D" w:rsidRDefault="00CF75CB" w:rsidP="00F9143B">
      <w:pPr>
        <w:spacing w:line="276" w:lineRule="auto"/>
        <w:rPr>
          <w:sz w:val="22"/>
          <w:szCs w:val="22"/>
        </w:rPr>
      </w:pPr>
      <w:r w:rsidRPr="00711975">
        <w:rPr>
          <w:sz w:val="22"/>
          <w:szCs w:val="22"/>
          <w:u w:val="single"/>
        </w:rPr>
        <w:t xml:space="preserve">Podstatný </w:t>
      </w:r>
      <w:r w:rsidR="00EC2915" w:rsidRPr="00711975">
        <w:rPr>
          <w:sz w:val="22"/>
          <w:szCs w:val="22"/>
          <w:u w:val="single"/>
        </w:rPr>
        <w:t xml:space="preserve">meziroční </w:t>
      </w:r>
      <w:r w:rsidRPr="00711975">
        <w:rPr>
          <w:sz w:val="22"/>
          <w:szCs w:val="22"/>
          <w:u w:val="single"/>
        </w:rPr>
        <w:t>p</w:t>
      </w:r>
      <w:r w:rsidR="007C6F1A" w:rsidRPr="00711975">
        <w:rPr>
          <w:sz w:val="22"/>
          <w:szCs w:val="22"/>
          <w:u w:val="single"/>
        </w:rPr>
        <w:t>okles kladné bilance</w:t>
      </w:r>
      <w:r w:rsidR="007C6F1A">
        <w:rPr>
          <w:sz w:val="22"/>
          <w:szCs w:val="22"/>
        </w:rPr>
        <w:t xml:space="preserve"> byl </w:t>
      </w:r>
      <w:r w:rsidR="00C038C1" w:rsidRPr="00443639">
        <w:rPr>
          <w:sz w:val="22"/>
          <w:szCs w:val="22"/>
        </w:rPr>
        <w:t>v 1. čtvrtletí 2018</w:t>
      </w:r>
      <w:r w:rsidR="00C038C1">
        <w:rPr>
          <w:sz w:val="22"/>
          <w:szCs w:val="22"/>
        </w:rPr>
        <w:t xml:space="preserve"> </w:t>
      </w:r>
      <w:r w:rsidR="00EC2915">
        <w:rPr>
          <w:sz w:val="22"/>
          <w:szCs w:val="22"/>
        </w:rPr>
        <w:t>zaznamenán u </w:t>
      </w:r>
      <w:r w:rsidR="00507169">
        <w:rPr>
          <w:sz w:val="22"/>
          <w:szCs w:val="22"/>
        </w:rPr>
        <w:t>cigaret</w:t>
      </w:r>
      <w:r>
        <w:rPr>
          <w:sz w:val="22"/>
          <w:szCs w:val="22"/>
        </w:rPr>
        <w:t>,</w:t>
      </w:r>
      <w:r w:rsidR="00507169">
        <w:rPr>
          <w:sz w:val="22"/>
          <w:szCs w:val="22"/>
        </w:rPr>
        <w:t xml:space="preserve"> pšenice</w:t>
      </w:r>
      <w:r>
        <w:rPr>
          <w:sz w:val="22"/>
          <w:szCs w:val="22"/>
        </w:rPr>
        <w:t>, drcených semen řepky a</w:t>
      </w:r>
      <w:r w:rsidR="00C038C1">
        <w:rPr>
          <w:sz w:val="22"/>
          <w:szCs w:val="22"/>
        </w:rPr>
        <w:t> </w:t>
      </w:r>
      <w:r>
        <w:rPr>
          <w:sz w:val="22"/>
          <w:szCs w:val="22"/>
        </w:rPr>
        <w:t xml:space="preserve">řepkového oleje. </w:t>
      </w:r>
      <w:r w:rsidR="000872DF">
        <w:rPr>
          <w:sz w:val="22"/>
          <w:szCs w:val="22"/>
        </w:rPr>
        <w:t>Z</w:t>
      </w:r>
      <w:r w:rsidR="00503ACC">
        <w:rPr>
          <w:sz w:val="22"/>
          <w:szCs w:val="22"/>
        </w:rPr>
        <w:t>natelně poklesl vývoz cigaret do Itálie, méně pak do Belgie.</w:t>
      </w:r>
      <w:r>
        <w:rPr>
          <w:sz w:val="22"/>
          <w:szCs w:val="22"/>
        </w:rPr>
        <w:t xml:space="preserve"> U</w:t>
      </w:r>
      <w:r w:rsidR="000872DF">
        <w:rPr>
          <w:sz w:val="22"/>
          <w:szCs w:val="22"/>
        </w:rPr>
        <w:t> </w:t>
      </w:r>
      <w:r>
        <w:rPr>
          <w:sz w:val="22"/>
          <w:szCs w:val="22"/>
        </w:rPr>
        <w:t>pšenice</w:t>
      </w:r>
      <w:r w:rsidR="000872DF">
        <w:rPr>
          <w:sz w:val="22"/>
          <w:szCs w:val="22"/>
        </w:rPr>
        <w:t xml:space="preserve"> a</w:t>
      </w:r>
      <w:r w:rsidR="00C038C1">
        <w:rPr>
          <w:sz w:val="22"/>
          <w:szCs w:val="22"/>
        </w:rPr>
        <w:t> </w:t>
      </w:r>
      <w:r w:rsidR="000872DF">
        <w:rPr>
          <w:sz w:val="22"/>
          <w:szCs w:val="22"/>
        </w:rPr>
        <w:t>drcených řepkových semen</w:t>
      </w:r>
      <w:r w:rsidR="00433D53">
        <w:rPr>
          <w:sz w:val="22"/>
          <w:szCs w:val="22"/>
        </w:rPr>
        <w:t xml:space="preserve"> poklesl vývoz nejvýznamněji do </w:t>
      </w:r>
      <w:r>
        <w:rPr>
          <w:sz w:val="22"/>
          <w:szCs w:val="22"/>
        </w:rPr>
        <w:t xml:space="preserve">Německa. </w:t>
      </w:r>
      <w:r w:rsidR="000872DF">
        <w:rPr>
          <w:sz w:val="22"/>
          <w:szCs w:val="22"/>
        </w:rPr>
        <w:t>U </w:t>
      </w:r>
      <w:r w:rsidR="00FA67FA">
        <w:rPr>
          <w:sz w:val="22"/>
          <w:szCs w:val="22"/>
        </w:rPr>
        <w:t>řepkového oleje došlo k poklesu vývozu řepkového oleje surového technického</w:t>
      </w:r>
      <w:r w:rsidR="00C038C1" w:rsidRPr="00443639">
        <w:rPr>
          <w:sz w:val="22"/>
          <w:szCs w:val="22"/>
        </w:rPr>
        <w:t>,</w:t>
      </w:r>
      <w:r w:rsidR="00FA67FA">
        <w:rPr>
          <w:sz w:val="22"/>
          <w:szCs w:val="22"/>
        </w:rPr>
        <w:t xml:space="preserve"> a</w:t>
      </w:r>
      <w:r w:rsidR="00C038C1">
        <w:rPr>
          <w:sz w:val="22"/>
          <w:szCs w:val="22"/>
        </w:rPr>
        <w:t> </w:t>
      </w:r>
      <w:r w:rsidR="00FA67FA">
        <w:rPr>
          <w:sz w:val="22"/>
          <w:szCs w:val="22"/>
        </w:rPr>
        <w:t xml:space="preserve">to zejména do Rakouska, Polska </w:t>
      </w:r>
      <w:r w:rsidR="00C038C1">
        <w:rPr>
          <w:sz w:val="22"/>
          <w:szCs w:val="22"/>
        </w:rPr>
        <w:t> </w:t>
      </w:r>
      <w:r w:rsidR="00FA67FA">
        <w:rPr>
          <w:sz w:val="22"/>
          <w:szCs w:val="22"/>
        </w:rPr>
        <w:t>Bulharska</w:t>
      </w:r>
      <w:r w:rsidR="000872DF">
        <w:rPr>
          <w:sz w:val="22"/>
          <w:szCs w:val="22"/>
        </w:rPr>
        <w:t>.</w:t>
      </w:r>
    </w:p>
    <w:p w:rsidR="00C21467" w:rsidRPr="00950AB7" w:rsidRDefault="0072747B" w:rsidP="00C21467">
      <w:pPr>
        <w:spacing w:line="276" w:lineRule="auto"/>
        <w:rPr>
          <w:rFonts w:cs="Arial"/>
          <w:sz w:val="22"/>
          <w:szCs w:val="22"/>
        </w:rPr>
      </w:pPr>
      <w:r w:rsidRPr="00950AB7">
        <w:rPr>
          <w:rFonts w:cs="Arial"/>
          <w:sz w:val="22"/>
          <w:szCs w:val="22"/>
        </w:rPr>
        <w:t xml:space="preserve">Agrární zboží </w:t>
      </w:r>
      <w:r w:rsidR="006110A2" w:rsidRPr="00950AB7">
        <w:rPr>
          <w:rFonts w:cs="Arial"/>
          <w:b/>
          <w:sz w:val="22"/>
          <w:szCs w:val="22"/>
        </w:rPr>
        <w:t>směřovalo z Č</w:t>
      </w:r>
      <w:r w:rsidRPr="00950AB7">
        <w:rPr>
          <w:rFonts w:cs="Arial"/>
          <w:b/>
          <w:sz w:val="22"/>
          <w:szCs w:val="22"/>
        </w:rPr>
        <w:t>R</w:t>
      </w:r>
      <w:r w:rsidRPr="00950AB7">
        <w:rPr>
          <w:rFonts w:cs="Arial"/>
          <w:sz w:val="22"/>
          <w:szCs w:val="22"/>
        </w:rPr>
        <w:t xml:space="preserve"> </w:t>
      </w:r>
      <w:r w:rsidR="006110A2" w:rsidRPr="00950AB7">
        <w:rPr>
          <w:rFonts w:cs="Arial"/>
          <w:sz w:val="22"/>
          <w:szCs w:val="22"/>
        </w:rPr>
        <w:t>v 1. čtvrtletí roku 201</w:t>
      </w:r>
      <w:r w:rsidR="00950AB7" w:rsidRPr="00950AB7">
        <w:rPr>
          <w:rFonts w:cs="Arial"/>
          <w:sz w:val="22"/>
          <w:szCs w:val="22"/>
        </w:rPr>
        <w:t>8</w:t>
      </w:r>
      <w:r w:rsidR="006110A2" w:rsidRPr="00950AB7">
        <w:rPr>
          <w:rFonts w:cs="Arial"/>
          <w:sz w:val="22"/>
          <w:szCs w:val="22"/>
        </w:rPr>
        <w:t xml:space="preserve"> </w:t>
      </w:r>
      <w:r w:rsidR="00950AB7" w:rsidRPr="00950AB7">
        <w:rPr>
          <w:rFonts w:cs="Arial"/>
          <w:sz w:val="22"/>
          <w:szCs w:val="22"/>
        </w:rPr>
        <w:t xml:space="preserve">opět </w:t>
      </w:r>
      <w:r w:rsidR="006110A2" w:rsidRPr="00950AB7">
        <w:rPr>
          <w:rFonts w:cs="Arial"/>
          <w:sz w:val="22"/>
          <w:szCs w:val="22"/>
        </w:rPr>
        <w:t xml:space="preserve">zejména </w:t>
      </w:r>
      <w:r w:rsidR="00950AB7" w:rsidRPr="00950AB7">
        <w:rPr>
          <w:rFonts w:cs="Arial"/>
          <w:sz w:val="22"/>
          <w:szCs w:val="22"/>
        </w:rPr>
        <w:t>na</w:t>
      </w:r>
      <w:r w:rsidR="006110A2" w:rsidRPr="00950AB7">
        <w:rPr>
          <w:rFonts w:cs="Arial"/>
          <w:sz w:val="22"/>
          <w:szCs w:val="22"/>
        </w:rPr>
        <w:t xml:space="preserve"> </w:t>
      </w:r>
      <w:r w:rsidR="00950AB7" w:rsidRPr="00950AB7">
        <w:rPr>
          <w:rFonts w:cs="Arial"/>
          <w:b/>
          <w:sz w:val="22"/>
          <w:szCs w:val="22"/>
        </w:rPr>
        <w:t>Slovensko</w:t>
      </w:r>
      <w:r w:rsidR="006110A2" w:rsidRPr="00950AB7">
        <w:rPr>
          <w:rFonts w:cs="Arial"/>
          <w:sz w:val="22"/>
          <w:szCs w:val="22"/>
        </w:rPr>
        <w:t xml:space="preserve"> (2</w:t>
      </w:r>
      <w:r w:rsidR="00950AB7" w:rsidRPr="00950AB7">
        <w:rPr>
          <w:rFonts w:cs="Arial"/>
          <w:sz w:val="22"/>
          <w:szCs w:val="22"/>
        </w:rPr>
        <w:t>2,1 </w:t>
      </w:r>
      <w:r w:rsidR="00C038C1">
        <w:rPr>
          <w:rFonts w:cs="Arial"/>
          <w:sz w:val="22"/>
          <w:szCs w:val="22"/>
        </w:rPr>
        <w:t xml:space="preserve">%) </w:t>
      </w:r>
      <w:r w:rsidR="00C038C1" w:rsidRPr="00443639">
        <w:rPr>
          <w:rFonts w:cs="Arial"/>
          <w:sz w:val="22"/>
          <w:szCs w:val="22"/>
        </w:rPr>
        <w:t>a </w:t>
      </w:r>
      <w:r w:rsidR="00950AB7" w:rsidRPr="00443639">
        <w:rPr>
          <w:rFonts w:cs="Arial"/>
          <w:sz w:val="22"/>
          <w:szCs w:val="22"/>
        </w:rPr>
        <w:t>do</w:t>
      </w:r>
      <w:r w:rsidR="00F129E9" w:rsidRPr="00950AB7">
        <w:rPr>
          <w:rFonts w:cs="Arial"/>
          <w:sz w:val="22"/>
          <w:szCs w:val="22"/>
        </w:rPr>
        <w:t xml:space="preserve"> </w:t>
      </w:r>
      <w:r w:rsidR="00950AB7" w:rsidRPr="00950AB7">
        <w:rPr>
          <w:rFonts w:cs="Arial"/>
          <w:b/>
          <w:sz w:val="22"/>
          <w:szCs w:val="22"/>
        </w:rPr>
        <w:t>Německa</w:t>
      </w:r>
      <w:r w:rsidR="006110A2" w:rsidRPr="00950AB7">
        <w:rPr>
          <w:rFonts w:cs="Arial"/>
          <w:sz w:val="22"/>
          <w:szCs w:val="22"/>
        </w:rPr>
        <w:t xml:space="preserve"> (</w:t>
      </w:r>
      <w:r w:rsidR="007C6F1A">
        <w:rPr>
          <w:rFonts w:cs="Arial"/>
          <w:sz w:val="22"/>
          <w:szCs w:val="22"/>
        </w:rPr>
        <w:t>19,6</w:t>
      </w:r>
      <w:r w:rsidR="006110A2" w:rsidRPr="00950AB7">
        <w:rPr>
          <w:rFonts w:cs="Arial"/>
          <w:sz w:val="22"/>
          <w:szCs w:val="22"/>
        </w:rPr>
        <w:t xml:space="preserve"> %). Třetí nejvýznamnější destinací </w:t>
      </w:r>
      <w:r w:rsidR="00950AB7" w:rsidRPr="00950AB7">
        <w:rPr>
          <w:rFonts w:cs="Arial"/>
          <w:sz w:val="22"/>
          <w:szCs w:val="22"/>
        </w:rPr>
        <w:t>bylo</w:t>
      </w:r>
      <w:r w:rsidR="006110A2" w:rsidRPr="00950AB7">
        <w:rPr>
          <w:rFonts w:cs="Arial"/>
          <w:sz w:val="22"/>
          <w:szCs w:val="22"/>
        </w:rPr>
        <w:t xml:space="preserve"> stabilně </w:t>
      </w:r>
      <w:r w:rsidR="006110A2" w:rsidRPr="00950AB7">
        <w:rPr>
          <w:rFonts w:cs="Arial"/>
          <w:b/>
          <w:sz w:val="22"/>
          <w:szCs w:val="22"/>
        </w:rPr>
        <w:t>Polsko</w:t>
      </w:r>
      <w:r w:rsidR="006110A2" w:rsidRPr="00950AB7">
        <w:rPr>
          <w:rFonts w:cs="Arial"/>
          <w:sz w:val="22"/>
          <w:szCs w:val="22"/>
        </w:rPr>
        <w:t xml:space="preserve"> (11,</w:t>
      </w:r>
      <w:r w:rsidR="00950AB7" w:rsidRPr="00950AB7">
        <w:rPr>
          <w:rFonts w:cs="Arial"/>
          <w:sz w:val="22"/>
          <w:szCs w:val="22"/>
        </w:rPr>
        <w:t>8</w:t>
      </w:r>
      <w:r w:rsidR="00C038C1">
        <w:rPr>
          <w:rFonts w:cs="Arial"/>
          <w:sz w:val="22"/>
          <w:szCs w:val="22"/>
        </w:rPr>
        <w:t> </w:t>
      </w:r>
      <w:r w:rsidR="006110A2" w:rsidRPr="00950AB7">
        <w:rPr>
          <w:rFonts w:cs="Arial"/>
          <w:sz w:val="22"/>
          <w:szCs w:val="22"/>
        </w:rPr>
        <w:t>%</w:t>
      </w:r>
      <w:r w:rsidR="00804906" w:rsidRPr="00950AB7">
        <w:rPr>
          <w:rFonts w:cs="Arial"/>
          <w:sz w:val="22"/>
          <w:szCs w:val="22"/>
        </w:rPr>
        <w:t>)</w:t>
      </w:r>
      <w:r w:rsidR="006110A2" w:rsidRPr="00950AB7">
        <w:rPr>
          <w:rFonts w:cs="Arial"/>
          <w:sz w:val="22"/>
          <w:szCs w:val="22"/>
        </w:rPr>
        <w:t xml:space="preserve">. </w:t>
      </w:r>
      <w:r w:rsidR="006110A2" w:rsidRPr="00443639">
        <w:rPr>
          <w:rFonts w:cs="Arial"/>
          <w:sz w:val="22"/>
          <w:szCs w:val="22"/>
        </w:rPr>
        <w:t>Dále</w:t>
      </w:r>
      <w:r w:rsidR="006110A2" w:rsidRPr="00950AB7">
        <w:rPr>
          <w:rFonts w:cs="Arial"/>
          <w:sz w:val="22"/>
          <w:szCs w:val="22"/>
        </w:rPr>
        <w:t xml:space="preserve"> následovaly </w:t>
      </w:r>
      <w:r w:rsidR="00950AB7" w:rsidRPr="00950AB7">
        <w:rPr>
          <w:rFonts w:cs="Arial"/>
          <w:b/>
          <w:sz w:val="22"/>
          <w:szCs w:val="22"/>
        </w:rPr>
        <w:t>Rakousko</w:t>
      </w:r>
      <w:r w:rsidR="00804906" w:rsidRPr="00950AB7">
        <w:rPr>
          <w:rFonts w:cs="Arial"/>
          <w:sz w:val="22"/>
          <w:szCs w:val="22"/>
        </w:rPr>
        <w:t xml:space="preserve"> (</w:t>
      </w:r>
      <w:r w:rsidR="00950AB7" w:rsidRPr="00950AB7">
        <w:rPr>
          <w:rFonts w:cs="Arial"/>
          <w:sz w:val="22"/>
          <w:szCs w:val="22"/>
        </w:rPr>
        <w:t>6,0</w:t>
      </w:r>
      <w:r w:rsidR="00804906" w:rsidRPr="00950AB7">
        <w:rPr>
          <w:rFonts w:cs="Arial"/>
          <w:sz w:val="22"/>
          <w:szCs w:val="22"/>
        </w:rPr>
        <w:t xml:space="preserve"> %), </w:t>
      </w:r>
      <w:r w:rsidR="00950AB7" w:rsidRPr="00950AB7">
        <w:rPr>
          <w:rFonts w:cs="Arial"/>
          <w:b/>
          <w:sz w:val="22"/>
          <w:szCs w:val="22"/>
        </w:rPr>
        <w:t>Itálie</w:t>
      </w:r>
      <w:r w:rsidR="00804906" w:rsidRPr="00950AB7">
        <w:rPr>
          <w:rFonts w:cs="Arial"/>
          <w:sz w:val="22"/>
          <w:szCs w:val="22"/>
        </w:rPr>
        <w:t xml:space="preserve"> (</w:t>
      </w:r>
      <w:r w:rsidR="00950AB7" w:rsidRPr="00950AB7">
        <w:rPr>
          <w:rFonts w:cs="Arial"/>
          <w:sz w:val="22"/>
          <w:szCs w:val="22"/>
        </w:rPr>
        <w:t>5,9</w:t>
      </w:r>
      <w:r w:rsidR="00F129E9" w:rsidRPr="00950AB7">
        <w:rPr>
          <w:rFonts w:cs="Arial"/>
          <w:sz w:val="22"/>
          <w:szCs w:val="22"/>
        </w:rPr>
        <w:t xml:space="preserve"> %) a </w:t>
      </w:r>
      <w:r w:rsidR="00804906" w:rsidRPr="00950AB7">
        <w:rPr>
          <w:rFonts w:cs="Arial"/>
          <w:b/>
          <w:sz w:val="22"/>
          <w:szCs w:val="22"/>
        </w:rPr>
        <w:t>Maďarsk</w:t>
      </w:r>
      <w:r w:rsidR="006110A2" w:rsidRPr="00950AB7">
        <w:rPr>
          <w:rFonts w:cs="Arial"/>
          <w:b/>
          <w:sz w:val="22"/>
          <w:szCs w:val="22"/>
        </w:rPr>
        <w:t>o</w:t>
      </w:r>
      <w:r w:rsidR="00C266E2" w:rsidRPr="00950AB7">
        <w:rPr>
          <w:rFonts w:cs="Arial"/>
          <w:sz w:val="22"/>
          <w:szCs w:val="22"/>
        </w:rPr>
        <w:t xml:space="preserve"> (</w:t>
      </w:r>
      <w:r w:rsidR="00950AB7" w:rsidRPr="00950AB7">
        <w:rPr>
          <w:rFonts w:cs="Arial"/>
          <w:sz w:val="22"/>
          <w:szCs w:val="22"/>
        </w:rPr>
        <w:t>5,2</w:t>
      </w:r>
      <w:r w:rsidR="00C266E2" w:rsidRPr="00950AB7">
        <w:rPr>
          <w:rFonts w:cs="Arial"/>
          <w:sz w:val="22"/>
          <w:szCs w:val="22"/>
        </w:rPr>
        <w:t xml:space="preserve"> %). </w:t>
      </w:r>
      <w:r w:rsidR="006110A2" w:rsidRPr="00950AB7">
        <w:rPr>
          <w:rFonts w:cs="Arial"/>
          <w:sz w:val="22"/>
          <w:szCs w:val="22"/>
        </w:rPr>
        <w:t>Hlavním odběratelem</w:t>
      </w:r>
      <w:r w:rsidR="00950AB7" w:rsidRPr="00950AB7">
        <w:rPr>
          <w:rFonts w:cs="Arial"/>
          <w:sz w:val="22"/>
          <w:szCs w:val="22"/>
        </w:rPr>
        <w:t xml:space="preserve"> v rámci třetích zemí</w:t>
      </w:r>
      <w:r w:rsidR="006110A2" w:rsidRPr="00950AB7">
        <w:rPr>
          <w:rFonts w:cs="Arial"/>
          <w:sz w:val="22"/>
          <w:szCs w:val="22"/>
        </w:rPr>
        <w:t xml:space="preserve"> </w:t>
      </w:r>
      <w:r w:rsidR="00950AB7" w:rsidRPr="00950AB7">
        <w:rPr>
          <w:rFonts w:cs="Arial"/>
          <w:sz w:val="22"/>
          <w:szCs w:val="22"/>
        </w:rPr>
        <w:t>by</w:t>
      </w:r>
      <w:r w:rsidR="006110A2" w:rsidRPr="00950AB7">
        <w:rPr>
          <w:rFonts w:cs="Arial"/>
          <w:sz w:val="22"/>
          <w:szCs w:val="22"/>
        </w:rPr>
        <w:t>lo Rusko (1,</w:t>
      </w:r>
      <w:r w:rsidR="00950AB7" w:rsidRPr="00950AB7">
        <w:rPr>
          <w:rFonts w:cs="Arial"/>
          <w:sz w:val="22"/>
          <w:szCs w:val="22"/>
        </w:rPr>
        <w:t>6</w:t>
      </w:r>
      <w:r w:rsidR="00804906" w:rsidRPr="00950AB7">
        <w:rPr>
          <w:rFonts w:cs="Arial"/>
          <w:sz w:val="22"/>
          <w:szCs w:val="22"/>
        </w:rPr>
        <w:t xml:space="preserve"> %), </w:t>
      </w:r>
      <w:r w:rsidR="004D1940" w:rsidRPr="00950AB7">
        <w:rPr>
          <w:rFonts w:cs="Arial"/>
          <w:sz w:val="22"/>
          <w:szCs w:val="22"/>
        </w:rPr>
        <w:t>na dalších místech</w:t>
      </w:r>
      <w:r w:rsidR="006110A2" w:rsidRPr="00950AB7">
        <w:rPr>
          <w:rFonts w:cs="Arial"/>
          <w:sz w:val="22"/>
          <w:szCs w:val="22"/>
        </w:rPr>
        <w:t xml:space="preserve"> se </w:t>
      </w:r>
      <w:r w:rsidR="00950AB7" w:rsidRPr="00950AB7">
        <w:rPr>
          <w:rFonts w:cs="Arial"/>
          <w:sz w:val="22"/>
          <w:szCs w:val="22"/>
        </w:rPr>
        <w:t>ve</w:t>
      </w:r>
      <w:r w:rsidR="00976223" w:rsidRPr="00950AB7">
        <w:rPr>
          <w:rFonts w:cs="Arial"/>
          <w:sz w:val="22"/>
          <w:szCs w:val="22"/>
        </w:rPr>
        <w:t xml:space="preserve"> sledovaném čtvrtletí </w:t>
      </w:r>
      <w:r w:rsidR="006110A2" w:rsidRPr="00950AB7">
        <w:rPr>
          <w:rFonts w:cs="Arial"/>
          <w:sz w:val="22"/>
          <w:szCs w:val="22"/>
        </w:rPr>
        <w:t>umístil</w:t>
      </w:r>
      <w:r w:rsidR="00976223" w:rsidRPr="00950AB7">
        <w:rPr>
          <w:rFonts w:cs="Arial"/>
          <w:sz w:val="22"/>
          <w:szCs w:val="22"/>
        </w:rPr>
        <w:t>y</w:t>
      </w:r>
      <w:r w:rsidR="006110A2" w:rsidRPr="00950AB7">
        <w:rPr>
          <w:rFonts w:cs="Arial"/>
          <w:sz w:val="22"/>
          <w:szCs w:val="22"/>
        </w:rPr>
        <w:t xml:space="preserve"> Japonsko (</w:t>
      </w:r>
      <w:r w:rsidR="00950AB7" w:rsidRPr="00950AB7">
        <w:rPr>
          <w:rFonts w:cs="Arial"/>
          <w:sz w:val="22"/>
          <w:szCs w:val="22"/>
        </w:rPr>
        <w:t>1,3</w:t>
      </w:r>
      <w:r w:rsidR="006110A2" w:rsidRPr="00950AB7">
        <w:rPr>
          <w:rFonts w:cs="Arial"/>
          <w:sz w:val="22"/>
          <w:szCs w:val="22"/>
        </w:rPr>
        <w:t> %)</w:t>
      </w:r>
      <w:r w:rsidR="00950AB7" w:rsidRPr="00950AB7">
        <w:rPr>
          <w:rFonts w:cs="Arial"/>
          <w:sz w:val="22"/>
          <w:szCs w:val="22"/>
        </w:rPr>
        <w:t>, Čína (0,6 %), Turecko (0,</w:t>
      </w:r>
      <w:r w:rsidR="00950AB7" w:rsidRPr="00443639">
        <w:rPr>
          <w:rFonts w:cs="Arial"/>
          <w:sz w:val="22"/>
          <w:szCs w:val="22"/>
        </w:rPr>
        <w:t>4</w:t>
      </w:r>
      <w:r w:rsidR="00C038C1" w:rsidRPr="00443639">
        <w:rPr>
          <w:rFonts w:cs="Arial"/>
          <w:sz w:val="22"/>
          <w:szCs w:val="22"/>
        </w:rPr>
        <w:t> %</w:t>
      </w:r>
      <w:r w:rsidR="00950AB7" w:rsidRPr="00950AB7">
        <w:rPr>
          <w:rFonts w:cs="Arial"/>
          <w:sz w:val="22"/>
          <w:szCs w:val="22"/>
        </w:rPr>
        <w:t>)</w:t>
      </w:r>
      <w:r w:rsidR="006110A2" w:rsidRPr="00950AB7">
        <w:rPr>
          <w:rFonts w:cs="Arial"/>
          <w:sz w:val="22"/>
          <w:szCs w:val="22"/>
        </w:rPr>
        <w:t xml:space="preserve"> a Švýcarsko (0,</w:t>
      </w:r>
      <w:r w:rsidR="00950AB7" w:rsidRPr="00950AB7">
        <w:rPr>
          <w:rFonts w:cs="Arial"/>
          <w:sz w:val="22"/>
          <w:szCs w:val="22"/>
        </w:rPr>
        <w:t>4</w:t>
      </w:r>
      <w:r w:rsidR="00C038C1">
        <w:rPr>
          <w:rFonts w:cs="Arial"/>
          <w:sz w:val="22"/>
          <w:szCs w:val="22"/>
        </w:rPr>
        <w:t> </w:t>
      </w:r>
      <w:r w:rsidR="006110A2" w:rsidRPr="00950AB7">
        <w:rPr>
          <w:rFonts w:cs="Arial"/>
          <w:sz w:val="22"/>
          <w:szCs w:val="22"/>
        </w:rPr>
        <w:t>%).</w:t>
      </w:r>
    </w:p>
    <w:p w:rsidR="006C59DA" w:rsidRPr="0080580C" w:rsidRDefault="004C25D0" w:rsidP="00BD3E86">
      <w:pPr>
        <w:spacing w:line="276" w:lineRule="auto"/>
        <w:rPr>
          <w:rFonts w:cs="Arial"/>
          <w:sz w:val="22"/>
          <w:szCs w:val="22"/>
        </w:rPr>
      </w:pPr>
      <w:r w:rsidRPr="002137F0">
        <w:rPr>
          <w:rFonts w:cs="Arial"/>
          <w:sz w:val="22"/>
          <w:szCs w:val="22"/>
        </w:rPr>
        <w:t>Český a</w:t>
      </w:r>
      <w:r w:rsidR="00C266E2" w:rsidRPr="002137F0">
        <w:rPr>
          <w:rFonts w:cs="Arial"/>
          <w:sz w:val="22"/>
          <w:szCs w:val="22"/>
        </w:rPr>
        <w:t xml:space="preserve">grární </w:t>
      </w:r>
      <w:r w:rsidR="006110A2" w:rsidRPr="002137F0">
        <w:rPr>
          <w:rFonts w:cs="Arial"/>
          <w:b/>
          <w:sz w:val="22"/>
          <w:szCs w:val="22"/>
        </w:rPr>
        <w:t>dovoz</w:t>
      </w:r>
      <w:r w:rsidR="00C266E2" w:rsidRPr="002137F0">
        <w:rPr>
          <w:rFonts w:cs="Arial"/>
          <w:sz w:val="22"/>
          <w:szCs w:val="22"/>
        </w:rPr>
        <w:t xml:space="preserve"> </w:t>
      </w:r>
      <w:r w:rsidR="006110A2" w:rsidRPr="002137F0">
        <w:rPr>
          <w:rFonts w:cs="Arial"/>
          <w:sz w:val="22"/>
          <w:szCs w:val="22"/>
        </w:rPr>
        <w:t>pocház</w:t>
      </w:r>
      <w:r w:rsidR="002137F0" w:rsidRPr="002137F0">
        <w:rPr>
          <w:rFonts w:cs="Arial"/>
          <w:sz w:val="22"/>
          <w:szCs w:val="22"/>
        </w:rPr>
        <w:t>el</w:t>
      </w:r>
      <w:r w:rsidR="00976223" w:rsidRPr="002137F0">
        <w:rPr>
          <w:rFonts w:cs="Arial"/>
          <w:sz w:val="22"/>
          <w:szCs w:val="22"/>
        </w:rPr>
        <w:t xml:space="preserve"> </w:t>
      </w:r>
      <w:r w:rsidR="002137F0" w:rsidRPr="002137F0">
        <w:rPr>
          <w:rFonts w:cs="Arial"/>
          <w:sz w:val="22"/>
          <w:szCs w:val="22"/>
        </w:rPr>
        <w:t>v</w:t>
      </w:r>
      <w:r w:rsidR="00976223" w:rsidRPr="002137F0">
        <w:rPr>
          <w:rFonts w:cs="Arial"/>
          <w:sz w:val="22"/>
          <w:szCs w:val="22"/>
        </w:rPr>
        <w:t> 1. čtvrtletí roku 201</w:t>
      </w:r>
      <w:r w:rsidR="002137F0" w:rsidRPr="002137F0">
        <w:rPr>
          <w:rFonts w:cs="Arial"/>
          <w:sz w:val="22"/>
          <w:szCs w:val="22"/>
        </w:rPr>
        <w:t>8 zejména z </w:t>
      </w:r>
      <w:r w:rsidR="002137F0" w:rsidRPr="002137F0">
        <w:rPr>
          <w:rFonts w:cs="Arial"/>
          <w:b/>
          <w:sz w:val="22"/>
          <w:szCs w:val="22"/>
        </w:rPr>
        <w:t>Německa</w:t>
      </w:r>
      <w:r w:rsidR="002137F0" w:rsidRPr="002137F0">
        <w:rPr>
          <w:rFonts w:cs="Arial"/>
          <w:sz w:val="22"/>
          <w:szCs w:val="22"/>
        </w:rPr>
        <w:t xml:space="preserve"> a</w:t>
      </w:r>
      <w:r w:rsidR="00C038C1">
        <w:rPr>
          <w:rFonts w:cs="Arial"/>
          <w:sz w:val="22"/>
          <w:szCs w:val="22"/>
        </w:rPr>
        <w:t> </w:t>
      </w:r>
      <w:r w:rsidR="002137F0" w:rsidRPr="002137F0">
        <w:rPr>
          <w:rFonts w:cs="Arial"/>
          <w:b/>
          <w:sz w:val="22"/>
          <w:szCs w:val="22"/>
        </w:rPr>
        <w:t>Polska</w:t>
      </w:r>
      <w:r w:rsidR="002137F0" w:rsidRPr="002137F0">
        <w:rPr>
          <w:rFonts w:cs="Arial"/>
          <w:sz w:val="22"/>
          <w:szCs w:val="22"/>
        </w:rPr>
        <w:t>,</w:t>
      </w:r>
      <w:r w:rsidR="00976223" w:rsidRPr="002137F0">
        <w:rPr>
          <w:rFonts w:cs="Arial"/>
          <w:sz w:val="22"/>
          <w:szCs w:val="22"/>
        </w:rPr>
        <w:t xml:space="preserve"> </w:t>
      </w:r>
      <w:r w:rsidR="003D05B5" w:rsidRPr="002137F0">
        <w:rPr>
          <w:rFonts w:cs="Arial"/>
          <w:sz w:val="22"/>
          <w:szCs w:val="22"/>
        </w:rPr>
        <w:t xml:space="preserve">jejich </w:t>
      </w:r>
      <w:r w:rsidR="00976223" w:rsidRPr="002137F0">
        <w:rPr>
          <w:rFonts w:cs="Arial"/>
          <w:sz w:val="22"/>
          <w:szCs w:val="22"/>
        </w:rPr>
        <w:t>podíly</w:t>
      </w:r>
      <w:r w:rsidR="002137F0" w:rsidRPr="002137F0">
        <w:rPr>
          <w:rFonts w:cs="Arial"/>
          <w:sz w:val="22"/>
          <w:szCs w:val="22"/>
        </w:rPr>
        <w:t xml:space="preserve"> činily</w:t>
      </w:r>
      <w:r w:rsidR="00976223" w:rsidRPr="002137F0">
        <w:rPr>
          <w:rFonts w:cs="Arial"/>
          <w:sz w:val="22"/>
          <w:szCs w:val="22"/>
        </w:rPr>
        <w:t xml:space="preserve"> 21,</w:t>
      </w:r>
      <w:r w:rsidR="002137F0" w:rsidRPr="002137F0">
        <w:rPr>
          <w:rFonts w:cs="Arial"/>
          <w:sz w:val="22"/>
          <w:szCs w:val="22"/>
        </w:rPr>
        <w:t>9</w:t>
      </w:r>
      <w:r w:rsidR="00C038C1">
        <w:rPr>
          <w:rFonts w:cs="Arial"/>
          <w:sz w:val="22"/>
          <w:szCs w:val="22"/>
        </w:rPr>
        <w:t> </w:t>
      </w:r>
      <w:r w:rsidR="00976223" w:rsidRPr="002137F0">
        <w:rPr>
          <w:rFonts w:cs="Arial"/>
          <w:sz w:val="22"/>
          <w:szCs w:val="22"/>
        </w:rPr>
        <w:t>% a</w:t>
      </w:r>
      <w:r w:rsidR="00C038C1">
        <w:rPr>
          <w:rFonts w:cs="Arial"/>
          <w:sz w:val="22"/>
          <w:szCs w:val="22"/>
        </w:rPr>
        <w:t> </w:t>
      </w:r>
      <w:r w:rsidR="00804906" w:rsidRPr="002137F0">
        <w:rPr>
          <w:rFonts w:cs="Arial"/>
          <w:sz w:val="22"/>
          <w:szCs w:val="22"/>
        </w:rPr>
        <w:t>1</w:t>
      </w:r>
      <w:r w:rsidR="002137F0" w:rsidRPr="002137F0">
        <w:rPr>
          <w:rFonts w:cs="Arial"/>
          <w:sz w:val="22"/>
          <w:szCs w:val="22"/>
        </w:rPr>
        <w:t>6,4</w:t>
      </w:r>
      <w:r w:rsidR="00804906" w:rsidRPr="002137F0">
        <w:rPr>
          <w:rFonts w:cs="Arial"/>
          <w:sz w:val="22"/>
          <w:szCs w:val="22"/>
        </w:rPr>
        <w:t> %</w:t>
      </w:r>
      <w:r w:rsidR="002137F0">
        <w:rPr>
          <w:rFonts w:cs="Arial"/>
          <w:sz w:val="22"/>
          <w:szCs w:val="22"/>
        </w:rPr>
        <w:t>.</w:t>
      </w:r>
      <w:r w:rsidR="003D05B5" w:rsidRPr="002137F0">
        <w:rPr>
          <w:rFonts w:cs="Arial"/>
          <w:sz w:val="22"/>
          <w:szCs w:val="22"/>
        </w:rPr>
        <w:t xml:space="preserve"> </w:t>
      </w:r>
      <w:r w:rsidR="002137F0">
        <w:rPr>
          <w:rFonts w:cs="Arial"/>
          <w:sz w:val="22"/>
          <w:szCs w:val="22"/>
        </w:rPr>
        <w:t>V</w:t>
      </w:r>
      <w:r w:rsidR="002137F0" w:rsidRPr="002137F0">
        <w:rPr>
          <w:rFonts w:cs="Arial"/>
          <w:sz w:val="22"/>
          <w:szCs w:val="22"/>
        </w:rPr>
        <w:t xml:space="preserve"> porovnání s 1.</w:t>
      </w:r>
      <w:r w:rsidR="00C038C1">
        <w:rPr>
          <w:rFonts w:cs="Arial"/>
          <w:sz w:val="22"/>
          <w:szCs w:val="22"/>
        </w:rPr>
        <w:t> </w:t>
      </w:r>
      <w:r w:rsidR="002137F0" w:rsidRPr="002137F0">
        <w:rPr>
          <w:rFonts w:cs="Arial"/>
          <w:sz w:val="22"/>
          <w:szCs w:val="22"/>
        </w:rPr>
        <w:t xml:space="preserve">čtvrtletím roku 2017 podíl Německa lehce poklesl </w:t>
      </w:r>
      <w:r w:rsidR="002137F0">
        <w:rPr>
          <w:rFonts w:cs="Arial"/>
          <w:sz w:val="22"/>
          <w:szCs w:val="22"/>
        </w:rPr>
        <w:t>(</w:t>
      </w:r>
      <w:r w:rsidR="002137F0" w:rsidRPr="002137F0">
        <w:rPr>
          <w:rFonts w:cs="Arial"/>
          <w:sz w:val="22"/>
          <w:szCs w:val="22"/>
        </w:rPr>
        <w:t>o 0,2 p.</w:t>
      </w:r>
      <w:r w:rsidR="00C038C1">
        <w:rPr>
          <w:rFonts w:cs="Arial"/>
          <w:sz w:val="22"/>
          <w:szCs w:val="22"/>
        </w:rPr>
        <w:t> b.) a </w:t>
      </w:r>
      <w:r w:rsidR="002137F0" w:rsidRPr="002137F0">
        <w:rPr>
          <w:rFonts w:cs="Arial"/>
          <w:sz w:val="22"/>
          <w:szCs w:val="22"/>
        </w:rPr>
        <w:t xml:space="preserve">Polska </w:t>
      </w:r>
      <w:r w:rsidR="00D676CF">
        <w:rPr>
          <w:rFonts w:cs="Arial"/>
          <w:sz w:val="22"/>
          <w:szCs w:val="22"/>
        </w:rPr>
        <w:t xml:space="preserve">se </w:t>
      </w:r>
      <w:r w:rsidR="002137F0" w:rsidRPr="002137F0">
        <w:rPr>
          <w:rFonts w:cs="Arial"/>
          <w:sz w:val="22"/>
          <w:szCs w:val="22"/>
        </w:rPr>
        <w:t xml:space="preserve">naopak lehce navýšil </w:t>
      </w:r>
      <w:r w:rsidR="002137F0">
        <w:rPr>
          <w:rFonts w:cs="Arial"/>
          <w:sz w:val="22"/>
          <w:szCs w:val="22"/>
        </w:rPr>
        <w:t>(</w:t>
      </w:r>
      <w:r w:rsidR="002137F0" w:rsidRPr="002137F0">
        <w:rPr>
          <w:rFonts w:cs="Arial"/>
          <w:sz w:val="22"/>
          <w:szCs w:val="22"/>
        </w:rPr>
        <w:t>o 0,7 p. b</w:t>
      </w:r>
      <w:r w:rsidR="002137F0" w:rsidRPr="0080580C">
        <w:rPr>
          <w:rFonts w:cs="Arial"/>
          <w:sz w:val="22"/>
          <w:szCs w:val="22"/>
        </w:rPr>
        <w:t>.)</w:t>
      </w:r>
      <w:r w:rsidR="003D05B5" w:rsidRPr="0080580C">
        <w:rPr>
          <w:rFonts w:cs="Arial"/>
          <w:sz w:val="22"/>
          <w:szCs w:val="22"/>
        </w:rPr>
        <w:t>. Dalšími významnými dodavateli agrárních výrobků do ČR byly</w:t>
      </w:r>
      <w:r w:rsidRPr="0080580C">
        <w:rPr>
          <w:rFonts w:cs="Arial"/>
          <w:sz w:val="22"/>
          <w:szCs w:val="22"/>
        </w:rPr>
        <w:t xml:space="preserve"> </w:t>
      </w:r>
      <w:r w:rsidR="002137F0" w:rsidRPr="0080580C">
        <w:rPr>
          <w:rFonts w:cs="Arial"/>
          <w:b/>
          <w:sz w:val="22"/>
          <w:szCs w:val="22"/>
        </w:rPr>
        <w:t>Nizozemsko</w:t>
      </w:r>
      <w:r w:rsidRPr="0080580C">
        <w:rPr>
          <w:rFonts w:cs="Arial"/>
          <w:sz w:val="22"/>
          <w:szCs w:val="22"/>
        </w:rPr>
        <w:t xml:space="preserve"> (</w:t>
      </w:r>
      <w:r w:rsidR="002137F0" w:rsidRPr="0080580C">
        <w:rPr>
          <w:rFonts w:cs="Arial"/>
          <w:sz w:val="22"/>
          <w:szCs w:val="22"/>
        </w:rPr>
        <w:t>6,8</w:t>
      </w:r>
      <w:r w:rsidRPr="0080580C">
        <w:rPr>
          <w:rFonts w:cs="Arial"/>
          <w:sz w:val="22"/>
          <w:szCs w:val="22"/>
        </w:rPr>
        <w:t xml:space="preserve"> %),</w:t>
      </w:r>
      <w:r w:rsidR="00804906" w:rsidRPr="0080580C">
        <w:rPr>
          <w:rFonts w:cs="Arial"/>
          <w:sz w:val="22"/>
          <w:szCs w:val="22"/>
        </w:rPr>
        <w:t xml:space="preserve"> </w:t>
      </w:r>
      <w:r w:rsidR="002137F0" w:rsidRPr="0080580C">
        <w:rPr>
          <w:rFonts w:cs="Arial"/>
          <w:b/>
          <w:sz w:val="22"/>
          <w:szCs w:val="22"/>
        </w:rPr>
        <w:t>Španělsko</w:t>
      </w:r>
      <w:r w:rsidRPr="0080580C">
        <w:rPr>
          <w:rFonts w:cs="Arial"/>
          <w:sz w:val="22"/>
          <w:szCs w:val="22"/>
        </w:rPr>
        <w:t xml:space="preserve"> (</w:t>
      </w:r>
      <w:r w:rsidR="002137F0" w:rsidRPr="0080580C">
        <w:rPr>
          <w:rFonts w:cs="Arial"/>
          <w:sz w:val="22"/>
          <w:szCs w:val="22"/>
        </w:rPr>
        <w:t>6,4</w:t>
      </w:r>
      <w:r w:rsidR="00C038C1">
        <w:rPr>
          <w:rFonts w:cs="Arial"/>
          <w:sz w:val="22"/>
          <w:szCs w:val="22"/>
        </w:rPr>
        <w:t> </w:t>
      </w:r>
      <w:r w:rsidR="00804906" w:rsidRPr="0080580C">
        <w:rPr>
          <w:rFonts w:cs="Arial"/>
          <w:sz w:val="22"/>
          <w:szCs w:val="22"/>
        </w:rPr>
        <w:t>%)</w:t>
      </w:r>
      <w:r w:rsidRPr="0080580C">
        <w:rPr>
          <w:rFonts w:cs="Arial"/>
          <w:sz w:val="22"/>
          <w:szCs w:val="22"/>
        </w:rPr>
        <w:t xml:space="preserve">, </w:t>
      </w:r>
      <w:r w:rsidR="0080580C" w:rsidRPr="0080580C">
        <w:rPr>
          <w:rFonts w:cs="Arial"/>
          <w:b/>
          <w:sz w:val="22"/>
          <w:szCs w:val="22"/>
        </w:rPr>
        <w:t>Sloven</w:t>
      </w:r>
      <w:r w:rsidRPr="0080580C">
        <w:rPr>
          <w:rFonts w:cs="Arial"/>
          <w:b/>
          <w:sz w:val="22"/>
          <w:szCs w:val="22"/>
        </w:rPr>
        <w:t>sk</w:t>
      </w:r>
      <w:r w:rsidR="003D05B5" w:rsidRPr="0080580C">
        <w:rPr>
          <w:rFonts w:cs="Arial"/>
          <w:b/>
          <w:sz w:val="22"/>
          <w:szCs w:val="22"/>
        </w:rPr>
        <w:t>o</w:t>
      </w:r>
      <w:r w:rsidRPr="0080580C">
        <w:rPr>
          <w:rFonts w:cs="Arial"/>
          <w:sz w:val="22"/>
          <w:szCs w:val="22"/>
        </w:rPr>
        <w:t xml:space="preserve"> (6,</w:t>
      </w:r>
      <w:r w:rsidR="0080580C" w:rsidRPr="0080580C">
        <w:rPr>
          <w:rFonts w:cs="Arial"/>
          <w:sz w:val="22"/>
          <w:szCs w:val="22"/>
        </w:rPr>
        <w:t>0</w:t>
      </w:r>
      <w:r w:rsidR="00C038C1">
        <w:rPr>
          <w:rFonts w:cs="Arial"/>
          <w:sz w:val="22"/>
          <w:szCs w:val="22"/>
        </w:rPr>
        <w:t> </w:t>
      </w:r>
      <w:r w:rsidRPr="0080580C">
        <w:rPr>
          <w:rFonts w:cs="Arial"/>
          <w:sz w:val="22"/>
          <w:szCs w:val="22"/>
        </w:rPr>
        <w:t xml:space="preserve">%) a </w:t>
      </w:r>
      <w:r w:rsidR="00804906" w:rsidRPr="0080580C">
        <w:rPr>
          <w:rFonts w:cs="Arial"/>
          <w:b/>
          <w:sz w:val="22"/>
          <w:szCs w:val="22"/>
        </w:rPr>
        <w:t>Itálie</w:t>
      </w:r>
      <w:r w:rsidR="00804906" w:rsidRPr="0080580C">
        <w:rPr>
          <w:rFonts w:cs="Arial"/>
          <w:sz w:val="22"/>
          <w:szCs w:val="22"/>
        </w:rPr>
        <w:t xml:space="preserve"> (5,</w:t>
      </w:r>
      <w:r w:rsidR="0080580C" w:rsidRPr="0080580C">
        <w:rPr>
          <w:rFonts w:cs="Arial"/>
          <w:sz w:val="22"/>
          <w:szCs w:val="22"/>
        </w:rPr>
        <w:t>2</w:t>
      </w:r>
      <w:r w:rsidR="00C038C1">
        <w:rPr>
          <w:rFonts w:cs="Arial"/>
          <w:sz w:val="22"/>
          <w:szCs w:val="22"/>
        </w:rPr>
        <w:t> </w:t>
      </w:r>
      <w:r w:rsidR="00804906" w:rsidRPr="0080580C">
        <w:rPr>
          <w:rFonts w:cs="Arial"/>
          <w:sz w:val="22"/>
          <w:szCs w:val="22"/>
        </w:rPr>
        <w:t>%)</w:t>
      </w:r>
      <w:r w:rsidR="003D05B5" w:rsidRPr="0080580C">
        <w:rPr>
          <w:rFonts w:cs="Arial"/>
          <w:sz w:val="22"/>
          <w:szCs w:val="22"/>
        </w:rPr>
        <w:t xml:space="preserve">; jejich pořadí je </w:t>
      </w:r>
      <w:proofErr w:type="spellStart"/>
      <w:r w:rsidR="003D05B5" w:rsidRPr="0080580C">
        <w:rPr>
          <w:rFonts w:cs="Arial"/>
          <w:sz w:val="22"/>
          <w:szCs w:val="22"/>
        </w:rPr>
        <w:t>mezičtvrtletně</w:t>
      </w:r>
      <w:proofErr w:type="spellEnd"/>
      <w:r w:rsidR="003D05B5" w:rsidRPr="0080580C">
        <w:rPr>
          <w:rFonts w:cs="Arial"/>
          <w:sz w:val="22"/>
          <w:szCs w:val="22"/>
        </w:rPr>
        <w:t xml:space="preserve"> mírně proměnlivé.</w:t>
      </w:r>
      <w:r w:rsidR="00804906" w:rsidRPr="0080580C">
        <w:rPr>
          <w:rFonts w:cs="Arial"/>
          <w:sz w:val="22"/>
          <w:szCs w:val="22"/>
        </w:rPr>
        <w:t xml:space="preserve"> </w:t>
      </w:r>
      <w:r w:rsidR="00B372EA">
        <w:rPr>
          <w:rFonts w:cs="Arial"/>
          <w:sz w:val="22"/>
          <w:szCs w:val="22"/>
        </w:rPr>
        <w:t>V 1. </w:t>
      </w:r>
      <w:r w:rsidR="0080580C" w:rsidRPr="0080580C">
        <w:rPr>
          <w:rFonts w:cs="Arial"/>
          <w:sz w:val="22"/>
          <w:szCs w:val="22"/>
        </w:rPr>
        <w:t xml:space="preserve">čtvrtletí roku 2017 byl podíl Slovenska vyšší o 1 </w:t>
      </w:r>
      <w:proofErr w:type="gramStart"/>
      <w:r w:rsidR="0080580C" w:rsidRPr="0080580C">
        <w:rPr>
          <w:rFonts w:cs="Arial"/>
          <w:sz w:val="22"/>
          <w:szCs w:val="22"/>
        </w:rPr>
        <w:t>p.</w:t>
      </w:r>
      <w:r w:rsidR="00C038C1">
        <w:rPr>
          <w:rFonts w:cs="Arial"/>
          <w:sz w:val="22"/>
          <w:szCs w:val="22"/>
        </w:rPr>
        <w:t> </w:t>
      </w:r>
      <w:r w:rsidR="0080580C" w:rsidRPr="0080580C">
        <w:rPr>
          <w:rFonts w:cs="Arial"/>
          <w:sz w:val="22"/>
          <w:szCs w:val="22"/>
        </w:rPr>
        <w:t>b. a</w:t>
      </w:r>
      <w:r w:rsidR="00C038C1">
        <w:rPr>
          <w:rFonts w:cs="Arial"/>
          <w:sz w:val="22"/>
          <w:szCs w:val="22"/>
        </w:rPr>
        <w:t> </w:t>
      </w:r>
      <w:r w:rsidR="0080580C" w:rsidRPr="0080580C">
        <w:rPr>
          <w:rFonts w:cs="Arial"/>
          <w:sz w:val="22"/>
          <w:szCs w:val="22"/>
        </w:rPr>
        <w:t>bylo</w:t>
      </w:r>
      <w:proofErr w:type="gramEnd"/>
      <w:r w:rsidR="0080580C" w:rsidRPr="0080580C">
        <w:rPr>
          <w:rFonts w:cs="Arial"/>
          <w:sz w:val="22"/>
          <w:szCs w:val="22"/>
        </w:rPr>
        <w:t xml:space="preserve"> tak před Nizozemskem. </w:t>
      </w:r>
      <w:r w:rsidR="00804906" w:rsidRPr="0080580C">
        <w:rPr>
          <w:rFonts w:cs="Arial"/>
          <w:sz w:val="22"/>
          <w:szCs w:val="22"/>
        </w:rPr>
        <w:t>Z </w:t>
      </w:r>
      <w:r w:rsidR="00950AB7">
        <w:rPr>
          <w:rFonts w:cs="Arial"/>
          <w:sz w:val="22"/>
          <w:szCs w:val="22"/>
        </w:rPr>
        <w:t>třetích</w:t>
      </w:r>
      <w:r w:rsidR="00804906" w:rsidRPr="0080580C">
        <w:rPr>
          <w:rFonts w:cs="Arial"/>
          <w:sz w:val="22"/>
          <w:szCs w:val="22"/>
        </w:rPr>
        <w:t xml:space="preserve"> zemí </w:t>
      </w:r>
      <w:r w:rsidRPr="0080580C">
        <w:rPr>
          <w:rFonts w:cs="Arial"/>
          <w:sz w:val="22"/>
          <w:szCs w:val="22"/>
        </w:rPr>
        <w:t>byly</w:t>
      </w:r>
      <w:r w:rsidR="00804906" w:rsidRPr="0080580C">
        <w:rPr>
          <w:rFonts w:cs="Arial"/>
          <w:sz w:val="22"/>
          <w:szCs w:val="22"/>
        </w:rPr>
        <w:t xml:space="preserve"> hlavním</w:t>
      </w:r>
      <w:r w:rsidR="00AB3A69" w:rsidRPr="0080580C">
        <w:rPr>
          <w:rFonts w:cs="Arial"/>
          <w:sz w:val="22"/>
          <w:szCs w:val="22"/>
        </w:rPr>
        <w:t xml:space="preserve">i dodavateli </w:t>
      </w:r>
      <w:r w:rsidR="00804906" w:rsidRPr="0080580C">
        <w:rPr>
          <w:rFonts w:cs="Arial"/>
          <w:sz w:val="22"/>
          <w:szCs w:val="22"/>
        </w:rPr>
        <w:t xml:space="preserve">Čína </w:t>
      </w:r>
      <w:r w:rsidR="00AB3A69" w:rsidRPr="0080580C">
        <w:rPr>
          <w:rFonts w:cs="Arial"/>
          <w:sz w:val="22"/>
          <w:szCs w:val="22"/>
        </w:rPr>
        <w:t>(</w:t>
      </w:r>
      <w:r w:rsidRPr="0080580C">
        <w:rPr>
          <w:rFonts w:cs="Arial"/>
          <w:sz w:val="22"/>
          <w:szCs w:val="22"/>
        </w:rPr>
        <w:t>1,</w:t>
      </w:r>
      <w:r w:rsidR="0080580C" w:rsidRPr="0080580C">
        <w:rPr>
          <w:rFonts w:cs="Arial"/>
          <w:sz w:val="22"/>
          <w:szCs w:val="22"/>
        </w:rPr>
        <w:t>3</w:t>
      </w:r>
      <w:r w:rsidR="00C038C1">
        <w:rPr>
          <w:rFonts w:cs="Arial"/>
          <w:sz w:val="22"/>
          <w:szCs w:val="22"/>
        </w:rPr>
        <w:t> </w:t>
      </w:r>
      <w:r w:rsidR="00804906" w:rsidRPr="0080580C">
        <w:rPr>
          <w:rFonts w:cs="Arial"/>
          <w:sz w:val="22"/>
          <w:szCs w:val="22"/>
        </w:rPr>
        <w:t xml:space="preserve">%), </w:t>
      </w:r>
      <w:r w:rsidRPr="0080580C">
        <w:rPr>
          <w:rFonts w:cs="Arial"/>
          <w:sz w:val="22"/>
          <w:szCs w:val="22"/>
        </w:rPr>
        <w:t>T</w:t>
      </w:r>
      <w:r w:rsidR="00804906" w:rsidRPr="0080580C">
        <w:rPr>
          <w:rFonts w:cs="Arial"/>
          <w:sz w:val="22"/>
          <w:szCs w:val="22"/>
        </w:rPr>
        <w:t xml:space="preserve">urecko </w:t>
      </w:r>
      <w:r w:rsidR="001B5DB6" w:rsidRPr="0080580C">
        <w:rPr>
          <w:rFonts w:cs="Arial"/>
          <w:sz w:val="22"/>
          <w:szCs w:val="22"/>
        </w:rPr>
        <w:t>(1,</w:t>
      </w:r>
      <w:r w:rsidRPr="0080580C">
        <w:rPr>
          <w:rFonts w:cs="Arial"/>
          <w:sz w:val="22"/>
          <w:szCs w:val="22"/>
        </w:rPr>
        <w:t>3</w:t>
      </w:r>
      <w:r w:rsidR="00C038C1">
        <w:rPr>
          <w:rFonts w:cs="Arial"/>
          <w:sz w:val="22"/>
          <w:szCs w:val="22"/>
        </w:rPr>
        <w:t> </w:t>
      </w:r>
      <w:r w:rsidR="001B5DB6" w:rsidRPr="0080580C">
        <w:rPr>
          <w:rFonts w:cs="Arial"/>
          <w:sz w:val="22"/>
          <w:szCs w:val="22"/>
        </w:rPr>
        <w:t>%)</w:t>
      </w:r>
      <w:r w:rsidR="0080580C" w:rsidRPr="0080580C">
        <w:rPr>
          <w:rFonts w:cs="Arial"/>
          <w:sz w:val="22"/>
          <w:szCs w:val="22"/>
        </w:rPr>
        <w:t xml:space="preserve"> a</w:t>
      </w:r>
      <w:r w:rsidR="00C038C1">
        <w:rPr>
          <w:rFonts w:cs="Arial"/>
          <w:sz w:val="22"/>
          <w:szCs w:val="22"/>
        </w:rPr>
        <w:t> </w:t>
      </w:r>
      <w:r w:rsidR="001B5DB6" w:rsidRPr="0080580C">
        <w:rPr>
          <w:rFonts w:cs="Arial"/>
          <w:sz w:val="22"/>
          <w:szCs w:val="22"/>
        </w:rPr>
        <w:t>Spojené státy (1,</w:t>
      </w:r>
      <w:r w:rsidR="0080580C" w:rsidRPr="0080580C">
        <w:rPr>
          <w:rFonts w:cs="Arial"/>
          <w:sz w:val="22"/>
          <w:szCs w:val="22"/>
        </w:rPr>
        <w:t>1</w:t>
      </w:r>
      <w:r w:rsidR="00C038C1">
        <w:rPr>
          <w:rFonts w:cs="Arial"/>
          <w:sz w:val="22"/>
          <w:szCs w:val="22"/>
        </w:rPr>
        <w:t> </w:t>
      </w:r>
      <w:r w:rsidR="001B5DB6" w:rsidRPr="0080580C">
        <w:rPr>
          <w:rFonts w:cs="Arial"/>
          <w:sz w:val="22"/>
          <w:szCs w:val="22"/>
        </w:rPr>
        <w:t>%)</w:t>
      </w:r>
      <w:r w:rsidRPr="0080580C">
        <w:rPr>
          <w:rFonts w:cs="Arial"/>
          <w:sz w:val="22"/>
          <w:szCs w:val="22"/>
        </w:rPr>
        <w:t xml:space="preserve">. </w:t>
      </w:r>
    </w:p>
    <w:p w:rsidR="00853800" w:rsidRPr="00853800" w:rsidRDefault="00180C7B" w:rsidP="00853800">
      <w:pPr>
        <w:spacing w:line="276" w:lineRule="auto"/>
        <w:rPr>
          <w:rFonts w:cs="Arial"/>
          <w:sz w:val="22"/>
          <w:szCs w:val="22"/>
        </w:rPr>
      </w:pPr>
      <w:r w:rsidRPr="00711975">
        <w:rPr>
          <w:rFonts w:cs="Arial"/>
          <w:sz w:val="22"/>
          <w:szCs w:val="22"/>
          <w:u w:val="single"/>
        </w:rPr>
        <w:t>K</w:t>
      </w:r>
      <w:r w:rsidR="00AB3A69" w:rsidRPr="00711975">
        <w:rPr>
          <w:rFonts w:cs="Arial"/>
          <w:sz w:val="22"/>
          <w:szCs w:val="22"/>
          <w:u w:val="single"/>
        </w:rPr>
        <w:t xml:space="preserve"> nejvýraznějšímu </w:t>
      </w:r>
      <w:r w:rsidRPr="00711975">
        <w:rPr>
          <w:rFonts w:cs="Arial"/>
          <w:sz w:val="22"/>
          <w:szCs w:val="22"/>
          <w:u w:val="single"/>
        </w:rPr>
        <w:t xml:space="preserve">meziročnímu </w:t>
      </w:r>
      <w:r w:rsidR="001D7DB4" w:rsidRPr="00711975">
        <w:rPr>
          <w:rFonts w:cs="Arial"/>
          <w:sz w:val="22"/>
          <w:szCs w:val="22"/>
          <w:u w:val="single"/>
        </w:rPr>
        <w:t>zlepšení</w:t>
      </w:r>
      <w:r w:rsidRPr="00711975">
        <w:rPr>
          <w:rFonts w:cs="Arial"/>
          <w:sz w:val="22"/>
          <w:szCs w:val="22"/>
          <w:u w:val="single"/>
        </w:rPr>
        <w:t xml:space="preserve"> bilance</w:t>
      </w:r>
      <w:r w:rsidR="001D7DB4" w:rsidRPr="00711975">
        <w:rPr>
          <w:rFonts w:cs="Arial"/>
          <w:sz w:val="22"/>
          <w:szCs w:val="22"/>
          <w:u w:val="single"/>
        </w:rPr>
        <w:t xml:space="preserve"> českého AZO</w:t>
      </w:r>
      <w:r w:rsidRPr="00711975">
        <w:rPr>
          <w:rFonts w:cs="Arial"/>
          <w:sz w:val="22"/>
          <w:szCs w:val="22"/>
          <w:u w:val="single"/>
        </w:rPr>
        <w:t xml:space="preserve"> v </w:t>
      </w:r>
      <w:r w:rsidRPr="00853800">
        <w:rPr>
          <w:rFonts w:cs="Arial"/>
          <w:b/>
          <w:sz w:val="22"/>
          <w:szCs w:val="22"/>
        </w:rPr>
        <w:t>teritoriálním pohledu</w:t>
      </w:r>
      <w:r w:rsidR="00D255AD" w:rsidRPr="00853800">
        <w:rPr>
          <w:rFonts w:cs="Arial"/>
          <w:sz w:val="22"/>
          <w:szCs w:val="22"/>
        </w:rPr>
        <w:t xml:space="preserve"> došlo </w:t>
      </w:r>
      <w:r w:rsidR="00AB3A69" w:rsidRPr="00853800">
        <w:rPr>
          <w:rFonts w:cs="Arial"/>
          <w:sz w:val="22"/>
          <w:szCs w:val="22"/>
        </w:rPr>
        <w:t>v</w:t>
      </w:r>
      <w:r w:rsidR="004C25D0" w:rsidRPr="00853800">
        <w:rPr>
          <w:rFonts w:cs="Arial"/>
          <w:sz w:val="22"/>
          <w:szCs w:val="22"/>
        </w:rPr>
        <w:t> 1.</w:t>
      </w:r>
      <w:r w:rsidR="00976223" w:rsidRPr="00853800">
        <w:rPr>
          <w:rFonts w:cs="Arial"/>
          <w:sz w:val="22"/>
          <w:szCs w:val="22"/>
        </w:rPr>
        <w:t> </w:t>
      </w:r>
      <w:r w:rsidR="004C25D0" w:rsidRPr="00853800">
        <w:rPr>
          <w:rFonts w:cs="Arial"/>
          <w:sz w:val="22"/>
          <w:szCs w:val="22"/>
        </w:rPr>
        <w:t>čtvrtletí roku 201</w:t>
      </w:r>
      <w:r w:rsidR="00853800" w:rsidRPr="00853800">
        <w:rPr>
          <w:rFonts w:cs="Arial"/>
          <w:sz w:val="22"/>
          <w:szCs w:val="22"/>
        </w:rPr>
        <w:t>8</w:t>
      </w:r>
      <w:r w:rsidR="004C25D0" w:rsidRPr="00853800">
        <w:rPr>
          <w:rFonts w:cs="Arial"/>
          <w:sz w:val="22"/>
          <w:szCs w:val="22"/>
        </w:rPr>
        <w:t xml:space="preserve"> </w:t>
      </w:r>
      <w:r w:rsidR="00D255AD" w:rsidRPr="00853800">
        <w:rPr>
          <w:rFonts w:cs="Arial"/>
          <w:sz w:val="22"/>
          <w:szCs w:val="22"/>
        </w:rPr>
        <w:t xml:space="preserve">v obchodě </w:t>
      </w:r>
      <w:r w:rsidR="00C038C1">
        <w:rPr>
          <w:rFonts w:cs="Arial"/>
          <w:sz w:val="22"/>
          <w:szCs w:val="22"/>
        </w:rPr>
        <w:t>s </w:t>
      </w:r>
      <w:r w:rsidR="00853800" w:rsidRPr="00853800">
        <w:rPr>
          <w:rFonts w:cs="Arial"/>
          <w:sz w:val="22"/>
          <w:szCs w:val="22"/>
        </w:rPr>
        <w:t>Řec</w:t>
      </w:r>
      <w:r w:rsidR="001D7DB4" w:rsidRPr="00853800">
        <w:rPr>
          <w:rFonts w:cs="Arial"/>
          <w:sz w:val="22"/>
          <w:szCs w:val="22"/>
        </w:rPr>
        <w:t>kem (o</w:t>
      </w:r>
      <w:r w:rsidR="00C038C1">
        <w:rPr>
          <w:rFonts w:cs="Arial"/>
          <w:sz w:val="22"/>
          <w:szCs w:val="22"/>
        </w:rPr>
        <w:t> </w:t>
      </w:r>
      <w:r w:rsidR="00853800" w:rsidRPr="00853800">
        <w:rPr>
          <w:rFonts w:cs="Arial"/>
          <w:sz w:val="22"/>
          <w:szCs w:val="22"/>
        </w:rPr>
        <w:t>220,9</w:t>
      </w:r>
      <w:r w:rsidR="001D7DB4" w:rsidRPr="00853800">
        <w:rPr>
          <w:rFonts w:cs="Arial"/>
          <w:sz w:val="22"/>
          <w:szCs w:val="22"/>
        </w:rPr>
        <w:t xml:space="preserve"> m</w:t>
      </w:r>
      <w:r w:rsidR="00853800" w:rsidRPr="00853800">
        <w:rPr>
          <w:rFonts w:cs="Arial"/>
          <w:sz w:val="22"/>
          <w:szCs w:val="22"/>
        </w:rPr>
        <w:t>il</w:t>
      </w:r>
      <w:r w:rsidR="001D7DB4" w:rsidRPr="00853800">
        <w:rPr>
          <w:rFonts w:cs="Arial"/>
          <w:sz w:val="22"/>
          <w:szCs w:val="22"/>
        </w:rPr>
        <w:t>. Kč</w:t>
      </w:r>
      <w:r w:rsidR="001120B0">
        <w:rPr>
          <w:rFonts w:cs="Arial"/>
          <w:sz w:val="22"/>
          <w:szCs w:val="22"/>
        </w:rPr>
        <w:t>, nárůst vývozu cigaret</w:t>
      </w:r>
      <w:r w:rsidR="001D7DB4" w:rsidRPr="00853800">
        <w:rPr>
          <w:rFonts w:cs="Arial"/>
          <w:sz w:val="22"/>
          <w:szCs w:val="22"/>
        </w:rPr>
        <w:t>)</w:t>
      </w:r>
      <w:r w:rsidR="00853800" w:rsidRPr="00853800">
        <w:rPr>
          <w:rFonts w:cs="Arial"/>
          <w:sz w:val="22"/>
          <w:szCs w:val="22"/>
        </w:rPr>
        <w:t>, Francií (o 204,6 mil. Kč)</w:t>
      </w:r>
      <w:r w:rsidR="001D7DB4" w:rsidRPr="00853800">
        <w:rPr>
          <w:rFonts w:cs="Arial"/>
          <w:sz w:val="22"/>
          <w:szCs w:val="22"/>
        </w:rPr>
        <w:t xml:space="preserve"> a</w:t>
      </w:r>
      <w:r w:rsidR="00C038C1">
        <w:rPr>
          <w:rFonts w:cs="Arial"/>
          <w:sz w:val="22"/>
          <w:szCs w:val="22"/>
        </w:rPr>
        <w:t> </w:t>
      </w:r>
      <w:r w:rsidR="00853800" w:rsidRPr="00853800">
        <w:rPr>
          <w:rFonts w:cs="Arial"/>
          <w:sz w:val="22"/>
          <w:szCs w:val="22"/>
        </w:rPr>
        <w:t>Brazílií</w:t>
      </w:r>
      <w:r w:rsidR="001D7DB4" w:rsidRPr="00853800">
        <w:rPr>
          <w:rFonts w:cs="Arial"/>
          <w:sz w:val="22"/>
          <w:szCs w:val="22"/>
        </w:rPr>
        <w:t xml:space="preserve"> (o 1</w:t>
      </w:r>
      <w:r w:rsidR="00853800" w:rsidRPr="00853800">
        <w:rPr>
          <w:rFonts w:cs="Arial"/>
          <w:sz w:val="22"/>
          <w:szCs w:val="22"/>
        </w:rPr>
        <w:t>88,8</w:t>
      </w:r>
      <w:r w:rsidR="001D7DB4" w:rsidRPr="00853800">
        <w:rPr>
          <w:rFonts w:cs="Arial"/>
          <w:sz w:val="22"/>
          <w:szCs w:val="22"/>
        </w:rPr>
        <w:t xml:space="preserve"> m</w:t>
      </w:r>
      <w:r w:rsidR="00853800" w:rsidRPr="00853800">
        <w:rPr>
          <w:rFonts w:cs="Arial"/>
          <w:sz w:val="22"/>
          <w:szCs w:val="22"/>
        </w:rPr>
        <w:t>il</w:t>
      </w:r>
      <w:r w:rsidR="001D7DB4" w:rsidRPr="00853800">
        <w:rPr>
          <w:rFonts w:cs="Arial"/>
          <w:sz w:val="22"/>
          <w:szCs w:val="22"/>
        </w:rPr>
        <w:t>. Kč)</w:t>
      </w:r>
      <w:r w:rsidR="00853800" w:rsidRPr="00853800">
        <w:rPr>
          <w:rFonts w:cs="Arial"/>
          <w:sz w:val="22"/>
          <w:szCs w:val="22"/>
        </w:rPr>
        <w:t>.</w:t>
      </w:r>
      <w:r w:rsidR="00D255AD" w:rsidRPr="00853800">
        <w:rPr>
          <w:rFonts w:cs="Arial"/>
          <w:sz w:val="22"/>
          <w:szCs w:val="22"/>
        </w:rPr>
        <w:t xml:space="preserve"> </w:t>
      </w:r>
      <w:r w:rsidR="00853800" w:rsidRPr="00853800">
        <w:rPr>
          <w:rFonts w:cs="Arial"/>
          <w:sz w:val="22"/>
          <w:szCs w:val="22"/>
        </w:rPr>
        <w:t>Zhorš</w:t>
      </w:r>
      <w:r w:rsidR="007A60EE">
        <w:rPr>
          <w:rFonts w:cs="Arial"/>
          <w:sz w:val="22"/>
          <w:szCs w:val="22"/>
        </w:rPr>
        <w:t>ení bilance zaznamenal obchod s </w:t>
      </w:r>
      <w:r w:rsidR="00C038C1">
        <w:rPr>
          <w:rFonts w:cs="Arial"/>
          <w:sz w:val="22"/>
          <w:szCs w:val="22"/>
        </w:rPr>
        <w:t>Německem (o </w:t>
      </w:r>
      <w:r w:rsidR="00853800" w:rsidRPr="00853800">
        <w:rPr>
          <w:rFonts w:cs="Arial"/>
          <w:sz w:val="22"/>
          <w:szCs w:val="22"/>
        </w:rPr>
        <w:t>1,9 mld. Kč</w:t>
      </w:r>
      <w:r w:rsidR="001120B0">
        <w:rPr>
          <w:rFonts w:cs="Arial"/>
          <w:sz w:val="22"/>
          <w:szCs w:val="22"/>
        </w:rPr>
        <w:t xml:space="preserve">, především pokles vývozu obilí, semen řepky, pokrutin, minerálek </w:t>
      </w:r>
      <w:r w:rsidR="001120B0">
        <w:rPr>
          <w:rFonts w:cs="Arial"/>
          <w:sz w:val="22"/>
          <w:szCs w:val="22"/>
        </w:rPr>
        <w:lastRenderedPageBreak/>
        <w:t>a</w:t>
      </w:r>
      <w:r w:rsidR="00C038C1">
        <w:rPr>
          <w:rFonts w:cs="Arial"/>
          <w:sz w:val="22"/>
          <w:szCs w:val="22"/>
        </w:rPr>
        <w:t> </w:t>
      </w:r>
      <w:proofErr w:type="spellStart"/>
      <w:r w:rsidR="001120B0">
        <w:rPr>
          <w:rFonts w:cs="Arial"/>
          <w:sz w:val="22"/>
          <w:szCs w:val="22"/>
        </w:rPr>
        <w:t>ethylalkoholu</w:t>
      </w:r>
      <w:proofErr w:type="spellEnd"/>
      <w:r w:rsidR="00853800" w:rsidRPr="00853800">
        <w:rPr>
          <w:rFonts w:cs="Arial"/>
          <w:sz w:val="22"/>
          <w:szCs w:val="22"/>
        </w:rPr>
        <w:t>), Itálií (o 878,6 mil. Kč), Polskem (o 580,1 mil. Kč), Rak</w:t>
      </w:r>
      <w:r w:rsidR="00433D53">
        <w:rPr>
          <w:rFonts w:cs="Arial"/>
          <w:sz w:val="22"/>
          <w:szCs w:val="22"/>
        </w:rPr>
        <w:t>ouskem (o 438,6 mil. </w:t>
      </w:r>
      <w:r w:rsidR="00853800" w:rsidRPr="00853800">
        <w:rPr>
          <w:rFonts w:cs="Arial"/>
          <w:sz w:val="22"/>
          <w:szCs w:val="22"/>
        </w:rPr>
        <w:t>Kč) a Spojeným královstvím (o 400,0 mil. Kč).</w:t>
      </w:r>
    </w:p>
    <w:p w:rsidR="00853800" w:rsidRPr="00853800" w:rsidRDefault="00853800" w:rsidP="005B3BBB">
      <w:pPr>
        <w:spacing w:line="276" w:lineRule="auto"/>
        <w:rPr>
          <w:rFonts w:cs="Arial"/>
          <w:sz w:val="22"/>
          <w:szCs w:val="22"/>
        </w:rPr>
      </w:pPr>
    </w:p>
    <w:p w:rsidR="00BC4485" w:rsidRPr="00853800" w:rsidRDefault="00BC4485" w:rsidP="00BD3E86">
      <w:pPr>
        <w:spacing w:line="276" w:lineRule="auto"/>
        <w:rPr>
          <w:rFonts w:cs="Arial"/>
          <w:sz w:val="22"/>
          <w:szCs w:val="22"/>
        </w:rPr>
      </w:pPr>
    </w:p>
    <w:p w:rsidR="00020B12" w:rsidRDefault="000E5873" w:rsidP="00BC4485">
      <w:pPr>
        <w:pStyle w:val="Styl2"/>
        <w:rPr>
          <w:rFonts w:cs="Arial"/>
          <w:sz w:val="22"/>
          <w:szCs w:val="22"/>
        </w:rPr>
      </w:pPr>
      <w:r w:rsidRPr="00BC4485">
        <w:rPr>
          <w:rFonts w:cs="Arial"/>
          <w:sz w:val="22"/>
          <w:szCs w:val="22"/>
        </w:rPr>
        <w:t xml:space="preserve">Graf </w:t>
      </w:r>
      <w:r w:rsidR="00326F98" w:rsidRPr="00BC4485">
        <w:rPr>
          <w:rFonts w:cs="Arial"/>
          <w:sz w:val="22"/>
          <w:szCs w:val="22"/>
        </w:rPr>
        <w:t xml:space="preserve">1 </w:t>
      </w:r>
      <w:r w:rsidRPr="00BC4485">
        <w:rPr>
          <w:rFonts w:cs="Arial"/>
          <w:sz w:val="22"/>
          <w:szCs w:val="22"/>
        </w:rPr>
        <w:t xml:space="preserve">– Vývoj bilance AZO ČR </w:t>
      </w:r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11FB0">
        <w:rPr>
          <w:rFonts w:cs="Arial"/>
          <w:sz w:val="22"/>
          <w:szCs w:val="22"/>
        </w:rPr>
        <w:t>1. čtvrtletí roku 201</w:t>
      </w:r>
      <w:r w:rsidR="007F22C5">
        <w:rPr>
          <w:rFonts w:cs="Arial"/>
          <w:sz w:val="22"/>
          <w:szCs w:val="22"/>
        </w:rPr>
        <w:t>8</w:t>
      </w:r>
      <w:r w:rsidR="00C11FB0">
        <w:rPr>
          <w:rFonts w:cs="Arial"/>
          <w:sz w:val="22"/>
          <w:szCs w:val="22"/>
        </w:rPr>
        <w:t xml:space="preserve"> </w:t>
      </w:r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>čtvrtletí</w:t>
      </w:r>
      <w:r w:rsidR="00BC4485">
        <w:rPr>
          <w:rFonts w:cs="Arial"/>
          <w:sz w:val="22"/>
          <w:szCs w:val="22"/>
        </w:rPr>
        <w:t xml:space="preserve"> </w:t>
      </w:r>
      <w:r w:rsidRPr="00BC4485">
        <w:rPr>
          <w:rFonts w:cs="Arial"/>
          <w:sz w:val="22"/>
          <w:szCs w:val="22"/>
        </w:rPr>
        <w:t>(m</w:t>
      </w:r>
      <w:r w:rsidR="001A7C8B" w:rsidRPr="00BC4485">
        <w:rPr>
          <w:rFonts w:cs="Arial"/>
          <w:sz w:val="22"/>
          <w:szCs w:val="22"/>
        </w:rPr>
        <w:t>ld</w:t>
      </w:r>
      <w:r w:rsidRPr="00BC4485">
        <w:rPr>
          <w:rFonts w:cs="Arial"/>
          <w:sz w:val="22"/>
          <w:szCs w:val="22"/>
        </w:rPr>
        <w:t>.</w:t>
      </w:r>
      <w:r w:rsidR="00BC4485">
        <w:rPr>
          <w:rFonts w:cs="Arial"/>
          <w:sz w:val="22"/>
          <w:szCs w:val="22"/>
        </w:rPr>
        <w:t> </w:t>
      </w:r>
      <w:r w:rsidRPr="00BC4485">
        <w:rPr>
          <w:rFonts w:cs="Arial"/>
          <w:sz w:val="22"/>
          <w:szCs w:val="22"/>
        </w:rPr>
        <w:t xml:space="preserve">Kč) </w:t>
      </w:r>
    </w:p>
    <w:p w:rsidR="008920F3" w:rsidRPr="00BC4485" w:rsidRDefault="00922791" w:rsidP="00BC4485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6059805" cy="31521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137" w:rsidRPr="00554821" w:rsidRDefault="006F1CE6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EU 15 – původní členové EU, EU 1</w:t>
      </w:r>
      <w:r w:rsidR="001A7C8B" w:rsidRPr="00554821">
        <w:rPr>
          <w:rFonts w:cs="Arial"/>
          <w:b w:val="0"/>
          <w:sz w:val="18"/>
        </w:rPr>
        <w:t>3 – noví členov</w:t>
      </w:r>
      <w:r w:rsidR="00554821" w:rsidRPr="00554821">
        <w:rPr>
          <w:rFonts w:cs="Arial"/>
          <w:b w:val="0"/>
          <w:sz w:val="18"/>
        </w:rPr>
        <w:t>é EU (od 2004), TZ - třetí (</w:t>
      </w:r>
      <w:proofErr w:type="spellStart"/>
      <w:r w:rsidRPr="00554821">
        <w:rPr>
          <w:rFonts w:cs="Arial"/>
          <w:b w:val="0"/>
          <w:sz w:val="18"/>
        </w:rPr>
        <w:t>mimounijní</w:t>
      </w:r>
      <w:proofErr w:type="spellEnd"/>
      <w:r w:rsidR="00554821" w:rsidRPr="00554821">
        <w:rPr>
          <w:rFonts w:cs="Arial"/>
          <w:b w:val="0"/>
          <w:sz w:val="18"/>
        </w:rPr>
        <w:t>)</w:t>
      </w:r>
      <w:r w:rsidRPr="00554821">
        <w:rPr>
          <w:rFonts w:cs="Arial"/>
          <w:b w:val="0"/>
          <w:sz w:val="18"/>
        </w:rPr>
        <w:t xml:space="preserve"> země.</w:t>
      </w:r>
    </w:p>
    <w:p w:rsidR="006F1CE6" w:rsidRPr="00554821" w:rsidRDefault="006F1CE6" w:rsidP="00386137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992304">
        <w:rPr>
          <w:rFonts w:cs="Arial"/>
          <w:b w:val="0"/>
          <w:sz w:val="18"/>
        </w:rPr>
        <w:t>květen</w:t>
      </w:r>
      <w:r w:rsidR="008F474F">
        <w:rPr>
          <w:rFonts w:cs="Arial"/>
          <w:b w:val="0"/>
          <w:sz w:val="18"/>
        </w:rPr>
        <w:t xml:space="preserve"> 201</w:t>
      </w:r>
      <w:r w:rsidR="007F22C5">
        <w:rPr>
          <w:rFonts w:cs="Arial"/>
          <w:b w:val="0"/>
          <w:sz w:val="18"/>
        </w:rPr>
        <w:t>8</w:t>
      </w:r>
    </w:p>
    <w:p w:rsidR="00185CD8" w:rsidRPr="00432F30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4837AB" w:rsidRDefault="005D3A5C" w:rsidP="005D3A5C">
      <w:pPr>
        <w:spacing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Údaje o zahraničním obchodu za </w:t>
      </w:r>
      <w:r w:rsidR="00B32EC1">
        <w:rPr>
          <w:rFonts w:cs="Arial"/>
          <w:sz w:val="22"/>
          <w:szCs w:val="22"/>
        </w:rPr>
        <w:t>1. čtvrtletí roku 201</w:t>
      </w:r>
      <w:r w:rsidR="007F22C5">
        <w:rPr>
          <w:rFonts w:cs="Arial"/>
          <w:sz w:val="22"/>
          <w:szCs w:val="22"/>
        </w:rPr>
        <w:t>8</w:t>
      </w:r>
      <w:r w:rsidRPr="004837AB">
        <w:rPr>
          <w:rFonts w:cs="Arial"/>
          <w:sz w:val="22"/>
          <w:szCs w:val="22"/>
        </w:rPr>
        <w:t xml:space="preserve"> zveřejnil Český statistický úřad </w:t>
      </w:r>
      <w:r w:rsidR="00B32EC1">
        <w:rPr>
          <w:rFonts w:cs="Arial"/>
          <w:sz w:val="22"/>
          <w:szCs w:val="22"/>
        </w:rPr>
        <w:t>9. května</w:t>
      </w:r>
      <w:r w:rsidR="008F474F">
        <w:rPr>
          <w:rFonts w:cs="Arial"/>
          <w:sz w:val="22"/>
          <w:szCs w:val="22"/>
        </w:rPr>
        <w:t xml:space="preserve"> 201</w:t>
      </w:r>
      <w:r w:rsidR="007F22C5">
        <w:rPr>
          <w:rFonts w:cs="Arial"/>
          <w:sz w:val="22"/>
          <w:szCs w:val="22"/>
        </w:rPr>
        <w:t>8</w:t>
      </w:r>
      <w:r w:rsidR="00B32EC1">
        <w:rPr>
          <w:rFonts w:cs="Arial"/>
          <w:sz w:val="22"/>
          <w:szCs w:val="22"/>
        </w:rPr>
        <w:t>. Data za toto čtvrtletí, ale i rok 201</w:t>
      </w:r>
      <w:r w:rsidR="007F22C5">
        <w:rPr>
          <w:rFonts w:cs="Arial"/>
          <w:sz w:val="22"/>
          <w:szCs w:val="22"/>
        </w:rPr>
        <w:t>7</w:t>
      </w:r>
      <w:r w:rsidR="00B32EC1">
        <w:rPr>
          <w:rFonts w:cs="Arial"/>
          <w:sz w:val="22"/>
          <w:szCs w:val="22"/>
        </w:rPr>
        <w:t xml:space="preserve"> jsou předběžná.</w:t>
      </w:r>
      <w:r w:rsidRPr="004837AB">
        <w:rPr>
          <w:rFonts w:cs="Arial"/>
          <w:sz w:val="22"/>
          <w:szCs w:val="22"/>
        </w:rPr>
        <w:t xml:space="preserve"> </w:t>
      </w:r>
    </w:p>
    <w:p w:rsidR="00C4395F" w:rsidRDefault="00C4395F" w:rsidP="00EA5F5E">
      <w:pPr>
        <w:spacing w:before="0" w:after="240" w:line="240" w:lineRule="auto"/>
        <w:ind w:firstLine="708"/>
        <w:rPr>
          <w:rFonts w:cs="Arial"/>
          <w:sz w:val="22"/>
          <w:szCs w:val="22"/>
        </w:rPr>
      </w:pPr>
    </w:p>
    <w:p w:rsidR="005D3A5C" w:rsidRPr="004837AB" w:rsidRDefault="005D3A5C" w:rsidP="00EA5F5E">
      <w:pPr>
        <w:spacing w:before="0" w:after="240"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Materiál zpracoval odbor </w:t>
      </w:r>
      <w:r w:rsidR="00064C93">
        <w:rPr>
          <w:rFonts w:cs="Arial"/>
          <w:sz w:val="22"/>
          <w:szCs w:val="22"/>
        </w:rPr>
        <w:t>18130</w:t>
      </w:r>
      <w:r w:rsidRPr="004837AB">
        <w:rPr>
          <w:rFonts w:cs="Arial"/>
          <w:sz w:val="22"/>
          <w:szCs w:val="22"/>
        </w:rPr>
        <w:t xml:space="preserve"> na základě aktuá</w:t>
      </w:r>
      <w:r w:rsidR="00554821" w:rsidRPr="004837AB">
        <w:rPr>
          <w:rFonts w:cs="Arial"/>
          <w:sz w:val="22"/>
          <w:szCs w:val="22"/>
        </w:rPr>
        <w:t>lních statistických údajů ČSÚ a </w:t>
      </w:r>
      <w:r w:rsidRPr="004837AB">
        <w:rPr>
          <w:rFonts w:cs="Arial"/>
          <w:sz w:val="22"/>
          <w:szCs w:val="22"/>
        </w:rPr>
        <w:t xml:space="preserve">podkladů ÚZEI (TÚ č. </w:t>
      </w:r>
      <w:r w:rsidR="00872CF0">
        <w:rPr>
          <w:rFonts w:cs="Arial"/>
          <w:sz w:val="22"/>
          <w:szCs w:val="22"/>
        </w:rPr>
        <w:t>58</w:t>
      </w:r>
      <w:r w:rsidR="0072747B">
        <w:rPr>
          <w:rFonts w:cs="Arial"/>
          <w:sz w:val="22"/>
          <w:szCs w:val="22"/>
        </w:rPr>
        <w:t>/201</w:t>
      </w:r>
      <w:r w:rsidR="007F22C5">
        <w:rPr>
          <w:rFonts w:cs="Arial"/>
          <w:sz w:val="22"/>
          <w:szCs w:val="22"/>
        </w:rPr>
        <w:t>8</w:t>
      </w:r>
      <w:r w:rsidRPr="004837AB">
        <w:rPr>
          <w:rFonts w:cs="Arial"/>
          <w:sz w:val="22"/>
          <w:szCs w:val="22"/>
        </w:rPr>
        <w:t>).</w:t>
      </w:r>
    </w:p>
    <w:p w:rsidR="005D3A5C" w:rsidRPr="004837AB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9F5635">
        <w:rPr>
          <w:rFonts w:cs="Arial"/>
          <w:sz w:val="22"/>
          <w:szCs w:val="22"/>
        </w:rPr>
        <w:t xml:space="preserve">Dne </w:t>
      </w:r>
      <w:r w:rsidR="009F5635" w:rsidRPr="009F5635">
        <w:rPr>
          <w:rFonts w:cs="Arial"/>
          <w:sz w:val="22"/>
          <w:szCs w:val="22"/>
        </w:rPr>
        <w:t>11</w:t>
      </w:r>
      <w:r w:rsidRPr="009F5635">
        <w:rPr>
          <w:rFonts w:cs="Arial"/>
          <w:sz w:val="22"/>
          <w:szCs w:val="22"/>
        </w:rPr>
        <w:t xml:space="preserve">. </w:t>
      </w:r>
      <w:r w:rsidR="00C11FB0" w:rsidRPr="009F5635">
        <w:rPr>
          <w:rFonts w:cs="Arial"/>
          <w:sz w:val="22"/>
          <w:szCs w:val="22"/>
        </w:rPr>
        <w:t>května</w:t>
      </w:r>
      <w:r w:rsidRPr="009F5635">
        <w:rPr>
          <w:rFonts w:cs="Arial"/>
          <w:sz w:val="22"/>
          <w:szCs w:val="22"/>
        </w:rPr>
        <w:t xml:space="preserve"> 201</w:t>
      </w:r>
      <w:r w:rsidR="007F22C5" w:rsidRPr="009F5635">
        <w:rPr>
          <w:rFonts w:cs="Arial"/>
          <w:sz w:val="22"/>
          <w:szCs w:val="22"/>
        </w:rPr>
        <w:t>8</w:t>
      </w:r>
    </w:p>
    <w:p w:rsidR="000E5873" w:rsidRDefault="00B93CE9" w:rsidP="00B32EC1">
      <w:pPr>
        <w:pStyle w:val="TabNadpis"/>
        <w:rPr>
          <w:rFonts w:cs="Arial"/>
          <w:sz w:val="22"/>
        </w:rPr>
      </w:pPr>
      <w:r w:rsidRPr="00432F30">
        <w:rPr>
          <w:rFonts w:cs="Arial"/>
          <w:sz w:val="22"/>
        </w:rPr>
        <w:br w:type="column"/>
      </w:r>
      <w:r w:rsidR="000E5873" w:rsidRPr="00432F30">
        <w:rPr>
          <w:rFonts w:cs="Arial"/>
          <w:sz w:val="22"/>
        </w:rPr>
        <w:lastRenderedPageBreak/>
        <w:t xml:space="preserve">Tabulka </w:t>
      </w:r>
      <w:r w:rsidR="008E4A7D">
        <w:rPr>
          <w:rFonts w:cs="Arial"/>
          <w:sz w:val="22"/>
        </w:rPr>
        <w:t xml:space="preserve">1 </w:t>
      </w:r>
      <w:r w:rsidR="000E5873" w:rsidRPr="00432F30">
        <w:rPr>
          <w:rFonts w:cs="Arial"/>
          <w:sz w:val="22"/>
        </w:rPr>
        <w:t>– Vývoj AZO ČR v</w:t>
      </w:r>
      <w:r w:rsidR="00C11FB0">
        <w:rPr>
          <w:rFonts w:cs="Arial"/>
          <w:sz w:val="22"/>
        </w:rPr>
        <w:t>  1. čtvrtletích let 201</w:t>
      </w:r>
      <w:r w:rsidR="007F22C5">
        <w:rPr>
          <w:rFonts w:cs="Arial"/>
          <w:sz w:val="22"/>
        </w:rPr>
        <w:t>3</w:t>
      </w:r>
      <w:r w:rsidR="00C11FB0">
        <w:rPr>
          <w:rFonts w:cs="Arial"/>
          <w:sz w:val="22"/>
        </w:rPr>
        <w:t xml:space="preserve"> až 201</w:t>
      </w:r>
      <w:r w:rsidR="007F22C5">
        <w:rPr>
          <w:rFonts w:cs="Arial"/>
          <w:sz w:val="22"/>
        </w:rPr>
        <w:t>8</w:t>
      </w:r>
      <w:r w:rsidR="00C11FB0">
        <w:rPr>
          <w:rFonts w:cs="Arial"/>
          <w:sz w:val="22"/>
        </w:rPr>
        <w:t xml:space="preserve"> </w:t>
      </w:r>
      <w:r w:rsidR="000E5873"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="000E5873" w:rsidRPr="00432F30">
        <w:rPr>
          <w:rFonts w:cs="Arial"/>
          <w:sz w:val="22"/>
        </w:rPr>
        <w:t>. Kč)</w:t>
      </w:r>
    </w:p>
    <w:p w:rsidR="008E4A7D" w:rsidRDefault="00D676CF" w:rsidP="008E4A7D">
      <w:pPr>
        <w:ind w:firstLine="0"/>
      </w:pPr>
      <w:r w:rsidRPr="00D676CF">
        <w:rPr>
          <w:noProof/>
        </w:rPr>
        <w:drawing>
          <wp:inline distT="0" distB="0" distL="0" distR="0">
            <wp:extent cx="5759450" cy="1951393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73" w:rsidRPr="00554821" w:rsidRDefault="000E5873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0E5873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11FB0">
        <w:rPr>
          <w:rFonts w:cs="Arial"/>
          <w:b w:val="0"/>
          <w:sz w:val="18"/>
        </w:rPr>
        <w:t>květen</w:t>
      </w:r>
      <w:r w:rsidR="0072747B">
        <w:rPr>
          <w:rFonts w:cs="Arial"/>
          <w:b w:val="0"/>
          <w:sz w:val="18"/>
        </w:rPr>
        <w:t xml:space="preserve"> 201</w:t>
      </w:r>
      <w:r w:rsidR="007F22C5">
        <w:rPr>
          <w:rFonts w:cs="Arial"/>
          <w:b w:val="0"/>
          <w:sz w:val="18"/>
        </w:rPr>
        <w:t>8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B93CE9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t xml:space="preserve">Tabulka </w:t>
      </w:r>
      <w:r w:rsidR="008E4A7D">
        <w:rPr>
          <w:rFonts w:cs="Arial"/>
          <w:sz w:val="22"/>
        </w:rPr>
        <w:t xml:space="preserve">2 </w:t>
      </w:r>
      <w:r w:rsidRPr="00432F30">
        <w:rPr>
          <w:rFonts w:cs="Arial"/>
          <w:sz w:val="22"/>
        </w:rPr>
        <w:t>– Vývoj AZO ČR v</w:t>
      </w:r>
      <w:r w:rsidR="00432F30" w:rsidRPr="00432F30">
        <w:rPr>
          <w:rFonts w:cs="Arial"/>
          <w:sz w:val="22"/>
        </w:rPr>
        <w:t> </w:t>
      </w:r>
      <w:r w:rsidR="00431469">
        <w:rPr>
          <w:rFonts w:cs="Arial"/>
          <w:sz w:val="22"/>
        </w:rPr>
        <w:t>roce</w:t>
      </w:r>
      <w:r w:rsidR="00C272D2">
        <w:rPr>
          <w:rFonts w:cs="Arial"/>
          <w:sz w:val="22"/>
        </w:rPr>
        <w:t xml:space="preserve"> 20</w:t>
      </w:r>
      <w:r w:rsidR="0072747B">
        <w:rPr>
          <w:rFonts w:cs="Arial"/>
          <w:sz w:val="22"/>
        </w:rPr>
        <w:t>1</w:t>
      </w:r>
      <w:r w:rsidR="007F22C5">
        <w:rPr>
          <w:rFonts w:cs="Arial"/>
          <w:sz w:val="22"/>
        </w:rPr>
        <w:t>6</w:t>
      </w:r>
      <w:r w:rsidR="0072747B">
        <w:rPr>
          <w:rFonts w:cs="Arial"/>
          <w:sz w:val="22"/>
        </w:rPr>
        <w:t xml:space="preserve"> až</w:t>
      </w:r>
      <w:r w:rsidR="00855733">
        <w:rPr>
          <w:rFonts w:cs="Arial"/>
          <w:sz w:val="22"/>
        </w:rPr>
        <w:t xml:space="preserve"> </w:t>
      </w:r>
      <w:r w:rsidR="00C11FB0">
        <w:rPr>
          <w:rFonts w:cs="Arial"/>
          <w:sz w:val="22"/>
        </w:rPr>
        <w:t xml:space="preserve">1. čtvrtletí roku </w:t>
      </w:r>
      <w:r w:rsidRPr="00432F30">
        <w:rPr>
          <w:rFonts w:cs="Arial"/>
          <w:sz w:val="22"/>
        </w:rPr>
        <w:t>201</w:t>
      </w:r>
      <w:r w:rsidR="007F22C5">
        <w:rPr>
          <w:rFonts w:cs="Arial"/>
          <w:sz w:val="22"/>
        </w:rPr>
        <w:t>8</w:t>
      </w:r>
      <w:r w:rsidR="0072747B">
        <w:rPr>
          <w:rFonts w:cs="Arial"/>
          <w:sz w:val="22"/>
        </w:rPr>
        <w:t xml:space="preserve"> </w:t>
      </w:r>
      <w:r w:rsidR="003E4FCE">
        <w:rPr>
          <w:rFonts w:cs="Arial"/>
          <w:sz w:val="22"/>
        </w:rPr>
        <w:t xml:space="preserve">podle čtvrtletí </w:t>
      </w:r>
      <w:r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Pr="00432F30">
        <w:rPr>
          <w:rFonts w:cs="Arial"/>
          <w:sz w:val="22"/>
        </w:rPr>
        <w:t>. Kč)</w:t>
      </w:r>
    </w:p>
    <w:p w:rsidR="003A0FF2" w:rsidRDefault="009F5635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9F5635">
        <w:rPr>
          <w:noProof/>
        </w:rPr>
        <w:drawing>
          <wp:inline distT="0" distB="0" distL="0" distR="0">
            <wp:extent cx="5759450" cy="280020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0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E9" w:rsidRPr="00554821" w:rsidRDefault="00B93CE9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11FB0">
        <w:rPr>
          <w:rFonts w:cs="Arial"/>
          <w:b w:val="0"/>
          <w:sz w:val="18"/>
        </w:rPr>
        <w:t>květen</w:t>
      </w:r>
      <w:r w:rsidR="0072747B">
        <w:rPr>
          <w:rFonts w:cs="Arial"/>
          <w:b w:val="0"/>
          <w:sz w:val="18"/>
        </w:rPr>
        <w:t xml:space="preserve"> 201</w:t>
      </w:r>
      <w:r w:rsidR="007F22C5">
        <w:rPr>
          <w:rFonts w:cs="Arial"/>
          <w:b w:val="0"/>
          <w:sz w:val="18"/>
        </w:rPr>
        <w:t>8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B5558" w:rsidRDefault="004C434A" w:rsidP="00B32EC1">
      <w:pPr>
        <w:pStyle w:val="Styl2"/>
        <w:ind w:left="993" w:hanging="993"/>
        <w:rPr>
          <w:rFonts w:cs="Arial"/>
          <w:sz w:val="22"/>
          <w:szCs w:val="22"/>
        </w:rPr>
      </w:pPr>
      <w:bookmarkStart w:id="1" w:name="_Toc417464156"/>
      <w:r w:rsidRPr="002B5558">
        <w:rPr>
          <w:rFonts w:cs="Arial"/>
          <w:sz w:val="22"/>
          <w:szCs w:val="22"/>
        </w:rPr>
        <w:lastRenderedPageBreak/>
        <w:t xml:space="preserve">Graf </w:t>
      </w:r>
      <w:r w:rsidR="00326F98" w:rsidRPr="002B5558">
        <w:rPr>
          <w:rFonts w:cs="Arial"/>
          <w:sz w:val="22"/>
          <w:szCs w:val="22"/>
        </w:rPr>
        <w:t xml:space="preserve">2 </w:t>
      </w:r>
      <w:r w:rsidRPr="00CF1D84">
        <w:rPr>
          <w:rFonts w:cs="Arial"/>
          <w:sz w:val="22"/>
          <w:szCs w:val="22"/>
        </w:rPr>
        <w:t xml:space="preserve">– Vývoj </w:t>
      </w:r>
      <w:r w:rsidR="00C978C0" w:rsidRPr="00CF1D84">
        <w:rPr>
          <w:rFonts w:cs="Arial"/>
          <w:sz w:val="22"/>
          <w:szCs w:val="22"/>
        </w:rPr>
        <w:t xml:space="preserve">hodnoty </w:t>
      </w:r>
      <w:r w:rsidRPr="00CF1D84">
        <w:rPr>
          <w:rFonts w:cs="Arial"/>
          <w:sz w:val="22"/>
          <w:szCs w:val="22"/>
        </w:rPr>
        <w:t xml:space="preserve">vývozu </w:t>
      </w:r>
      <w:r w:rsidR="00991236" w:rsidRPr="00CF1D84">
        <w:rPr>
          <w:rFonts w:cs="Arial"/>
          <w:sz w:val="22"/>
          <w:szCs w:val="22"/>
        </w:rPr>
        <w:t xml:space="preserve">agrárního zboží </w:t>
      </w:r>
      <w:r w:rsidRPr="00CF1D84">
        <w:rPr>
          <w:rFonts w:cs="Arial"/>
          <w:sz w:val="22"/>
          <w:szCs w:val="22"/>
        </w:rPr>
        <w:t xml:space="preserve">z ČR </w:t>
      </w:r>
      <w:r w:rsidR="007F22C5" w:rsidRPr="00CF1D84">
        <w:rPr>
          <w:rFonts w:cs="Arial"/>
          <w:sz w:val="22"/>
          <w:szCs w:val="22"/>
        </w:rPr>
        <w:t>v</w:t>
      </w:r>
      <w:r w:rsidR="00CF1D84" w:rsidRPr="00CF1D84">
        <w:rPr>
          <w:rFonts w:cs="Arial"/>
          <w:sz w:val="22"/>
          <w:szCs w:val="22"/>
        </w:rPr>
        <w:t xml:space="preserve"> roce</w:t>
      </w:r>
      <w:r w:rsidR="002B5558" w:rsidRPr="00CF1D84">
        <w:rPr>
          <w:rFonts w:cs="Arial"/>
          <w:sz w:val="22"/>
          <w:szCs w:val="22"/>
        </w:rPr>
        <w:t xml:space="preserve"> 201</w:t>
      </w:r>
      <w:r w:rsidR="007F22C5" w:rsidRPr="00CF1D84">
        <w:rPr>
          <w:rFonts w:cs="Arial"/>
          <w:sz w:val="22"/>
          <w:szCs w:val="22"/>
        </w:rPr>
        <w:t xml:space="preserve">3 </w:t>
      </w:r>
      <w:r w:rsidR="00CF1D84" w:rsidRPr="00CF1D84">
        <w:rPr>
          <w:rFonts w:cs="Arial"/>
          <w:sz w:val="22"/>
          <w:szCs w:val="22"/>
        </w:rPr>
        <w:t xml:space="preserve">až 1. čtvrtletí </w:t>
      </w:r>
      <w:proofErr w:type="gramStart"/>
      <w:r w:rsidR="00CF1D84" w:rsidRPr="00CF1D84">
        <w:rPr>
          <w:rFonts w:cs="Arial"/>
          <w:sz w:val="22"/>
          <w:szCs w:val="22"/>
        </w:rPr>
        <w:t xml:space="preserve">roku </w:t>
      </w:r>
      <w:r w:rsidR="00C11FB0" w:rsidRPr="00CF1D84">
        <w:rPr>
          <w:rFonts w:cs="Arial"/>
          <w:sz w:val="22"/>
          <w:szCs w:val="22"/>
        </w:rPr>
        <w:t xml:space="preserve"> </w:t>
      </w:r>
      <w:r w:rsidR="00222BE8" w:rsidRPr="00CF1D84">
        <w:rPr>
          <w:rFonts w:cs="Arial"/>
          <w:sz w:val="22"/>
          <w:szCs w:val="22"/>
        </w:rPr>
        <w:t>201</w:t>
      </w:r>
      <w:r w:rsidR="007F22C5" w:rsidRPr="00CF1D84">
        <w:rPr>
          <w:rFonts w:cs="Arial"/>
          <w:sz w:val="22"/>
          <w:szCs w:val="22"/>
        </w:rPr>
        <w:t>8</w:t>
      </w:r>
      <w:proofErr w:type="gramEnd"/>
      <w:r w:rsidR="007F22C5" w:rsidRPr="00CF1D84">
        <w:rPr>
          <w:rFonts w:cs="Arial"/>
          <w:sz w:val="22"/>
          <w:szCs w:val="22"/>
        </w:rPr>
        <w:t xml:space="preserve"> po</w:t>
      </w:r>
      <w:r w:rsidR="00CF1D84" w:rsidRPr="00CF1D84">
        <w:rPr>
          <w:rFonts w:cs="Arial"/>
          <w:sz w:val="22"/>
          <w:szCs w:val="22"/>
        </w:rPr>
        <w:t>dle</w:t>
      </w:r>
      <w:r w:rsidR="007F22C5" w:rsidRPr="00CF1D84">
        <w:rPr>
          <w:rFonts w:cs="Arial"/>
          <w:sz w:val="22"/>
          <w:szCs w:val="22"/>
        </w:rPr>
        <w:t xml:space="preserve"> čtvrtletí </w:t>
      </w:r>
      <w:r w:rsidR="00CF1D84" w:rsidRPr="00CF1D84">
        <w:rPr>
          <w:rFonts w:cs="Arial"/>
          <w:sz w:val="22"/>
          <w:szCs w:val="22"/>
        </w:rPr>
        <w:t>(</w:t>
      </w:r>
      <w:r w:rsidRPr="00CF1D84">
        <w:rPr>
          <w:rFonts w:cs="Arial"/>
          <w:sz w:val="22"/>
          <w:szCs w:val="22"/>
        </w:rPr>
        <w:t>mld.</w:t>
      </w:r>
      <w:r w:rsidR="00991236" w:rsidRPr="00CF1D84">
        <w:rPr>
          <w:rFonts w:cs="Arial"/>
          <w:sz w:val="22"/>
          <w:szCs w:val="22"/>
        </w:rPr>
        <w:t> </w:t>
      </w:r>
      <w:r w:rsidRPr="00CF1D84">
        <w:rPr>
          <w:rFonts w:cs="Arial"/>
          <w:sz w:val="22"/>
          <w:szCs w:val="22"/>
        </w:rPr>
        <w:t>Kč)</w:t>
      </w:r>
      <w:bookmarkEnd w:id="1"/>
    </w:p>
    <w:p w:rsidR="005D3DFC" w:rsidRPr="00432F30" w:rsidRDefault="00D676CF" w:rsidP="00090DFE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>
            <wp:extent cx="6071870" cy="3157855"/>
            <wp:effectExtent l="0" t="0" r="5080" b="444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08" w:rsidRPr="00432F30" w:rsidRDefault="00991236" w:rsidP="00DD24AD">
      <w:pPr>
        <w:pStyle w:val="Styl2"/>
        <w:ind w:left="0" w:firstLine="0"/>
        <w:rPr>
          <w:rFonts w:cs="Arial"/>
          <w:b w:val="0"/>
        </w:rPr>
      </w:pPr>
      <w:bookmarkStart w:id="2" w:name="_Toc417464157"/>
      <w:r w:rsidRPr="00432F30">
        <w:rPr>
          <w:rFonts w:cs="Arial"/>
          <w:b w:val="0"/>
          <w:i/>
        </w:rPr>
        <w:t>Zdroj: D</w:t>
      </w:r>
      <w:r w:rsidR="00222BE8">
        <w:rPr>
          <w:rFonts w:cs="Arial"/>
          <w:b w:val="0"/>
          <w:i/>
        </w:rPr>
        <w:t xml:space="preserve">atabáze zahraničního obchodu ČSÚ, </w:t>
      </w:r>
      <w:r w:rsidR="003E4FCE">
        <w:rPr>
          <w:rFonts w:cs="Arial"/>
          <w:b w:val="0"/>
          <w:i/>
        </w:rPr>
        <w:t>květen</w:t>
      </w:r>
      <w:r w:rsidR="00222BE8">
        <w:rPr>
          <w:rFonts w:cs="Arial"/>
          <w:b w:val="0"/>
          <w:i/>
        </w:rPr>
        <w:t xml:space="preserve"> 201</w:t>
      </w:r>
      <w:r w:rsidR="007F22C5">
        <w:rPr>
          <w:rFonts w:cs="Arial"/>
          <w:b w:val="0"/>
          <w:i/>
        </w:rPr>
        <w:t>8</w:t>
      </w:r>
    </w:p>
    <w:p w:rsidR="004C2508" w:rsidRPr="00432F30" w:rsidRDefault="004C2508" w:rsidP="00090DFE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91236" w:rsidRPr="002B5558" w:rsidRDefault="004C434A" w:rsidP="00B32EC1">
      <w:pPr>
        <w:pStyle w:val="Styl2"/>
        <w:ind w:left="993" w:hanging="993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3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>dovozu</w:t>
      </w:r>
      <w:r w:rsidR="00991236" w:rsidRPr="002B5558">
        <w:rPr>
          <w:rFonts w:cs="Arial"/>
          <w:sz w:val="22"/>
          <w:szCs w:val="22"/>
        </w:rPr>
        <w:t xml:space="preserve"> agrárního zboží</w:t>
      </w:r>
      <w:r w:rsidRPr="002B5558">
        <w:rPr>
          <w:rFonts w:cs="Arial"/>
          <w:sz w:val="22"/>
          <w:szCs w:val="22"/>
        </w:rPr>
        <w:t xml:space="preserve"> do ČR </w:t>
      </w:r>
      <w:bookmarkEnd w:id="2"/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B32EC1">
        <w:rPr>
          <w:rFonts w:cs="Arial"/>
          <w:sz w:val="22"/>
          <w:szCs w:val="22"/>
        </w:rPr>
        <w:t xml:space="preserve">1. čtvrtletí roku </w:t>
      </w:r>
      <w:r w:rsidR="00C11FB0">
        <w:rPr>
          <w:rFonts w:cs="Arial"/>
          <w:sz w:val="22"/>
          <w:szCs w:val="22"/>
        </w:rPr>
        <w:t>201</w:t>
      </w:r>
      <w:r w:rsidR="007F22C5">
        <w:rPr>
          <w:rFonts w:cs="Arial"/>
          <w:sz w:val="22"/>
          <w:szCs w:val="22"/>
        </w:rPr>
        <w:t>8</w:t>
      </w:r>
      <w:r w:rsidR="00C11FB0">
        <w:rPr>
          <w:rFonts w:cs="Arial"/>
          <w:sz w:val="22"/>
          <w:szCs w:val="22"/>
        </w:rPr>
        <w:t xml:space="preserve"> podle čtvrtletí</w:t>
      </w:r>
      <w:r w:rsidR="00222BE8">
        <w:rPr>
          <w:rFonts w:cs="Arial"/>
          <w:sz w:val="22"/>
          <w:szCs w:val="22"/>
        </w:rPr>
        <w:t xml:space="preserve"> </w:t>
      </w:r>
      <w:r w:rsidR="00991236" w:rsidRPr="002B5558">
        <w:rPr>
          <w:rFonts w:cs="Arial"/>
          <w:sz w:val="22"/>
          <w:szCs w:val="22"/>
        </w:rPr>
        <w:t>(mld. Kč)</w:t>
      </w:r>
    </w:p>
    <w:p w:rsidR="008920F3" w:rsidRDefault="00D676CF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>
            <wp:extent cx="6071870" cy="3157855"/>
            <wp:effectExtent l="0" t="0" r="5080" b="444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236" w:rsidRPr="00432F30" w:rsidRDefault="00991236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 w:rsidRPr="00432F30">
        <w:rPr>
          <w:rFonts w:cs="Arial"/>
          <w:b w:val="0"/>
          <w:i/>
          <w:szCs w:val="16"/>
        </w:rPr>
        <w:t xml:space="preserve">Zdroj: Databáze zahraničního obchodu ČSÚ, </w:t>
      </w:r>
      <w:r w:rsidR="003E4FCE">
        <w:rPr>
          <w:rFonts w:cs="Arial"/>
          <w:b w:val="0"/>
          <w:i/>
        </w:rPr>
        <w:t>květen</w:t>
      </w:r>
      <w:r w:rsidR="00222BE8">
        <w:rPr>
          <w:rFonts w:cs="Arial"/>
          <w:b w:val="0"/>
          <w:i/>
        </w:rPr>
        <w:t xml:space="preserve"> 201</w:t>
      </w:r>
      <w:r w:rsidR="007F22C5">
        <w:rPr>
          <w:rFonts w:cs="Arial"/>
          <w:b w:val="0"/>
          <w:i/>
        </w:rPr>
        <w:t>8</w:t>
      </w:r>
    </w:p>
    <w:p w:rsidR="00991236" w:rsidRPr="00432F30" w:rsidRDefault="00991236" w:rsidP="00A32827">
      <w:pPr>
        <w:pStyle w:val="Styl2"/>
        <w:rPr>
          <w:rFonts w:cs="Arial"/>
          <w:b w:val="0"/>
        </w:rPr>
      </w:pPr>
    </w:p>
    <w:p w:rsidR="001B1B58" w:rsidRPr="002B5558" w:rsidRDefault="006A3C42" w:rsidP="00A32827">
      <w:pPr>
        <w:pStyle w:val="Styl2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1B1B58" w:rsidRPr="002B5558">
        <w:rPr>
          <w:rFonts w:cs="Arial"/>
          <w:sz w:val="22"/>
          <w:szCs w:val="22"/>
        </w:rPr>
        <w:lastRenderedPageBreak/>
        <w:t>Příloh</w:t>
      </w:r>
      <w:r w:rsidR="00F23A3E" w:rsidRPr="002B5558">
        <w:rPr>
          <w:rFonts w:cs="Arial"/>
          <w:sz w:val="22"/>
          <w:szCs w:val="22"/>
        </w:rPr>
        <w:t>y</w:t>
      </w:r>
      <w:r w:rsidR="001B1B58" w:rsidRPr="002B5558">
        <w:rPr>
          <w:rFonts w:cs="Arial"/>
          <w:sz w:val="22"/>
          <w:szCs w:val="22"/>
        </w:rPr>
        <w:t>: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</w:t>
      </w:r>
      <w:r w:rsidR="00DE61A3" w:rsidRPr="002B5558">
        <w:rPr>
          <w:rFonts w:cs="Arial"/>
          <w:sz w:val="22"/>
          <w:szCs w:val="22"/>
        </w:rPr>
        <w:t xml:space="preserve">ožek z ČR </w:t>
      </w:r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632A36">
        <w:rPr>
          <w:rFonts w:cs="Arial"/>
          <w:sz w:val="22"/>
          <w:szCs w:val="22"/>
        </w:rPr>
        <w:t xml:space="preserve"> až 1. </w:t>
      </w:r>
      <w:r w:rsidR="00C11FB0" w:rsidRPr="002B5558">
        <w:rPr>
          <w:rFonts w:cs="Arial"/>
          <w:sz w:val="22"/>
          <w:szCs w:val="22"/>
        </w:rPr>
        <w:t>čtvrtletí roku 201</w:t>
      </w:r>
      <w:r w:rsidR="007F22C5">
        <w:rPr>
          <w:rFonts w:cs="Arial"/>
          <w:sz w:val="22"/>
          <w:szCs w:val="22"/>
        </w:rPr>
        <w:t>8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do ČR </w:t>
      </w:r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7F22C5">
        <w:rPr>
          <w:rFonts w:cs="Arial"/>
          <w:sz w:val="22"/>
          <w:szCs w:val="22"/>
        </w:rPr>
        <w:t>8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</w:t>
      </w:r>
      <w:r w:rsidR="00DE61A3" w:rsidRPr="002B5558">
        <w:rPr>
          <w:rFonts w:cs="Arial"/>
          <w:sz w:val="22"/>
          <w:szCs w:val="22"/>
        </w:rPr>
        <w:t xml:space="preserve"> ČR do EU </w:t>
      </w:r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7F22C5">
        <w:rPr>
          <w:rFonts w:cs="Arial"/>
          <w:sz w:val="22"/>
          <w:szCs w:val="22"/>
        </w:rPr>
        <w:t>8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z EU do ČR </w:t>
      </w:r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7F22C5">
        <w:rPr>
          <w:rFonts w:cs="Arial"/>
          <w:sz w:val="22"/>
          <w:szCs w:val="22"/>
        </w:rPr>
        <w:t>8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 w:rsidR="00DB688F">
        <w:rPr>
          <w:rFonts w:cs="Arial"/>
          <w:sz w:val="22"/>
          <w:szCs w:val="22"/>
        </w:rPr>
        <w:t>ených agrárních položek z ČR do </w:t>
      </w:r>
      <w:proofErr w:type="spellStart"/>
      <w:r w:rsidRPr="002B5558">
        <w:rPr>
          <w:rFonts w:cs="Arial"/>
          <w:sz w:val="22"/>
          <w:szCs w:val="22"/>
        </w:rPr>
        <w:t>mimounij</w:t>
      </w:r>
      <w:r w:rsidR="00DE61A3" w:rsidRPr="002B5558">
        <w:rPr>
          <w:rFonts w:cs="Arial"/>
          <w:sz w:val="22"/>
          <w:szCs w:val="22"/>
        </w:rPr>
        <w:t>ních</w:t>
      </w:r>
      <w:proofErr w:type="spellEnd"/>
      <w:r w:rsidR="00DE61A3" w:rsidRPr="002B5558">
        <w:rPr>
          <w:rFonts w:cs="Arial"/>
          <w:sz w:val="22"/>
          <w:szCs w:val="22"/>
        </w:rPr>
        <w:t xml:space="preserve"> zemí </w:t>
      </w:r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7F22C5">
        <w:rPr>
          <w:rFonts w:cs="Arial"/>
          <w:sz w:val="22"/>
          <w:szCs w:val="22"/>
        </w:rPr>
        <w:t>8</w:t>
      </w:r>
    </w:p>
    <w:p w:rsidR="00A9720B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</w:t>
      </w:r>
      <w:r w:rsidR="00962443" w:rsidRPr="002B5558">
        <w:rPr>
          <w:rFonts w:cs="Arial"/>
          <w:sz w:val="22"/>
          <w:szCs w:val="22"/>
        </w:rPr>
        <w:t xml:space="preserve"> dovážených agrárních položek z 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do ČR </w:t>
      </w:r>
      <w:r w:rsidR="00C11FB0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7F22C5">
        <w:rPr>
          <w:rFonts w:cs="Arial"/>
          <w:sz w:val="22"/>
          <w:szCs w:val="22"/>
        </w:rPr>
        <w:t>8</w:t>
      </w:r>
    </w:p>
    <w:p w:rsidR="00C11FB0" w:rsidRPr="002B5558" w:rsidRDefault="00C11FB0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E4E29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Pozn.: </w:t>
      </w:r>
      <w:r w:rsidR="00962443" w:rsidRPr="002B5558">
        <w:rPr>
          <w:rFonts w:cs="Arial"/>
          <w:i/>
          <w:sz w:val="22"/>
          <w:szCs w:val="22"/>
        </w:rPr>
        <w:t xml:space="preserve">Komodity </w:t>
      </w:r>
      <w:proofErr w:type="gramStart"/>
      <w:r w:rsidR="00962443" w:rsidRPr="002B5558">
        <w:rPr>
          <w:rFonts w:cs="Arial"/>
          <w:i/>
          <w:sz w:val="22"/>
          <w:szCs w:val="22"/>
        </w:rPr>
        <w:t>definované 4-místným</w:t>
      </w:r>
      <w:proofErr w:type="gramEnd"/>
      <w:r w:rsidR="00962443" w:rsidRPr="002B5558">
        <w:rPr>
          <w:rFonts w:cs="Arial"/>
          <w:i/>
          <w:sz w:val="22"/>
          <w:szCs w:val="22"/>
        </w:rPr>
        <w:t xml:space="preserve"> kódem HS js</w:t>
      </w:r>
      <w:r w:rsidR="00D963C0">
        <w:rPr>
          <w:rFonts w:cs="Arial"/>
          <w:i/>
          <w:sz w:val="22"/>
          <w:szCs w:val="22"/>
        </w:rPr>
        <w:t>ou do tabulek 1 až 3 vybrány na </w:t>
      </w:r>
      <w:r w:rsidR="00962443" w:rsidRPr="002B5558">
        <w:rPr>
          <w:rFonts w:cs="Arial"/>
          <w:i/>
          <w:sz w:val="22"/>
          <w:szCs w:val="22"/>
        </w:rPr>
        <w:t xml:space="preserve">základě hodnot vývozů a dovozů ve finančním vyjádření za období </w:t>
      </w:r>
      <w:r w:rsidR="000B6727" w:rsidRPr="002B5558">
        <w:rPr>
          <w:rFonts w:cs="Arial"/>
          <w:i/>
          <w:sz w:val="22"/>
          <w:szCs w:val="22"/>
        </w:rPr>
        <w:t xml:space="preserve">roku </w:t>
      </w:r>
      <w:r w:rsidR="00D963C0">
        <w:rPr>
          <w:rFonts w:cs="Arial"/>
          <w:i/>
          <w:sz w:val="22"/>
          <w:szCs w:val="22"/>
        </w:rPr>
        <w:t>201</w:t>
      </w:r>
      <w:r w:rsidR="007F22C5">
        <w:rPr>
          <w:rFonts w:cs="Arial"/>
          <w:i/>
          <w:sz w:val="22"/>
          <w:szCs w:val="22"/>
        </w:rPr>
        <w:t>3</w:t>
      </w:r>
      <w:r w:rsidR="00D963C0">
        <w:rPr>
          <w:rFonts w:cs="Arial"/>
          <w:i/>
          <w:sz w:val="22"/>
          <w:szCs w:val="22"/>
        </w:rPr>
        <w:t xml:space="preserve"> až </w:t>
      </w:r>
      <w:r w:rsidR="00992304">
        <w:rPr>
          <w:rFonts w:cs="Arial"/>
          <w:i/>
          <w:sz w:val="22"/>
          <w:szCs w:val="22"/>
        </w:rPr>
        <w:t>1. </w:t>
      </w:r>
      <w:r w:rsidR="00FE1003">
        <w:rPr>
          <w:rFonts w:cs="Arial"/>
          <w:i/>
          <w:sz w:val="22"/>
          <w:szCs w:val="22"/>
        </w:rPr>
        <w:t>čtvrtletí roku 201</w:t>
      </w:r>
      <w:r w:rsidR="007F22C5">
        <w:rPr>
          <w:rFonts w:cs="Arial"/>
          <w:i/>
          <w:sz w:val="22"/>
          <w:szCs w:val="22"/>
        </w:rPr>
        <w:t>8</w:t>
      </w:r>
      <w:r w:rsidR="00FE1003">
        <w:rPr>
          <w:rFonts w:cs="Arial"/>
          <w:i/>
          <w:sz w:val="22"/>
          <w:szCs w:val="22"/>
        </w:rPr>
        <w:t xml:space="preserve"> </w:t>
      </w:r>
      <w:r w:rsidR="00222BE8">
        <w:rPr>
          <w:rFonts w:cs="Arial"/>
          <w:i/>
          <w:sz w:val="22"/>
          <w:szCs w:val="22"/>
        </w:rPr>
        <w:t>a </w:t>
      </w:r>
      <w:r w:rsidR="00962443" w:rsidRPr="002B5558">
        <w:rPr>
          <w:rFonts w:cs="Arial"/>
          <w:i/>
          <w:sz w:val="22"/>
          <w:szCs w:val="22"/>
        </w:rPr>
        <w:t>řazeny jsou podle roku 201</w:t>
      </w:r>
      <w:r w:rsidR="007F22C5">
        <w:rPr>
          <w:rFonts w:cs="Arial"/>
          <w:i/>
          <w:sz w:val="22"/>
          <w:szCs w:val="22"/>
        </w:rPr>
        <w:t>8</w:t>
      </w:r>
      <w:r w:rsidR="00962443" w:rsidRPr="002B5558">
        <w:rPr>
          <w:rFonts w:cs="Arial"/>
          <w:i/>
          <w:sz w:val="22"/>
          <w:szCs w:val="22"/>
        </w:rPr>
        <w:t xml:space="preserve">. Data jsou na této </w:t>
      </w:r>
      <w:r w:rsidR="000B6727" w:rsidRPr="002B5558">
        <w:rPr>
          <w:rFonts w:cs="Arial"/>
          <w:i/>
          <w:sz w:val="22"/>
          <w:szCs w:val="22"/>
        </w:rPr>
        <w:t xml:space="preserve">úrovni HS </w:t>
      </w:r>
      <w:r w:rsidRPr="002B5558">
        <w:rPr>
          <w:rFonts w:cs="Arial"/>
          <w:i/>
          <w:sz w:val="22"/>
          <w:szCs w:val="22"/>
        </w:rPr>
        <w:t>bez dopočtů.</w:t>
      </w:r>
    </w:p>
    <w:p w:rsidR="00A9720B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</w:p>
    <w:p w:rsidR="001B1B58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Pořadí zemí dle hodnoty agrárního </w:t>
      </w:r>
      <w:r w:rsidR="009815F5" w:rsidRPr="002B5558">
        <w:rPr>
          <w:rFonts w:cs="Arial"/>
          <w:sz w:val="22"/>
          <w:szCs w:val="22"/>
          <w:u w:val="single"/>
        </w:rPr>
        <w:t>vý</w:t>
      </w:r>
      <w:r w:rsidRPr="002B5558">
        <w:rPr>
          <w:rFonts w:cs="Arial"/>
          <w:sz w:val="22"/>
          <w:szCs w:val="22"/>
          <w:u w:val="single"/>
        </w:rPr>
        <w:t xml:space="preserve">vozu </w:t>
      </w:r>
      <w:r w:rsidR="00F23A3E" w:rsidRPr="002B5558">
        <w:rPr>
          <w:rFonts w:cs="Arial"/>
          <w:sz w:val="22"/>
          <w:szCs w:val="22"/>
          <w:u w:val="single"/>
        </w:rPr>
        <w:t>z</w:t>
      </w:r>
      <w:r w:rsidRPr="002B5558">
        <w:rPr>
          <w:rFonts w:cs="Arial"/>
          <w:sz w:val="22"/>
          <w:szCs w:val="22"/>
          <w:u w:val="single"/>
        </w:rPr>
        <w:t xml:space="preserve"> ČR</w:t>
      </w:r>
    </w:p>
    <w:p w:rsidR="002E4E29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A21355" w:rsidRPr="002B5558" w:rsidRDefault="00A21355">
      <w:pPr>
        <w:spacing w:before="0" w:line="240" w:lineRule="auto"/>
        <w:ind w:firstLine="0"/>
        <w:jc w:val="left"/>
        <w:rPr>
          <w:rFonts w:cs="Arial"/>
          <w:b/>
          <w:sz w:val="22"/>
          <w:szCs w:val="22"/>
        </w:rPr>
      </w:pPr>
    </w:p>
    <w:p w:rsidR="00A21355" w:rsidRPr="002B5558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 </w:t>
      </w:r>
      <w:r w:rsidR="00962443" w:rsidRPr="002B5558">
        <w:rPr>
          <w:rFonts w:cs="Arial"/>
          <w:i/>
          <w:sz w:val="22"/>
          <w:szCs w:val="22"/>
        </w:rPr>
        <w:t>Údaje v tabulkách 4 a 5 za jednotlivé země vyc</w:t>
      </w:r>
      <w:r w:rsidR="000B6727" w:rsidRPr="002B5558">
        <w:rPr>
          <w:rFonts w:cs="Arial"/>
          <w:i/>
          <w:sz w:val="22"/>
          <w:szCs w:val="22"/>
        </w:rPr>
        <w:t>házejí z </w:t>
      </w:r>
      <w:proofErr w:type="gramStart"/>
      <w:r w:rsidR="000B6727" w:rsidRPr="002B5558">
        <w:rPr>
          <w:rFonts w:cs="Arial"/>
          <w:i/>
          <w:sz w:val="22"/>
          <w:szCs w:val="22"/>
        </w:rPr>
        <w:t>dat 2-místných</w:t>
      </w:r>
      <w:proofErr w:type="gramEnd"/>
      <w:r w:rsidR="000B6727" w:rsidRPr="002B5558">
        <w:rPr>
          <w:rFonts w:cs="Arial"/>
          <w:i/>
          <w:sz w:val="22"/>
          <w:szCs w:val="22"/>
        </w:rPr>
        <w:t xml:space="preserve"> kódů HS</w:t>
      </w:r>
      <w:r w:rsidR="00962443" w:rsidRPr="002B5558">
        <w:rPr>
          <w:rFonts w:cs="Arial"/>
          <w:i/>
          <w:sz w:val="22"/>
          <w:szCs w:val="22"/>
        </w:rPr>
        <w:t xml:space="preserve">. </w:t>
      </w:r>
      <w:r w:rsidR="000B6727" w:rsidRPr="002B5558">
        <w:rPr>
          <w:rFonts w:cs="Arial"/>
          <w:i/>
          <w:sz w:val="22"/>
          <w:szCs w:val="22"/>
        </w:rPr>
        <w:t xml:space="preserve">Vzhledem k tomu, že </w:t>
      </w:r>
      <w:r w:rsidR="0046493C" w:rsidRPr="002B5558">
        <w:rPr>
          <w:rFonts w:cs="Arial"/>
          <w:i/>
          <w:sz w:val="22"/>
          <w:szCs w:val="22"/>
        </w:rPr>
        <w:t xml:space="preserve">ČSÚ začal </w:t>
      </w:r>
      <w:r w:rsidR="00962443" w:rsidRPr="002B5558">
        <w:rPr>
          <w:rFonts w:cs="Arial"/>
          <w:i/>
          <w:sz w:val="22"/>
          <w:szCs w:val="22"/>
        </w:rPr>
        <w:t xml:space="preserve">v roce 2016 nově </w:t>
      </w:r>
      <w:r w:rsidR="0046493C" w:rsidRPr="002B5558">
        <w:rPr>
          <w:rFonts w:cs="Arial"/>
          <w:i/>
          <w:sz w:val="22"/>
          <w:szCs w:val="22"/>
        </w:rPr>
        <w:t xml:space="preserve">zveřejňovat data v množstevním </w:t>
      </w:r>
      <w:r w:rsidR="00962443" w:rsidRPr="002B5558">
        <w:rPr>
          <w:rFonts w:cs="Arial"/>
          <w:i/>
          <w:sz w:val="22"/>
          <w:szCs w:val="22"/>
        </w:rPr>
        <w:t>vyjádření i </w:t>
      </w:r>
      <w:r w:rsidR="0046493C" w:rsidRPr="002B5558">
        <w:rPr>
          <w:rFonts w:cs="Arial"/>
          <w:i/>
          <w:sz w:val="22"/>
          <w:szCs w:val="22"/>
        </w:rPr>
        <w:t xml:space="preserve">pro </w:t>
      </w:r>
      <w:r w:rsidR="008E5229" w:rsidRPr="002B5558">
        <w:rPr>
          <w:rFonts w:cs="Arial"/>
          <w:i/>
          <w:sz w:val="22"/>
          <w:szCs w:val="22"/>
        </w:rPr>
        <w:t xml:space="preserve">méně podrobné úrovně </w:t>
      </w:r>
      <w:r w:rsidR="0046493C" w:rsidRPr="002B5558">
        <w:rPr>
          <w:rFonts w:cs="Arial"/>
          <w:i/>
          <w:sz w:val="22"/>
          <w:szCs w:val="22"/>
        </w:rPr>
        <w:t>celní nomenklatury</w:t>
      </w:r>
      <w:r w:rsidR="008E5229" w:rsidRPr="002B5558">
        <w:rPr>
          <w:rFonts w:cs="Arial"/>
          <w:i/>
          <w:sz w:val="22"/>
          <w:szCs w:val="22"/>
        </w:rPr>
        <w:t xml:space="preserve">, </w:t>
      </w:r>
      <w:proofErr w:type="gramStart"/>
      <w:r w:rsidR="008E5229" w:rsidRPr="002B5558">
        <w:rPr>
          <w:rFonts w:cs="Arial"/>
          <w:i/>
          <w:sz w:val="22"/>
          <w:szCs w:val="22"/>
        </w:rPr>
        <w:t>ne</w:t>
      </w:r>
      <w:r w:rsidR="000B6727" w:rsidRPr="002B5558">
        <w:rPr>
          <w:rFonts w:cs="Arial"/>
          <w:i/>
          <w:sz w:val="22"/>
          <w:szCs w:val="22"/>
        </w:rPr>
        <w:t>žli</w:t>
      </w:r>
      <w:r w:rsidR="008E5229" w:rsidRPr="002B5558">
        <w:rPr>
          <w:rFonts w:cs="Arial"/>
          <w:i/>
          <w:sz w:val="22"/>
          <w:szCs w:val="22"/>
        </w:rPr>
        <w:t xml:space="preserve"> 8-místn</w:t>
      </w:r>
      <w:r w:rsidR="000B6727" w:rsidRPr="002B5558">
        <w:rPr>
          <w:rFonts w:cs="Arial"/>
          <w:i/>
          <w:sz w:val="22"/>
          <w:szCs w:val="22"/>
        </w:rPr>
        <w:t>é</w:t>
      </w:r>
      <w:proofErr w:type="gramEnd"/>
      <w:r w:rsidR="000B6727" w:rsidRPr="002B5558">
        <w:rPr>
          <w:rFonts w:cs="Arial"/>
          <w:i/>
          <w:sz w:val="22"/>
          <w:szCs w:val="22"/>
        </w:rPr>
        <w:t xml:space="preserve"> </w:t>
      </w:r>
      <w:r w:rsidR="008E5229" w:rsidRPr="002B5558">
        <w:rPr>
          <w:rFonts w:cs="Arial"/>
          <w:i/>
          <w:sz w:val="22"/>
          <w:szCs w:val="22"/>
        </w:rPr>
        <w:t>KN</w:t>
      </w:r>
      <w:r w:rsidR="00645A8A">
        <w:rPr>
          <w:rFonts w:cs="Arial"/>
          <w:i/>
          <w:sz w:val="22"/>
          <w:szCs w:val="22"/>
        </w:rPr>
        <w:t>, jedná se </w:t>
      </w:r>
      <w:r w:rsidR="009F67AD">
        <w:rPr>
          <w:rFonts w:cs="Arial"/>
          <w:i/>
          <w:sz w:val="22"/>
          <w:szCs w:val="22"/>
        </w:rPr>
        <w:t>o </w:t>
      </w:r>
      <w:r w:rsidR="000B6727" w:rsidRPr="002B5558">
        <w:rPr>
          <w:rFonts w:cs="Arial"/>
          <w:i/>
          <w:sz w:val="22"/>
          <w:szCs w:val="22"/>
        </w:rPr>
        <w:t>data s dopočty</w:t>
      </w:r>
      <w:r w:rsidR="00962443" w:rsidRPr="002B5558">
        <w:rPr>
          <w:rFonts w:cs="Arial"/>
          <w:i/>
          <w:sz w:val="22"/>
          <w:szCs w:val="22"/>
        </w:rPr>
        <w:t>.</w:t>
      </w:r>
      <w:r w:rsidR="0046493C" w:rsidRPr="002B5558">
        <w:rPr>
          <w:rFonts w:cs="Arial"/>
          <w:i/>
          <w:sz w:val="22"/>
          <w:szCs w:val="22"/>
        </w:rPr>
        <w:t xml:space="preserve"> </w:t>
      </w: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432F30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432F30" w:rsidSect="00B7244C">
          <w:footerReference w:type="defaul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1C67" w:rsidRPr="002B5558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8902B8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8902B8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</w:t>
      </w:r>
      <w:r w:rsidR="007F22C5">
        <w:rPr>
          <w:rFonts w:cs="Arial"/>
          <w:sz w:val="22"/>
          <w:szCs w:val="22"/>
        </w:rPr>
        <w:t>8</w:t>
      </w:r>
    </w:p>
    <w:p w:rsidR="00432F30" w:rsidRPr="00432F30" w:rsidRDefault="00B26F9D" w:rsidP="00881C67">
      <w:pPr>
        <w:spacing w:line="240" w:lineRule="auto"/>
        <w:ind w:firstLine="0"/>
        <w:rPr>
          <w:rFonts w:cs="Arial"/>
          <w:i/>
          <w:szCs w:val="16"/>
        </w:rPr>
      </w:pPr>
      <w:r w:rsidRPr="00B26F9D">
        <w:rPr>
          <w:noProof/>
        </w:rPr>
        <w:drawing>
          <wp:inline distT="0" distB="0" distL="0" distR="0">
            <wp:extent cx="8891270" cy="4296115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EE" w:rsidRDefault="007A60EE" w:rsidP="007A60EE">
      <w:pPr>
        <w:spacing w:before="0" w:line="240" w:lineRule="auto"/>
        <w:ind w:firstLine="0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2013 až března 2018 a řazeny podle roku 2017.</w:t>
      </w:r>
    </w:p>
    <w:p w:rsidR="007A60EE" w:rsidRPr="007A60EE" w:rsidRDefault="00DC4BCD" w:rsidP="007A60EE">
      <w:pPr>
        <w:spacing w:before="0" w:line="240" w:lineRule="auto"/>
        <w:ind w:firstLine="0"/>
        <w:rPr>
          <w:rFonts w:cs="Arial"/>
          <w:i/>
          <w:iCs/>
        </w:rPr>
      </w:pPr>
      <w:r>
        <w:rPr>
          <w:rFonts w:cs="Arial"/>
          <w:i/>
          <w:iCs/>
          <w:color w:val="000000"/>
        </w:rPr>
        <w:t xml:space="preserve">Upřesnění názvů: </w:t>
      </w:r>
      <w:r w:rsidR="007A60EE" w:rsidRPr="007A60EE">
        <w:rPr>
          <w:rFonts w:cs="Arial"/>
          <w:i/>
          <w:iCs/>
          <w:color w:val="000000"/>
        </w:rPr>
        <w:t xml:space="preserve">HS 2402 cigarety vč. doutníků a doutníčků, HS 1514 řepkový olej vč. hořčičného, HS 1905 pekařské zboží vč. sušenek a oplatek, HS 2106 potravinové přípravky jiné a HS 0401 mléko </w:t>
      </w:r>
      <w:r w:rsidR="007A60EE">
        <w:rPr>
          <w:rFonts w:cs="Arial"/>
          <w:i/>
          <w:iCs/>
          <w:color w:val="000000"/>
        </w:rPr>
        <w:t>a smetana pouze nezahuštěné.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7F22C5">
        <w:rPr>
          <w:rFonts w:cs="Arial"/>
          <w:i/>
          <w:sz w:val="18"/>
          <w:szCs w:val="16"/>
        </w:rPr>
        <w:t>8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</w:t>
      </w:r>
      <w:r w:rsidR="00BE41EB" w:rsidRPr="002B5558">
        <w:rPr>
          <w:rFonts w:cs="Arial"/>
          <w:sz w:val="22"/>
          <w:szCs w:val="22"/>
        </w:rPr>
        <w:t>do</w:t>
      </w:r>
      <w:r w:rsidRPr="002B5558">
        <w:rPr>
          <w:rFonts w:cs="Arial"/>
          <w:sz w:val="22"/>
          <w:szCs w:val="22"/>
        </w:rPr>
        <w:t xml:space="preserve"> ČR </w:t>
      </w:r>
      <w:r w:rsidR="00FE1003" w:rsidRPr="002B5558">
        <w:rPr>
          <w:rFonts w:cs="Arial"/>
          <w:sz w:val="22"/>
          <w:szCs w:val="22"/>
        </w:rPr>
        <w:t>v roce 201</w:t>
      </w:r>
      <w:r w:rsidR="007F22C5">
        <w:rPr>
          <w:rFonts w:cs="Arial"/>
          <w:sz w:val="22"/>
          <w:szCs w:val="22"/>
        </w:rPr>
        <w:t>3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</w:t>
      </w:r>
      <w:r w:rsidR="007F22C5">
        <w:rPr>
          <w:rFonts w:cs="Arial"/>
          <w:sz w:val="22"/>
          <w:szCs w:val="22"/>
        </w:rPr>
        <w:t>8</w:t>
      </w:r>
    </w:p>
    <w:p w:rsidR="00DE5C2E" w:rsidRDefault="00B26F9D" w:rsidP="0019082B">
      <w:pPr>
        <w:ind w:firstLine="0"/>
        <w:contextualSpacing/>
        <w:rPr>
          <w:rFonts w:cs="Arial"/>
          <w:i/>
        </w:rPr>
      </w:pPr>
      <w:r w:rsidRPr="00B26F9D">
        <w:rPr>
          <w:noProof/>
        </w:rPr>
        <w:drawing>
          <wp:inline distT="0" distB="0" distL="0" distR="0">
            <wp:extent cx="8891270" cy="4445924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EE" w:rsidRDefault="007A60EE" w:rsidP="007A60EE">
      <w:pPr>
        <w:spacing w:before="0" w:line="240" w:lineRule="auto"/>
        <w:ind w:firstLine="0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2013 až března 2018 a řazeny podle roku 2017.</w:t>
      </w:r>
    </w:p>
    <w:p w:rsidR="007A60EE" w:rsidRPr="007A60EE" w:rsidRDefault="00DC4BCD" w:rsidP="007A60EE">
      <w:pPr>
        <w:spacing w:before="0" w:line="240" w:lineRule="auto"/>
        <w:ind w:firstLine="0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 xml:space="preserve">Upřesnění názvů: </w:t>
      </w:r>
      <w:r w:rsidR="007A60EE" w:rsidRPr="007A60EE">
        <w:rPr>
          <w:rFonts w:cs="Arial"/>
          <w:i/>
          <w:iCs/>
          <w:color w:val="000000"/>
        </w:rPr>
        <w:t>HS 1905 pekařské zboží vč. sušenek a oplatek,  HS 2402 cigarety vč. doutníků a doutníčků a HS 2106 potravinové přípravky jiné.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7F22C5">
        <w:rPr>
          <w:rFonts w:cs="Arial"/>
          <w:i/>
          <w:sz w:val="18"/>
          <w:szCs w:val="16"/>
        </w:rPr>
        <w:t>8</w:t>
      </w:r>
    </w:p>
    <w:p w:rsidR="00881C67" w:rsidRPr="002B5558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="00D96BCB"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="00D96BCB"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EU </w:t>
      </w:r>
      <w:r w:rsidR="00FE1003" w:rsidRPr="002B5558">
        <w:rPr>
          <w:rFonts w:cs="Arial"/>
          <w:sz w:val="22"/>
          <w:szCs w:val="22"/>
        </w:rPr>
        <w:t>v roce 201</w:t>
      </w:r>
      <w:r w:rsidR="00CF1D84">
        <w:rPr>
          <w:rFonts w:cs="Arial"/>
          <w:sz w:val="22"/>
          <w:szCs w:val="22"/>
        </w:rPr>
        <w:t>3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</w:t>
      </w:r>
      <w:r w:rsidR="00CF1D84">
        <w:rPr>
          <w:rFonts w:cs="Arial"/>
          <w:sz w:val="22"/>
          <w:szCs w:val="22"/>
        </w:rPr>
        <w:t>8</w:t>
      </w:r>
    </w:p>
    <w:p w:rsidR="00DC4BCD" w:rsidRDefault="00B26F9D" w:rsidP="00DC4BCD">
      <w:pPr>
        <w:ind w:firstLine="0"/>
        <w:contextualSpacing/>
        <w:rPr>
          <w:rFonts w:cs="Arial"/>
          <w:i/>
          <w:szCs w:val="16"/>
        </w:rPr>
      </w:pPr>
      <w:r w:rsidRPr="00B26F9D">
        <w:rPr>
          <w:noProof/>
        </w:rPr>
        <w:drawing>
          <wp:inline distT="0" distB="0" distL="0" distR="0">
            <wp:extent cx="8891270" cy="4445924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CD" w:rsidRDefault="00DC4BCD" w:rsidP="00DC4BCD">
      <w:pPr>
        <w:spacing w:before="0" w:line="240" w:lineRule="auto"/>
        <w:ind w:firstLine="0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2013 až března 2018 a řazeny podle roku 2017.</w:t>
      </w:r>
    </w:p>
    <w:p w:rsidR="00DE5C2E" w:rsidRPr="00DC4BCD" w:rsidRDefault="00DE5C2E" w:rsidP="00DC4BCD">
      <w:pPr>
        <w:ind w:firstLine="0"/>
        <w:contextualSpacing/>
        <w:rPr>
          <w:rFonts w:cs="Arial"/>
          <w:i/>
          <w:szCs w:val="16"/>
        </w:rPr>
      </w:pPr>
      <w:r w:rsidRPr="00DE5C2E">
        <w:rPr>
          <w:rFonts w:cs="Arial"/>
          <w:i/>
          <w:sz w:val="18"/>
          <w:szCs w:val="16"/>
        </w:rPr>
        <w:t xml:space="preserve">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19</w:t>
      </w:r>
      <w:r w:rsidR="00EA3C0A">
        <w:rPr>
          <w:rFonts w:cs="Arial"/>
          <w:i/>
          <w:sz w:val="18"/>
          <w:szCs w:val="16"/>
        </w:rPr>
        <w:t>05 pekařské zboží vč. sušenek a </w:t>
      </w:r>
      <w:r w:rsidR="00EA3C0A" w:rsidRPr="00EA3C0A">
        <w:rPr>
          <w:rFonts w:cs="Arial"/>
          <w:i/>
          <w:sz w:val="18"/>
          <w:szCs w:val="16"/>
        </w:rPr>
        <w:t>oplatek</w:t>
      </w:r>
      <w:r w:rsidR="00641A38">
        <w:rPr>
          <w:rFonts w:cs="Arial"/>
          <w:i/>
          <w:sz w:val="18"/>
          <w:szCs w:val="16"/>
        </w:rPr>
        <w:t>, HS </w:t>
      </w:r>
      <w:r w:rsidR="00641A38" w:rsidRPr="00EA3C0A">
        <w:rPr>
          <w:rFonts w:cs="Arial"/>
          <w:i/>
          <w:sz w:val="18"/>
          <w:szCs w:val="16"/>
        </w:rPr>
        <w:t>04</w:t>
      </w:r>
      <w:r w:rsidR="00DC4BCD">
        <w:rPr>
          <w:rFonts w:cs="Arial"/>
          <w:i/>
          <w:sz w:val="18"/>
          <w:szCs w:val="16"/>
        </w:rPr>
        <w:t>01 mléko a </w:t>
      </w:r>
      <w:r w:rsidR="00641A38">
        <w:rPr>
          <w:rFonts w:cs="Arial"/>
          <w:i/>
          <w:sz w:val="18"/>
          <w:szCs w:val="16"/>
        </w:rPr>
        <w:t>smetana nezahuštěné</w:t>
      </w:r>
      <w:r w:rsidR="00EA3C0A" w:rsidRPr="00EA3C0A">
        <w:rPr>
          <w:rFonts w:cs="Arial"/>
          <w:i/>
          <w:sz w:val="18"/>
          <w:szCs w:val="16"/>
        </w:rPr>
        <w:t xml:space="preserve"> a HS 2106 potravinové přípravky jiné.</w:t>
      </w:r>
    </w:p>
    <w:p w:rsidR="0019082B" w:rsidRPr="00DE5C2E" w:rsidRDefault="0019082B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CF1D84">
        <w:rPr>
          <w:rFonts w:cs="Arial"/>
          <w:i/>
          <w:sz w:val="18"/>
          <w:szCs w:val="16"/>
        </w:rPr>
        <w:t>8</w:t>
      </w:r>
    </w:p>
    <w:p w:rsidR="008902B8" w:rsidRPr="002B5558" w:rsidRDefault="0019082B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="002C5411" w:rsidRPr="002B5558">
        <w:rPr>
          <w:rFonts w:cs="Arial"/>
          <w:sz w:val="22"/>
          <w:szCs w:val="22"/>
        </w:rPr>
        <w:lastRenderedPageBreak/>
        <w:t>Tabulka – Vývoj dovozu 10 nejvíce dovážených agrárních položek z</w:t>
      </w:r>
      <w:r w:rsidR="00BE41EB" w:rsidRPr="002B5558">
        <w:rPr>
          <w:rFonts w:cs="Arial"/>
          <w:sz w:val="22"/>
          <w:szCs w:val="22"/>
        </w:rPr>
        <w:t xml:space="preserve"> EU </w:t>
      </w:r>
      <w:r w:rsidR="002C5411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FE1003" w:rsidRPr="002B5558">
        <w:rPr>
          <w:rFonts w:cs="Arial"/>
          <w:sz w:val="22"/>
          <w:szCs w:val="22"/>
        </w:rPr>
        <w:t>v roce 201</w:t>
      </w:r>
      <w:r w:rsidR="00CF1D84">
        <w:rPr>
          <w:rFonts w:cs="Arial"/>
          <w:sz w:val="22"/>
          <w:szCs w:val="22"/>
        </w:rPr>
        <w:t>3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</w:t>
      </w:r>
      <w:r w:rsidR="00CF1D84">
        <w:rPr>
          <w:rFonts w:cs="Arial"/>
          <w:sz w:val="22"/>
          <w:szCs w:val="22"/>
        </w:rPr>
        <w:t>8</w:t>
      </w:r>
    </w:p>
    <w:p w:rsidR="00DE5C2E" w:rsidRDefault="00B26F9D" w:rsidP="00651FFD">
      <w:pPr>
        <w:ind w:firstLine="0"/>
        <w:rPr>
          <w:rFonts w:cs="Arial"/>
          <w:i/>
          <w:szCs w:val="16"/>
        </w:rPr>
      </w:pPr>
      <w:r w:rsidRPr="00B26F9D">
        <w:rPr>
          <w:noProof/>
        </w:rPr>
        <w:drawing>
          <wp:inline distT="0" distB="0" distL="0" distR="0">
            <wp:extent cx="8891270" cy="4445924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CD" w:rsidRDefault="00DC4BCD" w:rsidP="00DC4BCD">
      <w:pPr>
        <w:spacing w:before="0" w:line="240" w:lineRule="auto"/>
        <w:ind w:firstLine="0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2013 až března 2018 a řazeny podle roku 2017.</w:t>
      </w:r>
    </w:p>
    <w:p w:rsidR="00EA3C0A" w:rsidRDefault="00641A38" w:rsidP="00564F56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2402 cigarety vč. doutníků a doutníčků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2C5411" w:rsidRPr="00DE5C2E" w:rsidRDefault="00651FF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CF1D84">
        <w:rPr>
          <w:rFonts w:cs="Arial"/>
          <w:i/>
          <w:sz w:val="18"/>
          <w:szCs w:val="16"/>
        </w:rPr>
        <w:t>8</w:t>
      </w:r>
    </w:p>
    <w:p w:rsidR="002C5411" w:rsidRPr="002B5558" w:rsidRDefault="002C5411" w:rsidP="002C541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="00D96BCB" w:rsidRPr="002B5558">
        <w:rPr>
          <w:rFonts w:cs="Arial"/>
          <w:sz w:val="22"/>
          <w:szCs w:val="22"/>
          <w:u w:val="single"/>
        </w:rPr>
        <w:lastRenderedPageBreak/>
        <w:t xml:space="preserve">3) </w:t>
      </w: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="00AA6B1A"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="00AA6B1A" w:rsidRPr="002B5558">
        <w:rPr>
          <w:rFonts w:cs="Arial"/>
          <w:sz w:val="22"/>
          <w:szCs w:val="22"/>
          <w:u w:val="single"/>
        </w:rPr>
        <w:t xml:space="preserve"> země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</w:t>
      </w:r>
      <w:proofErr w:type="spellStart"/>
      <w:r w:rsidR="00AA6B1A" w:rsidRPr="002B5558">
        <w:rPr>
          <w:rFonts w:cs="Arial"/>
          <w:sz w:val="22"/>
          <w:szCs w:val="22"/>
        </w:rPr>
        <w:t>mimounijních</w:t>
      </w:r>
      <w:proofErr w:type="spellEnd"/>
      <w:r w:rsidR="00AA6B1A" w:rsidRPr="002B5558">
        <w:rPr>
          <w:rFonts w:cs="Arial"/>
          <w:sz w:val="22"/>
          <w:szCs w:val="22"/>
        </w:rPr>
        <w:t xml:space="preserve"> zemí</w:t>
      </w:r>
      <w:r w:rsidR="00BE41EB" w:rsidRPr="002B5558">
        <w:rPr>
          <w:rFonts w:cs="Arial"/>
          <w:sz w:val="22"/>
          <w:szCs w:val="22"/>
        </w:rPr>
        <w:t xml:space="preserve"> </w:t>
      </w:r>
      <w:r w:rsidR="00FE1003" w:rsidRPr="002B5558">
        <w:rPr>
          <w:rFonts w:cs="Arial"/>
          <w:sz w:val="22"/>
          <w:szCs w:val="22"/>
        </w:rPr>
        <w:t>v roce 201</w:t>
      </w:r>
      <w:r w:rsidR="00CF1D84">
        <w:rPr>
          <w:rFonts w:cs="Arial"/>
          <w:sz w:val="22"/>
          <w:szCs w:val="22"/>
        </w:rPr>
        <w:t>3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CF1D84">
        <w:rPr>
          <w:rFonts w:cs="Arial"/>
          <w:sz w:val="22"/>
          <w:szCs w:val="22"/>
        </w:rPr>
        <w:t>1. čtvrtletí roku 2018</w:t>
      </w:r>
    </w:p>
    <w:p w:rsidR="00DE5C2E" w:rsidRDefault="00B26F9D" w:rsidP="00B74C59">
      <w:pPr>
        <w:ind w:firstLine="0"/>
        <w:contextualSpacing/>
        <w:rPr>
          <w:rFonts w:cs="Arial"/>
          <w:i/>
        </w:rPr>
      </w:pPr>
      <w:r w:rsidRPr="00B26F9D">
        <w:rPr>
          <w:noProof/>
        </w:rPr>
        <w:drawing>
          <wp:inline distT="0" distB="0" distL="0" distR="0">
            <wp:extent cx="8891270" cy="4445924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CD" w:rsidRDefault="00DC4BCD" w:rsidP="00DC4BCD">
      <w:pPr>
        <w:spacing w:before="0" w:line="240" w:lineRule="auto"/>
        <w:ind w:firstLine="0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2013 až března 2018 a řazeny podle roku 2017.</w:t>
      </w:r>
    </w:p>
    <w:p w:rsidR="00DE5C2E" w:rsidRPr="00DE5C2E" w:rsidRDefault="00641A38" w:rsidP="00564F56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1302 pektiny vč. rostlinných šťáv a výtažků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jiné.</w:t>
      </w:r>
    </w:p>
    <w:p w:rsidR="00B74C59" w:rsidRPr="00DE5C2E" w:rsidRDefault="00B74C5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CF1D84">
        <w:rPr>
          <w:rFonts w:cs="Arial"/>
          <w:i/>
          <w:sz w:val="18"/>
          <w:szCs w:val="16"/>
        </w:rPr>
        <w:t>8</w:t>
      </w:r>
    </w:p>
    <w:p w:rsidR="008902B8" w:rsidRPr="002B5558" w:rsidRDefault="00134CD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B74C59"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proofErr w:type="spellStart"/>
      <w:r w:rsidR="00AA6B1A" w:rsidRPr="002B5558">
        <w:rPr>
          <w:rFonts w:cs="Arial"/>
          <w:sz w:val="22"/>
          <w:szCs w:val="22"/>
        </w:rPr>
        <w:t>mimounijních</w:t>
      </w:r>
      <w:proofErr w:type="spellEnd"/>
      <w:r w:rsidR="00AA6B1A" w:rsidRPr="002B5558">
        <w:rPr>
          <w:rFonts w:cs="Arial"/>
          <w:sz w:val="22"/>
          <w:szCs w:val="22"/>
        </w:rPr>
        <w:t xml:space="preserve"> zemí </w:t>
      </w:r>
      <w:r w:rsidR="00B74C59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FE1003" w:rsidRPr="002B5558">
        <w:rPr>
          <w:rFonts w:cs="Arial"/>
          <w:sz w:val="22"/>
          <w:szCs w:val="22"/>
        </w:rPr>
        <w:t>v roce 201</w:t>
      </w:r>
      <w:r w:rsidR="00CF1D84">
        <w:rPr>
          <w:rFonts w:cs="Arial"/>
          <w:sz w:val="22"/>
          <w:szCs w:val="22"/>
        </w:rPr>
        <w:t>3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</w:t>
      </w:r>
      <w:r w:rsidR="00CF1D84">
        <w:rPr>
          <w:rFonts w:cs="Arial"/>
          <w:sz w:val="22"/>
          <w:szCs w:val="22"/>
        </w:rPr>
        <w:t>8</w:t>
      </w:r>
    </w:p>
    <w:p w:rsidR="00EA3C0A" w:rsidRDefault="00B26F9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B26F9D">
        <w:rPr>
          <w:noProof/>
        </w:rPr>
        <w:drawing>
          <wp:inline distT="0" distB="0" distL="0" distR="0">
            <wp:extent cx="8891270" cy="4445924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CD" w:rsidRDefault="00DC4BCD" w:rsidP="00DC4BCD">
      <w:pPr>
        <w:spacing w:before="0" w:line="240" w:lineRule="auto"/>
        <w:ind w:firstLine="0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2013 až března 2018 a řazeny podle roku 2017.</w:t>
      </w:r>
    </w:p>
    <w:p w:rsidR="00DE5C2E" w:rsidRDefault="00641A38" w:rsidP="00564F56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Upřesnění názvů komodit: </w:t>
      </w:r>
      <w:r w:rsidR="00DE5C2E" w:rsidRPr="00DE5C2E">
        <w:rPr>
          <w:rFonts w:cs="Arial"/>
          <w:i/>
          <w:sz w:val="18"/>
          <w:szCs w:val="16"/>
        </w:rPr>
        <w:t>HS 2106 potravinové přípravky jiné, HS 0802 skořápkové ovoce bez kokosů, para a kešu ořechů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DE5C2E">
        <w:rPr>
          <w:rFonts w:cs="Arial"/>
          <w:i/>
          <w:sz w:val="18"/>
          <w:szCs w:val="16"/>
        </w:rPr>
        <w:t>HS 2401 tabák nezpr</w:t>
      </w:r>
      <w:r w:rsidR="00131199">
        <w:rPr>
          <w:rFonts w:cs="Arial"/>
          <w:i/>
          <w:sz w:val="18"/>
          <w:szCs w:val="16"/>
        </w:rPr>
        <w:t>acovaný</w:t>
      </w:r>
      <w:r w:rsidR="00DE5C2E" w:rsidRPr="00DE5C2E">
        <w:rPr>
          <w:rFonts w:cs="Arial"/>
          <w:i/>
          <w:sz w:val="18"/>
          <w:szCs w:val="16"/>
        </w:rPr>
        <w:t>.</w:t>
      </w:r>
    </w:p>
    <w:p w:rsidR="00651FFD" w:rsidRPr="00DE5C2E" w:rsidRDefault="002C5411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Zdroj: Databáze zahra</w:t>
      </w:r>
      <w:r w:rsidR="004C2508" w:rsidRPr="00DE5C2E">
        <w:rPr>
          <w:rFonts w:cs="Arial"/>
          <w:i/>
          <w:sz w:val="18"/>
          <w:szCs w:val="16"/>
        </w:rPr>
        <w:t xml:space="preserve">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CF1D84">
        <w:rPr>
          <w:rFonts w:cs="Arial"/>
          <w:i/>
          <w:sz w:val="18"/>
          <w:szCs w:val="16"/>
        </w:rPr>
        <w:t>8</w:t>
      </w:r>
    </w:p>
    <w:p w:rsidR="004C2508" w:rsidRPr="00432F30" w:rsidRDefault="004C2508" w:rsidP="004C2508">
      <w:pPr>
        <w:ind w:firstLine="0"/>
        <w:contextualSpacing/>
        <w:rPr>
          <w:rFonts w:cs="Arial"/>
        </w:rPr>
        <w:sectPr w:rsidR="004C2508" w:rsidRPr="00432F30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B5558" w:rsidRDefault="00D96BCB" w:rsidP="001B1B58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 xml:space="preserve">4) </w:t>
      </w:r>
      <w:r w:rsidR="007E03F5" w:rsidRPr="002B5558">
        <w:rPr>
          <w:rFonts w:ascii="Arial" w:hAnsi="Arial" w:cs="Arial"/>
          <w:sz w:val="22"/>
          <w:szCs w:val="22"/>
        </w:rPr>
        <w:t>Pořadí zemí dle hodnoty agrárního vývozu z ČR</w:t>
      </w:r>
      <w:bookmarkEnd w:id="3"/>
      <w:r w:rsidR="007E03F5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B81FE6" w:rsidP="00354B6A">
      <w:pPr>
        <w:ind w:firstLine="0"/>
        <w:contextualSpacing/>
        <w:rPr>
          <w:rFonts w:cs="Arial"/>
          <w:i/>
          <w:szCs w:val="16"/>
        </w:rPr>
      </w:pPr>
      <w:r w:rsidRPr="00B81FE6">
        <w:rPr>
          <w:noProof/>
        </w:rPr>
        <w:drawing>
          <wp:inline distT="0" distB="0" distL="0" distR="0">
            <wp:extent cx="5760720" cy="6608274"/>
            <wp:effectExtent l="0" t="0" r="0" b="254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EF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</w:t>
      </w:r>
      <w:r w:rsidR="002F2A38" w:rsidRPr="00FB09A5">
        <w:rPr>
          <w:rFonts w:cs="Arial"/>
          <w:i/>
          <w:sz w:val="18"/>
          <w:szCs w:val="16"/>
        </w:rPr>
        <w:t xml:space="preserve">. Barevně jsou zvýrazněny země </w:t>
      </w:r>
      <w:r w:rsidRPr="00FB09A5">
        <w:rPr>
          <w:rFonts w:cs="Arial"/>
          <w:i/>
          <w:sz w:val="18"/>
          <w:szCs w:val="16"/>
        </w:rPr>
        <w:t>EU</w:t>
      </w:r>
      <w:r w:rsidR="00613D98" w:rsidRPr="00FB09A5">
        <w:rPr>
          <w:rFonts w:cs="Arial"/>
          <w:i/>
          <w:sz w:val="18"/>
          <w:szCs w:val="16"/>
        </w:rPr>
        <w:t> </w:t>
      </w:r>
      <w:r w:rsidRPr="00FB09A5">
        <w:rPr>
          <w:rFonts w:cs="Arial"/>
          <w:i/>
          <w:sz w:val="18"/>
          <w:szCs w:val="16"/>
        </w:rPr>
        <w:t xml:space="preserve">28, </w:t>
      </w:r>
      <w:r w:rsidR="006D6AEF" w:rsidRPr="00FB09A5">
        <w:rPr>
          <w:rFonts w:cs="Arial"/>
          <w:i/>
          <w:sz w:val="18"/>
          <w:szCs w:val="16"/>
        </w:rPr>
        <w:t>řazeno</w:t>
      </w:r>
      <w:r w:rsidR="00FB09A5" w:rsidRPr="00FB09A5">
        <w:rPr>
          <w:rFonts w:cs="Arial"/>
          <w:i/>
          <w:sz w:val="18"/>
          <w:szCs w:val="16"/>
        </w:rPr>
        <w:t xml:space="preserve"> </w:t>
      </w:r>
      <w:r w:rsidR="006D6AEF" w:rsidRPr="00FB09A5">
        <w:rPr>
          <w:rFonts w:cs="Arial"/>
          <w:i/>
          <w:sz w:val="18"/>
          <w:szCs w:val="16"/>
        </w:rPr>
        <w:t>podle</w:t>
      </w:r>
      <w:r w:rsidR="00FE1003">
        <w:rPr>
          <w:rFonts w:cs="Arial"/>
          <w:i/>
          <w:sz w:val="18"/>
          <w:szCs w:val="16"/>
        </w:rPr>
        <w:t xml:space="preserve"> 1. čtvrtletí roku 201</w:t>
      </w:r>
      <w:r w:rsidR="00CF1D84">
        <w:rPr>
          <w:rFonts w:cs="Arial"/>
          <w:i/>
          <w:sz w:val="18"/>
          <w:szCs w:val="16"/>
        </w:rPr>
        <w:t>8</w:t>
      </w:r>
      <w:r w:rsidR="00360245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3218A7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 w:rsidR="00B81FE6">
        <w:rPr>
          <w:rFonts w:cs="Arial"/>
          <w:i/>
          <w:sz w:val="18"/>
          <w:szCs w:val="16"/>
        </w:rPr>
        <w:t>9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354B6A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CF1D84">
        <w:rPr>
          <w:rFonts w:cs="Arial"/>
          <w:i/>
          <w:sz w:val="18"/>
          <w:szCs w:val="16"/>
        </w:rPr>
        <w:t>8</w:t>
      </w:r>
    </w:p>
    <w:p w:rsidR="00354B6A" w:rsidRPr="00432F30" w:rsidRDefault="00354B6A" w:rsidP="00354B6A">
      <w:pPr>
        <w:rPr>
          <w:rFonts w:cs="Arial"/>
        </w:rPr>
      </w:pPr>
    </w:p>
    <w:p w:rsidR="007E03F5" w:rsidRPr="002B5558" w:rsidRDefault="007E03F5" w:rsidP="00D96BCB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B5558">
        <w:rPr>
          <w:rFonts w:ascii="Arial" w:hAnsi="Arial" w:cs="Arial"/>
          <w:sz w:val="22"/>
          <w:szCs w:val="22"/>
        </w:rPr>
        <w:lastRenderedPageBreak/>
        <w:t>5)</w:t>
      </w:r>
      <w:r w:rsidR="00D96BCB"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</w:t>
      </w:r>
      <w:r w:rsidR="00D96BCB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B81FE6" w:rsidP="00FB09A5">
      <w:pPr>
        <w:ind w:firstLine="0"/>
        <w:contextualSpacing/>
        <w:rPr>
          <w:rFonts w:cs="Arial"/>
          <w:i/>
          <w:szCs w:val="16"/>
        </w:rPr>
      </w:pPr>
      <w:r w:rsidRPr="00B81FE6">
        <w:rPr>
          <w:noProof/>
        </w:rPr>
        <w:drawing>
          <wp:inline distT="0" distB="0" distL="0" distR="0">
            <wp:extent cx="5760720" cy="6967223"/>
            <wp:effectExtent l="0" t="0" r="0" b="508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6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A5" w:rsidRDefault="006D6AEF" w:rsidP="00FB09A5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</w:t>
      </w:r>
      <w:r w:rsidR="00EB4D6E" w:rsidRPr="00FB09A5">
        <w:rPr>
          <w:rFonts w:cs="Arial"/>
          <w:i/>
          <w:sz w:val="18"/>
          <w:szCs w:val="16"/>
        </w:rPr>
        <w:t xml:space="preserve"> </w:t>
      </w:r>
      <w:r w:rsidRPr="00FB09A5">
        <w:rPr>
          <w:rFonts w:cs="Arial"/>
          <w:i/>
          <w:sz w:val="18"/>
          <w:szCs w:val="16"/>
        </w:rPr>
        <w:t xml:space="preserve">28, </w:t>
      </w:r>
      <w:r w:rsidR="00FB09A5" w:rsidRPr="00FB09A5">
        <w:rPr>
          <w:rFonts w:cs="Arial"/>
          <w:i/>
          <w:sz w:val="18"/>
          <w:szCs w:val="16"/>
        </w:rPr>
        <w:t xml:space="preserve">řazeno </w:t>
      </w:r>
      <w:r w:rsidR="00FE1003" w:rsidRPr="00FB09A5">
        <w:rPr>
          <w:rFonts w:cs="Arial"/>
          <w:i/>
          <w:sz w:val="18"/>
          <w:szCs w:val="16"/>
        </w:rPr>
        <w:t>podle</w:t>
      </w:r>
      <w:r w:rsidR="00FE1003">
        <w:rPr>
          <w:rFonts w:cs="Arial"/>
          <w:i/>
          <w:sz w:val="18"/>
          <w:szCs w:val="16"/>
        </w:rPr>
        <w:t xml:space="preserve"> 1. čtvrtletí roku 201</w:t>
      </w:r>
      <w:r w:rsidR="00CF1D84">
        <w:rPr>
          <w:rFonts w:cs="Arial"/>
          <w:i/>
          <w:sz w:val="18"/>
          <w:szCs w:val="16"/>
        </w:rPr>
        <w:t>8</w:t>
      </w:r>
      <w:r w:rsidR="00C272D2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FB09A5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</w:t>
      </w:r>
      <w:r w:rsidR="00122E98">
        <w:rPr>
          <w:rFonts w:cs="Arial"/>
          <w:i/>
          <w:sz w:val="18"/>
          <w:szCs w:val="16"/>
        </w:rPr>
        <w:t>7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354B6A" w:rsidRPr="00432F30" w:rsidRDefault="006D6AEF" w:rsidP="003E29A9">
      <w:pPr>
        <w:ind w:firstLine="0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</w:t>
      </w:r>
      <w:r w:rsidR="00CF1D84">
        <w:rPr>
          <w:rFonts w:cs="Arial"/>
          <w:i/>
          <w:sz w:val="18"/>
          <w:szCs w:val="16"/>
        </w:rPr>
        <w:t>8</w:t>
      </w:r>
    </w:p>
    <w:p w:rsidR="00354B6A" w:rsidRPr="00432F30" w:rsidRDefault="00354B6A" w:rsidP="003E29A9">
      <w:pPr>
        <w:ind w:firstLine="0"/>
        <w:rPr>
          <w:rFonts w:cs="Arial"/>
        </w:rPr>
      </w:pPr>
    </w:p>
    <w:p w:rsidR="00354B6A" w:rsidRPr="00432F30" w:rsidRDefault="00354B6A" w:rsidP="003E29A9">
      <w:pPr>
        <w:ind w:firstLine="0"/>
        <w:rPr>
          <w:rFonts w:cs="Arial"/>
        </w:rPr>
      </w:pPr>
    </w:p>
    <w:p w:rsidR="00163AB9" w:rsidRPr="00432F30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432F30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46" w:rsidRDefault="00CD7746" w:rsidP="000906F6">
      <w:pPr>
        <w:spacing w:before="0" w:line="240" w:lineRule="auto"/>
      </w:pPr>
      <w:r>
        <w:separator/>
      </w:r>
    </w:p>
  </w:endnote>
  <w:endnote w:type="continuationSeparator" w:id="0">
    <w:p w:rsidR="00CD7746" w:rsidRDefault="00CD7746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34" w:rsidRPr="00B060EE" w:rsidRDefault="004E1211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="00380434"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B04F8F">
      <w:rPr>
        <w:rFonts w:ascii="Times New Roman" w:hAnsi="Times New Roman"/>
        <w:noProof/>
      </w:rPr>
      <w:t>2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46" w:rsidRDefault="00CD7746" w:rsidP="000906F6">
      <w:pPr>
        <w:spacing w:before="0" w:line="240" w:lineRule="auto"/>
      </w:pPr>
      <w:r>
        <w:separator/>
      </w:r>
    </w:p>
  </w:footnote>
  <w:footnote w:type="continuationSeparator" w:id="0">
    <w:p w:rsidR="00CD7746" w:rsidRDefault="00CD7746" w:rsidP="000906F6">
      <w:pPr>
        <w:spacing w:before="0" w:line="240" w:lineRule="auto"/>
      </w:pPr>
      <w:r>
        <w:continuationSeparator/>
      </w:r>
    </w:p>
  </w:footnote>
  <w:footnote w:id="1">
    <w:p w:rsidR="00C83E71" w:rsidRDefault="00C83E71">
      <w:pPr>
        <w:pStyle w:val="Textpoznpodarou"/>
      </w:pPr>
      <w:r>
        <w:rPr>
          <w:rStyle w:val="Znakapoznpodarou"/>
        </w:rPr>
        <w:footnoteRef/>
      </w:r>
      <w:r>
        <w:t xml:space="preserve">    Vymezené kapitolami 1 až 24 celního sazebníku.</w:t>
      </w:r>
    </w:p>
  </w:footnote>
  <w:footnote w:id="2">
    <w:p w:rsidR="00A9539E" w:rsidRPr="00A9539E" w:rsidRDefault="00A9539E" w:rsidP="00354FC0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A9539E">
        <w:rPr>
          <w:rStyle w:val="Znakapoznpodarou"/>
          <w:vertAlign w:val="baseline"/>
        </w:rPr>
        <w:t>Řazeno</w:t>
      </w:r>
      <w:r>
        <w:t xml:space="preserve"> dle hodnot</w:t>
      </w:r>
      <w:r w:rsidR="00BA479E">
        <w:t>y vývozu ve f</w:t>
      </w:r>
      <w:r w:rsidR="00D212E6">
        <w:t>inančním vyjádření</w:t>
      </w:r>
      <w:r w:rsidR="008F474F">
        <w:t>,</w:t>
      </w:r>
      <w:r w:rsidR="00D212E6">
        <w:t xml:space="preserve"> a to </w:t>
      </w:r>
      <w:r w:rsidR="008F474F">
        <w:t xml:space="preserve">na </w:t>
      </w:r>
      <w:proofErr w:type="gramStart"/>
      <w:r w:rsidR="008F474F">
        <w:t xml:space="preserve">základě </w:t>
      </w:r>
      <w:r w:rsidR="00D212E6">
        <w:t>4-místných</w:t>
      </w:r>
      <w:proofErr w:type="gramEnd"/>
      <w:r w:rsidR="00D212E6">
        <w:t xml:space="preserve">, </w:t>
      </w:r>
      <w:r w:rsidR="00354FC0">
        <w:t>ale </w:t>
      </w:r>
      <w:r w:rsidR="00BA479E">
        <w:t>i podrobnějších kódů celní nomenklatury.</w:t>
      </w:r>
    </w:p>
  </w:footnote>
  <w:footnote w:id="3">
    <w:p w:rsidR="0019534E" w:rsidRDefault="0019534E">
      <w:pPr>
        <w:pStyle w:val="Textpoznpodarou"/>
      </w:pPr>
      <w:r>
        <w:rPr>
          <w:rStyle w:val="Znakapoznpodarou"/>
        </w:rPr>
        <w:footnoteRef/>
      </w:r>
      <w:r>
        <w:t xml:space="preserve">   </w:t>
      </w:r>
      <w:r w:rsidR="00354FC0">
        <w:t xml:space="preserve"> </w:t>
      </w:r>
      <w:r>
        <w:t xml:space="preserve">Cigarety </w:t>
      </w:r>
      <w:r w:rsidRPr="00D15861">
        <w:t>vč. doutníků a doutníčků HS 2402</w:t>
      </w:r>
      <w:r w:rsidR="00EC2915" w:rsidRPr="00E52040">
        <w:t>.</w:t>
      </w:r>
    </w:p>
  </w:footnote>
  <w:footnote w:id="4">
    <w:p w:rsidR="00074081" w:rsidRDefault="00074081" w:rsidP="00354FC0">
      <w:pPr>
        <w:pStyle w:val="Textpoznpodarou"/>
        <w:tabs>
          <w:tab w:val="left" w:pos="851"/>
        </w:tabs>
        <w:ind w:left="851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Podíl surového mléka (vymezeného přibližně položkou KN 0401 20 99 „mléko s obsahem tuku převyšující 3 % a nepřevyšující 6 % v balení nad 2 litry“) se meziročně navýšil v hodnotě </w:t>
      </w:r>
      <w:r w:rsidR="004E6758">
        <w:t xml:space="preserve">o 0,6 p. b. </w:t>
      </w:r>
      <w:proofErr w:type="gramStart"/>
      <w:r w:rsidR="004E6758">
        <w:t>na</w:t>
      </w:r>
      <w:proofErr w:type="gramEnd"/>
      <w:r w:rsidR="004E6758">
        <w:t xml:space="preserve"> 73,4 %</w:t>
      </w:r>
      <w:r>
        <w:t xml:space="preserve"> a v </w:t>
      </w:r>
      <w:r w:rsidRPr="00E52040">
        <w:t xml:space="preserve">množství </w:t>
      </w:r>
      <w:r w:rsidR="00EC2915" w:rsidRPr="00E52040">
        <w:t>o</w:t>
      </w:r>
      <w:r w:rsidR="00EC2915">
        <w:t> </w:t>
      </w:r>
      <w:r w:rsidR="004E6758">
        <w:t>1,7 p. b. na 82,2 %</w:t>
      </w:r>
      <w:r>
        <w:t xml:space="preserve">. </w:t>
      </w:r>
    </w:p>
  </w:footnote>
  <w:footnote w:id="5">
    <w:p w:rsidR="004E6758" w:rsidRDefault="004E6758" w:rsidP="004E6758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15"/>
    <w:rsid w:val="00001D19"/>
    <w:rsid w:val="0000225A"/>
    <w:rsid w:val="0000262E"/>
    <w:rsid w:val="00012465"/>
    <w:rsid w:val="00015384"/>
    <w:rsid w:val="0001593B"/>
    <w:rsid w:val="000178C3"/>
    <w:rsid w:val="00017BB5"/>
    <w:rsid w:val="00017E64"/>
    <w:rsid w:val="00020B12"/>
    <w:rsid w:val="0002116E"/>
    <w:rsid w:val="00021C95"/>
    <w:rsid w:val="00021F90"/>
    <w:rsid w:val="00023B2E"/>
    <w:rsid w:val="00036F3F"/>
    <w:rsid w:val="000405A6"/>
    <w:rsid w:val="00042034"/>
    <w:rsid w:val="00044D5F"/>
    <w:rsid w:val="000451A3"/>
    <w:rsid w:val="00047A99"/>
    <w:rsid w:val="00057131"/>
    <w:rsid w:val="00057539"/>
    <w:rsid w:val="00061CA1"/>
    <w:rsid w:val="00064C93"/>
    <w:rsid w:val="00067080"/>
    <w:rsid w:val="00074081"/>
    <w:rsid w:val="000755D4"/>
    <w:rsid w:val="00077B34"/>
    <w:rsid w:val="00083C16"/>
    <w:rsid w:val="000854E7"/>
    <w:rsid w:val="000872DF"/>
    <w:rsid w:val="00087DBE"/>
    <w:rsid w:val="0009005F"/>
    <w:rsid w:val="000906F6"/>
    <w:rsid w:val="00090DFE"/>
    <w:rsid w:val="000912B2"/>
    <w:rsid w:val="00091961"/>
    <w:rsid w:val="0009226D"/>
    <w:rsid w:val="00093CFB"/>
    <w:rsid w:val="00094CD3"/>
    <w:rsid w:val="000A435D"/>
    <w:rsid w:val="000A6F82"/>
    <w:rsid w:val="000A7C0A"/>
    <w:rsid w:val="000B137F"/>
    <w:rsid w:val="000B39E7"/>
    <w:rsid w:val="000B584D"/>
    <w:rsid w:val="000B6727"/>
    <w:rsid w:val="000C6D34"/>
    <w:rsid w:val="000D1ACC"/>
    <w:rsid w:val="000D7DD3"/>
    <w:rsid w:val="000E4FB5"/>
    <w:rsid w:val="000E5873"/>
    <w:rsid w:val="000F3C74"/>
    <w:rsid w:val="000F5E2F"/>
    <w:rsid w:val="001037E3"/>
    <w:rsid w:val="00105028"/>
    <w:rsid w:val="001120B0"/>
    <w:rsid w:val="00112DC1"/>
    <w:rsid w:val="00115590"/>
    <w:rsid w:val="00122E98"/>
    <w:rsid w:val="0012578C"/>
    <w:rsid w:val="001306A8"/>
    <w:rsid w:val="00130E49"/>
    <w:rsid w:val="00131199"/>
    <w:rsid w:val="001316B0"/>
    <w:rsid w:val="001327EA"/>
    <w:rsid w:val="00134CD1"/>
    <w:rsid w:val="00157E27"/>
    <w:rsid w:val="0016389E"/>
    <w:rsid w:val="00163AB9"/>
    <w:rsid w:val="0016536D"/>
    <w:rsid w:val="00166FC5"/>
    <w:rsid w:val="00166FE1"/>
    <w:rsid w:val="00171B4A"/>
    <w:rsid w:val="00174B90"/>
    <w:rsid w:val="00180C7B"/>
    <w:rsid w:val="001855F2"/>
    <w:rsid w:val="00185CD8"/>
    <w:rsid w:val="0019082B"/>
    <w:rsid w:val="00192F48"/>
    <w:rsid w:val="001938C1"/>
    <w:rsid w:val="0019534E"/>
    <w:rsid w:val="0019579D"/>
    <w:rsid w:val="00197190"/>
    <w:rsid w:val="001A16E4"/>
    <w:rsid w:val="001A1D9F"/>
    <w:rsid w:val="001A3298"/>
    <w:rsid w:val="001A3CDE"/>
    <w:rsid w:val="001A494A"/>
    <w:rsid w:val="001A7C8B"/>
    <w:rsid w:val="001B1B58"/>
    <w:rsid w:val="001B21AB"/>
    <w:rsid w:val="001B5DB6"/>
    <w:rsid w:val="001C2D3E"/>
    <w:rsid w:val="001C35DC"/>
    <w:rsid w:val="001C3BD1"/>
    <w:rsid w:val="001C6935"/>
    <w:rsid w:val="001C6FD6"/>
    <w:rsid w:val="001C7D89"/>
    <w:rsid w:val="001D2634"/>
    <w:rsid w:val="001D44D0"/>
    <w:rsid w:val="001D7DB4"/>
    <w:rsid w:val="001E0765"/>
    <w:rsid w:val="001E4BEE"/>
    <w:rsid w:val="001E61C8"/>
    <w:rsid w:val="001F52E3"/>
    <w:rsid w:val="001F78EF"/>
    <w:rsid w:val="002023E0"/>
    <w:rsid w:val="002067EB"/>
    <w:rsid w:val="00212B8D"/>
    <w:rsid w:val="00212BA3"/>
    <w:rsid w:val="002137F0"/>
    <w:rsid w:val="002162E4"/>
    <w:rsid w:val="002163B2"/>
    <w:rsid w:val="0021664B"/>
    <w:rsid w:val="002176B6"/>
    <w:rsid w:val="00222BE8"/>
    <w:rsid w:val="0022319B"/>
    <w:rsid w:val="002256BA"/>
    <w:rsid w:val="00226358"/>
    <w:rsid w:val="00227377"/>
    <w:rsid w:val="00231B27"/>
    <w:rsid w:val="0023366C"/>
    <w:rsid w:val="00240EAD"/>
    <w:rsid w:val="00245572"/>
    <w:rsid w:val="00246FB0"/>
    <w:rsid w:val="0025454B"/>
    <w:rsid w:val="00254911"/>
    <w:rsid w:val="002553B9"/>
    <w:rsid w:val="002648AF"/>
    <w:rsid w:val="002648C1"/>
    <w:rsid w:val="00265FA2"/>
    <w:rsid w:val="00266532"/>
    <w:rsid w:val="00266BF5"/>
    <w:rsid w:val="00267933"/>
    <w:rsid w:val="00267ECB"/>
    <w:rsid w:val="002715D5"/>
    <w:rsid w:val="00271C45"/>
    <w:rsid w:val="002722F8"/>
    <w:rsid w:val="002734B5"/>
    <w:rsid w:val="00273FDF"/>
    <w:rsid w:val="00275B5C"/>
    <w:rsid w:val="00275DF4"/>
    <w:rsid w:val="00277BD7"/>
    <w:rsid w:val="002800AB"/>
    <w:rsid w:val="00280ED5"/>
    <w:rsid w:val="00284233"/>
    <w:rsid w:val="00286A80"/>
    <w:rsid w:val="002A0BBA"/>
    <w:rsid w:val="002B5558"/>
    <w:rsid w:val="002B7757"/>
    <w:rsid w:val="002C41F1"/>
    <w:rsid w:val="002C42C4"/>
    <w:rsid w:val="002C5411"/>
    <w:rsid w:val="002C7DE0"/>
    <w:rsid w:val="002D07D5"/>
    <w:rsid w:val="002D4587"/>
    <w:rsid w:val="002D518B"/>
    <w:rsid w:val="002D674A"/>
    <w:rsid w:val="002E2ED6"/>
    <w:rsid w:val="002E4E29"/>
    <w:rsid w:val="002E580F"/>
    <w:rsid w:val="002E5D2F"/>
    <w:rsid w:val="002F07F0"/>
    <w:rsid w:val="002F21B2"/>
    <w:rsid w:val="002F2A38"/>
    <w:rsid w:val="002F3F6E"/>
    <w:rsid w:val="00304F51"/>
    <w:rsid w:val="00305265"/>
    <w:rsid w:val="00311A5D"/>
    <w:rsid w:val="00315558"/>
    <w:rsid w:val="003218A7"/>
    <w:rsid w:val="0032311C"/>
    <w:rsid w:val="00326F98"/>
    <w:rsid w:val="0033206D"/>
    <w:rsid w:val="003411BA"/>
    <w:rsid w:val="003412D2"/>
    <w:rsid w:val="003414AE"/>
    <w:rsid w:val="00342F7C"/>
    <w:rsid w:val="003436B5"/>
    <w:rsid w:val="003463A9"/>
    <w:rsid w:val="0035008C"/>
    <w:rsid w:val="003524CB"/>
    <w:rsid w:val="003532D0"/>
    <w:rsid w:val="00354B6A"/>
    <w:rsid w:val="00354FC0"/>
    <w:rsid w:val="00360245"/>
    <w:rsid w:val="003608E0"/>
    <w:rsid w:val="003624E1"/>
    <w:rsid w:val="00374D1C"/>
    <w:rsid w:val="00376C90"/>
    <w:rsid w:val="0038000E"/>
    <w:rsid w:val="00380434"/>
    <w:rsid w:val="00380481"/>
    <w:rsid w:val="00383897"/>
    <w:rsid w:val="00386137"/>
    <w:rsid w:val="00391A38"/>
    <w:rsid w:val="00392FDF"/>
    <w:rsid w:val="00397AD2"/>
    <w:rsid w:val="003A0FF2"/>
    <w:rsid w:val="003A2D08"/>
    <w:rsid w:val="003A38FC"/>
    <w:rsid w:val="003A5DFA"/>
    <w:rsid w:val="003A69B1"/>
    <w:rsid w:val="003B0178"/>
    <w:rsid w:val="003B0E8F"/>
    <w:rsid w:val="003B5F62"/>
    <w:rsid w:val="003D05B5"/>
    <w:rsid w:val="003D2164"/>
    <w:rsid w:val="003D33A0"/>
    <w:rsid w:val="003D4660"/>
    <w:rsid w:val="003D51BF"/>
    <w:rsid w:val="003D6507"/>
    <w:rsid w:val="003E0314"/>
    <w:rsid w:val="003E2194"/>
    <w:rsid w:val="003E29A9"/>
    <w:rsid w:val="003E3567"/>
    <w:rsid w:val="003E4FCE"/>
    <w:rsid w:val="003E5362"/>
    <w:rsid w:val="003E5E98"/>
    <w:rsid w:val="003E7182"/>
    <w:rsid w:val="003F152D"/>
    <w:rsid w:val="00403A73"/>
    <w:rsid w:val="004074BD"/>
    <w:rsid w:val="004147EA"/>
    <w:rsid w:val="00415DA8"/>
    <w:rsid w:val="00416315"/>
    <w:rsid w:val="00416B57"/>
    <w:rsid w:val="00417CD4"/>
    <w:rsid w:val="00422E9C"/>
    <w:rsid w:val="00423BF2"/>
    <w:rsid w:val="00426EDB"/>
    <w:rsid w:val="00431469"/>
    <w:rsid w:val="00432F30"/>
    <w:rsid w:val="00433A62"/>
    <w:rsid w:val="00433D53"/>
    <w:rsid w:val="004362AE"/>
    <w:rsid w:val="00441083"/>
    <w:rsid w:val="00443639"/>
    <w:rsid w:val="00444E2A"/>
    <w:rsid w:val="0045265A"/>
    <w:rsid w:val="0045594A"/>
    <w:rsid w:val="004568AC"/>
    <w:rsid w:val="00460D34"/>
    <w:rsid w:val="0046493C"/>
    <w:rsid w:val="00465398"/>
    <w:rsid w:val="00466EC2"/>
    <w:rsid w:val="004700A7"/>
    <w:rsid w:val="00472BB8"/>
    <w:rsid w:val="00472CF9"/>
    <w:rsid w:val="00472EF2"/>
    <w:rsid w:val="00473562"/>
    <w:rsid w:val="004802BF"/>
    <w:rsid w:val="004837AB"/>
    <w:rsid w:val="00485BB7"/>
    <w:rsid w:val="00486376"/>
    <w:rsid w:val="00486F2F"/>
    <w:rsid w:val="00490644"/>
    <w:rsid w:val="00494425"/>
    <w:rsid w:val="004A0499"/>
    <w:rsid w:val="004A0DF7"/>
    <w:rsid w:val="004A38B8"/>
    <w:rsid w:val="004A5EC4"/>
    <w:rsid w:val="004B0233"/>
    <w:rsid w:val="004B3F1F"/>
    <w:rsid w:val="004B3F60"/>
    <w:rsid w:val="004B53EB"/>
    <w:rsid w:val="004C2508"/>
    <w:rsid w:val="004C25D0"/>
    <w:rsid w:val="004C312A"/>
    <w:rsid w:val="004C3159"/>
    <w:rsid w:val="004C3A00"/>
    <w:rsid w:val="004C434A"/>
    <w:rsid w:val="004C4357"/>
    <w:rsid w:val="004C5BB7"/>
    <w:rsid w:val="004C7A63"/>
    <w:rsid w:val="004D1940"/>
    <w:rsid w:val="004D46A6"/>
    <w:rsid w:val="004E003B"/>
    <w:rsid w:val="004E0212"/>
    <w:rsid w:val="004E10C3"/>
    <w:rsid w:val="004E1211"/>
    <w:rsid w:val="004E4A90"/>
    <w:rsid w:val="004E6758"/>
    <w:rsid w:val="004E7192"/>
    <w:rsid w:val="004F177A"/>
    <w:rsid w:val="004F28AB"/>
    <w:rsid w:val="00503ACC"/>
    <w:rsid w:val="00503F24"/>
    <w:rsid w:val="00507169"/>
    <w:rsid w:val="00510EA3"/>
    <w:rsid w:val="00510F65"/>
    <w:rsid w:val="00514110"/>
    <w:rsid w:val="0051583C"/>
    <w:rsid w:val="00516E92"/>
    <w:rsid w:val="00517D6C"/>
    <w:rsid w:val="00524F21"/>
    <w:rsid w:val="005265A5"/>
    <w:rsid w:val="0053314A"/>
    <w:rsid w:val="00533EA8"/>
    <w:rsid w:val="00534651"/>
    <w:rsid w:val="00536165"/>
    <w:rsid w:val="00553877"/>
    <w:rsid w:val="00553C3A"/>
    <w:rsid w:val="00554821"/>
    <w:rsid w:val="00554B18"/>
    <w:rsid w:val="00561F39"/>
    <w:rsid w:val="00564F56"/>
    <w:rsid w:val="0056515A"/>
    <w:rsid w:val="00574C89"/>
    <w:rsid w:val="00575C18"/>
    <w:rsid w:val="0058033C"/>
    <w:rsid w:val="0058340E"/>
    <w:rsid w:val="00587269"/>
    <w:rsid w:val="005A263A"/>
    <w:rsid w:val="005A6AF6"/>
    <w:rsid w:val="005B0D28"/>
    <w:rsid w:val="005B1603"/>
    <w:rsid w:val="005B310E"/>
    <w:rsid w:val="005B3BBB"/>
    <w:rsid w:val="005B52F4"/>
    <w:rsid w:val="005B563E"/>
    <w:rsid w:val="005B73DD"/>
    <w:rsid w:val="005C40F9"/>
    <w:rsid w:val="005C516A"/>
    <w:rsid w:val="005D0721"/>
    <w:rsid w:val="005D3A5C"/>
    <w:rsid w:val="005D3DFC"/>
    <w:rsid w:val="005D4755"/>
    <w:rsid w:val="005D4AE7"/>
    <w:rsid w:val="005D4BBA"/>
    <w:rsid w:val="005E29A1"/>
    <w:rsid w:val="005E3195"/>
    <w:rsid w:val="005E51D9"/>
    <w:rsid w:val="005E72EC"/>
    <w:rsid w:val="005F2548"/>
    <w:rsid w:val="005F2A0A"/>
    <w:rsid w:val="005F3529"/>
    <w:rsid w:val="00600729"/>
    <w:rsid w:val="006010CB"/>
    <w:rsid w:val="00605422"/>
    <w:rsid w:val="0060637E"/>
    <w:rsid w:val="00610B4B"/>
    <w:rsid w:val="006110A2"/>
    <w:rsid w:val="0061121E"/>
    <w:rsid w:val="0061201D"/>
    <w:rsid w:val="00613D98"/>
    <w:rsid w:val="00615594"/>
    <w:rsid w:val="00623D3B"/>
    <w:rsid w:val="00624630"/>
    <w:rsid w:val="00632A36"/>
    <w:rsid w:val="00641A38"/>
    <w:rsid w:val="00643A2F"/>
    <w:rsid w:val="0064479A"/>
    <w:rsid w:val="00644A3B"/>
    <w:rsid w:val="00645A8A"/>
    <w:rsid w:val="00650B24"/>
    <w:rsid w:val="00651FFD"/>
    <w:rsid w:val="006546D5"/>
    <w:rsid w:val="0065483E"/>
    <w:rsid w:val="00655B9E"/>
    <w:rsid w:val="006651E9"/>
    <w:rsid w:val="006667EC"/>
    <w:rsid w:val="006725CE"/>
    <w:rsid w:val="00672637"/>
    <w:rsid w:val="006728B4"/>
    <w:rsid w:val="00682032"/>
    <w:rsid w:val="006A2A53"/>
    <w:rsid w:val="006A3C42"/>
    <w:rsid w:val="006A77CC"/>
    <w:rsid w:val="006B0179"/>
    <w:rsid w:val="006B45E8"/>
    <w:rsid w:val="006B477D"/>
    <w:rsid w:val="006C4852"/>
    <w:rsid w:val="006C59DA"/>
    <w:rsid w:val="006C62BF"/>
    <w:rsid w:val="006D1813"/>
    <w:rsid w:val="006D1DB9"/>
    <w:rsid w:val="006D5E8C"/>
    <w:rsid w:val="006D6AEF"/>
    <w:rsid w:val="006E0A2F"/>
    <w:rsid w:val="006E2498"/>
    <w:rsid w:val="006E3056"/>
    <w:rsid w:val="006E6E53"/>
    <w:rsid w:val="006F04A5"/>
    <w:rsid w:val="006F1CE6"/>
    <w:rsid w:val="006F263B"/>
    <w:rsid w:val="006F27F7"/>
    <w:rsid w:val="006F2EFD"/>
    <w:rsid w:val="00711975"/>
    <w:rsid w:val="00712B03"/>
    <w:rsid w:val="00715A37"/>
    <w:rsid w:val="0072747B"/>
    <w:rsid w:val="00727A78"/>
    <w:rsid w:val="00730511"/>
    <w:rsid w:val="007337A6"/>
    <w:rsid w:val="00734D4F"/>
    <w:rsid w:val="00735181"/>
    <w:rsid w:val="007456EA"/>
    <w:rsid w:val="00747AD9"/>
    <w:rsid w:val="0075332A"/>
    <w:rsid w:val="00754C2D"/>
    <w:rsid w:val="00762405"/>
    <w:rsid w:val="007627B2"/>
    <w:rsid w:val="00767E09"/>
    <w:rsid w:val="00770902"/>
    <w:rsid w:val="007740A1"/>
    <w:rsid w:val="007852CC"/>
    <w:rsid w:val="00786370"/>
    <w:rsid w:val="00793D56"/>
    <w:rsid w:val="007941E6"/>
    <w:rsid w:val="007A140F"/>
    <w:rsid w:val="007A15B6"/>
    <w:rsid w:val="007A309C"/>
    <w:rsid w:val="007A432A"/>
    <w:rsid w:val="007A60EE"/>
    <w:rsid w:val="007B373B"/>
    <w:rsid w:val="007B43C8"/>
    <w:rsid w:val="007B4DB2"/>
    <w:rsid w:val="007C64F1"/>
    <w:rsid w:val="007C6EDE"/>
    <w:rsid w:val="007C6F1A"/>
    <w:rsid w:val="007C7061"/>
    <w:rsid w:val="007D34AC"/>
    <w:rsid w:val="007D3894"/>
    <w:rsid w:val="007E03F5"/>
    <w:rsid w:val="007E5715"/>
    <w:rsid w:val="007E6D66"/>
    <w:rsid w:val="007F22C5"/>
    <w:rsid w:val="007F6478"/>
    <w:rsid w:val="007F73C2"/>
    <w:rsid w:val="007F73F2"/>
    <w:rsid w:val="00800905"/>
    <w:rsid w:val="008031E0"/>
    <w:rsid w:val="00804906"/>
    <w:rsid w:val="00804E4D"/>
    <w:rsid w:val="0080580C"/>
    <w:rsid w:val="0080736C"/>
    <w:rsid w:val="008102FC"/>
    <w:rsid w:val="008123D7"/>
    <w:rsid w:val="008175A6"/>
    <w:rsid w:val="00817901"/>
    <w:rsid w:val="0082044D"/>
    <w:rsid w:val="00830E97"/>
    <w:rsid w:val="008327EE"/>
    <w:rsid w:val="00836AB0"/>
    <w:rsid w:val="0084115C"/>
    <w:rsid w:val="00841D11"/>
    <w:rsid w:val="008425D6"/>
    <w:rsid w:val="00843FD6"/>
    <w:rsid w:val="008461CA"/>
    <w:rsid w:val="0084701A"/>
    <w:rsid w:val="008534AD"/>
    <w:rsid w:val="00853800"/>
    <w:rsid w:val="00855733"/>
    <w:rsid w:val="008632E5"/>
    <w:rsid w:val="00866BFC"/>
    <w:rsid w:val="00872891"/>
    <w:rsid w:val="00872CF0"/>
    <w:rsid w:val="008777B5"/>
    <w:rsid w:val="00877811"/>
    <w:rsid w:val="008818B5"/>
    <w:rsid w:val="00881C67"/>
    <w:rsid w:val="008902B8"/>
    <w:rsid w:val="00891880"/>
    <w:rsid w:val="00891FEC"/>
    <w:rsid w:val="008920F3"/>
    <w:rsid w:val="00893875"/>
    <w:rsid w:val="0089458A"/>
    <w:rsid w:val="00896240"/>
    <w:rsid w:val="00896822"/>
    <w:rsid w:val="008A47C4"/>
    <w:rsid w:val="008A6280"/>
    <w:rsid w:val="008A7827"/>
    <w:rsid w:val="008B1023"/>
    <w:rsid w:val="008B5EAC"/>
    <w:rsid w:val="008B6E2E"/>
    <w:rsid w:val="008B74A8"/>
    <w:rsid w:val="008C4045"/>
    <w:rsid w:val="008C6207"/>
    <w:rsid w:val="008D0811"/>
    <w:rsid w:val="008D2C41"/>
    <w:rsid w:val="008D2C52"/>
    <w:rsid w:val="008D697C"/>
    <w:rsid w:val="008D72E7"/>
    <w:rsid w:val="008E1064"/>
    <w:rsid w:val="008E2BA8"/>
    <w:rsid w:val="008E2CCD"/>
    <w:rsid w:val="008E421B"/>
    <w:rsid w:val="008E4A7D"/>
    <w:rsid w:val="008E5229"/>
    <w:rsid w:val="008F0FFD"/>
    <w:rsid w:val="008F474F"/>
    <w:rsid w:val="008F4813"/>
    <w:rsid w:val="008F60BD"/>
    <w:rsid w:val="008F7C02"/>
    <w:rsid w:val="00901061"/>
    <w:rsid w:val="00904F35"/>
    <w:rsid w:val="009114CC"/>
    <w:rsid w:val="009115BB"/>
    <w:rsid w:val="009142F8"/>
    <w:rsid w:val="0091461D"/>
    <w:rsid w:val="009174B0"/>
    <w:rsid w:val="00920E10"/>
    <w:rsid w:val="00922791"/>
    <w:rsid w:val="009234B9"/>
    <w:rsid w:val="009264B9"/>
    <w:rsid w:val="009268AC"/>
    <w:rsid w:val="00931D6E"/>
    <w:rsid w:val="009325FB"/>
    <w:rsid w:val="00933651"/>
    <w:rsid w:val="00933A2F"/>
    <w:rsid w:val="00933B5E"/>
    <w:rsid w:val="009343C3"/>
    <w:rsid w:val="0093605A"/>
    <w:rsid w:val="009416F4"/>
    <w:rsid w:val="0094248E"/>
    <w:rsid w:val="0094251D"/>
    <w:rsid w:val="00944E2B"/>
    <w:rsid w:val="00944FD1"/>
    <w:rsid w:val="0094630F"/>
    <w:rsid w:val="009464A1"/>
    <w:rsid w:val="00947D21"/>
    <w:rsid w:val="00950AB7"/>
    <w:rsid w:val="0095425D"/>
    <w:rsid w:val="0096180E"/>
    <w:rsid w:val="00962443"/>
    <w:rsid w:val="009628B0"/>
    <w:rsid w:val="009630CA"/>
    <w:rsid w:val="00963D57"/>
    <w:rsid w:val="00970806"/>
    <w:rsid w:val="00971966"/>
    <w:rsid w:val="00976223"/>
    <w:rsid w:val="009801FB"/>
    <w:rsid w:val="0098101B"/>
    <w:rsid w:val="00981251"/>
    <w:rsid w:val="009815F5"/>
    <w:rsid w:val="0098367A"/>
    <w:rsid w:val="00985DAA"/>
    <w:rsid w:val="00991115"/>
    <w:rsid w:val="00991236"/>
    <w:rsid w:val="00992304"/>
    <w:rsid w:val="00996112"/>
    <w:rsid w:val="009A0E7E"/>
    <w:rsid w:val="009A453C"/>
    <w:rsid w:val="009B0700"/>
    <w:rsid w:val="009B4E71"/>
    <w:rsid w:val="009B642B"/>
    <w:rsid w:val="009B6D49"/>
    <w:rsid w:val="009C1FD8"/>
    <w:rsid w:val="009C5DA2"/>
    <w:rsid w:val="009C5F05"/>
    <w:rsid w:val="009C6D93"/>
    <w:rsid w:val="009D2BF4"/>
    <w:rsid w:val="009D62B6"/>
    <w:rsid w:val="009D6A08"/>
    <w:rsid w:val="009D7B66"/>
    <w:rsid w:val="009E1C62"/>
    <w:rsid w:val="009E6607"/>
    <w:rsid w:val="009E759D"/>
    <w:rsid w:val="009F0BFC"/>
    <w:rsid w:val="009F0C00"/>
    <w:rsid w:val="009F1841"/>
    <w:rsid w:val="009F5635"/>
    <w:rsid w:val="009F67AD"/>
    <w:rsid w:val="00A01A55"/>
    <w:rsid w:val="00A167EC"/>
    <w:rsid w:val="00A16B11"/>
    <w:rsid w:val="00A21355"/>
    <w:rsid w:val="00A22AC1"/>
    <w:rsid w:val="00A23101"/>
    <w:rsid w:val="00A242DA"/>
    <w:rsid w:val="00A32827"/>
    <w:rsid w:val="00A35C50"/>
    <w:rsid w:val="00A36D7A"/>
    <w:rsid w:val="00A37B8E"/>
    <w:rsid w:val="00A46D98"/>
    <w:rsid w:val="00A5714F"/>
    <w:rsid w:val="00A60026"/>
    <w:rsid w:val="00A671F7"/>
    <w:rsid w:val="00A6743C"/>
    <w:rsid w:val="00A70374"/>
    <w:rsid w:val="00A70DF6"/>
    <w:rsid w:val="00A730E1"/>
    <w:rsid w:val="00A740A1"/>
    <w:rsid w:val="00A750AA"/>
    <w:rsid w:val="00A75A0E"/>
    <w:rsid w:val="00A76E0A"/>
    <w:rsid w:val="00A80CD8"/>
    <w:rsid w:val="00A8351D"/>
    <w:rsid w:val="00A8570E"/>
    <w:rsid w:val="00A919C1"/>
    <w:rsid w:val="00A93DF9"/>
    <w:rsid w:val="00A9539E"/>
    <w:rsid w:val="00A9720B"/>
    <w:rsid w:val="00AA0571"/>
    <w:rsid w:val="00AA52D5"/>
    <w:rsid w:val="00AA6B1A"/>
    <w:rsid w:val="00AB19B2"/>
    <w:rsid w:val="00AB3A69"/>
    <w:rsid w:val="00AB6148"/>
    <w:rsid w:val="00AD1108"/>
    <w:rsid w:val="00AD7549"/>
    <w:rsid w:val="00AD7AFE"/>
    <w:rsid w:val="00AE3624"/>
    <w:rsid w:val="00AE3FE1"/>
    <w:rsid w:val="00AE5685"/>
    <w:rsid w:val="00AE6AB1"/>
    <w:rsid w:val="00AF6916"/>
    <w:rsid w:val="00B00226"/>
    <w:rsid w:val="00B011ED"/>
    <w:rsid w:val="00B035F7"/>
    <w:rsid w:val="00B03D5A"/>
    <w:rsid w:val="00B049E9"/>
    <w:rsid w:val="00B04F8F"/>
    <w:rsid w:val="00B060EE"/>
    <w:rsid w:val="00B06A1B"/>
    <w:rsid w:val="00B10A29"/>
    <w:rsid w:val="00B13EB4"/>
    <w:rsid w:val="00B176E3"/>
    <w:rsid w:val="00B20165"/>
    <w:rsid w:val="00B23FC7"/>
    <w:rsid w:val="00B25605"/>
    <w:rsid w:val="00B26F9D"/>
    <w:rsid w:val="00B32EC1"/>
    <w:rsid w:val="00B365C1"/>
    <w:rsid w:val="00B372EA"/>
    <w:rsid w:val="00B456B4"/>
    <w:rsid w:val="00B457EC"/>
    <w:rsid w:val="00B5055A"/>
    <w:rsid w:val="00B53D71"/>
    <w:rsid w:val="00B556E5"/>
    <w:rsid w:val="00B614A6"/>
    <w:rsid w:val="00B65654"/>
    <w:rsid w:val="00B65F76"/>
    <w:rsid w:val="00B6764C"/>
    <w:rsid w:val="00B7244C"/>
    <w:rsid w:val="00B7410C"/>
    <w:rsid w:val="00B74C59"/>
    <w:rsid w:val="00B81D1B"/>
    <w:rsid w:val="00B81FE6"/>
    <w:rsid w:val="00B82715"/>
    <w:rsid w:val="00B85099"/>
    <w:rsid w:val="00B85216"/>
    <w:rsid w:val="00B85D60"/>
    <w:rsid w:val="00B86CFA"/>
    <w:rsid w:val="00B907F2"/>
    <w:rsid w:val="00B93CE9"/>
    <w:rsid w:val="00B9769F"/>
    <w:rsid w:val="00BA11D6"/>
    <w:rsid w:val="00BA479E"/>
    <w:rsid w:val="00BA4EB1"/>
    <w:rsid w:val="00BA7ED1"/>
    <w:rsid w:val="00BB2045"/>
    <w:rsid w:val="00BB39E5"/>
    <w:rsid w:val="00BB4E67"/>
    <w:rsid w:val="00BC01D2"/>
    <w:rsid w:val="00BC4485"/>
    <w:rsid w:val="00BD096E"/>
    <w:rsid w:val="00BD2FCB"/>
    <w:rsid w:val="00BD3A85"/>
    <w:rsid w:val="00BD3E86"/>
    <w:rsid w:val="00BD597A"/>
    <w:rsid w:val="00BE0924"/>
    <w:rsid w:val="00BE1521"/>
    <w:rsid w:val="00BE41EB"/>
    <w:rsid w:val="00BE53F1"/>
    <w:rsid w:val="00BE619F"/>
    <w:rsid w:val="00BE67C4"/>
    <w:rsid w:val="00BF0875"/>
    <w:rsid w:val="00BF08C5"/>
    <w:rsid w:val="00BF6D19"/>
    <w:rsid w:val="00C02743"/>
    <w:rsid w:val="00C038C1"/>
    <w:rsid w:val="00C05E9E"/>
    <w:rsid w:val="00C11FB0"/>
    <w:rsid w:val="00C17033"/>
    <w:rsid w:val="00C21467"/>
    <w:rsid w:val="00C2236B"/>
    <w:rsid w:val="00C2246E"/>
    <w:rsid w:val="00C24A85"/>
    <w:rsid w:val="00C250E9"/>
    <w:rsid w:val="00C25437"/>
    <w:rsid w:val="00C25F03"/>
    <w:rsid w:val="00C266E2"/>
    <w:rsid w:val="00C26B1C"/>
    <w:rsid w:val="00C272D2"/>
    <w:rsid w:val="00C30B34"/>
    <w:rsid w:val="00C3427F"/>
    <w:rsid w:val="00C376B9"/>
    <w:rsid w:val="00C41849"/>
    <w:rsid w:val="00C43269"/>
    <w:rsid w:val="00C4395F"/>
    <w:rsid w:val="00C47B5A"/>
    <w:rsid w:val="00C53184"/>
    <w:rsid w:val="00C53CC7"/>
    <w:rsid w:val="00C55439"/>
    <w:rsid w:val="00C554E6"/>
    <w:rsid w:val="00C61E79"/>
    <w:rsid w:val="00C61EC6"/>
    <w:rsid w:val="00C63FC4"/>
    <w:rsid w:val="00C64800"/>
    <w:rsid w:val="00C64EA2"/>
    <w:rsid w:val="00C72CD8"/>
    <w:rsid w:val="00C752DF"/>
    <w:rsid w:val="00C760B5"/>
    <w:rsid w:val="00C80CBE"/>
    <w:rsid w:val="00C83CE9"/>
    <w:rsid w:val="00C83E71"/>
    <w:rsid w:val="00C845A0"/>
    <w:rsid w:val="00C978C0"/>
    <w:rsid w:val="00CA030B"/>
    <w:rsid w:val="00CA0362"/>
    <w:rsid w:val="00CA6CB2"/>
    <w:rsid w:val="00CB1433"/>
    <w:rsid w:val="00CB45C0"/>
    <w:rsid w:val="00CB744B"/>
    <w:rsid w:val="00CC1D39"/>
    <w:rsid w:val="00CC2B9E"/>
    <w:rsid w:val="00CC3F48"/>
    <w:rsid w:val="00CC5264"/>
    <w:rsid w:val="00CC5B63"/>
    <w:rsid w:val="00CC79E0"/>
    <w:rsid w:val="00CD0999"/>
    <w:rsid w:val="00CD7746"/>
    <w:rsid w:val="00CD7D0C"/>
    <w:rsid w:val="00CE405C"/>
    <w:rsid w:val="00CE4C22"/>
    <w:rsid w:val="00CE79DE"/>
    <w:rsid w:val="00CF05F9"/>
    <w:rsid w:val="00CF1D84"/>
    <w:rsid w:val="00CF43BF"/>
    <w:rsid w:val="00CF75CB"/>
    <w:rsid w:val="00D02102"/>
    <w:rsid w:val="00D02F21"/>
    <w:rsid w:val="00D034EB"/>
    <w:rsid w:val="00D03777"/>
    <w:rsid w:val="00D063CC"/>
    <w:rsid w:val="00D1327F"/>
    <w:rsid w:val="00D1412E"/>
    <w:rsid w:val="00D15861"/>
    <w:rsid w:val="00D16F63"/>
    <w:rsid w:val="00D1772D"/>
    <w:rsid w:val="00D212E6"/>
    <w:rsid w:val="00D24214"/>
    <w:rsid w:val="00D245CD"/>
    <w:rsid w:val="00D255AD"/>
    <w:rsid w:val="00D301F8"/>
    <w:rsid w:val="00D3318B"/>
    <w:rsid w:val="00D33474"/>
    <w:rsid w:val="00D36B8C"/>
    <w:rsid w:val="00D40ACA"/>
    <w:rsid w:val="00D50398"/>
    <w:rsid w:val="00D5793C"/>
    <w:rsid w:val="00D639E8"/>
    <w:rsid w:val="00D65D5D"/>
    <w:rsid w:val="00D66F5A"/>
    <w:rsid w:val="00D676CF"/>
    <w:rsid w:val="00D7296A"/>
    <w:rsid w:val="00D77E93"/>
    <w:rsid w:val="00D8186D"/>
    <w:rsid w:val="00D8279E"/>
    <w:rsid w:val="00D838CC"/>
    <w:rsid w:val="00D868A6"/>
    <w:rsid w:val="00D878F9"/>
    <w:rsid w:val="00D942A1"/>
    <w:rsid w:val="00D963C0"/>
    <w:rsid w:val="00D96BCB"/>
    <w:rsid w:val="00DA06CF"/>
    <w:rsid w:val="00DA13C2"/>
    <w:rsid w:val="00DA3378"/>
    <w:rsid w:val="00DB233A"/>
    <w:rsid w:val="00DB3F2C"/>
    <w:rsid w:val="00DB688F"/>
    <w:rsid w:val="00DC0FB2"/>
    <w:rsid w:val="00DC3656"/>
    <w:rsid w:val="00DC4BCD"/>
    <w:rsid w:val="00DC6956"/>
    <w:rsid w:val="00DD0663"/>
    <w:rsid w:val="00DD130D"/>
    <w:rsid w:val="00DD24AD"/>
    <w:rsid w:val="00DD2DAE"/>
    <w:rsid w:val="00DD39A4"/>
    <w:rsid w:val="00DD5509"/>
    <w:rsid w:val="00DE3A8B"/>
    <w:rsid w:val="00DE5C2E"/>
    <w:rsid w:val="00DE61A3"/>
    <w:rsid w:val="00DE64B7"/>
    <w:rsid w:val="00DE743B"/>
    <w:rsid w:val="00DF5567"/>
    <w:rsid w:val="00DF6075"/>
    <w:rsid w:val="00E109C5"/>
    <w:rsid w:val="00E12AC7"/>
    <w:rsid w:val="00E24D86"/>
    <w:rsid w:val="00E25EA5"/>
    <w:rsid w:val="00E26745"/>
    <w:rsid w:val="00E36408"/>
    <w:rsid w:val="00E36623"/>
    <w:rsid w:val="00E425F7"/>
    <w:rsid w:val="00E50C2E"/>
    <w:rsid w:val="00E52040"/>
    <w:rsid w:val="00E53FB4"/>
    <w:rsid w:val="00E60B81"/>
    <w:rsid w:val="00E7413D"/>
    <w:rsid w:val="00E80124"/>
    <w:rsid w:val="00E827DD"/>
    <w:rsid w:val="00E84809"/>
    <w:rsid w:val="00E85E23"/>
    <w:rsid w:val="00E86D9F"/>
    <w:rsid w:val="00EA1221"/>
    <w:rsid w:val="00EA2A67"/>
    <w:rsid w:val="00EA35B8"/>
    <w:rsid w:val="00EA3C0A"/>
    <w:rsid w:val="00EA48A9"/>
    <w:rsid w:val="00EA4F22"/>
    <w:rsid w:val="00EA5F5E"/>
    <w:rsid w:val="00EB4973"/>
    <w:rsid w:val="00EB4D6E"/>
    <w:rsid w:val="00EC2915"/>
    <w:rsid w:val="00EC63A8"/>
    <w:rsid w:val="00ED1AFA"/>
    <w:rsid w:val="00ED21F1"/>
    <w:rsid w:val="00ED28E0"/>
    <w:rsid w:val="00ED35E5"/>
    <w:rsid w:val="00ED5384"/>
    <w:rsid w:val="00ED64B4"/>
    <w:rsid w:val="00EE1D31"/>
    <w:rsid w:val="00EE4223"/>
    <w:rsid w:val="00EE5D2A"/>
    <w:rsid w:val="00EE7D7F"/>
    <w:rsid w:val="00EF156E"/>
    <w:rsid w:val="00EF35D3"/>
    <w:rsid w:val="00EF3677"/>
    <w:rsid w:val="00EF5521"/>
    <w:rsid w:val="00EF575C"/>
    <w:rsid w:val="00EF7D97"/>
    <w:rsid w:val="00F00D57"/>
    <w:rsid w:val="00F06363"/>
    <w:rsid w:val="00F064B8"/>
    <w:rsid w:val="00F0732D"/>
    <w:rsid w:val="00F125FA"/>
    <w:rsid w:val="00F129E9"/>
    <w:rsid w:val="00F15BAB"/>
    <w:rsid w:val="00F16769"/>
    <w:rsid w:val="00F22DC1"/>
    <w:rsid w:val="00F23A3C"/>
    <w:rsid w:val="00F23A3E"/>
    <w:rsid w:val="00F240A7"/>
    <w:rsid w:val="00F25853"/>
    <w:rsid w:val="00F25BA5"/>
    <w:rsid w:val="00F25BB3"/>
    <w:rsid w:val="00F25E51"/>
    <w:rsid w:val="00F27E4B"/>
    <w:rsid w:val="00F34B67"/>
    <w:rsid w:val="00F354BE"/>
    <w:rsid w:val="00F35FF8"/>
    <w:rsid w:val="00F366AB"/>
    <w:rsid w:val="00F40F8A"/>
    <w:rsid w:val="00F41123"/>
    <w:rsid w:val="00F5147C"/>
    <w:rsid w:val="00F52AB0"/>
    <w:rsid w:val="00F54327"/>
    <w:rsid w:val="00F56841"/>
    <w:rsid w:val="00F60CDD"/>
    <w:rsid w:val="00F62222"/>
    <w:rsid w:val="00F63668"/>
    <w:rsid w:val="00F703D4"/>
    <w:rsid w:val="00F71FFB"/>
    <w:rsid w:val="00F7279D"/>
    <w:rsid w:val="00F770C7"/>
    <w:rsid w:val="00F860FA"/>
    <w:rsid w:val="00F91080"/>
    <w:rsid w:val="00F9143B"/>
    <w:rsid w:val="00F9161D"/>
    <w:rsid w:val="00F94A09"/>
    <w:rsid w:val="00F97CCD"/>
    <w:rsid w:val="00FA130E"/>
    <w:rsid w:val="00FA67FA"/>
    <w:rsid w:val="00FB08CC"/>
    <w:rsid w:val="00FB09A5"/>
    <w:rsid w:val="00FB5B39"/>
    <w:rsid w:val="00FB6584"/>
    <w:rsid w:val="00FC2B6D"/>
    <w:rsid w:val="00FC47BF"/>
    <w:rsid w:val="00FD2C56"/>
    <w:rsid w:val="00FE0584"/>
    <w:rsid w:val="00FE0D82"/>
    <w:rsid w:val="00FE1003"/>
    <w:rsid w:val="00FE33D3"/>
    <w:rsid w:val="00FF058C"/>
    <w:rsid w:val="00FF0ECE"/>
    <w:rsid w:val="00FF31A4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2DE0B7-9088-40BF-B511-2163C96C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5861"/>
    <w:pPr>
      <w:spacing w:before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5861"/>
    <w:rPr>
      <w:rFonts w:ascii="Arial" w:eastAsia="Times New Roman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D15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309B8-5F26-4ED8-B5AE-B36B60D4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1907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Misiaczek Ondřej</cp:lastModifiedBy>
  <cp:revision>13</cp:revision>
  <cp:lastPrinted>2018-05-16T08:55:00Z</cp:lastPrinted>
  <dcterms:created xsi:type="dcterms:W3CDTF">2018-05-11T09:56:00Z</dcterms:created>
  <dcterms:modified xsi:type="dcterms:W3CDTF">2018-05-16T13:23:00Z</dcterms:modified>
</cp:coreProperties>
</file>