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6E3" w:rsidRDefault="006C26E3" w:rsidP="006C26E3">
      <w:pPr>
        <w:spacing w:line="276" w:lineRule="auto"/>
        <w:jc w:val="center"/>
        <w:rPr>
          <w:b/>
          <w:sz w:val="28"/>
          <w:szCs w:val="28"/>
          <w:u w:val="single"/>
        </w:rPr>
      </w:pPr>
    </w:p>
    <w:p w:rsidR="006C26E3" w:rsidRDefault="006C26E3" w:rsidP="001F1C84">
      <w:pPr>
        <w:spacing w:line="276" w:lineRule="auto"/>
        <w:jc w:val="center"/>
        <w:rPr>
          <w:b/>
          <w:sz w:val="28"/>
          <w:szCs w:val="28"/>
          <w:u w:val="single"/>
        </w:rPr>
      </w:pPr>
      <w:r>
        <w:rPr>
          <w:b/>
          <w:sz w:val="28"/>
          <w:szCs w:val="28"/>
          <w:u w:val="single"/>
        </w:rPr>
        <w:t xml:space="preserve">Postup </w:t>
      </w:r>
      <w:proofErr w:type="spellStart"/>
      <w:r>
        <w:rPr>
          <w:b/>
          <w:sz w:val="28"/>
          <w:szCs w:val="28"/>
          <w:u w:val="single"/>
        </w:rPr>
        <w:t>MZe</w:t>
      </w:r>
      <w:proofErr w:type="spellEnd"/>
      <w:r>
        <w:rPr>
          <w:b/>
          <w:sz w:val="28"/>
          <w:szCs w:val="28"/>
          <w:u w:val="single"/>
        </w:rPr>
        <w:t xml:space="preserve"> při poskytování dotací nestátním neziskovým organizacím</w:t>
      </w:r>
    </w:p>
    <w:p w:rsidR="006C26E3" w:rsidRPr="00395215" w:rsidRDefault="006C26E3" w:rsidP="006C26E3">
      <w:pPr>
        <w:spacing w:line="276" w:lineRule="auto"/>
        <w:jc w:val="center"/>
        <w:rPr>
          <w:b/>
          <w:sz w:val="28"/>
          <w:szCs w:val="28"/>
          <w:u w:val="single"/>
        </w:rPr>
      </w:pPr>
    </w:p>
    <w:p w:rsidR="006C26E3" w:rsidRPr="007B0BBC" w:rsidRDefault="006C26E3" w:rsidP="006C26E3">
      <w:pPr>
        <w:numPr>
          <w:ilvl w:val="0"/>
          <w:numId w:val="1"/>
        </w:numPr>
        <w:overflowPunct/>
        <w:autoSpaceDE/>
        <w:autoSpaceDN/>
        <w:adjustRightInd/>
        <w:spacing w:after="240" w:line="276" w:lineRule="auto"/>
        <w:jc w:val="both"/>
        <w:textAlignment w:val="auto"/>
        <w:rPr>
          <w:sz w:val="24"/>
          <w:szCs w:val="24"/>
        </w:rPr>
      </w:pPr>
      <w:r w:rsidRPr="007B0BBC">
        <w:rPr>
          <w:sz w:val="24"/>
          <w:szCs w:val="24"/>
        </w:rPr>
        <w:t xml:space="preserve">Dotace se poskytuje na základě žádosti o dotaci (dále jen „žádost“), jejíž nedílnou součástí je text předkládaného projektu. Formulář žádosti je přílohou Zásad. </w:t>
      </w:r>
      <w:proofErr w:type="spellStart"/>
      <w:r w:rsidRPr="007B0BBC">
        <w:rPr>
          <w:sz w:val="24"/>
          <w:szCs w:val="24"/>
        </w:rPr>
        <w:t>MZe</w:t>
      </w:r>
      <w:proofErr w:type="spellEnd"/>
      <w:r w:rsidRPr="007B0BBC">
        <w:rPr>
          <w:sz w:val="24"/>
          <w:szCs w:val="24"/>
        </w:rPr>
        <w:t xml:space="preserve"> může tuto obecnou žádost doplnit o další položky a přílohy. Písemné žádosti je nutné zasílat na podatelnu </w:t>
      </w:r>
      <w:proofErr w:type="spellStart"/>
      <w:r w:rsidRPr="007B0BBC">
        <w:rPr>
          <w:sz w:val="24"/>
          <w:szCs w:val="24"/>
        </w:rPr>
        <w:t>MZe</w:t>
      </w:r>
      <w:proofErr w:type="spellEnd"/>
      <w:r>
        <w:rPr>
          <w:sz w:val="24"/>
          <w:szCs w:val="24"/>
        </w:rPr>
        <w:t xml:space="preserve">, obálka bude označena formulací </w:t>
      </w:r>
      <w:r w:rsidRPr="00EA74E4">
        <w:rPr>
          <w:b/>
          <w:sz w:val="24"/>
          <w:szCs w:val="24"/>
        </w:rPr>
        <w:t>„Žádost o dotaci pro NNO“</w:t>
      </w:r>
      <w:r>
        <w:rPr>
          <w:b/>
          <w:sz w:val="24"/>
          <w:szCs w:val="24"/>
        </w:rPr>
        <w:t>, „NEOTVÍRAT“</w:t>
      </w:r>
      <w:r w:rsidRPr="007B0BBC">
        <w:rPr>
          <w:sz w:val="24"/>
          <w:szCs w:val="24"/>
        </w:rPr>
        <w:t xml:space="preserve">. Adresa </w:t>
      </w:r>
      <w:r w:rsidRPr="007B0BBC">
        <w:rPr>
          <w:b/>
          <w:sz w:val="24"/>
          <w:szCs w:val="24"/>
        </w:rPr>
        <w:t>Ministerstvo zemědělství</w:t>
      </w:r>
      <w:r>
        <w:rPr>
          <w:b/>
          <w:sz w:val="24"/>
          <w:szCs w:val="24"/>
        </w:rPr>
        <w:t>,</w:t>
      </w:r>
      <w:r w:rsidRPr="007B0BBC">
        <w:rPr>
          <w:b/>
          <w:sz w:val="24"/>
          <w:szCs w:val="24"/>
        </w:rPr>
        <w:t xml:space="preserve"> Těšnov 65/17, 110 00 Praha – Nové Město. </w:t>
      </w:r>
    </w:p>
    <w:p w:rsidR="006C26E3" w:rsidRDefault="006C26E3" w:rsidP="006C26E3">
      <w:pPr>
        <w:numPr>
          <w:ilvl w:val="0"/>
          <w:numId w:val="1"/>
        </w:numPr>
        <w:overflowPunct/>
        <w:autoSpaceDE/>
        <w:autoSpaceDN/>
        <w:adjustRightInd/>
        <w:spacing w:after="240" w:line="276" w:lineRule="auto"/>
        <w:jc w:val="both"/>
        <w:textAlignment w:val="auto"/>
        <w:rPr>
          <w:sz w:val="24"/>
          <w:szCs w:val="24"/>
        </w:rPr>
      </w:pPr>
      <w:r w:rsidRPr="007B0BBC">
        <w:rPr>
          <w:sz w:val="24"/>
          <w:szCs w:val="24"/>
        </w:rPr>
        <w:t xml:space="preserve">Uzávěrku přijímání žádostí pro výběrové dotační řízení stanoví </w:t>
      </w:r>
      <w:proofErr w:type="spellStart"/>
      <w:r w:rsidRPr="007B0BBC">
        <w:rPr>
          <w:sz w:val="24"/>
          <w:szCs w:val="24"/>
        </w:rPr>
        <w:t>MZe</w:t>
      </w:r>
      <w:proofErr w:type="spellEnd"/>
      <w:r w:rsidRPr="007B0BBC">
        <w:rPr>
          <w:sz w:val="24"/>
          <w:szCs w:val="24"/>
        </w:rPr>
        <w:t xml:space="preserve"> vždy do </w:t>
      </w:r>
      <w:r w:rsidRPr="007B0BBC">
        <w:rPr>
          <w:b/>
          <w:sz w:val="24"/>
          <w:szCs w:val="24"/>
        </w:rPr>
        <w:t xml:space="preserve">30. září </w:t>
      </w:r>
      <w:r w:rsidRPr="007B0BBC">
        <w:rPr>
          <w:sz w:val="24"/>
          <w:szCs w:val="24"/>
        </w:rPr>
        <w:t xml:space="preserve">kalendářního roku, jenž předchází rozpočtovému roku, v němž může být požadovaná dotace poskytnuta. </w:t>
      </w:r>
    </w:p>
    <w:p w:rsidR="006C26E3" w:rsidRPr="00733CEF" w:rsidRDefault="006C26E3" w:rsidP="006C26E3">
      <w:pPr>
        <w:numPr>
          <w:ilvl w:val="0"/>
          <w:numId w:val="1"/>
        </w:numPr>
        <w:overflowPunct/>
        <w:autoSpaceDE/>
        <w:autoSpaceDN/>
        <w:adjustRightInd/>
        <w:spacing w:after="240" w:line="276" w:lineRule="auto"/>
        <w:jc w:val="both"/>
        <w:textAlignment w:val="auto"/>
        <w:rPr>
          <w:sz w:val="24"/>
          <w:szCs w:val="24"/>
        </w:rPr>
      </w:pPr>
      <w:r w:rsidRPr="00733CEF">
        <w:rPr>
          <w:sz w:val="24"/>
          <w:szCs w:val="24"/>
        </w:rPr>
        <w:t xml:space="preserve">Dotace poskytuje </w:t>
      </w:r>
      <w:proofErr w:type="spellStart"/>
      <w:r w:rsidRPr="00733CEF">
        <w:rPr>
          <w:sz w:val="24"/>
          <w:szCs w:val="24"/>
        </w:rPr>
        <w:t>MZe</w:t>
      </w:r>
      <w:proofErr w:type="spellEnd"/>
      <w:r w:rsidRPr="00733CEF">
        <w:rPr>
          <w:sz w:val="24"/>
          <w:szCs w:val="24"/>
        </w:rPr>
        <w:t xml:space="preserve"> v souladu se „Zásadami pro hodnocení a rozdělení dotací pro nestátní neziskové organizace v rámci resortu </w:t>
      </w:r>
      <w:proofErr w:type="spellStart"/>
      <w:r w:rsidRPr="00733CEF">
        <w:rPr>
          <w:sz w:val="24"/>
          <w:szCs w:val="24"/>
        </w:rPr>
        <w:t>MZe</w:t>
      </w:r>
      <w:proofErr w:type="spellEnd"/>
      <w:r w:rsidRPr="00733CEF">
        <w:rPr>
          <w:sz w:val="24"/>
          <w:szCs w:val="24"/>
        </w:rPr>
        <w:t>“. V této souvislosti je ustavena Komise pro hodnocení a rozdělení státních dotací pro NNO, jejíž předseda vydává příslušná rozhodnutí o poskytnutí dotace.</w:t>
      </w:r>
    </w:p>
    <w:p w:rsidR="006C26E3" w:rsidRPr="00733CEF" w:rsidRDefault="006C26E3" w:rsidP="006C26E3">
      <w:pPr>
        <w:numPr>
          <w:ilvl w:val="0"/>
          <w:numId w:val="1"/>
        </w:numPr>
        <w:overflowPunct/>
        <w:autoSpaceDE/>
        <w:autoSpaceDN/>
        <w:adjustRightInd/>
        <w:spacing w:line="276" w:lineRule="auto"/>
        <w:jc w:val="both"/>
        <w:textAlignment w:val="auto"/>
        <w:rPr>
          <w:sz w:val="24"/>
          <w:szCs w:val="24"/>
        </w:rPr>
      </w:pPr>
      <w:r w:rsidRPr="00733CEF">
        <w:rPr>
          <w:sz w:val="24"/>
          <w:szCs w:val="24"/>
        </w:rPr>
        <w:t xml:space="preserve">Ministerstvo zemědělství, které poskytuje dotaci na projekt NNO, zveřejní na svých internetových stránkách nejpozději do konce kalendářního roku, který předchází rozpočtovému roku, na který poskytuje dotaci, seznam nebo pořadí úspěšnosti projektů, které úspěšně prošly výběrovým dotačním řízením. Konkrétní výše dotace bude pro úspěšné projekty stanovena nejpozději do konce února rozpočtového roku, na který je dotace poskytována. </w:t>
      </w:r>
    </w:p>
    <w:p w:rsidR="006C26E3" w:rsidRPr="007B0BBC" w:rsidRDefault="006C26E3" w:rsidP="006C26E3">
      <w:pPr>
        <w:spacing w:line="276" w:lineRule="auto"/>
        <w:rPr>
          <w:sz w:val="24"/>
          <w:szCs w:val="24"/>
        </w:rPr>
      </w:pPr>
    </w:p>
    <w:p w:rsidR="006C26E3" w:rsidRPr="007B0BBC" w:rsidRDefault="006C26E3" w:rsidP="006C26E3">
      <w:pPr>
        <w:numPr>
          <w:ilvl w:val="0"/>
          <w:numId w:val="1"/>
        </w:numPr>
        <w:overflowPunct/>
        <w:autoSpaceDE/>
        <w:autoSpaceDN/>
        <w:adjustRightInd/>
        <w:spacing w:line="276" w:lineRule="auto"/>
        <w:jc w:val="both"/>
        <w:textAlignment w:val="auto"/>
        <w:rPr>
          <w:sz w:val="24"/>
          <w:szCs w:val="24"/>
        </w:rPr>
      </w:pPr>
      <w:r w:rsidRPr="007B0BBC">
        <w:rPr>
          <w:sz w:val="24"/>
          <w:szCs w:val="24"/>
        </w:rPr>
        <w:t xml:space="preserve">Podmínkou poskytnutí dotace na příslušný rok je, že žadatel podle posouzení </w:t>
      </w:r>
      <w:proofErr w:type="spellStart"/>
      <w:r w:rsidRPr="007B0BBC">
        <w:rPr>
          <w:sz w:val="24"/>
          <w:szCs w:val="24"/>
        </w:rPr>
        <w:t>MZe</w:t>
      </w:r>
      <w:proofErr w:type="spellEnd"/>
      <w:r w:rsidRPr="007B0BBC">
        <w:rPr>
          <w:sz w:val="24"/>
          <w:szCs w:val="24"/>
        </w:rPr>
        <w:t xml:space="preserve"> správně, včas a úplně vyúčtuje dotace poskytnuté v předchozím roce, provede s poskytovatelem finanční vypořádání dle § 14 odst. 9 zákona č. 218/2000 Sb. a vrátí do státního rozpočtu finanční prostředky, které nebyly vyčerpány.</w:t>
      </w:r>
    </w:p>
    <w:p w:rsidR="006C26E3" w:rsidRPr="007B0BBC" w:rsidRDefault="006C26E3" w:rsidP="006C26E3">
      <w:pPr>
        <w:spacing w:line="276" w:lineRule="auto"/>
        <w:ind w:left="360"/>
        <w:rPr>
          <w:sz w:val="24"/>
          <w:szCs w:val="24"/>
        </w:rPr>
      </w:pPr>
    </w:p>
    <w:p w:rsidR="006C26E3" w:rsidRPr="007B0BBC" w:rsidRDefault="006C26E3" w:rsidP="006C26E3">
      <w:pPr>
        <w:numPr>
          <w:ilvl w:val="0"/>
          <w:numId w:val="1"/>
        </w:numPr>
        <w:overflowPunct/>
        <w:autoSpaceDE/>
        <w:autoSpaceDN/>
        <w:adjustRightInd/>
        <w:spacing w:after="240" w:line="276" w:lineRule="auto"/>
        <w:jc w:val="both"/>
        <w:textAlignment w:val="auto"/>
        <w:rPr>
          <w:sz w:val="24"/>
          <w:szCs w:val="24"/>
        </w:rPr>
      </w:pPr>
      <w:r w:rsidRPr="007B0BBC">
        <w:rPr>
          <w:sz w:val="24"/>
          <w:szCs w:val="24"/>
        </w:rPr>
        <w:t>Dotace může být poskytnuta až do výše 70 % rozpočtovaných nákladů schváleného projektu a tato podmínka je zahrnuta do příslušného rozhodnutí o dotaci. V</w:t>
      </w:r>
      <w:r w:rsidRPr="007B0BBC">
        <w:rPr>
          <w:i/>
          <w:iCs/>
          <w:sz w:val="24"/>
          <w:szCs w:val="24"/>
        </w:rPr>
        <w:t xml:space="preserve"> </w:t>
      </w:r>
      <w:r w:rsidRPr="007B0BBC">
        <w:rPr>
          <w:sz w:val="24"/>
          <w:szCs w:val="24"/>
        </w:rPr>
        <w:t xml:space="preserve">odůvodněných případech může </w:t>
      </w:r>
      <w:proofErr w:type="spellStart"/>
      <w:r w:rsidRPr="007B0BBC">
        <w:rPr>
          <w:sz w:val="24"/>
          <w:szCs w:val="24"/>
        </w:rPr>
        <w:t>MZe</w:t>
      </w:r>
      <w:proofErr w:type="spellEnd"/>
      <w:r w:rsidRPr="007B0BBC">
        <w:rPr>
          <w:sz w:val="24"/>
          <w:szCs w:val="24"/>
        </w:rPr>
        <w:t xml:space="preserve"> rozhodnout o poskytnutí dotace až do výše 100 % rozpočtovaných nákladů projektu.</w:t>
      </w:r>
    </w:p>
    <w:p w:rsidR="001F1C84" w:rsidRPr="001F1C84" w:rsidRDefault="006C26E3" w:rsidP="001F1C84">
      <w:pPr>
        <w:numPr>
          <w:ilvl w:val="0"/>
          <w:numId w:val="1"/>
        </w:numPr>
        <w:overflowPunct/>
        <w:autoSpaceDE/>
        <w:autoSpaceDN/>
        <w:adjustRightInd/>
        <w:spacing w:line="276" w:lineRule="auto"/>
        <w:jc w:val="both"/>
        <w:textAlignment w:val="auto"/>
        <w:rPr>
          <w:sz w:val="24"/>
          <w:szCs w:val="24"/>
        </w:rPr>
      </w:pPr>
      <w:r>
        <w:rPr>
          <w:sz w:val="24"/>
          <w:szCs w:val="24"/>
        </w:rPr>
        <w:t xml:space="preserve">Při prezentaci a vydávání materiálů týkajících se propagace programu </w:t>
      </w:r>
      <w:proofErr w:type="spellStart"/>
      <w:r>
        <w:rPr>
          <w:sz w:val="24"/>
          <w:szCs w:val="24"/>
        </w:rPr>
        <w:t>MZe</w:t>
      </w:r>
      <w:proofErr w:type="spellEnd"/>
      <w:r>
        <w:rPr>
          <w:sz w:val="24"/>
          <w:szCs w:val="24"/>
        </w:rPr>
        <w:t>, doporučujeme uvádět na závěr prezentovaného projektu ve vydávaných materiálech:</w:t>
      </w:r>
    </w:p>
    <w:p w:rsidR="001F1C84" w:rsidRDefault="001F1C84" w:rsidP="001F1C84">
      <w:pPr>
        <w:overflowPunct/>
        <w:autoSpaceDE/>
        <w:autoSpaceDN/>
        <w:adjustRightInd/>
        <w:spacing w:line="276" w:lineRule="auto"/>
        <w:jc w:val="both"/>
        <w:textAlignment w:val="auto"/>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3989705</wp:posOffset>
            </wp:positionH>
            <wp:positionV relativeFrom="paragraph">
              <wp:posOffset>3175</wp:posOffset>
            </wp:positionV>
            <wp:extent cx="1981835" cy="1123950"/>
            <wp:effectExtent l="19050" t="0" r="0" b="0"/>
            <wp:wrapTight wrapText="bothSides">
              <wp:wrapPolygon edited="0">
                <wp:start x="-208" y="0"/>
                <wp:lineTo x="-208" y="21234"/>
                <wp:lineTo x="21593" y="21234"/>
                <wp:lineTo x="21593" y="0"/>
                <wp:lineTo x="-208" y="0"/>
              </wp:wrapPolygon>
            </wp:wrapTight>
            <wp:docPr id="1" name="obrázek 1" descr="X:\LOGA\Logo MZe + Manuál\JPG\MZE\CMYK\logo_mze_cmyk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OGA\Logo MZe + Manuál\JPG\MZE\CMYK\logo_mze_cmyk_CZ.jpg"/>
                    <pic:cNvPicPr>
                      <a:picLocks noChangeAspect="1" noChangeArrowheads="1"/>
                    </pic:cNvPicPr>
                  </pic:nvPicPr>
                  <pic:blipFill>
                    <a:blip r:embed="rId5" cstate="print"/>
                    <a:srcRect/>
                    <a:stretch>
                      <a:fillRect/>
                    </a:stretch>
                  </pic:blipFill>
                  <pic:spPr bwMode="auto">
                    <a:xfrm>
                      <a:off x="0" y="0"/>
                      <a:ext cx="1981835" cy="1123950"/>
                    </a:xfrm>
                    <a:prstGeom prst="rect">
                      <a:avLst/>
                    </a:prstGeom>
                    <a:noFill/>
                    <a:ln w="9525">
                      <a:noFill/>
                      <a:miter lim="800000"/>
                      <a:headEnd/>
                      <a:tailEnd/>
                    </a:ln>
                  </pic:spPr>
                </pic:pic>
              </a:graphicData>
            </a:graphic>
          </wp:anchor>
        </w:drawing>
      </w:r>
    </w:p>
    <w:p w:rsidR="006C26E3" w:rsidRDefault="006C26E3" w:rsidP="001F1C84">
      <w:pPr>
        <w:numPr>
          <w:ilvl w:val="0"/>
          <w:numId w:val="2"/>
        </w:numPr>
        <w:overflowPunct/>
        <w:autoSpaceDE/>
        <w:autoSpaceDN/>
        <w:adjustRightInd/>
        <w:spacing w:line="276" w:lineRule="auto"/>
        <w:ind w:left="709" w:hanging="283"/>
        <w:jc w:val="both"/>
        <w:textAlignment w:val="auto"/>
        <w:rPr>
          <w:sz w:val="24"/>
          <w:szCs w:val="24"/>
        </w:rPr>
      </w:pPr>
      <w:r>
        <w:rPr>
          <w:sz w:val="24"/>
          <w:szCs w:val="24"/>
        </w:rPr>
        <w:t xml:space="preserve">logo </w:t>
      </w:r>
      <w:proofErr w:type="spellStart"/>
      <w:r>
        <w:rPr>
          <w:sz w:val="24"/>
          <w:szCs w:val="24"/>
        </w:rPr>
        <w:t>MZe</w:t>
      </w:r>
      <w:proofErr w:type="spellEnd"/>
      <w:r>
        <w:rPr>
          <w:sz w:val="24"/>
          <w:szCs w:val="24"/>
        </w:rPr>
        <w:t xml:space="preserve"> – l</w:t>
      </w:r>
      <w:r w:rsidR="001F1C84">
        <w:rPr>
          <w:sz w:val="24"/>
          <w:szCs w:val="24"/>
        </w:rPr>
        <w:t>ze stáhnout – Tiskový servis – Loga</w:t>
      </w:r>
      <w:r>
        <w:rPr>
          <w:sz w:val="24"/>
          <w:szCs w:val="24"/>
        </w:rPr>
        <w:t xml:space="preserve"> ke stažení</w:t>
      </w:r>
    </w:p>
    <w:p w:rsidR="006C26E3" w:rsidRDefault="006C26E3" w:rsidP="001F1C84">
      <w:pPr>
        <w:numPr>
          <w:ilvl w:val="0"/>
          <w:numId w:val="2"/>
        </w:numPr>
        <w:overflowPunct/>
        <w:autoSpaceDE/>
        <w:autoSpaceDN/>
        <w:adjustRightInd/>
        <w:spacing w:line="276" w:lineRule="auto"/>
        <w:ind w:left="709" w:hanging="283"/>
        <w:jc w:val="both"/>
        <w:textAlignment w:val="auto"/>
        <w:rPr>
          <w:b/>
          <w:sz w:val="24"/>
          <w:szCs w:val="24"/>
        </w:rPr>
      </w:pPr>
      <w:r>
        <w:rPr>
          <w:sz w:val="24"/>
          <w:szCs w:val="24"/>
        </w:rPr>
        <w:t xml:space="preserve">text </w:t>
      </w:r>
      <w:r w:rsidRPr="001409C7">
        <w:rPr>
          <w:b/>
          <w:sz w:val="24"/>
          <w:szCs w:val="24"/>
        </w:rPr>
        <w:t>„Tento projekt je podpořen dotací</w:t>
      </w:r>
      <w:r>
        <w:rPr>
          <w:b/>
          <w:sz w:val="24"/>
          <w:szCs w:val="24"/>
        </w:rPr>
        <w:t>,</w:t>
      </w:r>
      <w:r w:rsidRPr="001409C7">
        <w:rPr>
          <w:b/>
          <w:sz w:val="24"/>
          <w:szCs w:val="24"/>
        </w:rPr>
        <w:t xml:space="preserve"> poskytnutou Ministerstvem Zemědělství“</w:t>
      </w:r>
    </w:p>
    <w:p w:rsidR="001F1C84" w:rsidRPr="001409C7" w:rsidRDefault="001F1C84" w:rsidP="001F1C84">
      <w:pPr>
        <w:overflowPunct/>
        <w:autoSpaceDE/>
        <w:autoSpaceDN/>
        <w:adjustRightInd/>
        <w:spacing w:line="276" w:lineRule="auto"/>
        <w:ind w:left="1517"/>
        <w:jc w:val="both"/>
        <w:textAlignment w:val="auto"/>
        <w:rPr>
          <w:b/>
          <w:sz w:val="24"/>
          <w:szCs w:val="24"/>
        </w:rPr>
      </w:pPr>
    </w:p>
    <w:p w:rsidR="006C26E3" w:rsidRPr="00EA74E4" w:rsidRDefault="006C26E3" w:rsidP="006C26E3">
      <w:pPr>
        <w:numPr>
          <w:ilvl w:val="0"/>
          <w:numId w:val="1"/>
        </w:numPr>
        <w:overflowPunct/>
        <w:autoSpaceDE/>
        <w:autoSpaceDN/>
        <w:adjustRightInd/>
        <w:spacing w:line="276" w:lineRule="auto"/>
        <w:jc w:val="both"/>
        <w:textAlignment w:val="auto"/>
        <w:rPr>
          <w:sz w:val="24"/>
          <w:szCs w:val="24"/>
        </w:rPr>
      </w:pPr>
      <w:r w:rsidRPr="00EA74E4">
        <w:rPr>
          <w:sz w:val="24"/>
          <w:szCs w:val="24"/>
        </w:rPr>
        <w:t xml:space="preserve">Ostatní podmínky a postup při poskytování dotací je součástí přiložených „Zásad </w:t>
      </w:r>
      <w:proofErr w:type="spellStart"/>
      <w:r w:rsidRPr="00EA74E4">
        <w:rPr>
          <w:sz w:val="24"/>
          <w:szCs w:val="24"/>
        </w:rPr>
        <w:t>MZe</w:t>
      </w:r>
      <w:proofErr w:type="spellEnd"/>
      <w:r w:rsidRPr="00EA74E4">
        <w:rPr>
          <w:sz w:val="24"/>
          <w:szCs w:val="24"/>
        </w:rPr>
        <w:t xml:space="preserve"> pro poskytování dotací ze státního rozpočtu ČR nestátním neziskovým organizacím“.</w:t>
      </w:r>
    </w:p>
    <w:p w:rsidR="006C26E3" w:rsidRDefault="006C26E3" w:rsidP="006C26E3">
      <w:pPr>
        <w:overflowPunct/>
        <w:autoSpaceDE/>
        <w:autoSpaceDN/>
        <w:adjustRightInd/>
        <w:spacing w:line="276" w:lineRule="auto"/>
        <w:jc w:val="both"/>
        <w:textAlignment w:val="auto"/>
        <w:rPr>
          <w:sz w:val="24"/>
          <w:szCs w:val="24"/>
        </w:rPr>
      </w:pPr>
    </w:p>
    <w:p w:rsidR="006C26E3" w:rsidRPr="007B0BBC" w:rsidRDefault="006C26E3" w:rsidP="006C26E3">
      <w:pPr>
        <w:overflowPunct/>
        <w:autoSpaceDE/>
        <w:autoSpaceDN/>
        <w:adjustRightInd/>
        <w:spacing w:line="276" w:lineRule="auto"/>
        <w:jc w:val="both"/>
        <w:textAlignment w:val="auto"/>
        <w:rPr>
          <w:sz w:val="24"/>
          <w:szCs w:val="24"/>
        </w:rPr>
      </w:pPr>
      <w:r>
        <w:rPr>
          <w:sz w:val="24"/>
          <w:szCs w:val="24"/>
        </w:rPr>
        <w:t>V Praze dne 17.</w:t>
      </w:r>
      <w:r w:rsidR="001F1C84">
        <w:rPr>
          <w:sz w:val="24"/>
          <w:szCs w:val="24"/>
        </w:rPr>
        <w:t xml:space="preserve"> </w:t>
      </w:r>
      <w:r>
        <w:rPr>
          <w:sz w:val="24"/>
          <w:szCs w:val="24"/>
        </w:rPr>
        <w:t>4.</w:t>
      </w:r>
      <w:r w:rsidR="001F1C84">
        <w:rPr>
          <w:sz w:val="24"/>
          <w:szCs w:val="24"/>
        </w:rPr>
        <w:t xml:space="preserve"> </w:t>
      </w:r>
      <w:r>
        <w:rPr>
          <w:sz w:val="24"/>
          <w:szCs w:val="24"/>
        </w:rPr>
        <w:t>2013</w:t>
      </w:r>
    </w:p>
    <w:p w:rsidR="006C26E3" w:rsidRDefault="006C26E3"/>
    <w:sectPr w:rsidR="006C26E3">
      <w:headerReference w:type="even" r:id="rId6"/>
      <w:headerReference w:type="default" r:id="rId7"/>
      <w:pgSz w:w="11906" w:h="16838"/>
      <w:pgMar w:top="851" w:right="1418" w:bottom="567" w:left="1440"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9C7" w:rsidRDefault="001F1C8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409C7" w:rsidRDefault="001F1C84">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9C7" w:rsidRDefault="001F1C84">
    <w:pPr>
      <w:pStyle w:val="Zhlav"/>
    </w:pPr>
  </w:p>
  <w:p w:rsidR="001409C7" w:rsidRDefault="001F1C8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93F2F"/>
    <w:multiLevelType w:val="hybridMultilevel"/>
    <w:tmpl w:val="553AE9E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5949179D"/>
    <w:multiLevelType w:val="hybridMultilevel"/>
    <w:tmpl w:val="430A6A9A"/>
    <w:lvl w:ilvl="0" w:tplc="8D1601CE">
      <w:start w:val="19"/>
      <w:numFmt w:val="bullet"/>
      <w:lvlText w:val="-"/>
      <w:lvlJc w:val="left"/>
      <w:pPr>
        <w:ind w:left="1517" w:hanging="360"/>
      </w:pPr>
      <w:rPr>
        <w:rFonts w:ascii="Times New Roman" w:eastAsia="Times New Roman" w:hAnsi="Times New Roman" w:cs="Times New Roman" w:hint="default"/>
      </w:rPr>
    </w:lvl>
    <w:lvl w:ilvl="1" w:tplc="04050003" w:tentative="1">
      <w:start w:val="1"/>
      <w:numFmt w:val="bullet"/>
      <w:lvlText w:val="o"/>
      <w:lvlJc w:val="left"/>
      <w:pPr>
        <w:ind w:left="2237" w:hanging="360"/>
      </w:pPr>
      <w:rPr>
        <w:rFonts w:ascii="Courier New" w:hAnsi="Courier New" w:cs="Courier New" w:hint="default"/>
      </w:rPr>
    </w:lvl>
    <w:lvl w:ilvl="2" w:tplc="04050005" w:tentative="1">
      <w:start w:val="1"/>
      <w:numFmt w:val="bullet"/>
      <w:lvlText w:val=""/>
      <w:lvlJc w:val="left"/>
      <w:pPr>
        <w:ind w:left="2957" w:hanging="360"/>
      </w:pPr>
      <w:rPr>
        <w:rFonts w:ascii="Wingdings" w:hAnsi="Wingdings" w:hint="default"/>
      </w:rPr>
    </w:lvl>
    <w:lvl w:ilvl="3" w:tplc="04050001" w:tentative="1">
      <w:start w:val="1"/>
      <w:numFmt w:val="bullet"/>
      <w:lvlText w:val=""/>
      <w:lvlJc w:val="left"/>
      <w:pPr>
        <w:ind w:left="3677" w:hanging="360"/>
      </w:pPr>
      <w:rPr>
        <w:rFonts w:ascii="Symbol" w:hAnsi="Symbol" w:hint="default"/>
      </w:rPr>
    </w:lvl>
    <w:lvl w:ilvl="4" w:tplc="04050003" w:tentative="1">
      <w:start w:val="1"/>
      <w:numFmt w:val="bullet"/>
      <w:lvlText w:val="o"/>
      <w:lvlJc w:val="left"/>
      <w:pPr>
        <w:ind w:left="4397" w:hanging="360"/>
      </w:pPr>
      <w:rPr>
        <w:rFonts w:ascii="Courier New" w:hAnsi="Courier New" w:cs="Courier New" w:hint="default"/>
      </w:rPr>
    </w:lvl>
    <w:lvl w:ilvl="5" w:tplc="04050005" w:tentative="1">
      <w:start w:val="1"/>
      <w:numFmt w:val="bullet"/>
      <w:lvlText w:val=""/>
      <w:lvlJc w:val="left"/>
      <w:pPr>
        <w:ind w:left="5117" w:hanging="360"/>
      </w:pPr>
      <w:rPr>
        <w:rFonts w:ascii="Wingdings" w:hAnsi="Wingdings" w:hint="default"/>
      </w:rPr>
    </w:lvl>
    <w:lvl w:ilvl="6" w:tplc="04050001" w:tentative="1">
      <w:start w:val="1"/>
      <w:numFmt w:val="bullet"/>
      <w:lvlText w:val=""/>
      <w:lvlJc w:val="left"/>
      <w:pPr>
        <w:ind w:left="5837" w:hanging="360"/>
      </w:pPr>
      <w:rPr>
        <w:rFonts w:ascii="Symbol" w:hAnsi="Symbol" w:hint="default"/>
      </w:rPr>
    </w:lvl>
    <w:lvl w:ilvl="7" w:tplc="04050003" w:tentative="1">
      <w:start w:val="1"/>
      <w:numFmt w:val="bullet"/>
      <w:lvlText w:val="o"/>
      <w:lvlJc w:val="left"/>
      <w:pPr>
        <w:ind w:left="6557" w:hanging="360"/>
      </w:pPr>
      <w:rPr>
        <w:rFonts w:ascii="Courier New" w:hAnsi="Courier New" w:cs="Courier New" w:hint="default"/>
      </w:rPr>
    </w:lvl>
    <w:lvl w:ilvl="8" w:tplc="04050005" w:tentative="1">
      <w:start w:val="1"/>
      <w:numFmt w:val="bullet"/>
      <w:lvlText w:val=""/>
      <w:lvlJc w:val="left"/>
      <w:pPr>
        <w:ind w:left="727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26E3"/>
    <w:rsid w:val="001F1C84"/>
    <w:rsid w:val="006C26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26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26E3"/>
    <w:pPr>
      <w:tabs>
        <w:tab w:val="center" w:pos="4536"/>
        <w:tab w:val="right" w:pos="9072"/>
      </w:tabs>
    </w:pPr>
  </w:style>
  <w:style w:type="character" w:customStyle="1" w:styleId="ZhlavChar">
    <w:name w:val="Záhlaví Char"/>
    <w:basedOn w:val="Standardnpsmoodstavce"/>
    <w:link w:val="Zhlav"/>
    <w:uiPriority w:val="99"/>
    <w:rsid w:val="006C26E3"/>
    <w:rPr>
      <w:rFonts w:ascii="Times New Roman" w:eastAsia="Times New Roman" w:hAnsi="Times New Roman" w:cs="Times New Roman"/>
      <w:sz w:val="20"/>
      <w:szCs w:val="20"/>
      <w:lang w:eastAsia="cs-CZ"/>
    </w:rPr>
  </w:style>
  <w:style w:type="character" w:styleId="slostrnky">
    <w:name w:val="page number"/>
    <w:basedOn w:val="Standardnpsmoodstavce"/>
    <w:rsid w:val="006C26E3"/>
  </w:style>
  <w:style w:type="paragraph" w:styleId="Textbubliny">
    <w:name w:val="Balloon Text"/>
    <w:basedOn w:val="Normln"/>
    <w:link w:val="TextbublinyChar"/>
    <w:uiPriority w:val="99"/>
    <w:semiHidden/>
    <w:unhideWhenUsed/>
    <w:rsid w:val="001F1C84"/>
    <w:rPr>
      <w:rFonts w:ascii="Tahoma" w:hAnsi="Tahoma" w:cs="Tahoma"/>
      <w:sz w:val="16"/>
      <w:szCs w:val="16"/>
    </w:rPr>
  </w:style>
  <w:style w:type="character" w:customStyle="1" w:styleId="TextbublinyChar">
    <w:name w:val="Text bubliny Char"/>
    <w:basedOn w:val="Standardnpsmoodstavce"/>
    <w:link w:val="Textbubliny"/>
    <w:uiPriority w:val="99"/>
    <w:semiHidden/>
    <w:rsid w:val="001F1C84"/>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2101</Characters>
  <Application>Microsoft Office Word</Application>
  <DocSecurity>0</DocSecurity>
  <Lines>17</Lines>
  <Paragraphs>4</Paragraphs>
  <ScaleCrop>false</ScaleCrop>
  <Company>mze</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Nádvorníková</dc:creator>
  <cp:keywords/>
  <dc:description/>
  <cp:lastModifiedBy>Lucie Nádvorníková</cp:lastModifiedBy>
  <cp:revision>2</cp:revision>
  <dcterms:created xsi:type="dcterms:W3CDTF">2013-04-17T13:17:00Z</dcterms:created>
  <dcterms:modified xsi:type="dcterms:W3CDTF">2013-04-17T13:22:00Z</dcterms:modified>
</cp:coreProperties>
</file>