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A7F4" w14:textId="0656EDF9" w:rsidR="00DA57D4" w:rsidRDefault="00806880" w:rsidP="00DA57D4">
      <w:pPr>
        <w:pStyle w:val="Zkladntext"/>
        <w:jc w:val="right"/>
        <w:rPr>
          <w:rFonts w:ascii="Arial" w:hAnsi="Arial" w:cs="Arial"/>
          <w:b w:val="0"/>
          <w:sz w:val="22"/>
          <w:szCs w:val="24"/>
        </w:rPr>
      </w:pPr>
      <w:proofErr w:type="gramStart"/>
      <w:r>
        <w:rPr>
          <w:rFonts w:ascii="Arial" w:hAnsi="Arial" w:cs="Arial"/>
          <w:b w:val="0"/>
          <w:sz w:val="22"/>
          <w:szCs w:val="24"/>
        </w:rPr>
        <w:t>č.j.</w:t>
      </w:r>
      <w:proofErr w:type="gramEnd"/>
      <w:r>
        <w:rPr>
          <w:rFonts w:ascii="Arial" w:hAnsi="Arial" w:cs="Arial"/>
          <w:b w:val="0"/>
          <w:sz w:val="22"/>
          <w:szCs w:val="24"/>
        </w:rPr>
        <w:t>:</w:t>
      </w:r>
      <w:r w:rsidR="00DA57D4">
        <w:rPr>
          <w:rFonts w:ascii="Arial" w:hAnsi="Arial" w:cs="Arial"/>
          <w:b w:val="0"/>
          <w:sz w:val="22"/>
          <w:szCs w:val="24"/>
        </w:rPr>
        <w:t xml:space="preserve"> </w:t>
      </w:r>
      <w:r w:rsidR="00840DBE">
        <w:rPr>
          <w:rFonts w:ascii="Arial" w:hAnsi="Arial" w:cs="Arial"/>
          <w:b w:val="0"/>
          <w:sz w:val="22"/>
          <w:szCs w:val="24"/>
        </w:rPr>
        <w:t>29683</w:t>
      </w:r>
      <w:r w:rsidR="005D4010" w:rsidRPr="005D4010">
        <w:rPr>
          <w:rFonts w:ascii="Arial" w:hAnsi="Arial" w:cs="Arial"/>
          <w:b w:val="0"/>
          <w:sz w:val="22"/>
          <w:szCs w:val="24"/>
        </w:rPr>
        <w:t>/20</w:t>
      </w:r>
      <w:r w:rsidR="00BE75A8">
        <w:rPr>
          <w:rFonts w:ascii="Arial" w:hAnsi="Arial" w:cs="Arial"/>
          <w:b w:val="0"/>
          <w:sz w:val="22"/>
          <w:szCs w:val="24"/>
        </w:rPr>
        <w:t>20</w:t>
      </w:r>
      <w:r w:rsidR="005D4010" w:rsidRPr="005D4010">
        <w:rPr>
          <w:rFonts w:ascii="Arial" w:hAnsi="Arial" w:cs="Arial"/>
          <w:b w:val="0"/>
          <w:sz w:val="22"/>
          <w:szCs w:val="24"/>
        </w:rPr>
        <w:t>-MZE-1116</w:t>
      </w:r>
      <w:r w:rsidR="00BE75A8">
        <w:rPr>
          <w:rFonts w:ascii="Arial" w:hAnsi="Arial" w:cs="Arial"/>
          <w:b w:val="0"/>
          <w:sz w:val="22"/>
          <w:szCs w:val="24"/>
        </w:rPr>
        <w:t>0</w:t>
      </w:r>
    </w:p>
    <w:p w14:paraId="38F50393" w14:textId="77777777" w:rsidR="00DF094A" w:rsidRPr="009435B0" w:rsidRDefault="00DF094A" w:rsidP="00120197">
      <w:pPr>
        <w:pStyle w:val="Zkladntext"/>
        <w:rPr>
          <w:rFonts w:ascii="Arial" w:hAnsi="Arial" w:cs="Arial"/>
          <w:bCs/>
          <w:sz w:val="20"/>
        </w:rPr>
      </w:pPr>
      <w:r>
        <w:rPr>
          <w:szCs w:val="24"/>
        </w:rPr>
        <w:t xml:space="preserve">                                                                                               </w:t>
      </w:r>
    </w:p>
    <w:p w14:paraId="79265D94" w14:textId="77777777" w:rsidR="00C92389" w:rsidRDefault="00C92389" w:rsidP="00521557">
      <w:pPr>
        <w:pStyle w:val="Zkladntext"/>
        <w:rPr>
          <w:rFonts w:ascii="Arial" w:hAnsi="Arial" w:cs="Arial"/>
          <w:bCs/>
          <w:sz w:val="22"/>
          <w:szCs w:val="22"/>
        </w:rPr>
      </w:pPr>
    </w:p>
    <w:p w14:paraId="62905090" w14:textId="77777777" w:rsidR="0074357E" w:rsidRDefault="0043164B" w:rsidP="0074357E">
      <w:pPr>
        <w:pStyle w:val="Zkladntext"/>
        <w:rPr>
          <w:rFonts w:ascii="Arial" w:hAnsi="Arial" w:cs="Arial"/>
          <w:bCs/>
          <w:szCs w:val="28"/>
        </w:rPr>
      </w:pPr>
      <w:r w:rsidRPr="00D1313C">
        <w:rPr>
          <w:rFonts w:ascii="Arial" w:hAnsi="Arial"/>
          <w:sz w:val="22"/>
        </w:rPr>
        <w:t>Zásad</w:t>
      </w:r>
      <w:r w:rsidR="00FC2EF8" w:rsidRPr="00D1313C">
        <w:rPr>
          <w:rFonts w:ascii="Arial" w:hAnsi="Arial"/>
          <w:sz w:val="22"/>
        </w:rPr>
        <w:t>y</w:t>
      </w:r>
      <w:r w:rsidRPr="00D1313C">
        <w:rPr>
          <w:rFonts w:ascii="Arial" w:hAnsi="Arial"/>
          <w:sz w:val="22"/>
        </w:rPr>
        <w:t xml:space="preserve"> </w:t>
      </w:r>
      <w:r w:rsidR="003216C7" w:rsidRPr="00AD673F">
        <w:rPr>
          <w:rFonts w:ascii="Arial" w:hAnsi="Arial" w:cs="Arial"/>
          <w:bCs/>
          <w:szCs w:val="28"/>
        </w:rPr>
        <w:t>Ministerstva zemědělství</w:t>
      </w:r>
      <w:r w:rsidR="00E10C7B">
        <w:rPr>
          <w:rFonts w:ascii="Arial" w:hAnsi="Arial" w:cs="Arial"/>
          <w:bCs/>
          <w:szCs w:val="28"/>
        </w:rPr>
        <w:t xml:space="preserve"> </w:t>
      </w:r>
      <w:r w:rsidRPr="00D1313C">
        <w:rPr>
          <w:rFonts w:ascii="Arial" w:hAnsi="Arial"/>
          <w:sz w:val="22"/>
        </w:rPr>
        <w:t>pro poskytování dotací ze st</w:t>
      </w:r>
      <w:r w:rsidR="009E02F7" w:rsidRPr="00D1313C">
        <w:rPr>
          <w:rFonts w:ascii="Arial" w:hAnsi="Arial"/>
          <w:sz w:val="22"/>
        </w:rPr>
        <w:t>átního rozpočtu České republiky</w:t>
      </w:r>
      <w:r w:rsidR="0074357E">
        <w:rPr>
          <w:rFonts w:ascii="Arial" w:hAnsi="Arial"/>
          <w:sz w:val="22"/>
        </w:rPr>
        <w:t xml:space="preserve"> </w:t>
      </w:r>
      <w:r w:rsidRPr="00D1313C">
        <w:rPr>
          <w:rFonts w:ascii="Arial" w:hAnsi="Arial"/>
          <w:sz w:val="22"/>
        </w:rPr>
        <w:t xml:space="preserve">nestátním neziskovým organizacím </w:t>
      </w:r>
      <w:r w:rsidR="00CF32E2">
        <w:rPr>
          <w:rFonts w:ascii="Arial" w:hAnsi="Arial" w:cs="Arial"/>
          <w:bCs/>
          <w:szCs w:val="28"/>
        </w:rPr>
        <w:t>pro rok 20</w:t>
      </w:r>
      <w:r w:rsidR="0028162F">
        <w:rPr>
          <w:rFonts w:ascii="Arial" w:hAnsi="Arial" w:cs="Arial"/>
          <w:bCs/>
          <w:szCs w:val="28"/>
        </w:rPr>
        <w:t>2</w:t>
      </w:r>
      <w:r w:rsidR="00E10C7B">
        <w:rPr>
          <w:rFonts w:ascii="Arial" w:hAnsi="Arial" w:cs="Arial"/>
          <w:bCs/>
          <w:szCs w:val="28"/>
        </w:rPr>
        <w:t>1</w:t>
      </w:r>
    </w:p>
    <w:p w14:paraId="00C64401" w14:textId="2B1F15B3" w:rsidR="0043164B" w:rsidRPr="00D1313C" w:rsidRDefault="00E10C7B" w:rsidP="0074357E">
      <w:pPr>
        <w:pStyle w:val="Zkladntext"/>
        <w:rPr>
          <w:rFonts w:ascii="Arial" w:hAnsi="Arial"/>
          <w:sz w:val="22"/>
        </w:rPr>
      </w:pPr>
      <w:r>
        <w:rPr>
          <w:rFonts w:ascii="Arial" w:hAnsi="Arial" w:cs="Arial"/>
          <w:bCs/>
          <w:szCs w:val="28"/>
        </w:rPr>
        <w:t xml:space="preserve"> </w:t>
      </w:r>
    </w:p>
    <w:p w14:paraId="512B951B" w14:textId="77777777"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14:paraId="1004163D" w14:textId="77777777"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14:paraId="07D5D08B" w14:textId="5CD04486"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 České republiky nestátním neziskovým organizacím (dále jen „Zásady“) up</w:t>
      </w:r>
      <w:r w:rsidR="004034C5" w:rsidRPr="00BD252A">
        <w:rPr>
          <w:rFonts w:ascii="Arial" w:hAnsi="Arial" w:cs="Arial"/>
          <w:sz w:val="22"/>
          <w:szCs w:val="22"/>
        </w:rPr>
        <w:t>ravují v</w:t>
      </w:r>
      <w:r w:rsidR="004F6B6D">
        <w:rPr>
          <w:rFonts w:ascii="Arial" w:hAnsi="Arial" w:cs="Arial"/>
          <w:sz w:val="22"/>
          <w:szCs w:val="22"/>
        </w:rPr>
        <w:t> </w:t>
      </w:r>
      <w:r w:rsidR="004034C5" w:rsidRPr="00BD252A">
        <w:rPr>
          <w:rFonts w:ascii="Arial" w:hAnsi="Arial" w:cs="Arial"/>
          <w:sz w:val="22"/>
          <w:szCs w:val="22"/>
        </w:rPr>
        <w:t>návaznosti</w:t>
      </w:r>
      <w:r w:rsidR="004F6B6D">
        <w:rPr>
          <w:rFonts w:ascii="Arial" w:hAnsi="Arial" w:cs="Arial"/>
          <w:sz w:val="22"/>
          <w:szCs w:val="22"/>
        </w:rPr>
        <w:br/>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w:t>
      </w:r>
      <w:r w:rsidR="00F50921">
        <w:rPr>
          <w:rFonts w:ascii="Arial" w:hAnsi="Arial" w:cs="Arial"/>
          <w:sz w:val="22"/>
          <w:szCs w:val="22"/>
        </w:rPr>
        <w:t xml:space="preserve"> nebo zákon č. 218/2000</w:t>
      </w:r>
      <w:r w:rsidRPr="00BD252A">
        <w:rPr>
          <w:rFonts w:ascii="Arial" w:hAnsi="Arial" w:cs="Arial"/>
          <w:sz w:val="22"/>
          <w:szCs w:val="22"/>
        </w:rPr>
        <w:t>),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 xml:space="preserve">y 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 xml:space="preserve">ze státního rozpočtu </w:t>
      </w:r>
      <w:r w:rsidRPr="00BD252A">
        <w:rPr>
          <w:rFonts w:ascii="Arial" w:hAnsi="Arial" w:cs="Arial"/>
          <w:sz w:val="22"/>
          <w:szCs w:val="22"/>
        </w:rPr>
        <w:t xml:space="preserve">(dále jen „dotace“) nestátním neziskovým organizacím (dále </w:t>
      </w:r>
      <w:r w:rsidRPr="00AD673F">
        <w:rPr>
          <w:rFonts w:ascii="Arial" w:hAnsi="Arial" w:cs="Arial"/>
          <w:sz w:val="22"/>
        </w:rPr>
        <w:t xml:space="preserve">„NNO“) </w:t>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14:paraId="30AE28AF" w14:textId="77777777"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Pr>
          <w:rFonts w:ascii="Arial" w:hAnsi="Arial" w:cs="Arial"/>
          <w:sz w:val="22"/>
          <w:szCs w:val="22"/>
        </w:rPr>
        <w:t xml:space="preserve"> </w:t>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14:paraId="245B804B" w14:textId="77777777"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14:paraId="655571FE" w14:textId="77777777"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14:paraId="1A0318AF" w14:textId="77777777" w:rsidR="00F11F1B" w:rsidRDefault="00F11F1B" w:rsidP="00FC7C2D">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p>
    <w:p w14:paraId="03D6AB46" w14:textId="77777777"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r>
        <w:rPr>
          <w:rFonts w:ascii="Arial" w:hAnsi="Arial" w:cs="Arial"/>
          <w:bCs/>
          <w:sz w:val="22"/>
          <w:szCs w:val="22"/>
        </w:rPr>
        <w:t>,</w:t>
      </w:r>
    </w:p>
    <w:p w14:paraId="5D754AA9" w14:textId="77777777"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zákona č. 89/2012 Sb</w:t>
      </w:r>
      <w:r w:rsidR="00F11F1B">
        <w:rPr>
          <w:rFonts w:ascii="Arial" w:hAnsi="Arial" w:cs="Arial"/>
          <w:bCs/>
          <w:sz w:val="22"/>
          <w:szCs w:val="22"/>
        </w:rPr>
        <w:t xml:space="preserve">., </w:t>
      </w:r>
      <w:r w:rsidR="00F11F1B" w:rsidRPr="00BD252A">
        <w:rPr>
          <w:rFonts w:ascii="Arial" w:hAnsi="Arial" w:cs="Arial"/>
          <w:bCs/>
          <w:sz w:val="22"/>
          <w:szCs w:val="22"/>
        </w:rPr>
        <w:t xml:space="preserve">občanský </w:t>
      </w:r>
      <w:r w:rsidR="00F11F1B" w:rsidRPr="00FC2EF8">
        <w:rPr>
          <w:rFonts w:ascii="Arial" w:hAnsi="Arial" w:cs="Arial"/>
          <w:bCs/>
          <w:sz w:val="22"/>
          <w:szCs w:val="22"/>
        </w:rPr>
        <w:t>zákoník, ve znění pozdějších předpisů,</w:t>
      </w:r>
      <w:r w:rsidR="00F11F1B" w:rsidRPr="00F9459D">
        <w:rPr>
          <w:rFonts w:ascii="Arial" w:hAnsi="Arial" w:cs="Arial"/>
          <w:bCs/>
          <w:sz w:val="22"/>
          <w:szCs w:val="22"/>
        </w:rPr>
        <w:t xml:space="preserve"> </w:t>
      </w:r>
    </w:p>
    <w:p w14:paraId="77BE1201" w14:textId="77777777"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 ve znění pozdějších předpisů,</w:t>
      </w:r>
    </w:p>
    <w:p w14:paraId="51C59DAF" w14:textId="77777777"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zákona č. 89/2012 Sb.,</w:t>
      </w:r>
      <w:r>
        <w:rPr>
          <w:rFonts w:ascii="Arial" w:hAnsi="Arial" w:cs="Arial"/>
          <w:bCs/>
          <w:sz w:val="22"/>
          <w:szCs w:val="22"/>
        </w:rPr>
        <w:t xml:space="preserve"> </w:t>
      </w:r>
      <w:r w:rsidRPr="00BD252A">
        <w:rPr>
          <w:rFonts w:ascii="Arial" w:hAnsi="Arial" w:cs="Arial"/>
          <w:bCs/>
          <w:sz w:val="22"/>
          <w:szCs w:val="22"/>
        </w:rPr>
        <w:t xml:space="preserve">občanský </w:t>
      </w:r>
      <w:r w:rsidRPr="00FC2EF8">
        <w:rPr>
          <w:rFonts w:ascii="Arial" w:hAnsi="Arial" w:cs="Arial"/>
          <w:bCs/>
          <w:sz w:val="22"/>
          <w:szCs w:val="22"/>
        </w:rPr>
        <w:t>zákoník, ve znění pozdějších předpisů</w:t>
      </w:r>
      <w:r>
        <w:rPr>
          <w:rFonts w:ascii="Arial" w:hAnsi="Arial" w:cs="Arial"/>
          <w:bCs/>
          <w:sz w:val="22"/>
          <w:szCs w:val="22"/>
        </w:rPr>
        <w:t>,</w:t>
      </w:r>
      <w:r w:rsidRPr="003418FD">
        <w:rPr>
          <w:rFonts w:ascii="Arial" w:hAnsi="Arial" w:cs="Arial"/>
          <w:bCs/>
          <w:sz w:val="22"/>
          <w:szCs w:val="22"/>
        </w:rPr>
        <w:t xml:space="preserve"> </w:t>
      </w:r>
    </w:p>
    <w:p w14:paraId="253F1D04" w14:textId="77777777"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 xml:space="preserve">náboženských společnostech), ve znění pozdějších předpisů, pokud vykonávají alespoň některou činnost vyjmenovanou v § 7 odst. 1 písm. 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14:paraId="0148DF26" w14:textId="77777777"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lastRenderedPageBreak/>
        <w:t xml:space="preserve">podle § 7 odst. 1 písm. f) rozpočtových pravidel i dalším právnickým osobám, 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 xml:space="preserve">a to výhradně na </w:t>
      </w:r>
      <w:r w:rsidR="008079F6">
        <w:rPr>
          <w:rFonts w:ascii="Arial" w:hAnsi="Arial" w:cs="Arial"/>
          <w:bCs/>
          <w:sz w:val="22"/>
          <w:szCs w:val="22"/>
        </w:rPr>
        <w:t>tyto účely</w:t>
      </w:r>
      <w:r w:rsidRPr="00F75853">
        <w:rPr>
          <w:rFonts w:ascii="Arial" w:hAnsi="Arial" w:cs="Arial"/>
          <w:bCs/>
          <w:sz w:val="22"/>
          <w:szCs w:val="22"/>
        </w:rPr>
        <w:t>.</w:t>
      </w:r>
    </w:p>
    <w:p w14:paraId="63A56D39" w14:textId="4177829A"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 zákona</w:t>
      </w:r>
      <w:r w:rsidR="00680A55">
        <w:rPr>
          <w:rFonts w:ascii="Arial" w:hAnsi="Arial" w:cs="Arial"/>
          <w:sz w:val="22"/>
          <w:szCs w:val="22"/>
        </w:rPr>
        <w:br/>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680A55">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 ve znění pozdějších předpisů.</w:t>
      </w:r>
    </w:p>
    <w:p w14:paraId="5C5C1B4B" w14:textId="77777777"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14:paraId="309CFE9A" w14:textId="77777777"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14:paraId="11E0391B" w14:textId="29DAE7F5"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 xml:space="preserve">, </w:t>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14:paraId="61FB8E82" w14:textId="77777777"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14:paraId="0A96F8EE" w14:textId="77777777" w:rsidR="00226DA5" w:rsidRPr="00D1313C" w:rsidRDefault="00226DA5" w:rsidP="001F3884">
      <w:pPr>
        <w:jc w:val="center"/>
        <w:rPr>
          <w:rFonts w:ascii="Arial" w:hAnsi="Arial"/>
          <w:b/>
          <w:sz w:val="22"/>
        </w:rPr>
      </w:pPr>
      <w:r w:rsidRPr="00D1313C">
        <w:rPr>
          <w:rFonts w:ascii="Arial" w:hAnsi="Arial"/>
          <w:b/>
          <w:sz w:val="22"/>
        </w:rPr>
        <w:t>ČÁST DRUHÁ</w:t>
      </w:r>
    </w:p>
    <w:p w14:paraId="5CD884EC" w14:textId="77777777"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14:paraId="79702FFE" w14:textId="3A161A90"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 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 ve znění pozdějších předpisů.</w:t>
      </w:r>
    </w:p>
    <w:p w14:paraId="5FEE1071" w14:textId="41BFAB22"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Pr>
          <w:rFonts w:ascii="Arial" w:hAnsi="Arial" w:cs="Arial"/>
          <w:sz w:val="22"/>
        </w:rPr>
        <w:t xml:space="preserve"> (dále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 a je pro žadatele</w:t>
      </w:r>
      <w:r>
        <w:rPr>
          <w:rFonts w:ascii="Arial" w:hAnsi="Arial" w:cs="Arial"/>
          <w:sz w:val="22"/>
        </w:rPr>
        <w:br/>
        <w:t>o dotaci závazná. Příručka</w:t>
      </w:r>
      <w:r w:rsidRPr="00AD673F">
        <w:rPr>
          <w:rFonts w:ascii="Arial" w:hAnsi="Arial" w:cs="Arial"/>
          <w:sz w:val="22"/>
        </w:rPr>
        <w:t xml:space="preserve"> stanovuje podmínky a náležitosti pro podání žádosti o dotaci </w:t>
      </w:r>
      <w:r w:rsidR="007778D4">
        <w:rPr>
          <w:rFonts w:ascii="Arial" w:hAnsi="Arial" w:cs="Arial"/>
          <w:sz w:val="22"/>
        </w:rPr>
        <w:br/>
      </w:r>
      <w:r w:rsidRPr="00AD673F">
        <w:rPr>
          <w:rFonts w:ascii="Arial" w:hAnsi="Arial" w:cs="Arial"/>
          <w:sz w:val="22"/>
        </w:rPr>
        <w:t>a čerpání dotace.</w:t>
      </w:r>
    </w:p>
    <w:p w14:paraId="4AF9B1EA" w14:textId="77777777" w:rsidR="00E8003D" w:rsidRPr="00FB4E43"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14:paraId="682B494E" w14:textId="66F2056A"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lastRenderedPageBreak/>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pro žadatele o dotaci, a to vždy na konkrétní projekt. Ministerstvo zemědělství může tuto obecnou žádost doplnit o další položky a přílohy. Žádost obsahuje rozhodující údaje o projektu NNO a Ministerstvu zemědělství je předkládána způsobem, který stanoví Ministerstvo zemědělství. Součástí žádosti jsou vždy dokumenty stanovené v Příručce pro žadatele o dotaci</w:t>
      </w:r>
      <w:r w:rsidR="007778D4">
        <w:rPr>
          <w:rFonts w:ascii="Arial" w:hAnsi="Arial" w:cs="Arial"/>
          <w:sz w:val="22"/>
          <w:szCs w:val="22"/>
        </w:rPr>
        <w:t>.</w:t>
      </w:r>
    </w:p>
    <w:p w14:paraId="5FA8135F" w14:textId="77777777" w:rsid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Ministerstvo zemědělství poskytuje dotace, pokud předkládaná žádost do působnosti Ministerstva zemědělství věcně náleží. Uzávěrku přijímání žádostí prvního (základního) kola výběrového dotačního řízení stanoví Ministerstvo zemědělství obvykle</w:t>
      </w:r>
      <w:r>
        <w:rPr>
          <w:rFonts w:ascii="Arial" w:hAnsi="Arial" w:cs="Arial"/>
          <w:sz w:val="22"/>
          <w:szCs w:val="22"/>
        </w:rPr>
        <w:t xml:space="preserve"> </w:t>
      </w:r>
      <w:r w:rsidRPr="00FB4E43">
        <w:rPr>
          <w:rFonts w:ascii="Arial" w:hAnsi="Arial" w:cs="Arial"/>
          <w:sz w:val="22"/>
          <w:szCs w:val="22"/>
        </w:rPr>
        <w:t>do 30. září kalendářního roku, jenž předchází rozpočtovému roku, v němž může být požadovaná dotace poskytnuta – není-li ve vyhlášení výběrového řízení stanoven jiný termín.</w:t>
      </w:r>
    </w:p>
    <w:p w14:paraId="4DFBFBC7" w14:textId="77777777"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 na který žadatel žádá o dotaci. Ministerstvo zemědělství uvede ve výzvě způsob, kterým bude žadatele informovat o aktuálním stavu podané žádosti.</w:t>
      </w:r>
    </w:p>
    <w:p w14:paraId="56F6DA15" w14:textId="77777777"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14:paraId="57193AD5" w14:textId="78CE9F88"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 xml:space="preserve">osob). 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14:paraId="7DF2EA19" w14:textId="77777777" w:rsidR="00A43246" w:rsidRPr="0074357E" w:rsidRDefault="00A43246" w:rsidP="00A43246">
      <w:pPr>
        <w:pStyle w:val="Odstavecseseznamem"/>
        <w:ind w:left="360"/>
        <w:rPr>
          <w:rFonts w:ascii="Arial" w:hAnsi="Arial" w:cs="Arial"/>
          <w:sz w:val="22"/>
          <w:szCs w:val="22"/>
        </w:rPr>
      </w:pPr>
    </w:p>
    <w:p w14:paraId="6B0BB06C" w14:textId="2EEC12B3"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 xml:space="preserve">Ministerstvo zemědělství, které poskytuje dotaci na základě žádosti NNO, ji vyplatí na základě pravomocného rozhodnutí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pokud žadatel do tohoto data splní podmínky pro poskytnutí státní dotace</w:t>
      </w:r>
      <w:r w:rsidR="00DF25FA" w:rsidRPr="0074357E">
        <w:rPr>
          <w:rFonts w:ascii="Arial" w:hAnsi="Arial" w:cs="Arial"/>
          <w:sz w:val="22"/>
          <w:szCs w:val="22"/>
        </w:rPr>
        <w:t xml:space="preserve"> a pokud rozhodnutí</w:t>
      </w:r>
      <w:r w:rsidR="00F40B9E" w:rsidRPr="0074357E">
        <w:rPr>
          <w:rFonts w:ascii="Arial" w:hAnsi="Arial" w:cs="Arial"/>
          <w:sz w:val="22"/>
          <w:szCs w:val="22"/>
        </w:rPr>
        <w:br/>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 kole výběrového dotačního řízení, poskytována ve splátkách, 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F40B9E" w:rsidRPr="0074357E">
        <w:rPr>
          <w:rFonts w:ascii="Arial" w:hAnsi="Arial" w:cs="Arial"/>
          <w:sz w:val="22"/>
          <w:szCs w:val="22"/>
        </w:rPr>
        <w:br/>
      </w:r>
      <w:r w:rsidRPr="0074357E">
        <w:rPr>
          <w:rFonts w:ascii="Arial" w:hAnsi="Arial" w:cs="Arial"/>
          <w:sz w:val="22"/>
          <w:szCs w:val="22"/>
        </w:rPr>
        <w:t xml:space="preserve">na který je dotace poskytována. Pokud dotace činí více než 10 mil. Kč na příslušný rozpočtový rok, může Ministerstvo zemědělství stanovit v rozhodnutí vlastní splátkový kalendář, odlišný 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14:paraId="3A7C1C71" w14:textId="77777777" w:rsidR="00DF25FA" w:rsidRPr="0074357E" w:rsidRDefault="00DF25FA" w:rsidP="00DF25FA">
      <w:pPr>
        <w:pStyle w:val="Odstavecseseznamem"/>
        <w:rPr>
          <w:rFonts w:ascii="Arial" w:hAnsi="Arial" w:cs="Arial"/>
          <w:sz w:val="22"/>
          <w:szCs w:val="22"/>
        </w:rPr>
      </w:pPr>
    </w:p>
    <w:p w14:paraId="465BE29B" w14:textId="27DAA9DA"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14:paraId="4E11400E" w14:textId="77777777" w:rsidR="00162485" w:rsidRPr="0074357E" w:rsidRDefault="00162485" w:rsidP="00162485">
      <w:pPr>
        <w:pStyle w:val="Odstavecseseznamem"/>
        <w:rPr>
          <w:rFonts w:ascii="Arial" w:hAnsi="Arial" w:cs="Arial"/>
          <w:sz w:val="22"/>
          <w:szCs w:val="22"/>
        </w:rPr>
      </w:pPr>
    </w:p>
    <w:p w14:paraId="06D33A92" w14:textId="0BFFF5FF"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Dotace může být poskytnuta až do výše 70 % celkových nákladů projektu uvedených</w:t>
      </w:r>
      <w:r w:rsidR="00F40B9E" w:rsidRPr="0074357E">
        <w:rPr>
          <w:rFonts w:ascii="Arial" w:hAnsi="Arial" w:cs="Arial"/>
          <w:sz w:val="22"/>
          <w:szCs w:val="22"/>
        </w:rPr>
        <w:br/>
      </w:r>
      <w:r w:rsidRPr="0074357E">
        <w:rPr>
          <w:rFonts w:ascii="Arial" w:hAnsi="Arial" w:cs="Arial"/>
          <w:sz w:val="22"/>
          <w:szCs w:val="22"/>
        </w:rPr>
        <w:t>v žádosti a tato podmínka je zahrnuta do příslušného rozhodnutí o poskytnutí dotace</w:t>
      </w:r>
      <w:r w:rsidR="00F40B9E" w:rsidRPr="0074357E">
        <w:rPr>
          <w:rFonts w:ascii="Arial" w:hAnsi="Arial" w:cs="Arial"/>
          <w:sz w:val="22"/>
          <w:szCs w:val="22"/>
        </w:rPr>
        <w:br/>
      </w:r>
      <w:r w:rsidRPr="0074357E">
        <w:rPr>
          <w:rFonts w:ascii="Arial" w:hAnsi="Arial" w:cs="Arial"/>
          <w:sz w:val="22"/>
          <w:szCs w:val="22"/>
        </w:rPr>
        <w:t>ze státního rozpočtu České republiky na příslušný rozpočtový rok (dále jen „rozhodnutí“). V odůvodněných případech stanovených Příručkou může Ministerstvo zemědělství rozhodnout o poskytnutí dotace až do výše 100 % rozpočtovaných nákladů projektu.</w:t>
      </w:r>
    </w:p>
    <w:p w14:paraId="707AB293" w14:textId="77777777" w:rsidR="00A40E36" w:rsidRPr="00A40E36" w:rsidRDefault="00A40E36" w:rsidP="00A40E36">
      <w:pPr>
        <w:pStyle w:val="Odstavecseseznamem"/>
        <w:rPr>
          <w:rFonts w:ascii="Arial" w:hAnsi="Arial" w:cs="Arial"/>
          <w:sz w:val="22"/>
          <w:szCs w:val="22"/>
        </w:rPr>
      </w:pPr>
    </w:p>
    <w:p w14:paraId="2E21B2CE" w14:textId="26341B5E" w:rsidR="00A40E36" w:rsidRDefault="00A40E36" w:rsidP="00CB32CC">
      <w:pPr>
        <w:pStyle w:val="Odstavecseseznamem"/>
        <w:numPr>
          <w:ilvl w:val="0"/>
          <w:numId w:val="3"/>
        </w:numPr>
        <w:rPr>
          <w:rFonts w:ascii="Arial" w:hAnsi="Arial" w:cs="Arial"/>
          <w:sz w:val="22"/>
          <w:szCs w:val="22"/>
        </w:rPr>
      </w:pPr>
      <w:r w:rsidRPr="00A40E36">
        <w:rPr>
          <w:rFonts w:ascii="Arial" w:hAnsi="Arial" w:cs="Arial"/>
          <w:sz w:val="22"/>
          <w:szCs w:val="22"/>
        </w:rPr>
        <w:lastRenderedPageBreak/>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14:paraId="5DD556FC" w14:textId="77777777" w:rsidR="00A40E36" w:rsidRPr="00A40E36" w:rsidRDefault="00A40E36" w:rsidP="00A40E36">
      <w:pPr>
        <w:pStyle w:val="Odstavecseseznamem"/>
        <w:rPr>
          <w:rFonts w:ascii="Arial" w:hAnsi="Arial" w:cs="Arial"/>
          <w:sz w:val="22"/>
          <w:szCs w:val="22"/>
        </w:rPr>
      </w:pPr>
    </w:p>
    <w:p w14:paraId="5C76ECB1" w14:textId="722D128B" w:rsidR="00A40E36" w:rsidRDefault="00A40E36" w:rsidP="00A40E36">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 xml:space="preserve">o veřejných rejstřících právnických a fyzických osob a o evidenci </w:t>
      </w:r>
      <w:proofErr w:type="spellStart"/>
      <w:r w:rsidRPr="00A40E36">
        <w:rPr>
          <w:rFonts w:ascii="Arial" w:hAnsi="Arial" w:cs="Arial"/>
          <w:sz w:val="22"/>
          <w:szCs w:val="22"/>
        </w:rPr>
        <w:t>svěřenských</w:t>
      </w:r>
      <w:proofErr w:type="spellEnd"/>
      <w:r w:rsidRPr="00A40E36">
        <w:rPr>
          <w:rFonts w:ascii="Arial" w:hAnsi="Arial" w:cs="Arial"/>
          <w:sz w:val="22"/>
          <w:szCs w:val="22"/>
        </w:rPr>
        <w:t xml:space="preserve"> fondů,</w:t>
      </w:r>
      <w:r w:rsidR="00454845">
        <w:rPr>
          <w:rFonts w:ascii="Arial" w:hAnsi="Arial" w:cs="Arial"/>
          <w:sz w:val="22"/>
          <w:szCs w:val="22"/>
        </w:rPr>
        <w:br/>
      </w:r>
      <w:r w:rsidRPr="00A40E36">
        <w:rPr>
          <w:rFonts w:ascii="Arial" w:hAnsi="Arial" w:cs="Arial"/>
          <w:sz w:val="22"/>
          <w:szCs w:val="22"/>
        </w:rPr>
        <w:t>ve znění pozdějších předpisů.</w:t>
      </w:r>
    </w:p>
    <w:p w14:paraId="462D4945" w14:textId="27D38325" w:rsidR="00840DBE" w:rsidRPr="00840DBE" w:rsidRDefault="00840DBE" w:rsidP="00840DBE">
      <w:pPr>
        <w:rPr>
          <w:rFonts w:ascii="Arial" w:hAnsi="Arial" w:cs="Arial"/>
          <w:sz w:val="22"/>
          <w:szCs w:val="22"/>
        </w:rPr>
      </w:pPr>
    </w:p>
    <w:p w14:paraId="33DD0856" w14:textId="1580E99D"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14:paraId="4195968C" w14:textId="77777777" w:rsidR="00BC15C5" w:rsidRPr="00BC15C5" w:rsidRDefault="00BC15C5" w:rsidP="00BC15C5">
      <w:pPr>
        <w:pStyle w:val="Odstavecseseznamem"/>
        <w:rPr>
          <w:rFonts w:ascii="Arial" w:hAnsi="Arial" w:cs="Arial"/>
          <w:sz w:val="22"/>
          <w:szCs w:val="22"/>
        </w:rPr>
      </w:pPr>
    </w:p>
    <w:p w14:paraId="51826C93" w14:textId="56529A29"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14:paraId="00285243" w14:textId="77777777" w:rsidR="00BC15C5" w:rsidRPr="00BC15C5" w:rsidRDefault="00BC15C5" w:rsidP="00BC15C5">
      <w:pPr>
        <w:pStyle w:val="Odstavecseseznamem"/>
        <w:rPr>
          <w:rFonts w:ascii="Arial" w:hAnsi="Arial" w:cs="Arial"/>
          <w:sz w:val="22"/>
          <w:szCs w:val="22"/>
        </w:rPr>
      </w:pPr>
    </w:p>
    <w:p w14:paraId="25E88199" w14:textId="155E721F"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 obdobím 1. ledna</w:t>
      </w:r>
      <w:r w:rsidR="00A03B9F">
        <w:rPr>
          <w:rFonts w:ascii="Arial" w:hAnsi="Arial" w:cs="Arial"/>
          <w:sz w:val="22"/>
          <w:szCs w:val="22"/>
        </w:rPr>
        <w:br/>
      </w:r>
      <w:r w:rsidRPr="00BC15C5">
        <w:rPr>
          <w:rFonts w:ascii="Arial" w:hAnsi="Arial" w:cs="Arial"/>
          <w:sz w:val="22"/>
          <w:szCs w:val="22"/>
        </w:rPr>
        <w:t xml:space="preserve">do 31. prosince roku, na který byla dotace poskytnuta. </w:t>
      </w:r>
    </w:p>
    <w:p w14:paraId="63C09955" w14:textId="77777777" w:rsidR="00BC15C5" w:rsidRPr="00BC15C5" w:rsidRDefault="00BC15C5" w:rsidP="00BC15C5">
      <w:pPr>
        <w:pStyle w:val="Odstavecseseznamem"/>
        <w:ind w:left="360"/>
        <w:rPr>
          <w:rFonts w:ascii="Arial" w:hAnsi="Arial" w:cs="Arial"/>
          <w:sz w:val="22"/>
          <w:szCs w:val="22"/>
        </w:rPr>
      </w:pPr>
    </w:p>
    <w:p w14:paraId="6EC7366E" w14:textId="634CBB18"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 na daň</w:t>
      </w:r>
      <w:r w:rsidR="00A03B9F">
        <w:rPr>
          <w:rFonts w:ascii="Arial" w:hAnsi="Arial" w:cs="Arial"/>
          <w:sz w:val="22"/>
          <w:szCs w:val="22"/>
        </w:rPr>
        <w:br/>
      </w:r>
      <w:r w:rsidRPr="003C22C1">
        <w:rPr>
          <w:rFonts w:ascii="Arial" w:hAnsi="Arial" w:cs="Arial"/>
          <w:sz w:val="22"/>
          <w:szCs w:val="22"/>
        </w:rPr>
        <w:t xml:space="preserve">z přidané hodnoty nese výlučně a konečně, může tuto daň z dotace uhradit.  </w:t>
      </w:r>
    </w:p>
    <w:p w14:paraId="1A848323" w14:textId="77777777" w:rsidR="003C22C1" w:rsidRPr="003C22C1" w:rsidRDefault="003C22C1" w:rsidP="003C22C1">
      <w:pPr>
        <w:pStyle w:val="Odstavecseseznamem"/>
        <w:rPr>
          <w:rFonts w:ascii="Arial" w:hAnsi="Arial" w:cs="Arial"/>
          <w:sz w:val="22"/>
          <w:szCs w:val="22"/>
        </w:rPr>
      </w:pPr>
    </w:p>
    <w:p w14:paraId="68A79F71" w14:textId="77777777"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14:paraId="019CA811" w14:textId="77777777" w:rsidR="003C22C1" w:rsidRPr="003C22C1" w:rsidRDefault="003C22C1" w:rsidP="003C22C1">
      <w:pPr>
        <w:pStyle w:val="Odstavecseseznamem"/>
        <w:rPr>
          <w:rFonts w:ascii="Arial" w:hAnsi="Arial" w:cs="Arial"/>
          <w:sz w:val="22"/>
          <w:szCs w:val="22"/>
        </w:rPr>
      </w:pPr>
    </w:p>
    <w:p w14:paraId="0087EEE9" w14:textId="0DDBC501"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 o poskytnutí dotace (dále jen „rozhodnutí</w:t>
      </w:r>
      <w:r w:rsidR="00E935A8">
        <w:rPr>
          <w:rFonts w:ascii="Arial" w:hAnsi="Arial" w:cs="Arial"/>
          <w:sz w:val="22"/>
          <w:szCs w:val="22"/>
        </w:rPr>
        <w:t>“) obsahuje náležitosti uvedené</w:t>
      </w:r>
      <w:r w:rsidR="00E935A8">
        <w:rPr>
          <w:rFonts w:ascii="Arial" w:hAnsi="Arial" w:cs="Arial"/>
          <w:sz w:val="22"/>
          <w:szCs w:val="22"/>
        </w:rPr>
        <w:br/>
      </w:r>
      <w:r w:rsidR="00E935A8" w:rsidRPr="00E935A8">
        <w:rPr>
          <w:rFonts w:ascii="Arial" w:hAnsi="Arial" w:cs="Arial"/>
          <w:sz w:val="22"/>
          <w:szCs w:val="22"/>
        </w:rPr>
        <w:t xml:space="preserve">v § 14 odst. 4 rozpočtových pravidel a § 68 správního řádu. </w:t>
      </w:r>
      <w:r w:rsidR="00E935A8">
        <w:rPr>
          <w:rFonts w:ascii="Arial" w:hAnsi="Arial" w:cs="Arial"/>
          <w:sz w:val="22"/>
          <w:szCs w:val="22"/>
        </w:rPr>
        <w:t>Ministerstvo zemědělství</w:t>
      </w:r>
      <w:r w:rsidR="00E935A8">
        <w:rPr>
          <w:rFonts w:ascii="Arial" w:hAnsi="Arial" w:cs="Arial"/>
          <w:sz w:val="22"/>
          <w:szCs w:val="22"/>
        </w:rPr>
        <w:br/>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 xml:space="preserve">, že nesplnění některých podmínek nebo porušení povinnosti stanovené přímo právním předpisem bude postiženo odvodem za porušení rozpočtové kázně nižším, 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 pro realizaci projektu, pro kontrolu realizace projektu nebo pro kontrolu vypořádání poskytnuté dotace.</w:t>
      </w:r>
    </w:p>
    <w:p w14:paraId="79E51E9B" w14:textId="77777777" w:rsidR="00E46923" w:rsidRPr="00E46923" w:rsidRDefault="00E46923" w:rsidP="00E46923">
      <w:pPr>
        <w:pStyle w:val="Odstavecseseznamem"/>
        <w:rPr>
          <w:rFonts w:ascii="Arial" w:hAnsi="Arial" w:cs="Arial"/>
          <w:sz w:val="22"/>
          <w:szCs w:val="22"/>
        </w:rPr>
      </w:pPr>
    </w:p>
    <w:p w14:paraId="65D428D4" w14:textId="77777777"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14:paraId="172F3073" w14:textId="77777777" w:rsidR="00E46923" w:rsidRPr="00E46923" w:rsidRDefault="00E46923" w:rsidP="00E46923">
      <w:pPr>
        <w:pStyle w:val="Odstavecseseznamem"/>
        <w:ind w:left="360"/>
        <w:rPr>
          <w:rFonts w:ascii="Arial" w:hAnsi="Arial" w:cs="Arial"/>
          <w:sz w:val="22"/>
          <w:szCs w:val="22"/>
        </w:rPr>
      </w:pPr>
    </w:p>
    <w:p w14:paraId="086260AE" w14:textId="6D47EE82"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14:paraId="111D2FD6" w14:textId="77777777" w:rsidR="00E934C8" w:rsidRPr="00E934C8" w:rsidRDefault="00E934C8" w:rsidP="00E934C8">
      <w:pPr>
        <w:pStyle w:val="Odstavecseseznamem"/>
        <w:ind w:left="360"/>
        <w:rPr>
          <w:rFonts w:ascii="Arial" w:hAnsi="Arial" w:cs="Arial"/>
          <w:sz w:val="22"/>
          <w:szCs w:val="22"/>
        </w:rPr>
      </w:pPr>
    </w:p>
    <w:p w14:paraId="27C0D3B9" w14:textId="77777777"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14:paraId="56226887" w14:textId="550CBFF8"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 xml:space="preserve">žádosti, 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14:paraId="0110E248" w14:textId="77777777"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lastRenderedPageBreak/>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14:paraId="7FC59275" w14:textId="77777777"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14:paraId="59909C72" w14:textId="04423543" w:rsidR="00226DA5" w:rsidRPr="00833472" w:rsidRDefault="00940158" w:rsidP="000D3951">
      <w:pPr>
        <w:numPr>
          <w:ilvl w:val="0"/>
          <w:numId w:val="4"/>
        </w:numPr>
        <w:spacing w:after="240"/>
        <w:ind w:right="6"/>
        <w:rPr>
          <w:rFonts w:ascii="Arial" w:hAnsi="Arial" w:cs="Arial"/>
          <w:bCs/>
          <w:sz w:val="22"/>
          <w:szCs w:val="22"/>
        </w:rPr>
      </w:pPr>
      <w:bookmarkStart w:id="0"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25BD8">
        <w:rPr>
          <w:rFonts w:ascii="Arial" w:hAnsi="Arial" w:cs="Arial"/>
          <w:sz w:val="22"/>
          <w:szCs w:val="22"/>
        </w:rPr>
        <w:t xml:space="preserve"> 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 xml:space="preserve">3 </w:t>
      </w:r>
      <w:r w:rsidR="00833472">
        <w:rPr>
          <w:rFonts w:ascii="Arial" w:hAnsi="Arial" w:cs="Arial"/>
          <w:bCs/>
          <w:sz w:val="22"/>
          <w:szCs w:val="22"/>
        </w:rPr>
        <w:t xml:space="preserve"> </w:t>
      </w:r>
      <w:r w:rsidR="00833472" w:rsidRPr="00833472">
        <w:rPr>
          <w:rFonts w:ascii="Arial" w:hAnsi="Arial" w:cs="Arial"/>
          <w:bCs/>
          <w:sz w:val="22"/>
          <w:szCs w:val="22"/>
        </w:rPr>
        <w:t>(vyhlášk</w:t>
      </w:r>
      <w:r w:rsidR="000D3951">
        <w:rPr>
          <w:rFonts w:ascii="Arial" w:hAnsi="Arial" w:cs="Arial"/>
          <w:bCs/>
          <w:sz w:val="22"/>
          <w:szCs w:val="22"/>
        </w:rPr>
        <w:t>y</w:t>
      </w:r>
      <w:r w:rsidR="00833472" w:rsidRPr="00833472">
        <w:rPr>
          <w:rFonts w:ascii="Arial" w:hAnsi="Arial" w:cs="Arial"/>
          <w:bCs/>
          <w:sz w:val="22"/>
          <w:szCs w:val="22"/>
        </w:rPr>
        <w:t xml:space="preserve"> 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 že termín předložení</w:t>
      </w:r>
      <w:r w:rsidR="00D7339B">
        <w:rPr>
          <w:rFonts w:ascii="Arial" w:hAnsi="Arial" w:cs="Arial"/>
          <w:sz w:val="22"/>
          <w:szCs w:val="22"/>
        </w:rPr>
        <w:br/>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0"/>
      <w:r w:rsidR="00833472" w:rsidRPr="00833472">
        <w:rPr>
          <w:rFonts w:ascii="Arial" w:hAnsi="Arial" w:cs="Arial"/>
          <w:bCs/>
          <w:sz w:val="22"/>
          <w:szCs w:val="22"/>
        </w:rPr>
        <w:t xml:space="preserve"> </w:t>
      </w:r>
    </w:p>
    <w:p w14:paraId="1BCEB63B" w14:textId="7F29D166"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14:paraId="6431AFBA" w14:textId="3BA976C3"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 a o změně některých zákonů</w:t>
      </w:r>
      <w:r w:rsidR="004715FF" w:rsidRPr="004715FF">
        <w:rPr>
          <w:rFonts w:ascii="Arial" w:hAnsi="Arial" w:cs="Arial"/>
          <w:sz w:val="22"/>
          <w:szCs w:val="22"/>
        </w:rPr>
        <w:t xml:space="preserve">, </w:t>
      </w:r>
    </w:p>
    <w:p w14:paraId="612F588C" w14:textId="31E1ED88"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 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395F92">
        <w:rPr>
          <w:rFonts w:ascii="Arial" w:hAnsi="Arial" w:cs="Arial"/>
          <w:bCs/>
          <w:sz w:val="22"/>
          <w:szCs w:val="22"/>
        </w:rPr>
        <w:br/>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14:paraId="7064D4DD" w14:textId="77777777"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956465">
        <w:rPr>
          <w:rFonts w:ascii="Arial" w:hAnsi="Arial" w:cs="Arial"/>
          <w:bCs/>
          <w:sz w:val="22"/>
          <w:szCs w:val="22"/>
        </w:rPr>
        <w:t xml:space="preserve"> 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 k úhradě zakázky, která je veřejnou zakázkou podle uvedeného zákona.</w:t>
      </w:r>
    </w:p>
    <w:p w14:paraId="6747129A" w14:textId="77777777" w:rsidR="005F192E" w:rsidRDefault="005F192E" w:rsidP="007778D4">
      <w:pPr>
        <w:pStyle w:val="Zkladntext2"/>
        <w:numPr>
          <w:ilvl w:val="0"/>
          <w:numId w:val="3"/>
        </w:numPr>
        <w:ind w:right="6"/>
        <w:rPr>
          <w:rFonts w:ascii="Arial" w:hAnsi="Arial" w:cs="Arial"/>
          <w:sz w:val="22"/>
          <w:szCs w:val="22"/>
        </w:rPr>
      </w:pPr>
      <w:r w:rsidRPr="005F192E">
        <w:rPr>
          <w:rFonts w:ascii="Arial" w:hAnsi="Arial" w:cs="Arial"/>
          <w:sz w:val="22"/>
          <w:szCs w:val="22"/>
        </w:rPr>
        <w:t>Rozhodnutí o zamítnutí či částečném zamítnutí dotace, popř. usnesení o zastavení řízení o žádosti obsahuje náležitosti stanovené zákonem č. 218/2000 Sb.</w:t>
      </w:r>
    </w:p>
    <w:p w14:paraId="2CA18293" w14:textId="77777777" w:rsidR="005F192E" w:rsidRDefault="005F192E" w:rsidP="007778D4">
      <w:pPr>
        <w:ind w:left="360"/>
        <w:rPr>
          <w:rFonts w:ascii="Arial" w:hAnsi="Arial" w:cs="Arial"/>
          <w:sz w:val="22"/>
          <w:szCs w:val="22"/>
        </w:rPr>
      </w:pPr>
    </w:p>
    <w:p w14:paraId="4B1B1911" w14:textId="02534433"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14:paraId="699D8EF2" w14:textId="77777777" w:rsidR="00BE75A8" w:rsidRDefault="00BE75A8" w:rsidP="007778D4">
      <w:pPr>
        <w:pStyle w:val="Odstavecseseznamem"/>
        <w:rPr>
          <w:rFonts w:ascii="Arial" w:hAnsi="Arial" w:cs="Arial"/>
          <w:sz w:val="22"/>
          <w:szCs w:val="22"/>
        </w:rPr>
      </w:pPr>
    </w:p>
    <w:p w14:paraId="2C42D837" w14:textId="77777777" w:rsidR="007778D4" w:rsidRDefault="007778D4" w:rsidP="007778D4">
      <w:pPr>
        <w:pStyle w:val="Zkladntext2"/>
        <w:spacing w:after="240"/>
        <w:ind w:right="6"/>
        <w:rPr>
          <w:rFonts w:ascii="Arial" w:hAnsi="Arial" w:cs="Arial"/>
          <w:sz w:val="22"/>
          <w:szCs w:val="22"/>
        </w:rPr>
      </w:pPr>
    </w:p>
    <w:p w14:paraId="1B6D6EC7" w14:textId="77777777" w:rsidR="007778D4" w:rsidRDefault="007778D4" w:rsidP="007778D4">
      <w:pPr>
        <w:pStyle w:val="Zkladntext2"/>
        <w:spacing w:after="240"/>
        <w:ind w:right="6"/>
        <w:rPr>
          <w:rFonts w:ascii="Arial" w:hAnsi="Arial" w:cs="Arial"/>
          <w:sz w:val="22"/>
          <w:szCs w:val="22"/>
        </w:rPr>
      </w:pPr>
    </w:p>
    <w:p w14:paraId="503F95FE" w14:textId="77777777" w:rsidR="007778D4" w:rsidRDefault="007778D4" w:rsidP="007778D4">
      <w:pPr>
        <w:pStyle w:val="Zkladntext2"/>
        <w:spacing w:after="240"/>
        <w:ind w:right="6"/>
        <w:rPr>
          <w:rFonts w:ascii="Arial" w:hAnsi="Arial" w:cs="Arial"/>
          <w:sz w:val="22"/>
          <w:szCs w:val="22"/>
        </w:rPr>
      </w:pPr>
    </w:p>
    <w:p w14:paraId="326A18FA" w14:textId="77777777"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14:paraId="11FB10AE" w14:textId="77777777" w:rsidR="004F289D" w:rsidRPr="00C34094" w:rsidRDefault="004F289D" w:rsidP="00C34094">
      <w:pPr>
        <w:spacing w:after="240"/>
        <w:ind w:hanging="142"/>
        <w:jc w:val="left"/>
        <w:rPr>
          <w:rFonts w:ascii="Arial" w:eastAsia="Calibri" w:hAnsi="Arial" w:cs="Arial"/>
          <w:sz w:val="22"/>
          <w:szCs w:val="22"/>
          <w:lang w:eastAsia="en-US"/>
        </w:rPr>
      </w:pPr>
      <w:bookmarkStart w:id="1" w:name="_GoBack"/>
      <w:bookmarkEnd w:id="1"/>
    </w:p>
    <w:p w14:paraId="67BBAFA3" w14:textId="77777777" w:rsidR="00C34094" w:rsidRDefault="00C34094" w:rsidP="00C34094">
      <w:pPr>
        <w:jc w:val="center"/>
        <w:rPr>
          <w:rFonts w:ascii="Arial" w:hAnsi="Arial" w:cs="Arial"/>
          <w:b/>
          <w:bCs/>
          <w:caps/>
        </w:rPr>
      </w:pPr>
    </w:p>
    <w:p w14:paraId="264DE48C" w14:textId="77777777" w:rsidR="00C34094" w:rsidRPr="00C34094" w:rsidRDefault="00C34094" w:rsidP="007778D4">
      <w:pPr>
        <w:jc w:val="center"/>
        <w:rPr>
          <w:rFonts w:ascii="Arial" w:eastAsia="Calibri" w:hAnsi="Arial" w:cs="Arial"/>
          <w:sz w:val="22"/>
          <w:szCs w:val="22"/>
          <w:lang w:eastAsia="en-US"/>
        </w:rPr>
      </w:pPr>
      <w:r w:rsidRPr="00C34094">
        <w:rPr>
          <w:rFonts w:ascii="Arial" w:eastAsia="Calibri" w:hAnsi="Arial" w:cs="Arial"/>
          <w:sz w:val="22"/>
          <w:szCs w:val="22"/>
          <w:lang w:eastAsia="en-US"/>
        </w:rPr>
        <w:t xml:space="preserve">Ing. </w:t>
      </w:r>
      <w:r w:rsidR="00384DC0">
        <w:rPr>
          <w:rFonts w:ascii="Arial" w:eastAsia="Calibri" w:hAnsi="Arial" w:cs="Arial"/>
          <w:sz w:val="22"/>
          <w:szCs w:val="22"/>
          <w:lang w:eastAsia="en-US"/>
        </w:rPr>
        <w:t>Miroslav Toman, CSc.</w:t>
      </w:r>
    </w:p>
    <w:p w14:paraId="15458AA8" w14:textId="77777777" w:rsidR="0095332F" w:rsidRPr="00D1313C" w:rsidRDefault="00C34094" w:rsidP="007778D4">
      <w:pPr>
        <w:pStyle w:val="Zkladntext2"/>
        <w:spacing w:after="240"/>
        <w:ind w:left="2832" w:right="6" w:firstLine="708"/>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7E6D1" w14:textId="77777777" w:rsidR="00BD48D4" w:rsidRDefault="00BD48D4">
      <w:r>
        <w:separator/>
      </w:r>
    </w:p>
  </w:endnote>
  <w:endnote w:type="continuationSeparator" w:id="0">
    <w:p w14:paraId="4DEDC72F" w14:textId="77777777" w:rsidR="00BD48D4" w:rsidRDefault="00BD48D4">
      <w:r>
        <w:continuationSeparator/>
      </w:r>
    </w:p>
  </w:endnote>
  <w:endnote w:type="continuationNotice" w:id="1">
    <w:p w14:paraId="1B39C609" w14:textId="77777777" w:rsidR="00BD48D4" w:rsidRDefault="00BD4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28D6" w14:textId="77777777" w:rsidR="00966858" w:rsidRDefault="00966858"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63869FD" w14:textId="77777777" w:rsidR="00966858" w:rsidRDefault="00966858"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5BDB" w14:textId="4A97DFAB" w:rsidR="00966858" w:rsidRPr="00D1313C" w:rsidRDefault="00966858" w:rsidP="00525D42">
    <w:pPr>
      <w:pStyle w:val="Zpat"/>
      <w:jc w:val="center"/>
      <w:rPr>
        <w:rFonts w:ascii="Arial" w:hAnsi="Arial"/>
        <w:sz w:val="22"/>
      </w:rPr>
    </w:pPr>
    <w:r w:rsidRPr="00D1313C">
      <w:rPr>
        <w:rFonts w:ascii="Arial" w:hAnsi="Arial"/>
        <w:sz w:val="22"/>
      </w:rPr>
      <w:fldChar w:fldCharType="begin"/>
    </w:r>
    <w:r w:rsidRPr="00982C8C">
      <w:rPr>
        <w:rFonts w:ascii="Arial" w:hAnsi="Arial" w:cs="Arial"/>
        <w:sz w:val="22"/>
        <w:szCs w:val="22"/>
      </w:rPr>
      <w:instrText>PAGE   \* MERGEFORMAT</w:instrText>
    </w:r>
    <w:r w:rsidRPr="00D1313C">
      <w:rPr>
        <w:rFonts w:ascii="Arial" w:hAnsi="Arial"/>
        <w:sz w:val="22"/>
      </w:rPr>
      <w:fldChar w:fldCharType="separate"/>
    </w:r>
    <w:r w:rsidR="008212AC">
      <w:rPr>
        <w:rFonts w:ascii="Arial" w:hAnsi="Arial" w:cs="Arial"/>
        <w:noProof/>
        <w:sz w:val="22"/>
        <w:szCs w:val="22"/>
      </w:rPr>
      <w:t>5</w:t>
    </w:r>
    <w:r w:rsidRPr="00D1313C">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B4293" w14:textId="77777777" w:rsidR="00BD48D4" w:rsidRDefault="00BD48D4">
      <w:r>
        <w:separator/>
      </w:r>
    </w:p>
  </w:footnote>
  <w:footnote w:type="continuationSeparator" w:id="0">
    <w:p w14:paraId="303988FF" w14:textId="77777777" w:rsidR="00BD48D4" w:rsidRDefault="00BD48D4">
      <w:r>
        <w:continuationSeparator/>
      </w:r>
    </w:p>
  </w:footnote>
  <w:footnote w:type="continuationNotice" w:id="1">
    <w:p w14:paraId="608E4742" w14:textId="77777777" w:rsidR="00BD48D4" w:rsidRDefault="00BD48D4"/>
  </w:footnote>
  <w:footnote w:id="2">
    <w:p w14:paraId="25A4EDEC" w14:textId="77777777"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V písmenu a) jsou uvedeny právní formy, které jsou považovány za nestátní neziskové organizace Radou vlády pro nestátní neziskové organizace. Viz Státní politika vůči nestátním neziskovým orga</w:t>
      </w:r>
      <w:r>
        <w:rPr>
          <w:rFonts w:ascii="Arial" w:hAnsi="Arial" w:cs="Arial"/>
          <w:sz w:val="16"/>
          <w:szCs w:val="16"/>
        </w:rPr>
        <w:t xml:space="preserve">nizacím na léta 2015 – 2020. </w:t>
      </w:r>
    </w:p>
    <w:p w14:paraId="43484E07" w14:textId="77777777" w:rsidR="00570215" w:rsidRPr="00570215" w:rsidRDefault="00570215" w:rsidP="00570215">
      <w:pPr>
        <w:pStyle w:val="Textpoznpodarou"/>
        <w:rPr>
          <w:lang w:val="cs-CZ"/>
        </w:rPr>
      </w:pPr>
      <w:r>
        <w:rPr>
          <w:rFonts w:ascii="Arial" w:hAnsi="Arial" w:cs="Arial"/>
          <w:sz w:val="16"/>
          <w:szCs w:val="16"/>
        </w:rPr>
        <w:t xml:space="preserve">Dostupné </w:t>
      </w:r>
      <w:r w:rsidRPr="009022FB">
        <w:rPr>
          <w:rFonts w:ascii="Arial" w:hAnsi="Arial" w:cs="Arial"/>
          <w:sz w:val="16"/>
          <w:szCs w:val="16"/>
        </w:rPr>
        <w:t xml:space="preserve">z </w:t>
      </w:r>
      <w:hyperlink r:id="rId1" w:history="1">
        <w:r w:rsidRPr="009022FB">
          <w:rPr>
            <w:rStyle w:val="Hypertextovodkaz"/>
            <w:rFonts w:ascii="Arial" w:hAnsi="Arial" w:cs="Arial"/>
            <w:sz w:val="16"/>
            <w:szCs w:val="16"/>
          </w:rPr>
          <w:t>http://www.vlada.cz/assets/ppov/rnno/dokumenty/statni_politika.pdf</w:t>
        </w:r>
      </w:hyperlink>
    </w:p>
  </w:footnote>
  <w:footnote w:id="3">
    <w:p w14:paraId="47E62D79" w14:textId="77777777"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14:paraId="646B4702" w14:textId="77777777"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5499"/>
    <w:rsid w:val="00265E90"/>
    <w:rsid w:val="0026642A"/>
    <w:rsid w:val="00266C19"/>
    <w:rsid w:val="00267F1B"/>
    <w:rsid w:val="00270294"/>
    <w:rsid w:val="002702C1"/>
    <w:rsid w:val="0027230B"/>
    <w:rsid w:val="0027283D"/>
    <w:rsid w:val="00274697"/>
    <w:rsid w:val="00276C51"/>
    <w:rsid w:val="0027705B"/>
    <w:rsid w:val="00277AEC"/>
    <w:rsid w:val="002810BF"/>
    <w:rsid w:val="0028162F"/>
    <w:rsid w:val="002854CF"/>
    <w:rsid w:val="00286397"/>
    <w:rsid w:val="00286623"/>
    <w:rsid w:val="00287B59"/>
    <w:rsid w:val="00290B6B"/>
    <w:rsid w:val="002913DD"/>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1576"/>
    <w:rsid w:val="003216C7"/>
    <w:rsid w:val="0032389E"/>
    <w:rsid w:val="00325D36"/>
    <w:rsid w:val="00327B68"/>
    <w:rsid w:val="00327CB2"/>
    <w:rsid w:val="00327F0D"/>
    <w:rsid w:val="00330756"/>
    <w:rsid w:val="00332568"/>
    <w:rsid w:val="00332881"/>
    <w:rsid w:val="003351A5"/>
    <w:rsid w:val="003418FD"/>
    <w:rsid w:val="00342C3C"/>
    <w:rsid w:val="0034729A"/>
    <w:rsid w:val="00347DE4"/>
    <w:rsid w:val="003506CE"/>
    <w:rsid w:val="00352831"/>
    <w:rsid w:val="0035301E"/>
    <w:rsid w:val="00354B90"/>
    <w:rsid w:val="0035668A"/>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1733"/>
    <w:rsid w:val="004D1EE6"/>
    <w:rsid w:val="004D2310"/>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7F7"/>
    <w:rsid w:val="005C3754"/>
    <w:rsid w:val="005C3EF1"/>
    <w:rsid w:val="005C5CEB"/>
    <w:rsid w:val="005C6350"/>
    <w:rsid w:val="005D281F"/>
    <w:rsid w:val="005D4010"/>
    <w:rsid w:val="005D75FB"/>
    <w:rsid w:val="005E1784"/>
    <w:rsid w:val="005E3252"/>
    <w:rsid w:val="005F192E"/>
    <w:rsid w:val="005F5003"/>
    <w:rsid w:val="005F7AE4"/>
    <w:rsid w:val="00601204"/>
    <w:rsid w:val="00601231"/>
    <w:rsid w:val="0060231D"/>
    <w:rsid w:val="006041CF"/>
    <w:rsid w:val="0060621D"/>
    <w:rsid w:val="00607001"/>
    <w:rsid w:val="00612C05"/>
    <w:rsid w:val="0062101C"/>
    <w:rsid w:val="00621622"/>
    <w:rsid w:val="00624901"/>
    <w:rsid w:val="00624EC7"/>
    <w:rsid w:val="0063057B"/>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10C1"/>
    <w:rsid w:val="00662175"/>
    <w:rsid w:val="00662A0F"/>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76EF"/>
    <w:rsid w:val="006C232F"/>
    <w:rsid w:val="006C6FD9"/>
    <w:rsid w:val="006D39F3"/>
    <w:rsid w:val="006D5BDB"/>
    <w:rsid w:val="006D65AA"/>
    <w:rsid w:val="006D708D"/>
    <w:rsid w:val="006E1420"/>
    <w:rsid w:val="006E1B41"/>
    <w:rsid w:val="006E2077"/>
    <w:rsid w:val="006E400C"/>
    <w:rsid w:val="006E4304"/>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725BE"/>
    <w:rsid w:val="00773570"/>
    <w:rsid w:val="0077368D"/>
    <w:rsid w:val="00774A59"/>
    <w:rsid w:val="007778D4"/>
    <w:rsid w:val="007820BB"/>
    <w:rsid w:val="007823F4"/>
    <w:rsid w:val="007873DF"/>
    <w:rsid w:val="00787749"/>
    <w:rsid w:val="00790BA5"/>
    <w:rsid w:val="00792845"/>
    <w:rsid w:val="00792BDC"/>
    <w:rsid w:val="00795DC7"/>
    <w:rsid w:val="007967DD"/>
    <w:rsid w:val="00797628"/>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800931"/>
    <w:rsid w:val="00802111"/>
    <w:rsid w:val="00804628"/>
    <w:rsid w:val="00806880"/>
    <w:rsid w:val="008079F6"/>
    <w:rsid w:val="008115E2"/>
    <w:rsid w:val="00812322"/>
    <w:rsid w:val="00812456"/>
    <w:rsid w:val="00812FCC"/>
    <w:rsid w:val="008152FD"/>
    <w:rsid w:val="00817070"/>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B31D2"/>
    <w:rsid w:val="009B4413"/>
    <w:rsid w:val="009B49CB"/>
    <w:rsid w:val="009B502D"/>
    <w:rsid w:val="009C11CF"/>
    <w:rsid w:val="009C1444"/>
    <w:rsid w:val="009C2600"/>
    <w:rsid w:val="009C4111"/>
    <w:rsid w:val="009C4698"/>
    <w:rsid w:val="009C649A"/>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673F"/>
    <w:rsid w:val="00AE1643"/>
    <w:rsid w:val="00AE1AAD"/>
    <w:rsid w:val="00AE1F68"/>
    <w:rsid w:val="00AE56CC"/>
    <w:rsid w:val="00AE67B3"/>
    <w:rsid w:val="00AF28E7"/>
    <w:rsid w:val="00AF4077"/>
    <w:rsid w:val="00AF7786"/>
    <w:rsid w:val="00B01444"/>
    <w:rsid w:val="00B03B0F"/>
    <w:rsid w:val="00B053DC"/>
    <w:rsid w:val="00B0665E"/>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B14"/>
    <w:rsid w:val="00BA7EB9"/>
    <w:rsid w:val="00BB13AB"/>
    <w:rsid w:val="00BB680F"/>
    <w:rsid w:val="00BC02E4"/>
    <w:rsid w:val="00BC15C5"/>
    <w:rsid w:val="00BC1C0F"/>
    <w:rsid w:val="00BC7687"/>
    <w:rsid w:val="00BD252A"/>
    <w:rsid w:val="00BD48D4"/>
    <w:rsid w:val="00BD5EDA"/>
    <w:rsid w:val="00BD624C"/>
    <w:rsid w:val="00BD65BA"/>
    <w:rsid w:val="00BD7326"/>
    <w:rsid w:val="00BD7893"/>
    <w:rsid w:val="00BE1934"/>
    <w:rsid w:val="00BE1ED3"/>
    <w:rsid w:val="00BE2C9C"/>
    <w:rsid w:val="00BE75A8"/>
    <w:rsid w:val="00BF0A3B"/>
    <w:rsid w:val="00BF189F"/>
    <w:rsid w:val="00BF485F"/>
    <w:rsid w:val="00BF6FFB"/>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743"/>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4802"/>
    <w:rsid w:val="00DA0D24"/>
    <w:rsid w:val="00DA1D26"/>
    <w:rsid w:val="00DA3F27"/>
    <w:rsid w:val="00DA57D4"/>
    <w:rsid w:val="00DB004B"/>
    <w:rsid w:val="00DB51CD"/>
    <w:rsid w:val="00DB7226"/>
    <w:rsid w:val="00DB7730"/>
    <w:rsid w:val="00DC1767"/>
    <w:rsid w:val="00DC21C2"/>
    <w:rsid w:val="00DC2D39"/>
    <w:rsid w:val="00DC4209"/>
    <w:rsid w:val="00DC596E"/>
    <w:rsid w:val="00DC6478"/>
    <w:rsid w:val="00DC7F7C"/>
    <w:rsid w:val="00DD24CD"/>
    <w:rsid w:val="00DD3871"/>
    <w:rsid w:val="00DD55F1"/>
    <w:rsid w:val="00DD5BE9"/>
    <w:rsid w:val="00DD612F"/>
    <w:rsid w:val="00DE21FE"/>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D42"/>
    <w:rsid w:val="00E73BD9"/>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902"/>
    <w:rsid w:val="00ED3CF5"/>
    <w:rsid w:val="00ED4D8D"/>
    <w:rsid w:val="00ED548F"/>
    <w:rsid w:val="00ED6577"/>
    <w:rsid w:val="00ED65D0"/>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9E47"/>
  <w15:chartTrackingRefBased/>
  <w15:docId w15:val="{D9919CA5-00C5-43E0-9A90-D3CB7ED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val="x-none" w:eastAsia="x-none"/>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val="x-none"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val="x-none" w:eastAsia="x-none"/>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val="x-none" w:eastAsia="x-none"/>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lada.cz/assets/ppov/rnno/dokumenty/statni_politika.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8BD4-673B-4566-A131-7C61AC4F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1923</Words>
  <Characters>11347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13244</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Pangrác Jiří</cp:lastModifiedBy>
  <cp:revision>10</cp:revision>
  <cp:lastPrinted>2020-05-26T12:14:00Z</cp:lastPrinted>
  <dcterms:created xsi:type="dcterms:W3CDTF">2020-06-15T06:42:00Z</dcterms:created>
  <dcterms:modified xsi:type="dcterms:W3CDTF">2020-07-09T06:21:00Z</dcterms:modified>
</cp:coreProperties>
</file>