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94E" w:rsidRDefault="005D6D13">
      <w:pPr>
        <w:pStyle w:val="NoList1"/>
        <w:jc w:val="center"/>
        <w:rPr>
          <w:rFonts w:ascii="Arial" w:eastAsia="Arial" w:hAnsi="Arial" w:cs="Arial"/>
          <w:caps/>
          <w:spacing w:val="8"/>
          <w:sz w:val="22"/>
          <w:szCs w:val="22"/>
          <w:lang w:val="cs-CZ"/>
        </w:rPr>
      </w:pPr>
      <w:bookmarkStart w:id="0" w:name="_GoBack"/>
      <w:bookmarkEnd w:id="0"/>
      <w:r>
        <w:rPr>
          <w:rFonts w:ascii="Arial" w:eastAsia="Arial" w:hAnsi="Arial" w:cs="Arial"/>
          <w:caps/>
          <w:noProof/>
          <w:spacing w:val="8"/>
          <w:sz w:val="24"/>
          <w:szCs w:val="24"/>
          <w:lang w:val="cs-CZ" w:eastAsia="cs-CZ"/>
        </w:rPr>
        <w:drawing>
          <wp:inline distT="0" distB="0" distL="0" distR="0">
            <wp:extent cx="612000" cy="720000"/>
            <wp:effectExtent l="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94E" w:rsidRDefault="00F2694E">
      <w:pPr>
        <w:pStyle w:val="NoList1"/>
        <w:jc w:val="center"/>
        <w:rPr>
          <w:rFonts w:ascii="Arial" w:eastAsia="Arial" w:hAnsi="Arial" w:cs="Arial"/>
          <w:caps/>
          <w:spacing w:val="8"/>
          <w:sz w:val="22"/>
          <w:szCs w:val="22"/>
          <w:lang w:val="cs-CZ"/>
        </w:rPr>
      </w:pPr>
    </w:p>
    <w:p w:rsidR="00F2694E" w:rsidRDefault="005D6D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fldChar w:fldCharType="begin"/>
      </w:r>
      <w:r>
        <w:rPr>
          <w:b/>
          <w:sz w:val="32"/>
          <w:szCs w:val="32"/>
        </w:rPr>
        <w:instrText xml:space="preserve"> DOCVARIABLE  dms_podpisova_dolozka_jmeno  \* MERGEFORMAT </w:instrText>
      </w:r>
      <w:r>
        <w:rPr>
          <w:b/>
          <w:sz w:val="32"/>
          <w:szCs w:val="32"/>
        </w:rPr>
        <w:fldChar w:fldCharType="separate"/>
      </w:r>
      <w:r>
        <w:rPr>
          <w:b/>
          <w:sz w:val="32"/>
          <w:szCs w:val="32"/>
        </w:rPr>
        <w:t>Mgr. Patrik Mlynář</w:t>
      </w:r>
      <w:r>
        <w:rPr>
          <w:b/>
          <w:sz w:val="32"/>
          <w:szCs w:val="32"/>
        </w:rPr>
        <w:fldChar w:fldCharType="end"/>
      </w:r>
    </w:p>
    <w:p w:rsidR="00F2694E" w:rsidRDefault="005D6D13">
      <w:pPr>
        <w:jc w:val="center"/>
        <w:rPr>
          <w:i/>
          <w:szCs w:val="22"/>
        </w:rPr>
      </w:pPr>
      <w:r>
        <w:rPr>
          <w:i/>
          <w:szCs w:val="22"/>
        </w:rPr>
        <w:fldChar w:fldCharType="begin"/>
      </w:r>
      <w:r>
        <w:rPr>
          <w:i/>
          <w:szCs w:val="22"/>
        </w:rPr>
        <w:instrText xml:space="preserve"> DOCVARIABLE  dms_podpisova_dolozka_funkce  \* MERGEFORMAT </w:instrText>
      </w:r>
      <w:r>
        <w:rPr>
          <w:i/>
          <w:szCs w:val="22"/>
        </w:rPr>
        <w:fldChar w:fldCharType="separate"/>
      </w:r>
      <w:r>
        <w:rPr>
          <w:i/>
          <w:szCs w:val="22"/>
        </w:rPr>
        <w:t>náměstek pro řízení sekce</w:t>
      </w:r>
    </w:p>
    <w:p w:rsidR="00F2694E" w:rsidRDefault="005D6D13">
      <w:pPr>
        <w:jc w:val="center"/>
        <w:rPr>
          <w:i/>
          <w:szCs w:val="22"/>
        </w:rPr>
      </w:pPr>
      <w:r>
        <w:rPr>
          <w:i/>
          <w:szCs w:val="22"/>
        </w:rPr>
        <w:t>Sekce lesního hospodářství</w:t>
      </w:r>
      <w:r>
        <w:rPr>
          <w:i/>
          <w:szCs w:val="22"/>
        </w:rPr>
        <w:fldChar w:fldCharType="end"/>
      </w:r>
    </w:p>
    <w:p w:rsidR="00F2694E" w:rsidRDefault="005D6D13">
      <w:pPr>
        <w:pStyle w:val="NoList1"/>
        <w:spacing w:line="360" w:lineRule="auto"/>
        <w:rPr>
          <w:rFonts w:ascii="Arial" w:eastAsia="Arial" w:hAnsi="Arial" w:cs="Arial"/>
          <w:caps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caps/>
          <w:spacing w:val="8"/>
          <w:sz w:val="22"/>
          <w:szCs w:val="22"/>
          <w:lang w:val="cs-CZ"/>
        </w:rPr>
        <w:t xml:space="preserve"> </w:t>
      </w:r>
    </w:p>
    <w:p w:rsidR="00F2694E" w:rsidRDefault="005D6D13">
      <w:pPr>
        <w:pStyle w:val="NoList1"/>
        <w:spacing w:line="360" w:lineRule="auto"/>
        <w:rPr>
          <w:rFonts w:ascii="Arial" w:eastAsia="Arial" w:hAnsi="Arial" w:cs="Arial"/>
          <w:caps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caps/>
          <w:spacing w:val="8"/>
          <w:sz w:val="22"/>
          <w:szCs w:val="22"/>
          <w:lang w:val="cs-CZ"/>
        </w:rPr>
        <w:t xml:space="preserve"> </w:t>
      </w:r>
    </w:p>
    <w:p w:rsidR="00F2694E" w:rsidRDefault="005D6D13">
      <w:pPr>
        <w:pStyle w:val="NoList1"/>
        <w:spacing w:line="360" w:lineRule="auto"/>
        <w:rPr>
          <w:rFonts w:ascii="Arial" w:eastAsia="Arial" w:hAnsi="Arial" w:cs="Arial"/>
          <w:caps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caps/>
          <w:spacing w:val="8"/>
          <w:sz w:val="22"/>
          <w:szCs w:val="22"/>
          <w:lang w:val="cs-CZ"/>
        </w:rPr>
        <w:t xml:space="preserve"> </w:t>
      </w:r>
    </w:p>
    <w:tbl>
      <w:tblPr>
        <w:tblStyle w:val="NormalTable"/>
        <w:tblW w:w="0" w:type="auto"/>
        <w:tblInd w:w="5637" w:type="dxa"/>
        <w:tblLook w:val="04A0" w:firstRow="1" w:lastRow="0" w:firstColumn="1" w:lastColumn="0" w:noHBand="0" w:noVBand="1"/>
        <w:tblCaption w:val=""/>
        <w:tblDescription w:val=""/>
      </w:tblPr>
      <w:tblGrid>
        <w:gridCol w:w="3472"/>
      </w:tblGrid>
      <w:tr w:rsidR="00F2694E">
        <w:tc>
          <w:tcPr>
            <w:tcW w:w="3472" w:type="dxa"/>
          </w:tcPr>
          <w:p w:rsidR="00F2694E" w:rsidRDefault="005D6D13">
            <w:pPr>
              <w:rPr>
                <w:szCs w:val="22"/>
              </w:rPr>
            </w:pPr>
            <w:r>
              <w:rPr>
                <w:szCs w:val="22"/>
              </w:rPr>
              <w:t xml:space="preserve">V Praze dne </w:t>
            </w: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DOCVARIABLE  dms_datum_textem </w:instrText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t>9. července 2018</w:t>
            </w:r>
            <w:r>
              <w:rPr>
                <w:szCs w:val="22"/>
              </w:rPr>
              <w:fldChar w:fldCharType="end"/>
            </w:r>
          </w:p>
          <w:p w:rsidR="00F2694E" w:rsidRDefault="005D6D13">
            <w:pPr>
              <w:rPr>
                <w:spacing w:val="8"/>
                <w:szCs w:val="22"/>
              </w:rPr>
            </w:pPr>
            <w:r>
              <w:rPr>
                <w:szCs w:val="22"/>
              </w:rPr>
              <w:t xml:space="preserve">Čj. </w:t>
            </w: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DOCVARIABLE  dms_cj </w:instrText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t>40386/2018-MZE-16233</w:t>
            </w:r>
            <w:r>
              <w:rPr>
                <w:szCs w:val="22"/>
              </w:rPr>
              <w:fldChar w:fldCharType="end"/>
            </w:r>
          </w:p>
        </w:tc>
      </w:tr>
    </w:tbl>
    <w:p w:rsidR="00F2694E" w:rsidRDefault="005D6D13">
      <w:pPr>
        <w:pStyle w:val="NoList1"/>
        <w:spacing w:line="360" w:lineRule="auto"/>
        <w:jc w:val="both"/>
        <w:rPr>
          <w:rFonts w:ascii="Arial" w:eastAsia="Arial" w:hAnsi="Arial" w:cs="Arial"/>
          <w:b/>
          <w:sz w:val="22"/>
          <w:szCs w:val="22"/>
          <w:lang w:val="cs-CZ"/>
        </w:rPr>
      </w:pPr>
      <w:r>
        <w:rPr>
          <w:rFonts w:ascii="Arial" w:eastAsia="Arial" w:hAnsi="Arial" w:cs="Arial"/>
          <w:b/>
          <w:sz w:val="22"/>
          <w:szCs w:val="22"/>
          <w:lang w:val="cs-CZ"/>
        </w:rPr>
        <w:t xml:space="preserve"> </w:t>
      </w:r>
    </w:p>
    <w:p w:rsidR="00F2694E" w:rsidRDefault="005D6D13">
      <w:pPr>
        <w:pStyle w:val="NoList1"/>
        <w:spacing w:line="360" w:lineRule="auto"/>
        <w:jc w:val="both"/>
        <w:rPr>
          <w:rFonts w:ascii="Arial" w:eastAsia="Arial" w:hAnsi="Arial" w:cs="Arial"/>
          <w:b/>
          <w:sz w:val="22"/>
          <w:szCs w:val="22"/>
          <w:lang w:val="cs-CZ"/>
        </w:rPr>
      </w:pPr>
      <w:r>
        <w:rPr>
          <w:rFonts w:ascii="Arial" w:eastAsia="Arial" w:hAnsi="Arial" w:cs="Arial"/>
          <w:b/>
          <w:sz w:val="22"/>
          <w:szCs w:val="22"/>
          <w:lang w:val="cs-CZ"/>
        </w:rPr>
        <w:t xml:space="preserve"> </w:t>
      </w:r>
    </w:p>
    <w:p w:rsidR="00F2694E" w:rsidRDefault="00F2694E">
      <w:pPr>
        <w:pStyle w:val="NoList1"/>
        <w:spacing w:line="360" w:lineRule="auto"/>
        <w:jc w:val="both"/>
        <w:rPr>
          <w:rFonts w:ascii="Arial" w:eastAsia="Arial" w:hAnsi="Arial" w:cs="Arial"/>
          <w:b/>
          <w:sz w:val="22"/>
          <w:szCs w:val="22"/>
          <w:lang w:val="cs-CZ"/>
        </w:rPr>
      </w:pPr>
    </w:p>
    <w:p w:rsidR="00F2694E" w:rsidRDefault="005D6D13">
      <w:pPr>
        <w:jc w:val="both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DOCVARIABLE  dms_vec </w:instrText>
      </w:r>
      <w:r>
        <w:rPr>
          <w:b/>
        </w:rPr>
        <w:fldChar w:fldCharType="separate"/>
      </w:r>
      <w:r>
        <w:rPr>
          <w:b/>
        </w:rPr>
        <w:t>Metodický pokyn orgánům státní správy pro redukci početních stavů spárkaté zvěře</w:t>
      </w:r>
      <w:r>
        <w:rPr>
          <w:b/>
        </w:rPr>
        <w:fldChar w:fldCharType="end"/>
      </w:r>
    </w:p>
    <w:p w:rsidR="00F2694E" w:rsidRDefault="00F2694E">
      <w:pPr>
        <w:jc w:val="both"/>
      </w:pPr>
    </w:p>
    <w:p w:rsidR="00F2694E" w:rsidRDefault="005D6D13">
      <w:pPr>
        <w:jc w:val="both"/>
        <w:rPr>
          <w:color w:val="000000"/>
        </w:rPr>
      </w:pPr>
      <w:r>
        <w:rPr>
          <w:color w:val="000000"/>
        </w:rPr>
        <w:t xml:space="preserve">Ministerstvo zemědělství v rámci své působnosti dané zákonem č. </w:t>
      </w:r>
      <w:r>
        <w:rPr>
          <w:color w:val="000000"/>
        </w:rPr>
        <w:t xml:space="preserve">449/2001 Sb., </w:t>
      </w:r>
      <w:r>
        <w:br/>
      </w:r>
      <w:r>
        <w:rPr>
          <w:color w:val="000000"/>
        </w:rPr>
        <w:t xml:space="preserve">o myslivosti, ve znění pozdějších předpisů (dále jen „zákon o myslivost“) a na základě informací od orgánů státní správy myslivosti, držitelů honiteb a hospodařících subjektů </w:t>
      </w:r>
      <w:r>
        <w:br/>
      </w:r>
      <w:r>
        <w:rPr>
          <w:color w:val="000000"/>
        </w:rPr>
        <w:t>o vyšších početních stavech spárkaté zvěře v některých částech Če</w:t>
      </w:r>
      <w:r>
        <w:rPr>
          <w:color w:val="000000"/>
        </w:rPr>
        <w:t xml:space="preserve">ské republiky, které neodpovídají úživnosti honiteb a mají negativní dopad na lesnické hospodaření, zemědělství </w:t>
      </w:r>
      <w:r>
        <w:br/>
      </w:r>
      <w:r>
        <w:rPr>
          <w:color w:val="000000"/>
        </w:rPr>
        <w:t xml:space="preserve">a ochranu přírody, vydává orgánům státní správy myslivosti a státní správy lesů následující doporučení jako metodický pokyn. Pokyn se týká </w:t>
      </w:r>
      <w:r>
        <w:t>všec</w:t>
      </w:r>
      <w:r>
        <w:t>h</w:t>
      </w:r>
      <w:r>
        <w:rPr>
          <w:color w:val="000000"/>
        </w:rPr>
        <w:t xml:space="preserve"> druhů spárkaté zvěře včetně prasete divokého, jehož lov je v souvislosti s výskytem afrického moru prasat a nutností razantního snížení populační hustoty dále upraven mimořádnými veterinárními opatřeními Státní veterinární správy ČR. </w:t>
      </w:r>
    </w:p>
    <w:p w:rsidR="00F2694E" w:rsidRDefault="00F2694E">
      <w:pPr>
        <w:jc w:val="both"/>
        <w:rPr>
          <w:b/>
          <w:color w:val="000000"/>
        </w:rPr>
      </w:pPr>
    </w:p>
    <w:p w:rsidR="00F2694E" w:rsidRDefault="005D6D13">
      <w:pPr>
        <w:jc w:val="both"/>
        <w:rPr>
          <w:b/>
          <w:color w:val="000000"/>
        </w:rPr>
      </w:pPr>
      <w:r>
        <w:rPr>
          <w:b/>
          <w:color w:val="000000"/>
        </w:rPr>
        <w:t>Úvod: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</w:pPr>
      <w:r>
        <w:rPr>
          <w:color w:val="000000"/>
        </w:rPr>
        <w:t>Ministerstv</w:t>
      </w:r>
      <w:r>
        <w:rPr>
          <w:color w:val="000000"/>
        </w:rPr>
        <w:t xml:space="preserve">o zemědělství rozhodlo </w:t>
      </w:r>
      <w:r>
        <w:t>na základě zhodnocení účinnosti předchozího metodického pokynu a kontrolní činnosti o potřebě dalšího aktivního přístupu k problematice škod působených zvěří, ať již v důsledku vysokých početních stavů, nebo nevhodných způsobů hospod</w:t>
      </w:r>
      <w:r>
        <w:t xml:space="preserve">aření ze strany uživatelů ve všech typech honiteb. Páté opakování inventarizace škod zvěří umožnilo analyzovat vývoj poškození v posledních 20 letech </w:t>
      </w:r>
      <w:r>
        <w:br/>
        <w:t>v kontextu celé republiky. Potvrdilo se, že vliv zvěře na stav a vývoj zejména nejmladších vývojových sta</w:t>
      </w:r>
      <w:r>
        <w:t>dií smíšených a listnatých porostů trvá a že poškození zvěří se nevyskytuje rovnoměrně na celém území republiky. Z lesnického hlediska není vhodné zalesňování bývalých luk, kde v minulosti se zvěř pastvila, mívala svá stávaniště, či krytové a klidové zóny.</w:t>
      </w:r>
      <w:r>
        <w:t xml:space="preserve"> Nadprůměrně vysoké poškození zvěří bylo při všech šetřeních zjištěno v oblasti západních Čech a severní Moravy. Podrobnější informaci </w:t>
      </w:r>
      <w:r>
        <w:br/>
        <w:t>o oblastech s nadprůměrným poškozením by mohly poskytnout regionální studie, na základě kterých by bylo možné formulovat</w:t>
      </w:r>
      <w:r>
        <w:t xml:space="preserve"> konkrétní lesnická a myslivecká opatření. Ministerstvo zemědělství se chce primárně zaměřit na cílenou redukci stavů zvěře, kdy je potřebné v některých regionech nejenom zastavit nárůst početních stavů, ale přistoupit i k jejich postupnému snižování, avša</w:t>
      </w:r>
      <w:r>
        <w:t>k vždy s cílem současně optimalizovat poměr pohlaví a počet kusů v jednotlivých věkových třídách. Z pohledu zemědělského provozu je třeba se zaměřit na usnadnění lovu spárkaté zvěře, což znamená zajištění osazování ploch různě vysokými plodinami, nedoséván</w:t>
      </w:r>
      <w:r>
        <w:t>í ke kulise porostů, snižování výměry ploch osévaných jednou plodinou, podporovat tvorbu mezí a remízků apod.</w:t>
      </w:r>
    </w:p>
    <w:p w:rsidR="00F2694E" w:rsidRDefault="005D6D13">
      <w:pPr>
        <w:jc w:val="both"/>
        <w:rPr>
          <w:b/>
          <w:color w:val="000000"/>
        </w:rPr>
      </w:pPr>
      <w:r>
        <w:rPr>
          <w:b/>
          <w:color w:val="000000"/>
        </w:rPr>
        <w:lastRenderedPageBreak/>
        <w:t>Doporučená opatření: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color w:val="000000"/>
        </w:rPr>
        <w:t xml:space="preserve">Pro zdárné naplnění výše uvedených cílů Ministerstvo zemědělství doporučuje všem orgánům státní správy myslivosti </w:t>
      </w:r>
      <w:r>
        <w:rPr>
          <w:color w:val="000000"/>
        </w:rPr>
        <w:t xml:space="preserve">zaměřit se na následující opatření v souladu se zákonem </w:t>
      </w:r>
      <w:r>
        <w:br/>
      </w:r>
      <w:r>
        <w:rPr>
          <w:color w:val="000000"/>
        </w:rPr>
        <w:t>o myslivosti:</w:t>
      </w:r>
    </w:p>
    <w:p w:rsidR="00F2694E" w:rsidRDefault="00F2694E">
      <w:pPr>
        <w:ind w:firstLine="708"/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b/>
          <w:color w:val="000000"/>
        </w:rPr>
        <w:t>1. Ve vztahu k aktuálním podmínkám a úživnosti prostředí v honitbě aktualizovat normované stavy zejména spárkaté zvěře a držiteli honitby nabídnout možnost iniciovat tuto úpravu. (využ</w:t>
      </w:r>
      <w:r>
        <w:rPr>
          <w:b/>
          <w:color w:val="000000"/>
        </w:rPr>
        <w:t>ít třeba i maximální limit</w:t>
      </w:r>
      <w:r>
        <w:rPr>
          <w:color w:val="000000"/>
        </w:rPr>
        <w:t xml:space="preserve"> ve vyhlášce č. 491/2002 Sb.,</w:t>
      </w:r>
      <w:r>
        <w:t xml:space="preserve"> </w:t>
      </w:r>
      <w:r>
        <w:rPr>
          <w:color w:val="000000"/>
        </w:rPr>
        <w:t>o způsobu stanovení minimálních a normovaných stavů zvěře a o zařazování honiteb nebo jejich částí do jakostních tříd.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b/>
          <w:color w:val="000000"/>
        </w:rPr>
        <w:t>2.</w:t>
      </w:r>
      <w:r>
        <w:rPr>
          <w:color w:val="000000"/>
        </w:rPr>
        <w:t xml:space="preserve"> Orgány státní správy myslivosti jsou povinny podle ustanovení § 61 odst. 2 zá</w:t>
      </w:r>
      <w:r>
        <w:rPr>
          <w:color w:val="000000"/>
        </w:rPr>
        <w:t xml:space="preserve">kona </w:t>
      </w:r>
      <w:r>
        <w:br/>
      </w:r>
      <w:r>
        <w:rPr>
          <w:color w:val="000000"/>
        </w:rPr>
        <w:t>o myslivosti využít sankčních opatření v případě, že nesplněním lovu celkového počtu kusů jednotlivého druhu spárkaté zvěře podle plánu mysliveckého hospodaření dojde k překročení normovaných stavů jednotlivých druhů spárkaté zvěře stanovených pro ka</w:t>
      </w:r>
      <w:r>
        <w:rPr>
          <w:color w:val="000000"/>
        </w:rPr>
        <w:t xml:space="preserve">ždou konkrétní honitbu a zejména při zjištěném neplnění opatření k odstranění nedostatků a ke zlepšení stavu věci uložených </w:t>
      </w:r>
      <w:r>
        <w:t>dle § 61 odst. 3 zákona o myslivosti</w:t>
      </w:r>
      <w:r>
        <w:rPr>
          <w:color w:val="FF0000"/>
        </w:rPr>
        <w:t xml:space="preserve"> </w:t>
      </w:r>
      <w:r>
        <w:rPr>
          <w:color w:val="000000"/>
        </w:rPr>
        <w:t>rozhodnutím orgánu státní správy myslivosti. Je možné využít i sankčních opatření, kde překroče</w:t>
      </w:r>
      <w:r>
        <w:rPr>
          <w:color w:val="000000"/>
        </w:rPr>
        <w:t>ní normovaných stavů zvěře označuje judikatura za naplnění skutkové podstaty přestupku podle § 64 odst. 3 písm. c). Pro ověření překročení normovaných stavů je během zjišťování skutečného stavu v rámci správního řízení bezpodmínečně nutné vycházet nejen z </w:t>
      </w:r>
      <w:r>
        <w:rPr>
          <w:color w:val="000000"/>
        </w:rPr>
        <w:t xml:space="preserve">údajů uvedených v Mysl 7 (výsledky sčítaní zvěře), ale též z místních šetření a zjišťování škod a pobytových znaků zvěře v konkrétních honitbách a zpětných propočtů, odvozujících početní stavy zvěře podle skutečných odlovů v předchozích letech. </w:t>
      </w:r>
    </w:p>
    <w:p w:rsidR="00F2694E" w:rsidRDefault="00F2694E">
      <w:pPr>
        <w:jc w:val="both"/>
        <w:rPr>
          <w:b/>
        </w:rPr>
      </w:pPr>
    </w:p>
    <w:p w:rsidR="00F2694E" w:rsidRDefault="005D6D13">
      <w:pPr>
        <w:jc w:val="both"/>
      </w:pPr>
      <w:r>
        <w:rPr>
          <w:b/>
        </w:rPr>
        <w:t>Ministers</w:t>
      </w:r>
      <w:r>
        <w:rPr>
          <w:b/>
        </w:rPr>
        <w:t>tvo zemědělství důrazně doporučuje využívat výše uvedená opatření k odstranění nedostatků a ke zlepšení stavu věci v co nejširším rozsahu, a to zejména na úrovni obecních úřadů obcí s rozšířenou působností.</w:t>
      </w:r>
      <w:r>
        <w:t xml:space="preserve"> </w:t>
      </w:r>
    </w:p>
    <w:p w:rsidR="00F2694E" w:rsidRDefault="00F2694E">
      <w:pPr>
        <w:jc w:val="both"/>
      </w:pPr>
    </w:p>
    <w:p w:rsidR="00F2694E" w:rsidRDefault="005D6D13">
      <w:pPr>
        <w:jc w:val="both"/>
        <w:rPr>
          <w:b/>
        </w:rPr>
      </w:pPr>
      <w:r>
        <w:rPr>
          <w:b/>
        </w:rPr>
        <w:t>3.</w:t>
      </w:r>
      <w:r>
        <w:t xml:space="preserve"> Neprodleně a vstřícně vydávat kladná vyjádře</w:t>
      </w:r>
      <w:r>
        <w:t xml:space="preserve">ní orgánu státní správy myslivosti k lovu samičí zvěře a samčí zvěře do stáří dvou let u jednotlivých druhů spárkaté zvěře, kde nejsou stanoveny minimální a normované stavy, v souladu s ustanovením § 36 odst. 5 zákona o myslivosti </w:t>
      </w:r>
      <w:r>
        <w:rPr>
          <w:i/>
        </w:rPr>
        <w:t xml:space="preserve">(tzn. </w:t>
      </w:r>
      <w:r>
        <w:rPr>
          <w:b/>
          <w:i/>
        </w:rPr>
        <w:t xml:space="preserve">nestanovovat žádná </w:t>
      </w:r>
      <w:r>
        <w:rPr>
          <w:b/>
          <w:i/>
        </w:rPr>
        <w:t>omezení</w:t>
      </w:r>
      <w:r>
        <w:rPr>
          <w:i/>
          <w:iCs/>
        </w:rPr>
        <w:t>,</w:t>
      </w:r>
      <w:r>
        <w:rPr>
          <w:i/>
        </w:rPr>
        <w:t xml:space="preserve"> protože předmětné ustanovení zákona </w:t>
      </w:r>
      <w:r>
        <w:br/>
      </w:r>
      <w:r>
        <w:rPr>
          <w:i/>
        </w:rPr>
        <w:t>o myslivosti umožňuje lov uvedené zvěře bez omezení a bez vypracování a projednání plánu),</w:t>
      </w:r>
      <w:r>
        <w:t xml:space="preserve"> </w:t>
      </w:r>
      <w:r>
        <w:rPr>
          <w:b/>
        </w:rPr>
        <w:t xml:space="preserve">v žádném případě nelze ve vyjádření stanovit </w:t>
      </w:r>
      <w:r>
        <w:rPr>
          <w:b/>
          <w:iCs/>
        </w:rPr>
        <w:t>lov</w:t>
      </w:r>
      <w:r>
        <w:rPr>
          <w:b/>
        </w:rPr>
        <w:t xml:space="preserve"> vyšších věkových tříd u samčí zvěře, výše uvedené ustanovení zákona vý</w:t>
      </w:r>
      <w:r>
        <w:rPr>
          <w:b/>
        </w:rPr>
        <w:t>slovně uvádí do dvou let věku (</w:t>
      </w:r>
      <w:r>
        <w:rPr>
          <w:b/>
          <w:i/>
        </w:rPr>
        <w:t>nelze tedy ve vyjádření uvést např. I. věkovou třídu, neboť u většiny spárkaté zvěře je rozsah I. věkové třídy od 1 roku do stáří 3-4 let</w:t>
      </w:r>
      <w:r>
        <w:rPr>
          <w:b/>
        </w:rPr>
        <w:t>).</w:t>
      </w:r>
    </w:p>
    <w:p w:rsidR="00F2694E" w:rsidRDefault="00F2694E">
      <w:pPr>
        <w:jc w:val="both"/>
        <w:rPr>
          <w:i/>
          <w:iCs/>
        </w:rPr>
      </w:pPr>
    </w:p>
    <w:p w:rsidR="00F2694E" w:rsidRDefault="005D6D13">
      <w:pPr>
        <w:jc w:val="both"/>
        <w:rPr>
          <w:color w:val="000000"/>
        </w:rPr>
      </w:pPr>
      <w:r>
        <w:rPr>
          <w:b/>
          <w:color w:val="000000"/>
        </w:rPr>
        <w:t>4.</w:t>
      </w:r>
      <w:r>
        <w:rPr>
          <w:color w:val="000000"/>
        </w:rPr>
        <w:t xml:space="preserve"> Plně využívat ke snížení početních stavů spárkaté zvěře možnosti dané ustanovením</w:t>
      </w:r>
      <w:r>
        <w:rPr>
          <w:color w:val="000000"/>
        </w:rPr>
        <w:t xml:space="preserve"> § 39 zákona o myslivosti, a to 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b/>
          <w:color w:val="000000"/>
        </w:rPr>
        <w:t>4. 1.</w:t>
      </w:r>
      <w:r>
        <w:rPr>
          <w:color w:val="000000"/>
        </w:rPr>
        <w:t xml:space="preserve"> ve všech případech, kdy zájem vlastníka, pachtýře popř. nájemce honebních pozemků nebo zájem zemědělské nebo lesní výroby, ochrany přírody anebo zájem mysliveckého hospodaření vyžaduje, aby byl počet některého druhu</w:t>
      </w:r>
      <w:r>
        <w:rPr>
          <w:color w:val="000000"/>
        </w:rPr>
        <w:t xml:space="preserve"> spárkaté zvěře snížen,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b/>
          <w:color w:val="000000"/>
        </w:rPr>
        <w:t>a)</w:t>
      </w:r>
      <w:r>
        <w:rPr>
          <w:color w:val="000000"/>
        </w:rPr>
        <w:t xml:space="preserve"> buďto na návrh uživatele honitby povolit,</w:t>
      </w:r>
    </w:p>
    <w:p w:rsidR="00F2694E" w:rsidRDefault="005D6D13">
      <w:pPr>
        <w:jc w:val="both"/>
        <w:rPr>
          <w:color w:val="000000"/>
        </w:rPr>
      </w:pPr>
      <w:r>
        <w:rPr>
          <w:b/>
          <w:color w:val="000000"/>
        </w:rPr>
        <w:t>b)</w:t>
      </w:r>
      <w:r>
        <w:rPr>
          <w:color w:val="000000"/>
        </w:rPr>
        <w:t xml:space="preserve"> nebo ve všech ostatních případech uložit úpravu stavu, tzn. radikální snížení stavu konkrétního druhu spárkaté zvěře, a to s využitím následujících zásad:</w:t>
      </w:r>
    </w:p>
    <w:p w:rsidR="00F2694E" w:rsidRDefault="005D6D13">
      <w:pPr>
        <w:jc w:val="both"/>
        <w:rPr>
          <w:color w:val="000000"/>
        </w:rPr>
      </w:pPr>
      <w:r>
        <w:rPr>
          <w:color w:val="000000"/>
        </w:rPr>
        <w:t>- upřednostnit lov mladé zvě</w:t>
      </w:r>
      <w:r>
        <w:rPr>
          <w:color w:val="000000"/>
        </w:rPr>
        <w:t>ře,</w:t>
      </w:r>
    </w:p>
    <w:p w:rsidR="00F2694E" w:rsidRDefault="005D6D13">
      <w:pPr>
        <w:jc w:val="both"/>
        <w:rPr>
          <w:color w:val="000000"/>
        </w:rPr>
      </w:pPr>
      <w:r>
        <w:rPr>
          <w:color w:val="000000"/>
        </w:rPr>
        <w:t>- z dospělé zvěře se zaměřit především na samičí zvěř a dále samčí zvěř do stáří 2 let.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</w:pPr>
      <w:r>
        <w:t>Ministerstvo zemědělství</w:t>
      </w:r>
      <w:r>
        <w:rPr>
          <w:b/>
        </w:rPr>
        <w:t xml:space="preserve"> důrazně nedoporučuje vyhovovat žádostem na samostatný odlov pouze samčí trofejové zvěře, </w:t>
      </w:r>
      <w:r>
        <w:t>neboť takovéto žádosti nevedou ke snížení početní</w:t>
      </w:r>
      <w:r>
        <w:t xml:space="preserve">ch </w:t>
      </w:r>
      <w:r>
        <w:lastRenderedPageBreak/>
        <w:t>stavů zvěře, ale pouze umožňují lov trofejové zvěře. Důsledkem je prohlubování nevhodného poměru pohlaví zvěře. Pokud je vydáváno rozhodnutí na lov samčí zvěře starší 2 let, vždy je nutné zhodnocení celkového stavu v honitbě a lovu samičí a mladé nenorm</w:t>
      </w:r>
      <w:r>
        <w:t xml:space="preserve">ované zvěře v předchozích hospodářských rocích. Z hlediska zkvalitňování populací spárkaté zvěře je nutné upozorňovat na nevhodnost lovu nadějných samců do 2 let věku. Cíleně by se měla lovit mláďata a samice. </w:t>
      </w:r>
    </w:p>
    <w:p w:rsidR="00F2694E" w:rsidRDefault="005D6D13">
      <w:pPr>
        <w:jc w:val="both"/>
      </w:pPr>
      <w:r>
        <w:t>Pro úplnost je třeba zdůraznit, že opatření p</w:t>
      </w:r>
      <w:r>
        <w:t>odle §39 zákona o myslivosti lze vydat jak ve vztahu k normované i nenormované zvěři.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b/>
          <w:color w:val="000000"/>
        </w:rPr>
        <w:t>4. 2</w:t>
      </w:r>
      <w:r>
        <w:rPr>
          <w:color w:val="000000"/>
        </w:rPr>
        <w:t xml:space="preserve">. V případech, kdy vlastníci honebních pozemků provedli přiměřená opatření proti vzniku škod působených zvěří, a bylo zjištěno, že škody působené zvěří přesto nelze </w:t>
      </w:r>
      <w:r>
        <w:rPr>
          <w:color w:val="000000"/>
        </w:rPr>
        <w:t>snížit technicky přiměřenými a ekonomicky únosnými způsoby, v souladu se zákonem o myslivosti rozhodnutím uložit na základě návrhu vlastníka, popř. nájemce honebního pozemku, nebo na návrh orgánu ochrany přírody, nebo orgánu státní správy lesů.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b/>
          <w:color w:val="000000"/>
        </w:rPr>
        <w:t>a)</w:t>
      </w:r>
      <w:r>
        <w:rPr>
          <w:color w:val="000000"/>
        </w:rPr>
        <w:t xml:space="preserve"> snížení</w:t>
      </w:r>
      <w:r>
        <w:rPr>
          <w:color w:val="000000"/>
        </w:rPr>
        <w:t xml:space="preserve"> stavu zvěře až na minimální stav, nebo</w:t>
      </w:r>
    </w:p>
    <w:p w:rsidR="00F2694E" w:rsidRDefault="005D6D13">
      <w:pPr>
        <w:jc w:val="both"/>
        <w:rPr>
          <w:color w:val="000000"/>
        </w:rPr>
      </w:pPr>
      <w:r>
        <w:rPr>
          <w:b/>
          <w:color w:val="000000"/>
        </w:rPr>
        <w:t>b)</w:t>
      </w:r>
      <w:r>
        <w:rPr>
          <w:color w:val="000000"/>
        </w:rPr>
        <w:t xml:space="preserve"> zrušení chovu toho druhu spárkaté zvěře, který škody působí.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b/>
          <w:color w:val="000000"/>
        </w:rPr>
        <w:t>5.</w:t>
      </w:r>
      <w:r>
        <w:rPr>
          <w:color w:val="000000"/>
        </w:rPr>
        <w:t xml:space="preserve"> V rámci realizace opatření uvedených v bodě 4) je potřebné objektivně a ve spolupráci </w:t>
      </w:r>
      <w:r>
        <w:br/>
      </w:r>
      <w:r>
        <w:rPr>
          <w:color w:val="000000"/>
        </w:rPr>
        <w:t xml:space="preserve">s orgány státní správy lesů, popř. i s orgány ochrany přírody zvážit, jestli je vydání povolení nebo opatření pro jednu konkrétní honitbu dostačující, nebo je třeba rozšířit tato opatření </w:t>
      </w:r>
      <w:r>
        <w:br/>
      </w:r>
      <w:r>
        <w:rPr>
          <w:color w:val="000000"/>
        </w:rPr>
        <w:t>i na honitbu nebo honitby sousední. Jedná se zvláště o honitby, kde</w:t>
      </w:r>
      <w:r>
        <w:rPr>
          <w:color w:val="000000"/>
        </w:rPr>
        <w:t xml:space="preserve"> je hranice zcela nevhodně vedena na rozhraní pole – les a zvěř působí škody na zemědělských plodinách </w:t>
      </w:r>
      <w:r>
        <w:br/>
      </w:r>
      <w:r>
        <w:rPr>
          <w:color w:val="000000"/>
        </w:rPr>
        <w:t xml:space="preserve">a pozemcích, ale její domovský okrsek je i v sousední lesní honitbě. V kladném případě pak opatřeními podle § 39 zákona o myslivosti </w:t>
      </w:r>
      <w:r>
        <w:t>uložit</w:t>
      </w:r>
      <w:r>
        <w:rPr>
          <w:color w:val="000000"/>
        </w:rPr>
        <w:t xml:space="preserve"> snížení poče</w:t>
      </w:r>
      <w:r>
        <w:rPr>
          <w:color w:val="000000"/>
        </w:rPr>
        <w:t xml:space="preserve">tního stavu (viz ad 4.1.), popřípadě zrušení chovu (viz ad 4.2.) spárkaté zvěře, která škody působí, </w:t>
      </w:r>
      <w:r>
        <w:t>všem uživatelům sousedních honiteb.</w:t>
      </w:r>
      <w:r>
        <w:rPr>
          <w:color w:val="000000"/>
        </w:rPr>
        <w:t xml:space="preserve"> Stanovenou výši lovu spárkaté zvěře dovodit například zpětným propočtem, rozdílem sčítaných a normovaných stavů zvěře, </w:t>
      </w:r>
      <w:r>
        <w:rPr>
          <w:color w:val="000000"/>
        </w:rPr>
        <w:t>nebo vyhodnocením pobytových znaků zvěře v honitbě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b/>
          <w:color w:val="000000"/>
        </w:rPr>
        <w:t>6.</w:t>
      </w:r>
      <w:r>
        <w:rPr>
          <w:color w:val="000000"/>
        </w:rPr>
        <w:t xml:space="preserve"> V rozhodnutí orgánu státní správy myslivosti o povolení nebo uložení úpravy stavu zvěře v honitbě nebo o zrušení chovu určitého druhu zvěře, vydávaném podle ustanovení § 39 zákona o myslivosti (viz bod</w:t>
      </w:r>
      <w:r>
        <w:rPr>
          <w:color w:val="000000"/>
        </w:rPr>
        <w:t xml:space="preserve"> 4), může být, v souladu s ustanovením § 45 odst. 2 zákona o myslivosti, současně uvedeno, že při této úpravě stavu zvěře neplatí některé zakázané způsoby lovu uvedené v § 45 odst. 1 písm. g), m), t) a u) zákona o myslivosti: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numPr>
          <w:ilvl w:val="0"/>
          <w:numId w:val="29"/>
        </w:numPr>
        <w:jc w:val="both"/>
        <w:rPr>
          <w:color w:val="000000"/>
        </w:rPr>
      </w:pPr>
      <w:r>
        <w:rPr>
          <w:b/>
          <w:color w:val="000000"/>
        </w:rPr>
        <w:t>§ 45 odst. 1 písm. g)</w:t>
      </w:r>
      <w:r>
        <w:rPr>
          <w:color w:val="000000"/>
        </w:rPr>
        <w:t xml:space="preserve"> stanoví</w:t>
      </w:r>
      <w:r>
        <w:rPr>
          <w:color w:val="000000"/>
        </w:rPr>
        <w:t xml:space="preserve">, jde-li o lov v noci, zákaz lovu spárkaté zvěře </w:t>
      </w:r>
      <w:r>
        <w:br/>
      </w:r>
      <w:r>
        <w:rPr>
          <w:color w:val="000000"/>
        </w:rPr>
        <w:t xml:space="preserve">s pomocí zdrojů umělého osvětlení, zařízení pro osvětlení terče, hledí pro střelbu </w:t>
      </w:r>
      <w:r>
        <w:br/>
      </w:r>
      <w:r>
        <w:rPr>
          <w:color w:val="000000"/>
        </w:rPr>
        <w:t>v noci s elektronickým zvětšením obrazu nebo pro převracení obrazu.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numPr>
          <w:ilvl w:val="0"/>
          <w:numId w:val="29"/>
        </w:numPr>
        <w:jc w:val="both"/>
      </w:pPr>
      <w:r>
        <w:rPr>
          <w:b/>
          <w:color w:val="000000"/>
        </w:rPr>
        <w:t>§ 45 odst. 1 písm. m)</w:t>
      </w:r>
      <w:r>
        <w:rPr>
          <w:color w:val="000000"/>
        </w:rPr>
        <w:t xml:space="preserve"> stanoví zákaz lovu spárkaté zvě</w:t>
      </w:r>
      <w:r>
        <w:rPr>
          <w:color w:val="000000"/>
        </w:rPr>
        <w:t xml:space="preserve">ře v době mezi jednou hodinou po západu slunce až do jedné hodiny před východem </w:t>
      </w:r>
      <w:r>
        <w:t>slunce.</w:t>
      </w:r>
    </w:p>
    <w:p w:rsidR="00F2694E" w:rsidRDefault="00F2694E">
      <w:pPr>
        <w:jc w:val="both"/>
        <w:rPr>
          <w:b/>
        </w:rPr>
      </w:pPr>
    </w:p>
    <w:p w:rsidR="00F2694E" w:rsidRDefault="005D6D13">
      <w:pPr>
        <w:numPr>
          <w:ilvl w:val="0"/>
          <w:numId w:val="29"/>
        </w:numPr>
        <w:jc w:val="both"/>
        <w:rPr>
          <w:b/>
          <w:color w:val="000000"/>
        </w:rPr>
      </w:pPr>
      <w:r>
        <w:rPr>
          <w:b/>
          <w:color w:val="000000"/>
        </w:rPr>
        <w:t>§ 45 odst. 1 písm. t)</w:t>
      </w:r>
      <w:r>
        <w:rPr>
          <w:color w:val="000000"/>
        </w:rPr>
        <w:t xml:space="preserve"> stanoví zákaz lovu spárkaté zvěře v odchytových </w:t>
      </w:r>
      <w:r>
        <w:br/>
      </w:r>
      <w:r>
        <w:rPr>
          <w:color w:val="000000"/>
        </w:rPr>
        <w:t>a aklimatizačních zařízeních a přezimovacích objektech s výjimkou zvěře poraněné a chovatelsky n</w:t>
      </w:r>
      <w:r>
        <w:rPr>
          <w:color w:val="000000"/>
        </w:rPr>
        <w:t xml:space="preserve">ežádoucí. </w:t>
      </w:r>
      <w:r>
        <w:rPr>
          <w:b/>
          <w:color w:val="000000"/>
        </w:rPr>
        <w:t xml:space="preserve">Při udělování této výjimky se zaměřit zejména na mladou a samičí zvěř. Stanovisko MZe je v příloze č.1 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numPr>
          <w:ilvl w:val="0"/>
          <w:numId w:val="29"/>
        </w:numPr>
        <w:jc w:val="both"/>
      </w:pPr>
      <w:r>
        <w:rPr>
          <w:b/>
          <w:color w:val="000000"/>
        </w:rPr>
        <w:t>§ 45 odst. 1 písm. u)</w:t>
      </w:r>
      <w:r>
        <w:rPr>
          <w:color w:val="000000"/>
        </w:rPr>
        <w:t xml:space="preserve"> stanoví zákaz lovit na společném lovu zvěř spárkatou kromě laní a kolouchů jelena evropského a jelena siky, muflonek a </w:t>
      </w:r>
      <w:r>
        <w:rPr>
          <w:color w:val="000000"/>
        </w:rPr>
        <w:t xml:space="preserve">muflončat, selete a lončáka prasete divokého. To znamená, že s využitím ustanovení </w:t>
      </w:r>
      <w:r>
        <w:br/>
      </w:r>
      <w:r>
        <w:rPr>
          <w:color w:val="000000"/>
        </w:rPr>
        <w:t xml:space="preserve">§ 45 odst. 2 lze umožnit na společných lovech lov bachyně a kňoura prasete divokého a ve specifických a řádně odůvodněných případech i lov daněl </w:t>
      </w:r>
      <w:r>
        <w:br/>
      </w:r>
      <w:r>
        <w:rPr>
          <w:color w:val="000000"/>
        </w:rPr>
        <w:t>a daňčat, případně srn a s</w:t>
      </w:r>
      <w:r>
        <w:rPr>
          <w:color w:val="000000"/>
        </w:rPr>
        <w:t>rnčat.</w:t>
      </w:r>
    </w:p>
    <w:p w:rsidR="00F2694E" w:rsidRDefault="00F2694E">
      <w:pPr>
        <w:jc w:val="both"/>
      </w:pPr>
    </w:p>
    <w:p w:rsidR="00F2694E" w:rsidRDefault="00F2694E">
      <w:pPr>
        <w:jc w:val="both"/>
      </w:pPr>
    </w:p>
    <w:p w:rsidR="00F2694E" w:rsidRDefault="005D6D13">
      <w:pPr>
        <w:jc w:val="both"/>
        <w:rPr>
          <w:b/>
        </w:rPr>
      </w:pPr>
      <w:r>
        <w:t xml:space="preserve">Ministerstvo zemědělství z mysliveckého hlediska nepovažuje za žádoucí, aby se v případě povolení lovu samců starších 2 let uplatňovala možnost výjimek ze zakázaných způsobů lovu. Výjimku ze zakázaných způsobů lovu je vhodné využívat pouze </w:t>
      </w:r>
      <w:r>
        <w:br/>
        <w:t>pro sn</w:t>
      </w:r>
      <w:r>
        <w:t>ižování početních stavů zvěře a nikoliv pro lov trofejových jedinců</w:t>
      </w:r>
      <w:r>
        <w:rPr>
          <w:b/>
        </w:rPr>
        <w:t>.</w:t>
      </w:r>
    </w:p>
    <w:p w:rsidR="00F2694E" w:rsidRDefault="00F2694E">
      <w:pPr>
        <w:jc w:val="both"/>
        <w:rPr>
          <w:b/>
        </w:rPr>
      </w:pPr>
    </w:p>
    <w:p w:rsidR="00F2694E" w:rsidRDefault="005D6D13">
      <w:pPr>
        <w:jc w:val="both"/>
        <w:rPr>
          <w:color w:val="000000"/>
        </w:rPr>
      </w:pPr>
      <w:r>
        <w:rPr>
          <w:b/>
          <w:sz w:val="24"/>
        </w:rPr>
        <w:t>7</w:t>
      </w:r>
      <w:r>
        <w:rPr>
          <w:b/>
          <w:bCs/>
          <w:color w:val="000000"/>
        </w:rPr>
        <w:t xml:space="preserve">. </w:t>
      </w:r>
      <w:r>
        <w:rPr>
          <w:bCs/>
          <w:color w:val="000000"/>
        </w:rPr>
        <w:t>Jestliže je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vydáváno</w:t>
      </w:r>
      <w:r>
        <w:rPr>
          <w:color w:val="000000"/>
        </w:rPr>
        <w:t xml:space="preserve"> rozhodnutí o uložení úpravy početního stavu spárkaté zvěře podle ustanovení § 39 zákona o myslivosti, doporučujeme ke zvýšení účinnosti přijatých opatření dále: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b/>
          <w:color w:val="000000"/>
        </w:rPr>
        <w:t>a)</w:t>
      </w:r>
      <w:r>
        <w:rPr>
          <w:color w:val="000000"/>
        </w:rPr>
        <w:t xml:space="preserve"> projednat s vlastníky (nájemci) honebních pozemků, kteří na těchto pozemcích zemědělsky (lesnicky) hospodaří, konkrétní podmínky a rozsah opatření přijatelných jak </w:t>
      </w:r>
      <w:r>
        <w:br/>
      </w:r>
      <w:r>
        <w:rPr>
          <w:color w:val="000000"/>
        </w:rPr>
        <w:t>ze strany uživatelů honiteb, tak i ze strany vlastníků (nájemců) honebních pozemků s cíl</w:t>
      </w:r>
      <w:r>
        <w:rPr>
          <w:color w:val="000000"/>
        </w:rPr>
        <w:t>em zlepšit podmínky k lovu spárkaté zvěře ve velkých lánech vysokých plodin vytvořením průseků nebo pásů nízkých plodin apod.,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b/>
          <w:color w:val="000000"/>
        </w:rPr>
      </w:pPr>
      <w:r>
        <w:rPr>
          <w:b/>
          <w:color w:val="000000"/>
        </w:rPr>
        <w:t>b)</w:t>
      </w:r>
      <w:r>
        <w:rPr>
          <w:color w:val="000000"/>
        </w:rPr>
        <w:t xml:space="preserve"> při jednání s vlastníky nebo nájemci honebních pozemků, kteří na těchto pozemcích zemědělsky (lesnicky) hospodaří zdůraznit, </w:t>
      </w:r>
      <w:r>
        <w:rPr>
          <w:color w:val="000000"/>
        </w:rPr>
        <w:t xml:space="preserve">že </w:t>
      </w:r>
      <w:r>
        <w:rPr>
          <w:b/>
          <w:color w:val="000000"/>
        </w:rPr>
        <w:t xml:space="preserve">provedení opatření uvedených </w:t>
      </w:r>
      <w:r>
        <w:br/>
      </w:r>
      <w:r>
        <w:rPr>
          <w:b/>
          <w:color w:val="000000"/>
        </w:rPr>
        <w:t xml:space="preserve">pod písmenem a) je povinností vlastníka (nájemce) honebního pozemku </w:t>
      </w:r>
      <w:r>
        <w:br/>
      </w:r>
      <w:r>
        <w:rPr>
          <w:b/>
          <w:color w:val="000000"/>
        </w:rPr>
        <w:t>k zabránění škod působených zvěří podle § 53 zákona o myslivosti s tím, že provedení takových opatření zlepšuje postavení vlastníka (nájemce) honebního po</w:t>
      </w:r>
      <w:r>
        <w:rPr>
          <w:b/>
          <w:color w:val="000000"/>
        </w:rPr>
        <w:t xml:space="preserve">zemku </w:t>
      </w:r>
      <w:r>
        <w:br/>
      </w:r>
      <w:r>
        <w:rPr>
          <w:b/>
          <w:color w:val="000000"/>
        </w:rPr>
        <w:t>v jednání s uživatelem honitby o náhradě škody způsobené zvěří, i v případném soudním sporu o náhradu škody,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</w:pPr>
      <w:r>
        <w:rPr>
          <w:b/>
          <w:color w:val="000000"/>
        </w:rPr>
        <w:t>c)</w:t>
      </w:r>
      <w:r>
        <w:rPr>
          <w:color w:val="000000"/>
        </w:rPr>
        <w:t xml:space="preserve"> upozornit uživatele honiteb, že přikrmování zvěře je nutné v souladu se zákonem </w:t>
      </w:r>
      <w:r>
        <w:br/>
      </w:r>
      <w:r>
        <w:rPr>
          <w:color w:val="000000"/>
        </w:rPr>
        <w:t>o myslivosti provádět pouze v době nouze. Doporučit uži</w:t>
      </w:r>
      <w:r>
        <w:rPr>
          <w:color w:val="000000"/>
        </w:rPr>
        <w:t xml:space="preserve">vatelům honiteb, aby mimo dobu nouze nekrmili nebo nepřikrmovali </w:t>
      </w:r>
      <w:r>
        <w:t xml:space="preserve">spárkatou zvěř, s výjimkou odváděcího přikrmování ve velkých lesních komplexech a vnadění, případně jim tuto činnost opatřením vydaným </w:t>
      </w:r>
      <w:r>
        <w:br/>
        <w:t>dle § 61 odst. 3 zákona o myslivosti zakázat. V případe</w:t>
      </w:r>
      <w:r>
        <w:t xml:space="preserve">ch, kdy dojde k porušení zákazu přikrmování mimo dobu nouze, Ministerstvo zemědělství doporučuje aktivně spolupracovat </w:t>
      </w:r>
      <w:r>
        <w:br/>
        <w:t>s orgány Státní veterinární správy a Českou inspekcí životního prostředí.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b/>
          <w:color w:val="000000"/>
        </w:rPr>
        <w:t>8.</w:t>
      </w:r>
      <w:r>
        <w:rPr>
          <w:color w:val="000000"/>
        </w:rPr>
        <w:t xml:space="preserve"> Ministerstvo zemědělství, jako zakladatel podniku Lesy ČR,</w:t>
      </w:r>
      <w:r>
        <w:rPr>
          <w:color w:val="000000"/>
        </w:rPr>
        <w:t xml:space="preserve"> s. p. projedná možnosti správného mysliveckého hospodaření a zefektivnění lovu jak v režijních, tak v pronajatých honitbách. Ministerstvo zemědělství jako prvoinstanční orgán státní správy myslivosti </w:t>
      </w:r>
      <w:r>
        <w:br/>
      </w:r>
      <w:r>
        <w:rPr>
          <w:color w:val="000000"/>
        </w:rPr>
        <w:t>na pozemcích určených pro obranu státu bude důsledně u</w:t>
      </w:r>
      <w:r>
        <w:rPr>
          <w:color w:val="000000"/>
        </w:rPr>
        <w:t xml:space="preserve">platňovat metodický pokyn v honitbách Vojenských lesů a statků ČR, s. p. 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color w:val="000000"/>
        </w:rPr>
        <w:t xml:space="preserve">Je důležité, aby zaměstnanci orgánů státní správy myslivosti na všech stupních průběžně sledovali na webových stránkách Státní veterinární správy aktuální informace o africkém moru </w:t>
      </w:r>
      <w:r>
        <w:rPr>
          <w:color w:val="000000"/>
        </w:rPr>
        <w:t>prasat, zvláště pak veškerá mimořádná veterinární opatření, upravující chov a lov prasete divokého a další opatření, vydávaná Ministerstvem zemědělství. Tyto informace je nutné okamžitě sdělovat jednotlivým uživatelům honiteb.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color w:val="000000"/>
        </w:rPr>
        <w:t xml:space="preserve">Uvedená doporučení platí až do odvolání, nejdéle však do </w:t>
      </w:r>
      <w:r>
        <w:rPr>
          <w:b/>
          <w:color w:val="000000"/>
        </w:rPr>
        <w:t xml:space="preserve">31. </w:t>
      </w:r>
      <w:r>
        <w:rPr>
          <w:b/>
          <w:bCs/>
          <w:color w:val="000000"/>
        </w:rPr>
        <w:t>5. 2021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a budou realizována </w:t>
      </w:r>
      <w:r>
        <w:rPr>
          <w:b/>
          <w:color w:val="000000"/>
        </w:rPr>
        <w:t xml:space="preserve">diferencovaně podle konkrétních podmínek, </w:t>
      </w:r>
      <w:r>
        <w:rPr>
          <w:color w:val="000000"/>
        </w:rPr>
        <w:t>které budou v obvodu působnosti každého orgánu státní správy myslivosti co nejobjektivněji zjištěny.</w:t>
      </w:r>
    </w:p>
    <w:p w:rsidR="00F2694E" w:rsidRDefault="00F2694E">
      <w:pPr>
        <w:jc w:val="both"/>
        <w:rPr>
          <w:color w:val="000000"/>
        </w:rPr>
      </w:pPr>
    </w:p>
    <w:p w:rsidR="00F2694E" w:rsidRDefault="005D6D13">
      <w:pPr>
        <w:jc w:val="both"/>
        <w:rPr>
          <w:color w:val="000000"/>
        </w:rPr>
      </w:pPr>
      <w:r>
        <w:rPr>
          <w:color w:val="000000"/>
        </w:rPr>
        <w:t xml:space="preserve">Žádáme Vás o seznámení </w:t>
      </w:r>
      <w:r>
        <w:rPr>
          <w:color w:val="000000"/>
        </w:rPr>
        <w:t>všech obecních úřadů obcí s rozšířenou působností s tímto metodickým pokynem v rámci metodické a odborné pomoci.</w:t>
      </w:r>
    </w:p>
    <w:p w:rsidR="00F2694E" w:rsidRDefault="00F2694E">
      <w:pPr>
        <w:jc w:val="both"/>
        <w:rPr>
          <w:sz w:val="26"/>
        </w:rPr>
      </w:pPr>
    </w:p>
    <w:p w:rsidR="00F2694E" w:rsidRDefault="005D6D13">
      <w:pPr>
        <w:pStyle w:val="NoList1"/>
        <w:rPr>
          <w:rFonts w:ascii="Arial" w:eastAsia="Arial" w:hAnsi="Arial" w:cs="Arial"/>
          <w:sz w:val="22"/>
          <w:szCs w:val="22"/>
          <w:lang w:val="cs-CZ"/>
        </w:rPr>
      </w:pPr>
      <w:r>
        <w:rPr>
          <w:rFonts w:ascii="Arial" w:eastAsia="Arial" w:hAnsi="Arial" w:cs="Arial"/>
          <w:b/>
          <w:sz w:val="22"/>
          <w:szCs w:val="22"/>
          <w:lang w:val="cs-CZ"/>
        </w:rPr>
        <w:t>Přílohy</w:t>
      </w:r>
      <w:r>
        <w:rPr>
          <w:rFonts w:ascii="Arial" w:eastAsia="Arial" w:hAnsi="Arial" w:cs="Arial"/>
          <w:sz w:val="22"/>
          <w:szCs w:val="22"/>
          <w:lang w:val="cs-CZ"/>
        </w:rPr>
        <w:t>:</w:t>
      </w:r>
    </w:p>
    <w:p w:rsidR="00F2694E" w:rsidRDefault="005D6D13">
      <w:pPr>
        <w:pStyle w:val="NoList1"/>
        <w:rPr>
          <w:rFonts w:ascii="Arial" w:eastAsia="Arial" w:hAnsi="Arial" w:cs="Arial"/>
          <w:sz w:val="22"/>
          <w:szCs w:val="22"/>
          <w:lang w:val="cs-CZ"/>
        </w:rPr>
      </w:pPr>
      <w:r>
        <w:rPr>
          <w:rFonts w:ascii="Arial" w:eastAsia="Arial" w:hAnsi="Arial" w:cs="Arial"/>
          <w:sz w:val="22"/>
          <w:szCs w:val="22"/>
          <w:lang w:val="cs-CZ"/>
        </w:rPr>
        <w:t>1. Stanovisko k § 45 odst. 1 písm. t) zákona o myslivosti</w:t>
      </w:r>
    </w:p>
    <w:p w:rsidR="00F2694E" w:rsidRDefault="005D6D13">
      <w:pPr>
        <w:pStyle w:val="NoList1"/>
        <w:rPr>
          <w:rFonts w:ascii="Arial" w:eastAsia="Arial" w:hAnsi="Arial" w:cs="Arial"/>
          <w:sz w:val="22"/>
          <w:szCs w:val="22"/>
          <w:lang w:val="cs-CZ"/>
        </w:rPr>
      </w:pPr>
      <w:r>
        <w:rPr>
          <w:rFonts w:ascii="Arial" w:eastAsia="Arial" w:hAnsi="Arial" w:cs="Arial"/>
          <w:sz w:val="22"/>
          <w:szCs w:val="22"/>
          <w:lang w:val="cs-CZ"/>
        </w:rPr>
        <w:t>2. Opatření ke snížení stavů spárkaté zvěře – opatření a sankce</w:t>
      </w:r>
    </w:p>
    <w:p w:rsidR="00F2694E" w:rsidRDefault="00F2694E">
      <w:pPr>
        <w:rPr>
          <w:szCs w:val="22"/>
        </w:rPr>
      </w:pPr>
    </w:p>
    <w:p w:rsidR="00F2694E" w:rsidRDefault="005D6D13">
      <w:pPr>
        <w:pStyle w:val="NoList1"/>
        <w:jc w:val="both"/>
        <w:rPr>
          <w:rFonts w:ascii="Arial" w:eastAsia="Arial" w:hAnsi="Arial" w:cs="Arial"/>
          <w:sz w:val="22"/>
          <w:szCs w:val="22"/>
          <w:lang w:val="cs-CZ"/>
        </w:rPr>
      </w:pPr>
      <w:r>
        <w:rPr>
          <w:rFonts w:ascii="Arial" w:eastAsia="Arial" w:hAnsi="Arial" w:cs="Arial"/>
          <w:sz w:val="22"/>
          <w:szCs w:val="22"/>
          <w:lang w:val="cs-CZ"/>
        </w:rPr>
        <w:lastRenderedPageBreak/>
        <w:fldChar w:fldCharType="begin"/>
      </w:r>
      <w:r>
        <w:rPr>
          <w:rFonts w:ascii="Arial" w:eastAsia="Arial" w:hAnsi="Arial" w:cs="Arial"/>
          <w:sz w:val="22"/>
          <w:szCs w:val="22"/>
          <w:lang w:val="cs-CZ"/>
        </w:rPr>
        <w:instrText xml:space="preserve"> DOCVARIAB</w:instrText>
      </w:r>
      <w:r>
        <w:rPr>
          <w:rFonts w:ascii="Arial" w:eastAsia="Arial" w:hAnsi="Arial" w:cs="Arial"/>
          <w:sz w:val="22"/>
          <w:szCs w:val="22"/>
          <w:lang w:val="cs-CZ"/>
        </w:rPr>
        <w:instrText xml:space="preserve">LE  dms_adresat </w:instrText>
      </w:r>
      <w:r>
        <w:rPr>
          <w:rFonts w:ascii="Arial" w:eastAsia="Arial" w:hAnsi="Arial" w:cs="Arial"/>
          <w:sz w:val="22"/>
          <w:szCs w:val="22"/>
          <w:lang w:val="cs-CZ"/>
        </w:rPr>
        <w:fldChar w:fldCharType="separate"/>
      </w:r>
    </w:p>
    <w:p w:rsidR="00F2694E" w:rsidRDefault="00F2694E">
      <w:pPr>
        <w:pStyle w:val="NoList1"/>
        <w:jc w:val="both"/>
        <w:rPr>
          <w:rFonts w:ascii="Arial" w:eastAsia="Arial" w:hAnsi="Arial" w:cs="Arial"/>
          <w:sz w:val="22"/>
          <w:szCs w:val="22"/>
          <w:lang w:val="cs-CZ"/>
        </w:rPr>
      </w:pPr>
    </w:p>
    <w:p w:rsidR="00F2694E" w:rsidRDefault="005D6D13">
      <w:pPr>
        <w:pStyle w:val="NoList1"/>
        <w:jc w:val="both"/>
        <w:rPr>
          <w:rFonts w:ascii="Arial" w:eastAsia="Arial" w:hAnsi="Arial" w:cs="Arial"/>
          <w:sz w:val="22"/>
          <w:szCs w:val="22"/>
          <w:lang w:val="cs-CZ"/>
        </w:rPr>
      </w:pPr>
      <w:r>
        <w:rPr>
          <w:rFonts w:ascii="Arial" w:eastAsia="Arial" w:hAnsi="Arial" w:cs="Arial"/>
          <w:sz w:val="22"/>
          <w:szCs w:val="22"/>
          <w:lang w:val="cs-CZ"/>
        </w:rPr>
        <w:t xml:space="preserve">                 Dle rozdělovníku</w:t>
      </w:r>
      <w:r>
        <w:rPr>
          <w:rFonts w:ascii="Arial" w:eastAsia="Arial" w:hAnsi="Arial" w:cs="Arial"/>
          <w:sz w:val="22"/>
          <w:szCs w:val="22"/>
          <w:lang w:val="cs-CZ"/>
        </w:rPr>
        <w:fldChar w:fldCharType="end"/>
      </w:r>
    </w:p>
    <w:sectPr w:rsidR="00F2694E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D13" w:rsidRDefault="005D6D13">
      <w:r>
        <w:separator/>
      </w:r>
    </w:p>
  </w:endnote>
  <w:endnote w:type="continuationSeparator" w:id="0">
    <w:p w:rsidR="005D6D13" w:rsidRDefault="005D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94E" w:rsidRDefault="005D6D13">
    <w:pPr>
      <w:pStyle w:val="Zpat"/>
      <w:rPr>
        <w:szCs w:val="22"/>
      </w:rPr>
    </w:pPr>
    <w:r>
      <w:rPr>
        <w:szCs w:val="22"/>
      </w:rPr>
      <w:fldChar w:fldCharType="begin"/>
    </w:r>
    <w:r>
      <w:rPr>
        <w:szCs w:val="22"/>
      </w:rPr>
      <w:instrText xml:space="preserve"> DOCVARIABLE  dms_cj  \* MERGEFORMAT </w:instrText>
    </w:r>
    <w:r>
      <w:rPr>
        <w:szCs w:val="22"/>
      </w:rPr>
      <w:fldChar w:fldCharType="separate"/>
    </w:r>
    <w:r>
      <w:rPr>
        <w:bCs/>
        <w:szCs w:val="22"/>
      </w:rPr>
      <w:t>40386/2018-MZE-16233</w:t>
    </w:r>
    <w:r>
      <w:rPr>
        <w:szCs w:val="22"/>
      </w:rPr>
      <w:fldChar w:fldCharType="end"/>
    </w:r>
    <w:r>
      <w:rPr>
        <w:szCs w:val="22"/>
      </w:rPr>
      <w:tab/>
    </w:r>
    <w:r>
      <w:rPr>
        <w:szCs w:val="22"/>
      </w:rPr>
      <w:fldChar w:fldCharType="begin"/>
    </w:r>
    <w:r>
      <w:rPr>
        <w:szCs w:val="22"/>
      </w:rPr>
      <w:instrText>PAGE   \* MERGEFORMAT</w:instrText>
    </w:r>
    <w:r>
      <w:rPr>
        <w:szCs w:val="22"/>
      </w:rPr>
      <w:fldChar w:fldCharType="separate"/>
    </w:r>
    <w:r w:rsidR="002C039D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D13" w:rsidRDefault="005D6D13">
      <w:r>
        <w:separator/>
      </w:r>
    </w:p>
  </w:footnote>
  <w:footnote w:type="continuationSeparator" w:id="0">
    <w:p w:rsidR="005D6D13" w:rsidRDefault="005D6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94E" w:rsidRDefault="005D6D13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0d1511d-63e4-4303-9d32-8a8a02a6a401" o:spid="_x0000_s2050" type="#_x0000_t136" style="position:absolute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94E" w:rsidRDefault="005D6D13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b858ff68-c4a9-4e3c-b1e4-b9735946ef7a" o:spid="_x0000_s2049" type="#_x0000_t136" style="position:absolute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94E" w:rsidRDefault="005D6D13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1cfeaaf5-e75b-4a20-a6db-442f2a8ec2f4" o:spid="_x0000_s2051" type="#_x0000_t136" style="position:absolute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5CC9"/>
    <w:multiLevelType w:val="multilevel"/>
    <w:tmpl w:val="C2DCF9F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>
    <w:nsid w:val="0A9E7F30"/>
    <w:multiLevelType w:val="multilevel"/>
    <w:tmpl w:val="30CA356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0B7402C9"/>
    <w:multiLevelType w:val="multilevel"/>
    <w:tmpl w:val="F0AC7E5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>
    <w:nsid w:val="0E2A0CE2"/>
    <w:multiLevelType w:val="multilevel"/>
    <w:tmpl w:val="EE5E436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>
    <w:nsid w:val="102C2389"/>
    <w:multiLevelType w:val="multilevel"/>
    <w:tmpl w:val="D92638A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>
    <w:nsid w:val="114006CD"/>
    <w:multiLevelType w:val="multilevel"/>
    <w:tmpl w:val="46C08C6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15853E01"/>
    <w:multiLevelType w:val="multilevel"/>
    <w:tmpl w:val="F09663C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>
    <w:nsid w:val="181C1965"/>
    <w:multiLevelType w:val="multilevel"/>
    <w:tmpl w:val="C5F0088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>
    <w:nsid w:val="1AD471C1"/>
    <w:multiLevelType w:val="multilevel"/>
    <w:tmpl w:val="9CD877A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>
    <w:nsid w:val="1C1F1A4A"/>
    <w:multiLevelType w:val="multilevel"/>
    <w:tmpl w:val="7A6C0E7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22D03E04"/>
    <w:multiLevelType w:val="multilevel"/>
    <w:tmpl w:val="BC129A1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1">
    <w:nsid w:val="23227A3A"/>
    <w:multiLevelType w:val="multilevel"/>
    <w:tmpl w:val="920203D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>
    <w:nsid w:val="24B84EC7"/>
    <w:multiLevelType w:val="multilevel"/>
    <w:tmpl w:val="FA92565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>
    <w:nsid w:val="24BB4D94"/>
    <w:multiLevelType w:val="multilevel"/>
    <w:tmpl w:val="DE02991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>
    <w:nsid w:val="2B730592"/>
    <w:multiLevelType w:val="multilevel"/>
    <w:tmpl w:val="B4BE735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>
    <w:nsid w:val="2D2D41FB"/>
    <w:multiLevelType w:val="multilevel"/>
    <w:tmpl w:val="0F2EC59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>
    <w:nsid w:val="3742187F"/>
    <w:multiLevelType w:val="multilevel"/>
    <w:tmpl w:val="F2FAEC2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>
    <w:nsid w:val="3A341316"/>
    <w:multiLevelType w:val="multilevel"/>
    <w:tmpl w:val="F19C96A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>
    <w:nsid w:val="3C0722FB"/>
    <w:multiLevelType w:val="multilevel"/>
    <w:tmpl w:val="6C6A76C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9">
    <w:nsid w:val="3CEE3D01"/>
    <w:multiLevelType w:val="multilevel"/>
    <w:tmpl w:val="3C002D1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>
    <w:nsid w:val="426D115F"/>
    <w:multiLevelType w:val="multilevel"/>
    <w:tmpl w:val="36C81CD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>
    <w:nsid w:val="429C1E81"/>
    <w:multiLevelType w:val="multilevel"/>
    <w:tmpl w:val="EF2AD74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44566554"/>
    <w:multiLevelType w:val="multilevel"/>
    <w:tmpl w:val="3F74B36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57970A2"/>
    <w:multiLevelType w:val="multilevel"/>
    <w:tmpl w:val="75BACA4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4">
    <w:nsid w:val="461559A8"/>
    <w:multiLevelType w:val="multilevel"/>
    <w:tmpl w:val="70B8C48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5">
    <w:nsid w:val="46D52577"/>
    <w:multiLevelType w:val="multilevel"/>
    <w:tmpl w:val="176A897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6">
    <w:nsid w:val="479607A2"/>
    <w:multiLevelType w:val="multilevel"/>
    <w:tmpl w:val="0F4A0CA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7">
    <w:nsid w:val="4C006D98"/>
    <w:multiLevelType w:val="multilevel"/>
    <w:tmpl w:val="824888A2"/>
    <w:lvl w:ilvl="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eastAsia="Wingdings" w:hAnsi="Wingdings" w:cs="Wingdings" w:hint="default"/>
      </w:rPr>
    </w:lvl>
  </w:abstractNum>
  <w:abstractNum w:abstractNumId="28">
    <w:nsid w:val="4D481601"/>
    <w:multiLevelType w:val="multilevel"/>
    <w:tmpl w:val="BA6E7FE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9">
    <w:nsid w:val="4E240D55"/>
    <w:multiLevelType w:val="multilevel"/>
    <w:tmpl w:val="4EF6962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0">
    <w:nsid w:val="4E2A5902"/>
    <w:multiLevelType w:val="multilevel"/>
    <w:tmpl w:val="EBC8EFF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1">
    <w:nsid w:val="4F5240BD"/>
    <w:multiLevelType w:val="multilevel"/>
    <w:tmpl w:val="A6966CF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2">
    <w:nsid w:val="4FB05214"/>
    <w:multiLevelType w:val="multilevel"/>
    <w:tmpl w:val="0F766EE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3">
    <w:nsid w:val="51CF2703"/>
    <w:multiLevelType w:val="multilevel"/>
    <w:tmpl w:val="90B03B8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4">
    <w:nsid w:val="521773F8"/>
    <w:multiLevelType w:val="multilevel"/>
    <w:tmpl w:val="8EBE7C6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5">
    <w:nsid w:val="523048BF"/>
    <w:multiLevelType w:val="multilevel"/>
    <w:tmpl w:val="F8FA3AA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6">
    <w:nsid w:val="549F2FA9"/>
    <w:multiLevelType w:val="multilevel"/>
    <w:tmpl w:val="366C599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7">
    <w:nsid w:val="5E604203"/>
    <w:multiLevelType w:val="multilevel"/>
    <w:tmpl w:val="4E86C4F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8">
    <w:nsid w:val="5F08732B"/>
    <w:multiLevelType w:val="multilevel"/>
    <w:tmpl w:val="3252E11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9">
    <w:nsid w:val="612A4B06"/>
    <w:multiLevelType w:val="multilevel"/>
    <w:tmpl w:val="D118108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0">
    <w:nsid w:val="688E5330"/>
    <w:multiLevelType w:val="multilevel"/>
    <w:tmpl w:val="3014E1A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1">
    <w:nsid w:val="6A6B5B1B"/>
    <w:multiLevelType w:val="multilevel"/>
    <w:tmpl w:val="C51676E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2">
    <w:nsid w:val="6DFC2FE9"/>
    <w:multiLevelType w:val="multilevel"/>
    <w:tmpl w:val="7B34E04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3">
    <w:nsid w:val="6F5E3ADF"/>
    <w:multiLevelType w:val="multilevel"/>
    <w:tmpl w:val="9E62B37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4">
    <w:nsid w:val="70426997"/>
    <w:multiLevelType w:val="multilevel"/>
    <w:tmpl w:val="31560B5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5">
    <w:nsid w:val="7205011E"/>
    <w:multiLevelType w:val="multilevel"/>
    <w:tmpl w:val="0744381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6">
    <w:nsid w:val="765323A2"/>
    <w:multiLevelType w:val="multilevel"/>
    <w:tmpl w:val="8B5E377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7">
    <w:nsid w:val="779C7FAE"/>
    <w:multiLevelType w:val="multilevel"/>
    <w:tmpl w:val="27C28CA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8">
    <w:nsid w:val="7A624E4A"/>
    <w:multiLevelType w:val="multilevel"/>
    <w:tmpl w:val="5B902AE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9">
    <w:nsid w:val="7A93338D"/>
    <w:multiLevelType w:val="multilevel"/>
    <w:tmpl w:val="AAFE5F1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45"/>
  </w:num>
  <w:num w:numId="2">
    <w:abstractNumId w:val="31"/>
  </w:num>
  <w:num w:numId="3">
    <w:abstractNumId w:val="24"/>
  </w:num>
  <w:num w:numId="4">
    <w:abstractNumId w:val="18"/>
  </w:num>
  <w:num w:numId="5">
    <w:abstractNumId w:val="22"/>
  </w:num>
  <w:num w:numId="6">
    <w:abstractNumId w:val="38"/>
  </w:num>
  <w:num w:numId="7">
    <w:abstractNumId w:val="19"/>
  </w:num>
  <w:num w:numId="8">
    <w:abstractNumId w:val="14"/>
  </w:num>
  <w:num w:numId="9">
    <w:abstractNumId w:val="1"/>
  </w:num>
  <w:num w:numId="10">
    <w:abstractNumId w:val="13"/>
  </w:num>
  <w:num w:numId="11">
    <w:abstractNumId w:val="5"/>
  </w:num>
  <w:num w:numId="12">
    <w:abstractNumId w:val="2"/>
  </w:num>
  <w:num w:numId="13">
    <w:abstractNumId w:val="23"/>
  </w:num>
  <w:num w:numId="14">
    <w:abstractNumId w:val="39"/>
  </w:num>
  <w:num w:numId="15">
    <w:abstractNumId w:val="25"/>
  </w:num>
  <w:num w:numId="16">
    <w:abstractNumId w:val="44"/>
  </w:num>
  <w:num w:numId="17">
    <w:abstractNumId w:val="15"/>
  </w:num>
  <w:num w:numId="18">
    <w:abstractNumId w:val="10"/>
  </w:num>
  <w:num w:numId="19">
    <w:abstractNumId w:val="48"/>
  </w:num>
  <w:num w:numId="20">
    <w:abstractNumId w:val="6"/>
  </w:num>
  <w:num w:numId="21">
    <w:abstractNumId w:val="41"/>
  </w:num>
  <w:num w:numId="22">
    <w:abstractNumId w:val="16"/>
  </w:num>
  <w:num w:numId="23">
    <w:abstractNumId w:val="8"/>
  </w:num>
  <w:num w:numId="24">
    <w:abstractNumId w:val="43"/>
  </w:num>
  <w:num w:numId="25">
    <w:abstractNumId w:val="33"/>
  </w:num>
  <w:num w:numId="26">
    <w:abstractNumId w:val="0"/>
  </w:num>
  <w:num w:numId="27">
    <w:abstractNumId w:val="21"/>
  </w:num>
  <w:num w:numId="28">
    <w:abstractNumId w:val="12"/>
  </w:num>
  <w:num w:numId="29">
    <w:abstractNumId w:val="27"/>
  </w:num>
  <w:num w:numId="30">
    <w:abstractNumId w:val="3"/>
  </w:num>
  <w:num w:numId="31">
    <w:abstractNumId w:val="11"/>
  </w:num>
  <w:num w:numId="32">
    <w:abstractNumId w:val="49"/>
  </w:num>
  <w:num w:numId="33">
    <w:abstractNumId w:val="37"/>
  </w:num>
  <w:num w:numId="34">
    <w:abstractNumId w:val="40"/>
  </w:num>
  <w:num w:numId="35">
    <w:abstractNumId w:val="29"/>
  </w:num>
  <w:num w:numId="36">
    <w:abstractNumId w:val="34"/>
  </w:num>
  <w:num w:numId="37">
    <w:abstractNumId w:val="17"/>
  </w:num>
  <w:num w:numId="38">
    <w:abstractNumId w:val="42"/>
  </w:num>
  <w:num w:numId="39">
    <w:abstractNumId w:val="32"/>
  </w:num>
  <w:num w:numId="40">
    <w:abstractNumId w:val="20"/>
  </w:num>
  <w:num w:numId="41">
    <w:abstractNumId w:val="35"/>
  </w:num>
  <w:num w:numId="42">
    <w:abstractNumId w:val="26"/>
  </w:num>
  <w:num w:numId="43">
    <w:abstractNumId w:val="7"/>
  </w:num>
  <w:num w:numId="44">
    <w:abstractNumId w:val="9"/>
  </w:num>
  <w:num w:numId="45">
    <w:abstractNumId w:val="4"/>
  </w:num>
  <w:num w:numId="46">
    <w:abstractNumId w:val="28"/>
  </w:num>
  <w:num w:numId="47">
    <w:abstractNumId w:val="47"/>
  </w:num>
  <w:num w:numId="48">
    <w:abstractNumId w:val="46"/>
  </w:num>
  <w:num w:numId="49">
    <w:abstractNumId w:val="30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_x000d__x000a__x000d__x000a_                 Dle rozdělovníku"/>
    <w:docVar w:name="dms_adresat_adresa" w:val=" "/>
    <w:docVar w:name="dms_adresat_dat_narozeni" w:val=" "/>
    <w:docVar w:name="dms_adresat_ic" w:val=" "/>
    <w:docVar w:name="dms_adresat_jmeno" w:val=" "/>
    <w:docVar w:name="dms_carovy_kod" w:val="00029710140140386/2018-MZE-16233"/>
    <w:docVar w:name="dms_cj" w:val="40386/2018-MZE-16233"/>
    <w:docVar w:name="dms_datum" w:val="9. 7. 2018"/>
    <w:docVar w:name="dms_datum_textem" w:val="9. července 2018"/>
    <w:docVar w:name="dms_datum_vzniku" w:val="9. 7. 2018 9:19:59"/>
    <w:docVar w:name="dms_nadrizeny_reditel" w:val="Mgr. Patrik Mlynář"/>
    <w:docVar w:name="dms_ObsahParam1" w:val=" "/>
    <w:docVar w:name="dms_otisk_razitka" w:val=" "/>
    <w:docVar w:name="dms_PNASpravce" w:val=" "/>
    <w:docVar w:name="dms_podpisova_dolozka" w:val="Mgr. Patrik Mlynář_x000d__x000a_náměstek pro řízení sekce_x000d__x000a_Sekce lesního hospodářství"/>
    <w:docVar w:name="dms_podpisova_dolozka_funkce" w:val="náměstek pro řízení sekce_x000d__x000a_Sekce lesního hospodářství"/>
    <w:docVar w:name="dms_podpisova_dolozka_jmeno" w:val="Mgr. Patrik Mlynář"/>
    <w:docVar w:name="dms_PPASpravce" w:val=" "/>
    <w:docVar w:name="dms_prijaty_cj" w:val=" "/>
    <w:docVar w:name="dms_prijaty_ze_dne" w:val=" "/>
    <w:docVar w:name="dms_prilohy" w:val=" 1. Příloha č_1.doc_x000d__x000a_ 2. Příloha č_2.doc"/>
    <w:docVar w:name="dms_pripojene_dokumenty" w:val=" "/>
    <w:docVar w:name="dms_spisova_znacka" w:val="15AVD13708/2018-16233"/>
    <w:docVar w:name="dms_spravce_jmeno" w:val="Ing. Tomáš Kunca, Ph.D."/>
    <w:docVar w:name="dms_spravce_mail" w:val="Tomas.Kunca@mze.cz"/>
    <w:docVar w:name="dms_spravce_telefon" w:val="221812260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6000"/>
    <w:docVar w:name="dms_utvar_nazev" w:val="Sekce lesního hospodářství"/>
    <w:docVar w:name="dms_utvar_nazev_adresa" w:val="16000 - Sekce lesního hospodářství_x000d__x000a_Těšnov 65/17_x000d__x000a_Nové Město_x000d__x000a_110 00 Praha 1"/>
    <w:docVar w:name="dms_utvar_nazev_do_dopisu" w:val="Sekce lesního hospodářství"/>
    <w:docVar w:name="dms_vec" w:val="Metodický pokyn orgánům státní správy pro redukci početních stavů spárkaté zvěře"/>
    <w:docVar w:name="dms_VNVSpravce" w:val=" "/>
    <w:docVar w:name="dms_zpracoval_jmeno" w:val="Ing. Tomáš Kunca, Ph.D."/>
    <w:docVar w:name="dms_zpracoval_mail" w:val="Tomas.Kunca@mze.cz"/>
    <w:docVar w:name="dms_zpracoval_telefon" w:val="221812260"/>
  </w:docVars>
  <w:rsids>
    <w:rsidRoot w:val="00F2694E"/>
    <w:rsid w:val="002C039D"/>
    <w:rsid w:val="005D6D13"/>
    <w:rsid w:val="00F2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paragraph" w:styleId="Nadpis8">
    <w:name w:val="heading 8"/>
    <w:basedOn w:val="Normln"/>
    <w:semiHidden/>
    <w:unhideWhenUsed/>
    <w:qFormat/>
    <w:pPr>
      <w:keepNext/>
      <w:keepLines/>
      <w:spacing w:before="200"/>
      <w:outlineLvl w:val="7"/>
    </w:pPr>
    <w:rPr>
      <w:rFonts w:ascii="Cambria" w:eastAsia="Cambria" w:hAnsi="Cambria" w:cs="Cambria"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table" w:styleId="Mkatabulky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round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one" w:sz="0" w:space="0" w:color="000000"/>
        <w:bar w:val="none" w:sz="0" w:color="000000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8Char">
    <w:name w:val="Nadpis 8 Char"/>
    <w:basedOn w:val="Standardnpsmoodstavce"/>
    <w:semiHidden/>
    <w:rPr>
      <w:rFonts w:ascii="Cambria" w:eastAsia="Cambria" w:hAnsi="Cambria" w:cs="Cambria"/>
      <w:color w:val="404040"/>
      <w:lang w:val="en-US" w:eastAsia="en-US"/>
    </w:rPr>
  </w:style>
  <w:style w:type="paragraph" w:styleId="Normlnweb">
    <w:name w:val="Normal (Web)"/>
    <w:basedOn w:val="Normln"/>
    <w:unhideWhenUsed/>
    <w:pPr>
      <w:spacing w:before="100" w:beforeAutospacing="1" w:after="100" w:afterAutospacing="1" w:line="240" w:lineRule="atLeast"/>
    </w:pPr>
    <w:rPr>
      <w:lang w:eastAsia="cs-CZ"/>
    </w:rPr>
  </w:style>
  <w:style w:type="paragraph" w:customStyle="1" w:styleId="Normalodsazen">
    <w:name w:val="Normal odsazený"/>
    <w:basedOn w:val="Normln"/>
    <w:qFormat/>
    <w:pPr>
      <w:spacing w:line="360" w:lineRule="auto"/>
      <w:ind w:firstLine="567"/>
      <w:jc w:val="both"/>
    </w:pPr>
  </w:style>
  <w:style w:type="character" w:customStyle="1" w:styleId="NormalodsazenChar">
    <w:name w:val="Normal odsazený Char"/>
    <w:basedOn w:val="Standardnpsmoodstavce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paragraph" w:styleId="Nadpis8">
    <w:name w:val="heading 8"/>
    <w:basedOn w:val="Normln"/>
    <w:semiHidden/>
    <w:unhideWhenUsed/>
    <w:qFormat/>
    <w:pPr>
      <w:keepNext/>
      <w:keepLines/>
      <w:spacing w:before="200"/>
      <w:outlineLvl w:val="7"/>
    </w:pPr>
    <w:rPr>
      <w:rFonts w:ascii="Cambria" w:eastAsia="Cambria" w:hAnsi="Cambria" w:cs="Cambria"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table" w:styleId="Mkatabulky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round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one" w:sz="0" w:space="0" w:color="000000"/>
        <w:bar w:val="none" w:sz="0" w:color="000000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8Char">
    <w:name w:val="Nadpis 8 Char"/>
    <w:basedOn w:val="Standardnpsmoodstavce"/>
    <w:semiHidden/>
    <w:rPr>
      <w:rFonts w:ascii="Cambria" w:eastAsia="Cambria" w:hAnsi="Cambria" w:cs="Cambria"/>
      <w:color w:val="404040"/>
      <w:lang w:val="en-US" w:eastAsia="en-US"/>
    </w:rPr>
  </w:style>
  <w:style w:type="paragraph" w:styleId="Normlnweb">
    <w:name w:val="Normal (Web)"/>
    <w:basedOn w:val="Normln"/>
    <w:unhideWhenUsed/>
    <w:pPr>
      <w:spacing w:before="100" w:beforeAutospacing="1" w:after="100" w:afterAutospacing="1" w:line="240" w:lineRule="atLeast"/>
    </w:pPr>
    <w:rPr>
      <w:lang w:eastAsia="cs-CZ"/>
    </w:rPr>
  </w:style>
  <w:style w:type="paragraph" w:customStyle="1" w:styleId="Normalodsazen">
    <w:name w:val="Normal odsazený"/>
    <w:basedOn w:val="Normln"/>
    <w:qFormat/>
    <w:pPr>
      <w:spacing w:line="360" w:lineRule="auto"/>
      <w:ind w:firstLine="567"/>
      <w:jc w:val="both"/>
    </w:pPr>
  </w:style>
  <w:style w:type="character" w:customStyle="1" w:styleId="NormalodsazenChar">
    <w:name w:val="Normal odsazený Char"/>
    <w:basedOn w:val="Standardnpsmoodstavc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7B170-A3F1-4A0E-9758-311502F5D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1920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Kunca Tomáš</cp:lastModifiedBy>
  <cp:revision>2</cp:revision>
  <cp:lastPrinted>2018-07-09T07:48:00Z</cp:lastPrinted>
  <dcterms:created xsi:type="dcterms:W3CDTF">2018-07-13T09:04:00Z</dcterms:created>
  <dcterms:modified xsi:type="dcterms:W3CDTF">2018-07-13T09:04:00Z</dcterms:modified>
</cp:coreProperties>
</file>