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footer6.xml" ContentType="application/vnd.openxmlformats-officedocument.wordprocessingml.footer+xml"/>
  <Override PartName="/word/footer7.xml" ContentType="application/vnd.openxmlformats-officedocument.wordprocessingml.footer+xml"/>
  <Override PartName="/word/charts/chart7.xml" ContentType="application/vnd.openxmlformats-officedocument.drawingml.chart+xml"/>
  <Override PartName="/word/charts/chart8.xml" ContentType="application/vnd.openxmlformats-officedocument.drawingml.chart+xml"/>
  <Override PartName="/word/footer8.xml" ContentType="application/vnd.openxmlformats-officedocument.wordprocessingml.footer+xml"/>
  <Override PartName="/word/footer9.xml" ContentType="application/vnd.openxmlformats-officedocument.wordprocessingml.footer+xml"/>
  <Override PartName="/word/charts/chart9.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57DA9" w14:textId="678A222B" w:rsidR="001E7952" w:rsidRPr="00C62639" w:rsidRDefault="004E2989" w:rsidP="001E7952">
      <w:pPr>
        <w:jc w:val="center"/>
        <w:rPr>
          <w:rFonts w:asciiTheme="minorHAnsi" w:hAnsiTheme="minorHAnsi" w:cs="Arial"/>
          <w:b/>
          <w:u w:val="single"/>
        </w:rPr>
      </w:pPr>
      <w:r>
        <w:rPr>
          <w:rFonts w:asciiTheme="minorHAnsi" w:hAnsiTheme="minorHAnsi"/>
          <w:noProof/>
          <w:lang w:eastAsia="cs-CZ"/>
        </w:rPr>
        <mc:AlternateContent>
          <mc:Choice Requires="wpg">
            <w:drawing>
              <wp:anchor distT="0" distB="0" distL="114300" distR="114300" simplePos="0" relativeHeight="251683840" behindDoc="1" locked="0" layoutInCell="1" allowOverlap="1" wp14:anchorId="2A3964E8" wp14:editId="09CBB923">
                <wp:simplePos x="0" y="0"/>
                <wp:positionH relativeFrom="column">
                  <wp:posOffset>-271145</wp:posOffset>
                </wp:positionH>
                <wp:positionV relativeFrom="paragraph">
                  <wp:posOffset>-805815</wp:posOffset>
                </wp:positionV>
                <wp:extent cx="2598420" cy="1504950"/>
                <wp:effectExtent l="0" t="0" r="0" b="0"/>
                <wp:wrapNone/>
                <wp:docPr id="9"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8420" cy="1504950"/>
                          <a:chOff x="670" y="89"/>
                          <a:chExt cx="4092" cy="2370"/>
                        </a:xfrm>
                      </wpg:grpSpPr>
                      <pic:pic xmlns:pic="http://schemas.openxmlformats.org/drawingml/2006/picture">
                        <pic:nvPicPr>
                          <pic:cNvPr id="10" name="Picture 3"/>
                          <pic:cNvPicPr>
                            <a:picLocks noChangeAspect="1" noChangeArrowheads="1"/>
                          </pic:cNvPicPr>
                        </pic:nvPicPr>
                        <pic:blipFill>
                          <a:blip r:embed="rId8" cstate="email">
                            <a:lum contrast="6000"/>
                            <a:extLst>
                              <a:ext uri="{28A0092B-C50C-407E-A947-70E740481C1C}">
                                <a14:useLocalDpi xmlns:a14="http://schemas.microsoft.com/office/drawing/2010/main"/>
                              </a:ext>
                            </a:extLst>
                          </a:blip>
                          <a:srcRect/>
                          <a:stretch>
                            <a:fillRect/>
                          </a:stretch>
                        </pic:blipFill>
                        <pic:spPr bwMode="auto">
                          <a:xfrm>
                            <a:off x="670" y="89"/>
                            <a:ext cx="4092" cy="237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4"/>
                        <wps:cNvSpPr>
                          <a:spLocks noChangeArrowheads="1"/>
                        </wps:cNvSpPr>
                        <wps:spPr bwMode="auto">
                          <a:xfrm>
                            <a:off x="1785" y="1811"/>
                            <a:ext cx="1626" cy="408"/>
                          </a:xfrm>
                          <a:prstGeom prst="rect">
                            <a:avLst/>
                          </a:prstGeom>
                          <a:solidFill>
                            <a:srgbClr val="FFFFFF"/>
                          </a:solidFill>
                          <a:ln>
                            <a:noFill/>
                          </a:ln>
                          <a:extLst>
                            <a:ext uri="{91240B29-F687-4F45-9708-019B960494DF}">
                              <a14:hiddenLine xmlns:a14="http://schemas.microsoft.com/office/drawing/2010/main" w="0">
                                <a:solidFill>
                                  <a:srgbClr val="333333"/>
                                </a:solidFill>
                                <a:miter lim="800000"/>
                                <a:headEnd/>
                                <a:tailEnd/>
                              </a14:hiddenLine>
                            </a:ext>
                          </a:extLst>
                        </wps:spPr>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9E71F" id="Skupina 2" o:spid="_x0000_s1026" style="position:absolute;margin-left:-21.35pt;margin-top:-63.45pt;width:204.6pt;height:118.5pt;z-index:-251632640" coordorigin="670,89" coordsize="4092,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QPuUQQAAJgKAAAOAAAAZHJzL2Uyb0RvYy54bWykVm1vozgQ/n7S/QeL&#10;7zRASQKoySrNS7VS767a7v0Ax5hgLdic7ZR2T/ffb8aGNn1Rt9qNFBjb42FmnmfGvvh03zbkjmsj&#10;lFwE8VkUEC6ZKoU8LIK/v+7CLCDGUlnSRkm+CB64CT4tf//tou8KnqhaNSXXBIxIU/TdIqit7YrJ&#10;xLCat9ScqY5LWKyUbqmFoT5MSk17sN42kySKZpNe6bLTinFjYHbjF4Ols19VnNm/qspwS5pFAL5Z&#10;99TuucfnZHlBi4OmXS3Y4Ab9CS9aKiR89NHUhlpKjlq8MtUKppVRlT1jqp2oqhKMuxggmjh6Ec2V&#10;VsfOxXIo+kP3mCZI7Ys8/bRZ9ufdjSaiXAR5QCRtAaLbb8dOSEoSTE7fHQrQudLdbXejfYQgXiv2&#10;zcDy5OU6jg9emez7P1QJBunRKpec+0q3aALCJvcOg4dHDPi9JQwmk2mepQlAxWAtnkZpPh1QYjVA&#10;iftmc1iG1Sz38LF6O2xOozzxO5NzUEIHaeG/6jwdPFtedIIV8B8yCtKrjP6YebDLHjUPBiPth2y0&#10;VEN6QwC/o1bsRSPsgyMyJAidknc3gmGicfAETgwRe3RgGb9KzjG6UclvoRiSQ4ZIta6pPPCV6aAE&#10;IJGwfZzSWvU1p6XBaUzRcytu+MyNfSO6nWgahA7lIWCoohcsfCNnnuEbxY4tl9aXrOYNxK6kqUVn&#10;AqIL3u45MFB/LsFPBu3CAms6LaR1tGmOLWFKWk0NhDKLooEQQJlrY9ErJI+rtn+TbBUBCS7D9TRa&#10;h2k034arPJ2H82g7T6M0i9fx+j+0GqfF0XDIFm02nRhCgtlXQb1ZWkMT8kXrip/cUddiPOfAIce9&#10;0UWgIWYOfTWafQFMQA9kq7llNYoVJHiYB+XHBYfGEwAIlYFC/GFtvawRzBCW1zsVAvTRxl5x1RIU&#10;AA9w0wFA7yDPPrBRBV2WClnhAhnjPIUij/Jtts3SME1mW4BiswlXu3UaznbxfLo536zXm3iEohZl&#10;ySWa+3UkXGJVI8qRs0Yf9utGe4R27je0BvOkNkFGPLkxoje+HdEcGJj+oWgADeyQcHKZsShg9DEG&#10;4bn1Vs+/rWnHIeto9qT+sYBdd0aOQGU3nKQYxKA2NmfjO/M7xf5sAw4+RKd4nk1dz42z2DUNDzQy&#10;Kp4lM99z0ygb8jo2+pEtHyTUCRxYJx9AjRaNfEZFqB0/8yYj4ySNLpM83M2yeZju0mmYz6MsjOL8&#10;Mp/BUZNuds8ZeS0k/3VGkh6Pufd5ee5+r3lJi1ZYuCI1ooUTD3rf2P2whW9l6crPUtF4+YTG6PtI&#10;3/HtaTzC7umzV+UDdBStoOThmIHLHAi10t8D0sPFaBGYf44Uz7nmswRyg4odBe2EPE5TmN27QTqd&#10;4+lNJQMTi8CO4tr6W9cR+vqhhi/ELiFSreB2UAnXXtAv7w34iwOoKye564+LYbiq4f3qdOy0ni6U&#10;y/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DS6K84gAAAAwBAAAPAAAAZHJz&#10;L2Rvd25yZXYueG1sTI/BSsNAEIbvgu+wjOCt3Wxqo8ZsSinqqRRsBfG2TaZJaHY2ZLdJ+vaOJ73N&#10;MB//fH+2mmwrBux940iDmkcgkApXNlRp+Dy8zZ5A+GCoNK0j1HBFD6v89iYzaelG+sBhHyrBIeRT&#10;o6EOoUul9EWN1vi565D4dnK9NYHXvpJlb0YOt62MoyiR1jTEH2rT4abG4ry/WA3voxnXC/U6bM+n&#10;zfX7sNx9bRVqfX83rV9ABJzCHwy/+qwOOTsd3YVKL1oNs4f4kVEeVJw8g2BkkSRLEEdmVaRA5pn8&#10;XyL/AQAA//8DAFBLAwQKAAAAAAAAACEANTCzhGhXAABoVwAAFAAAAGRycy9tZWRpYS9pbWFnZTEu&#10;cG5niVBORw0KGgoAAAANSUhEUgAAAnEAAAFqCAIAAAD6FpuqAAAAAXNSR0IArs4c6QAAAARnQU1B&#10;AACxjwv8YQUAAAAJcEhZcwAAIdUAACHVAQSctJ0AAFb9SURBVHhe7d0HdBTV/gdw9ak8ffrU9576&#10;FxUbYBe72Lug2BXrw67PhoKIFBUFAUUBxQoWehdBJPROEtII2fTeSe/bZ2f2nP8ve2+Wyd3Z2Uky&#10;gU34fs49nOydO7OzmzDfuVPuHOYFAAAAMyBTAQAAzIFMBQAAMAcyFQAAwBzIVAAAAHMgUwEAAMyB&#10;TAUAADAHMhUAAMAcyFQAAABzIFMBAADMgUwFAAAwBzIVAADAHMhUAAAAcyBTAQAAzIFMBQAAMAcy&#10;FQAAwBzIVAAAAHMgUwEAAMyBTAUAADAHMhUAAMAcyFQAAABzIFMBAADMgUwFAAAwBzIVAADAHMhU&#10;AAAAcyBTAQAAzIFMBQAAMAcyFQAAwBzIVAAAAHMgUwEAAMyBTAUAADAHMhUAAMAcyFQAAABzIFMB&#10;AADMgUwFAAAwBzIVAADAHMhUAAAAcyBTAQAAzIFMBQAAMAcyFQAAwBzIVAAAAHMgUwEAAMyBTAUA&#10;ADAHMhUAAMAcyFQAAABzIFMBAADMgUwFAAAwBzIVAADAHMhUAAAAcyBTAQAAzIFMBQAAMAcyFQAA&#10;wBzIVAAAAHMgUwEAAMyBTAUAADAHMhUAAMAcyFQAAABzIFMBAADMgUwFAAAwBzIVAADAHMhUAAAA&#10;cyBTAQAAzIFMBQAAMAcyFQAAwBzIVAAAAHMgUwEAAMyBTAUAADAHMhUAAMAcyFQAAABzIFMBAADM&#10;gUwFAAAwBzIVAADAHMhUAAAAcyBTAQAAzIFM7Rqa7Cn8JwAACFfI1C6gvHZFpOXssppl/DUAAIQl&#10;ZGq4szsLo1PO35V0WqSlV2XdX7wWAADCDzI1rCmKnJL3LAUqK9HJvRttFj4NAADCDDI1rFU3bN6V&#10;dLo/U6nEZ9wseZr4ZAAACCfI1PClKJ69WfepA5WV3NJPeAsAAAgnyNTwVW+N2ZXUUwhUKpGWs2yO&#10;bN4IAADCBjI1fGUWjRDS1F8yCt/mjQAAIGwgU8OUrLhjUvsJUeovUcnnudwVvGnnaHIpscVSSYPM&#10;XwMAQCjI1DBlc+QIOSqUspqFvKnZCuvk+YmuD9bb3l1jW5Ph5rUAABAKMjVMVdb9JYSoUDIKXudN&#10;zVPeJP8S7xwe0ZymrNBLPg0AAEJBpoap0up5QogKJSHjdt7UDIri3ZTtHrluf5qyMmWHg7cAAIBQ&#10;kKlhqqRqjhCiQolJvUxWXLx1x9jdyqxYp5CmrHyy2e7BGVUAAGOQqWGqrGaZEKJCMStTbW7lmyiH&#10;EKX+8uFGuxuZCgBgDDI1TNVbY4UQFUpc+nWKV+Gt24v6oDOD9FBZQaYCABiHTA1THo8tKrm3kKPq&#10;kpz7FG/aAZtz3UKICmX8Frvc0eAGADhUIFPDV2r+80KOqktB2RTerr3qHcqo9XYhRIXydSSuUQIA&#10;MAqZGr6qGzYKOaoqPeutMbxde63JCNFJpbIoyZzLoAAADgXI1PAlK+49mXcHpGlziUvvrygSb9cu&#10;itf7yeYQnVQqMcUdehcAgEMKMjWs1TRsEZ71xkpRxXe8RXvta5CF+AwsI9baau04mwoAYBQy9aCS&#10;7PyHIBSvklH4lhCou1MuljyNvEV7RRdJQoIGll/iMIgSAEAbIFMPGsVWYV14pSvhK8WlF5BuqS4u&#10;/QZ1ppZU/synBdHgVCILJP0O5qo0l5CgQnkvwlZQh9toAADaAJl60LgtM62ze1OxLbvVU7SV12pp&#10;sqdEJ5/PAjUx616doR4oR+NLpA832odH2Ip1HykzPzFEpv6egquTAADaBpl60NhXP8IytbnMOd8V&#10;94VXDnpBUG3jzqjkPlSa7Gm8KoDL411icQ1rCcWlFr1Q/DlOb6iH6ZEOWhoAALQJMvXgUOxV1rkX&#10;7c9UX3FseVtxW3mLALWNOypqV/EXAawu5bvoVkMMjt1gdwfPxV/ig2bqV7sctDTeDgAADEOmHhye&#10;oq1CoLLi2Piy19PmK4PsbmXaLo0xe9Mrg4bqgr3ax36p/0pL440AAKAtkKkHh3vvd0Ka+osz8kOv&#10;0oaLgzyK96cgY/b+mR70ieI0SWg8ar19e76EkQgBANoNmXpwOHeNFqJUVfpKuX/xdgaszwo6HNK3&#10;0UFHFowq3H8vzftrm8dLwq2oAAAdhEw9OBybXg6I0v3FtuQGnROravsa5RFr94eoUD7aGPT+1/za&#10;5jEfxm22U4e1yoZ7ZgAATIBMPTgcG54XclQo7pRfeVNdvyXoXb47PMImBTmjKsne3BqZ/jWFonhc&#10;Uq3TXemW6n139AAAHIqQqQeHc/P/hBAVim3F3ZRUvHUQ1Tb5vQgxR9VlWITN0YkXHClWR2Z+2eeJ&#10;WfdGWs7ZldSTlajkPolZ9+WWflLTsFWW8VgbADiEIFMPDmf0p0KIimVOX7k+l7cOYlteiPEFKVOd&#10;IcZTaqcme1pq3vORljP8oztplpjUy3JLx9ud+Xw2AIBuDZl6cLgzFokhGlCk3NW8dRA695iy8sE6&#10;G28anKy4bY6syrrVReUzcko+zCp6J7tktKIEvQlHUaTC8q+jks8V4lOnRFnOySp+3+ku54sAAOim&#10;kKkdUlgn/5nu/iPVtSbDvTXXvafUU9Jg6CSlXJdjnXO+EKJCcSWFePjMpG0a96Sqy9RdQQ+9Kopc&#10;27gzq2h4bNqVwqNvYtKuDpapkqchJW+IurHh0rOqfj1fCgBAN4VM7ZDEfR4hxoY13+hpmxXrjCmW&#10;9I+7thqbUKu4Yifzplo8svfjTSEegLoqTWN4QsUrV9VHJGTc7jv9KSRfc9mb/QBv2ppLqt6bda/Q&#10;2GDJKh6Ja5cAoNtDpnbIvkbZP75uYBm7wb4x2+3yaGeJlLdGCFGh6Gcq9YY/2qiXqbRihfVil5ly&#10;MTX/pWBpykp2c/6JqIe6N3uQ0NJgseQ8jouVAOBQgEztEAq2sbrBRuXz7faigGxrpnjsEU8KOaou&#10;rr0zeEstiuL9dIveW8+IdggXDtudefEZNwuBF1jKa5fzGVooiict/xWhmcGyN2uQS6rhCwIA6NaQ&#10;qR31a6gLhaiMWm/XHHpXrsuxLbxSiFJ/kbLEbBN8HRn0fOrwCFtebasgd0u1RgI10tLL4Srl87Qo&#10;qvhBaGawJOU87EagAsAhA5naUbHFIW5oYeWD9bZCrUd8S4UbrXMvENKUFU9FAm8UxKKkoM9A/SO1&#10;1ZlUxSun5r8oBJ5m2Zv9ADXms/lQJ9WS86TQzEjJLBrmkYMO5AQA0P0gUzvKKXkpL4VI0yzjt9g1&#10;H/ki5ayyzr1QCFTr/Eu9oYYnjFaN2asu30Y7hKe8VdT9qX8O1V/2VS/k87SiVNWvpbgVrhAOVuLS&#10;r6X2zVEOAHAoQaaagDqFQqoFK7+naD8n3FO8zbboanWm2tc+w6cFV2mVhweMozRlh6Op9dNPZdmZ&#10;kHGLEHuaJTbtSsnTxGfToDTY9uaUfBSXfn1kksZoD1S5J/OO0qpfPbKhwYoBALoZZKoJ6uzKB+tD&#10;XKnEyoi1tkqrdu9Nrs+z//W4P1ONjPdLC/pyZ6tTql9HORqd4vIr6/4Swi9YKa2azefRpSgemzO3&#10;eZiIim/z9k3OLfm4oGxaec0ymyNbactT6gAAuhlkqjk2ZAd94JpQlidrd1WbeZzu5FnWBVdY516g&#10;2AyNOrQtb//7LtjrdEq8Xi0l71khOzVLUvZDshL0easAABASMtUckuz9NjrEqEasjNmgfVbVT7FX&#10;Sjkr+QufLblShtZlw8TmVkatb74RNq5Y0hxy3y3V+ga4FxNUKDGplztcxXyezuH2eEsa5KQyz64C&#10;aVOOe1ueVv4DAHRlyFTTNDiVydsNxeqe0qCj6QaqtMrvr22+N2ZNhtujdWA1udwTeLzXr6purRCf&#10;gYUCtdGWxGcwFa0Wrf/6bPfXUQ7hOa8Tt+GSYADobpCpZqpzKFN3hY7VBXuDH/4NsDR5/wVQs/c4&#10;XW2I42Z5peOFBBVKUvZDdmchb22q/Fp5Zqwz8CoqVn6McfJ2AADdBTLVKI/b6ZFCZ6HLo6xKcwt9&#10;MqF8ts0u6x393a/J1XxoVz3vz3FO4T4Zfcm5Twsh6i8xaVeWVs2WlRAfSnHWSbl/Slm/89cGOCVl&#10;WbJL/9muK1vfQQsA0A0gU41a9+uHM9+/u7GmjL/WVdEkL7G4gt23SmGjc7RWLUrrDtT5icZ7eEpc&#10;+o1ClEZazknJfba8ZrlHDvEkOE9FgnP7MOv8y5rv7Vn9MK8NhfYDphnorLfpADgAQJeATDWkqjhr&#10;9H0nvH/3MZP/e35FfgqvDcUlKcnlnj9SXTOiHB9utFPn9b2WUqA1plKgH2O0Bz7cmmvoAl3Fq6QX&#10;vJ6a93R6wf9ySj4urfqtrml3yCglcnWqY/1z/ht7qNgWXe31hO5Z2t2KcHuPZhkeYWswtlcBANCF&#10;IFMNWTRpCAUqKxOePKs8P5lPaAuHpFCQsBLkWTWtUPvRQXq6I9fZ9jV2yp2giuRwxU3RGNdp3iWK&#10;PcTIvfSZ5uwJPfoxlW+iHEhUAOh+kKmh1e7LHX1vcyfVXyY926e+sohP7jSFdbIQReoyM9b8jp5i&#10;q7BHPCWmKStzLlCaxLH1BXsDniYbrEQV4kYaAOiGkKmhbZj9iTpQWfn+nVslV+c+EzS+RG90/uER&#10;Rg8gG6TYym1/3CNGqarIDfm8qRZJ9k7aZuhWoo822R2IVADojpCpISiy54vnLxYClZUNs8fxRp1j&#10;W16IJ94s1RmSSYusuJvsqfxFa4rHaV/9iBCircrcixRrBW+tJaHUaCd1K0Z7AIBuCpkaQkV+ygcD&#10;/iGkKStjBp1UUZjG23WC9aHGOxy/xa45CkQgRZGr6tfEp9+0O+VSyaMxwL0rdrIYokJZ0E9xNfLW&#10;Wr7bbaiT+tUuB/VoAQC6JWRqCLERvwpRqi6LJg3h7TrBjvwQ/dRhEbZ6A9f6OFylqXnP+5/1VlW/&#10;jk9oIdfnWeddLIZo62JbfhslM58hQJ1d0b8ll5XRG+yddGkVAEA4QKaGsPqHEUKOqsvo+05sqCrh&#10;TQ1I3LQwYtYoe1Mtf63LUhb6aGrIU6q1jTtjUvv5b06lklU8gk9r4YweJyRoYHFseYO31hKne+qX&#10;lZHrbJlVuCcVALozZGoI8yc8JeSoUHavnsmbGjD9tatplsnP9s2MFTuLgWpsSrCB/fwlp0YvU8tq&#10;lkRaeqkDlUp8xi2tnsgm2W2L+wsJGljcafN4ey1LLCGeIDt+i93cK6oAAMIQMjWEOR89rE7QwLJw&#10;QuiHhzPFGbHv33Msm+uDAf9Y98tYWda7WkdWvF+FGj8hrzZoUJXXLN2VdLoQqFSiLOe6pf13mnrK&#10;YoX41CjNFyjpDSA1LTLoer6/1rYi1aX/KB4AgO4BmRrC/PFP+uNTs0z/39W8aSgRP48W5l0w4WmX&#10;o4lP1hLylGqwJ5zXNUVTdgpp6i+Ntv1jVjQ/sVVI0IDi3DaMt9Yiyd6PN4mPZB8WYZuw1b4mw11j&#10;R5oCwKECmRqC/vlUKhOfPNvbPIJQaOzAr1DmfPyo5Ar61DPq3n2yWYwrfxm13qb5EHLJ0xCXfr2Q&#10;o+pS07CJN/V6nbtGCQkqlnkXyw15vLUWWocJWx20npO2O76Ldi6xuHYVSKUNssFrkgEAug1kagh7&#10;Ni4QUlAoBjPVVlc5ZtBJwrysrPzm7VYnOFuLK5aGBaQpK18HGeEvv2yKEKJCqarb/8xzx8aXxRBt&#10;Xdwpv/CmwVF8IkEBAJCpITRUFY8ZdKKQguoy7ZUreFNdBSmRwoz+MvKeY/duWcLbBVAU728J2oPo&#10;RmRqjKTv9tRHp1wohKhQ1Jlqj3haCFF1ce4c5VVwsS4AgCHI1NBmf/SIkILqMuejR3k7XYmbFwkz&#10;qsv4wb3sjUFHqHe4vV/sEC8CGhZhK67X6BuWNV+aJIaoUGobI3nr5kwNMsDv7D7OyLFe2dADcAAA&#10;gCBTQytI3jUyyFBKVDbN/4y30xW1eqYwo1A2zZ/Am2qpsSufbW0Vq1N3OTQfbJ5e8LqQoAGlp925&#10;f+Rex4YXA9K0t3X+Ze7UOd7gR6QDKbKnrrwgY3fE7r9m7Vw2NXLlt3s2LcxL2t5Ys48m8UYAAN0a&#10;MtUIRefq3/zknbyVrpCZ+tlT58iS3vi91TZF3VuNKda+Dyc+/eaAEG1VYtOukpX9b+Tc8V7rQO3j&#10;WP+8XJvFJxvQVFu+ZcGkqa9cMWrg8cKHojL6vhO+fOHSld+8nRW/0eM2/jR1AICuB5lqSEN16aeP&#10;nymkBZXPnjpXMpYTsWtnC/MGlGMLU6N46yCsLmVmbPO51c+22t1B+n6RlrOEEBVKZtFw3tTHtecb&#10;VZo+5ymNMt49lT3SrhUzPn7k/wI+i3aZ/N/zD8Az8gAADhZkqlGZsetG3ftPISTWzPyATw4lO2Gj&#10;MG9g2bF8Om8dnKx4t+ZJljLtRJU8Vv+4vpolMumMemscb+0jFWywr7rflTBNrs8zeFMQY62r+HnU&#10;IOEj6JeZI+5Wgg8aDADQ1SFT2yD6zx/Vz6gZM+ik6pJsPi2Uppqy0ffpXT9MZcU0vTF1jZA8Nv1M&#10;Tcl7NiA42xNydeUFX718ubD++mXUwONLs/fw+QEAuiNkalsoyo5lUz8YeBwLiWVTXuL1xnw39GZ/&#10;wGiW+YaHOdQRaTlHyFF/iU7uY3Pqjd5gUFNt+Vcv9xNWPmQx3qcHAOiikKltpSSsn0s91I8eOqW2&#10;bP/Vs0bErPlZiBmhzP30Sd60A+LSbxSitKX0LK9dwRt1gOxxz3x/gLDmIcuMN693O4MOFwUA0D0g&#10;U9ujKC1mz4a5/IXK6nTXmgy31aV9NFVy2Sc921cIG3VZ9uWrvGkHpOa/EJCmVHoWVXzXvsO8go1z&#10;PhVWO2SZ8OTZNfty+fwBaJ0aHEpBnZxTI+fVytU2RfMeIQCA8IdMNY3Lo3y0sXls3tHrbVtz3ZLW&#10;xbOpu1aObHk0TWDZMGccb9cBReXfCIEaaelVXDnLlEAtzUoYfe8Jwmrrl08ePb0kM57Pr6Io3rwa&#10;eXGSa1zAgMYj19m+jXZuynFXNMm4pAkAuhBkKqNIHqvLXW535jlcBS53pSy3+U7KnJpWjxCfHuko&#10;bxJzVVGUld+8LaSOvyRtXcrbdUCDNV4dqDGpl1XXb+DTOkaWPT8Nv0NYZ/0y+b/n78vZy+dXKayX&#10;v4sO8Rg7KsMibDOiHUllHgwmDABdwqGbqYpXsTqySqt+TS94LT7jFt8YuWeyHIq0nBWTemlS9sOF&#10;5dOtjhw+QyjrstxCJIzZYE+tEG96cTttv2jdgjLynn/UlBp9Lx2y4opJvcL3QXqm5r/odJXyCR2W&#10;EROh08kWCrWcO+6xptpyPnML6r5HZLhHrG31RYUsX+1yZFRhMCYACHeHbqZa7RmRll4sRHUKtUnL&#10;f9nmDHo60O+XeI2R7t9ba0vcJ4aBw1o/a+RAIYS+eO5CUw7PkpySj/Zk3lPTsFnxmtm/czTVRa36&#10;4Yd3b/tgAL/yOVj59q0b06P/UmTx3e1u5acY7ecBhCzLkvUGmQIACAeH9LHfpJyHhQQNVqKSzy2t&#10;mquTeTRh4jbtB51Snyywtyo57Uu/ePH9u/d3+9bMHMmnaUko9fyW4NyRL1VaQ59i9Mh2nYfHdZSi&#10;UO/Tsn15xM+j53z8+PTXrpry3IVUvnn92vnjn9y2+MvyvGTNgR2sLoW6m8KXY7B8udPh9JizwwEA&#10;0HkO6UytadgqZKdu6Un9P0XRHmXX7fF+6LtASbOM2WivtomRQMGze/VPHz10CgXqyHuO1Tzv6Pdn&#10;Oj+wPMw3en5koeSQzMkYl1RdVb+2oGxKRuFbyXnPJecOSc1/Kat4RFHFdzUNm5zuClM6u05J+Tqq&#10;nYE6brO9xo5ABYAu4JDOVEqL5NwnA7JTr+SWfuLVyhi7W/lgvRgG6jIz1qnZv6wqzpz90SMhB+1b&#10;YnEJCxy3yb49Two26q8Rjba9aQWvRSWfJ3xGdYm0nJWYNVAYzrCtZMU7d087D/lSoJY1dlqfGwDA&#10;VId0phKrIysqubcQJLrl9NLqeXxmlZCZSv3LrCBX2SiK7LDW8xdBzEsUM5WVKTsdJVpPUdUneRqz&#10;ikdGWvg1WfqFYtXh7tCFTjvyJfr4wpobKZ9tRaACQFdyqGcqKan8VUgR/RKVfK7Vkc5nbqF/7JeV&#10;X+Pb/6SzRUnamUpl5DqNy6B02F2FezLvEj6UTsksGsbnbK+4EumjTSG+nMAyM87Z5MQhXwDoSpCp&#10;zUeAM4uGC0GiX/ZmD1IUMcY+3x7ifOGItTZne0+CrkwNmqlU3ouwJZRqn+gV2J0FcenXCR9Hp0Ql&#10;n2fKEMFOybslVxq/xVCyjttsjy2WMNoDAHQ5yNRmsuxIzRsixIlu6VlWI47PMD/I4Vl1yalp55HM&#10;rXniza9Cod5qQW2IhbuluoSMWwM+i17JL/uCz2wGSfamVXioz/3pFvvwCPEj0D7HtEjHrgLTLr8C&#10;ADjAkKkcxaqvt6r3oDR1iU+/SRhrKb5EEkIisEQWGOpNBkqrbDVIk2b5YodDc0DEFnJa/svCp9Av&#10;ezLv8sg2PrepPLK32qakV3piiqWdBRL9m1nlaXCgawoAXRsydT/FK5fVLN6deokQLcFKRd0qPqeP&#10;3a2M2RDi2Oa6LDdv3UaNTiWwYxdYIguDZnZ5zTLjewxUopP7NtnT+MwGKI5aT9luKedPd9YKKWeV&#10;pyxGcTbwaQAAhwZkqsgt1RaUT41Lu3ZX0ulCzPhLpOWspOyHq+rX8HlaRGSGOEL7Z1o7BwOiHtw0&#10;AwMmTNqm/Tw1+lAxqZcJn0KnRFnOqWnYwmfWo8iNRa7EGfZVD1jnXmCd3btVmXuhfe3T7qxlitQp&#10;nV0AgHCDTNWmKHKTPXVf9YK8fZOyit5PL3g5q3gU/VxaNbu+KVryNPJ2rTkkZcJWva7q2vb2U8nW&#10;vNDHlqkUad1ak7/vcyE1dUpUcu/qho18zqAUuSbNsXWoRpQGFNvSm6SMxV65/Z8dAKBLQKaaLLfG&#10;ozNA/I78dp5PJU3O0MeWqWzIFqOLOqm7Uy4SgjNYic+4ucGawOcMQnHUOCPHUjdUyE79Yo94Sm5o&#10;21PcAQC6FmSq+WKLpWDnPgMH/m2Tjdkhji1TmRUn3gVbUbvKyJlUyt2CsqmSp4nPFoSnNNK29EYh&#10;Lw0W26JrpKLNfEEAAN0OMrVTxBRLmr3Vuo6NWyt5vNMjQ5xVnbBVPKWqKB6bM7e0ek5G4dt7Mu+M&#10;Su7ri9jmEmk5Kz7jlozCtypqVwQ7oC1wJX4rJGXbytwL3ZkmPCYWACAMIVM7S1a15+PWgweN26yR&#10;qIoiOVwlVfVriyt/yi39OLNoeGbRsNySD4srfqxp2OKWaqkJb+pT71D0R04Yuc4W8gneHtkueaxU&#10;2jU+vuLcPdE6u48YlsbLnL7ujCV8YQAA3Qgytf1kT4iTow1O5dd457CW48CLksSLfgvKvoxL769z&#10;YDbKck5K3n8pXNXDNlXbFJ0xm6h/bHPtj2HhJlpzKLIrYbp1zvliWBov8/spVtMelg4AECaQqe23&#10;fOqr37590+ofR2TGrXc7rLy2NUXxplR4vtzZHIH0A69tQZkqhGiQ0jM59ym7aoxAm1tZsNflT2t1&#10;eW+tjbKcNaP+aN4+MwdC2o/61zmrrAsuF8PSQLGvvNdTsYcvBwCgG0Gmtt+Pw+7wP1H808fPXDlj&#10;aEVBKp/Wmkf2plZ4Agc5crrLjD8VZ3fKRTUN+y/wodhMa0lrdWnup7p5pjbakjIK32U/dwa5Pte+&#10;9lkhMvXKgivcST8qkvZNtAAAXR0ytf1mvHmjP1NZ+WDAcYsm/reuvIC3MCC35BMhO3VKpOWsyrrV&#10;fE4fmfrB5Z4fY5zUPWWZqj6fWl7ze1r+EP7COFlSbOWeikRP8RapYJ2naLOnPEFuLPEGPDagmSJL&#10;+Wubx3zQO8Pax7b0RlfiDMVRw+cCAOiODsVMlRWXbzyHebklY9ML3kwveCO7eGRJ5S+NNouitGFc&#10;gsBMZeWjh06JjfhZkQ1d/uOSqto0wlGk5ey6pmg+s0q9Q4kulObucX6/e/8J1LzS8Zacx/mLUBR7&#10;pTt9oWPjy7ZF1waEIpU+cm0GbxpIkSl3XbGT7asftS26yjr/Miq2xdfa1wymSk9pJAZ8AIBDwaGV&#10;qTZnLsVMbPO4g2JWsRKfcVNRxbduyVB36qfhdwpp6i8j7zl25YyhHsnQSIRtHYk3JvVyl7uSz6wr&#10;Je+/SdkP8hfBKbYKZ/S45iAUc3R/sS2+3usxdrmT7Fac9YqrwSt36GZcAIAu51DJVJszL6PwLerk&#10;CfmkWXanXlpaNVtRQlzWu3Dis0KUCmXF128qBh61onhlWjdhHfRLWv7LzfOFEpt2zZ6sgfxFEFL+&#10;Otvi/kKCBhbntk48LwsA0D10/0yVFXdB2VdRyecJsRSyWHIed7r38aVoWffrh0KIBpRjo//8kbfW&#10;5ZFtiVn3CiugW06vVl2vpMkl1fqGdLiNv9aguFN+sc4JPWAvFalgPZ/JDC53dV3TrvLaFaVV80qr&#10;5tAP9daYkEM4AQCEuW6eqW6pdk/mPQGBZLTEpF7WYI3nywpg2b48IETF8uGD/6mvLOIz6HJLNYlZ&#10;A4UV0CmJWXfT7gKfWQulFDWLS7+Zvw7gzlxqcOgG25IbjR74Dc4jW6vq12YWvUu9Z/UH8ZdIy5lJ&#10;OY+W1yyVZQefBwCgS+nmmaoonrYeVhVKVHKfmsZtfHGt1VcWj77vBCFEA8uK6W/wGUKRPI1pBa8Z&#10;PrfakyKKz6llX/VcarY75SL+ujVPVbJ13kVCdgYrrr3f8dnaq94ab/zBtPHpN/juGgp9cBsAIKwc&#10;Csd+XemFbwpb7TaVqOTetY2RfHFqivLDu7cLCRpYPnrwZGu9oUuKiKLIFbW/+wZXElcjsCTnPqET&#10;PNklY6jN7pTz+WsVxeO0r7pfCM5gxba4f/MFRx3jkW2xaVepV16/RFrOyC39RJbb+bhZAICD4pC4&#10;RoliNbt4dJuurW1deubu+4wvq7W4dbOFBNUs8evn8BmMkWVHZd2fafkv7U7R6NtFWs7Zk3VPTsnY&#10;moatOpmalP0wNY5O6SMHXGzlTpsnBKdOkbKW89k6prz2d/WnMFLS8l/w4DgwAHQdh0Sm+ij7qhdF&#10;JfcRttohS2zalVV1a4JFl9th+3zIBUKCBpaFnz3DZ2gj3wj7ZQ3WuJqGjVTqrTF2Z7FvCN8Qx0Wp&#10;DXtmanRybyGWFMluW3azEJzBimPz/7SHemgPJTnvGfV3a6Sk5b8Y8gJsAIAwcehkajO7My8l7+ld&#10;SacLG27NEp1yfv6+zyVPiMOeqbtWjrznWCFEhfLFcxcpB/ZmTZszLzLpjOZPEZCpUs5KITiDFfvK&#10;+xVHHZ/NDE5XaUzaleov2UjJK9U+SAAAEG4OrUz1UWobt6fk/TfSco6w7W4ppydk3FZU8Z1LquJz&#10;hLJyxlAhRIUy9v5/2RqqeesDoqp+Hfs4YqYqimPdECE7NYt91YNyk96jY5qcSlqlZ2uu+89096o0&#10;9/os955ST5VV1r8jt64p0vgQxy3ldPVAxwAAYesQzFRGcbr3ldcszSkZnZL3giX3afo3u3jUvup5&#10;VkeW+sFqRnjczgWfhRj/oboki7c+IArKvmKBFGU51y3V81qvV7ZVWOddLMSnWOb0ce4YHuy6JLfH&#10;m1Aq/RDjHLlu/8D9/vJehO2rnY4d+ZJDChqtlXVroowNvuEvsWnXSB4ze8wAAJ3hkM1Uk3kk15qZ&#10;H4y85x9ClPpLUWoUb3pApOa/wNIoynKOW9qfRs0PaBMStFXpY494ylO6i/Y5+AwqsuLdXSTpPxHd&#10;Xz7eZN+eL9Esmmoat0Wn9PVHppGSWzqezwwAEK6QqW2gKLKsuGTZScV34YyYGFnx66e8cImQpqzk&#10;J23njYLzFG6yLryGim3JjfZV9zu2vOlK/MZTskNxt22AIepn++/GETLVFfd5822pc/ryEKUf5l5k&#10;W3StY/1z7qQf5NqgnemSBnnarqAPQg9Wpu5ylDVqP0vA5szbm32/8Yuxo5LPc7j0hrUCADjokKkh&#10;eGR7beP2/H0Tk3Ofjk+/cXdqv+jki6KTL45Nu3pP5p1p+a8KT4lxO+1Rq76f8sLF79/d6sKlwhTq&#10;/IUgV1lUXUZVWdDPuX24pzzOqxh81k1lpOUsHkWtM5XyVnHUyPX5ck16c6nPU+zV+otVFO/OfOl9&#10;rSO9Rsqo9faEUu0DwbRfUlazNCHzDv1k3Z1yUVrBq9X16/XHjQIAOOiQqUG5pdr8sikhr1OtbdQI&#10;S4/bmRm7fumUlyY+fR7L1Kri4A9Ka6E46/VOds7p69j4slyfy1sHRzHvXz0xU9suqlASYrKtZXiE&#10;bVNO0DikZG2wJRaWf51W8Epi1qCEjJupWHKeyCx8q6jie/osGAcYALoKZKq2yro1Rh5rujv1Ulm2&#10;83m0SG5nRX7K3i2L3A4rr9KhyL6HewekqarYFlwu5UXw9kGUVP7sX0PfNUodGgXJ5fH+GOMUYrKt&#10;ZdgaW2wxbjMFgG4OmSpSvDJ1TyON3cOaXTKGz2YSV+wkIUQ1ypzz3ZmL+QxaMgqH+tcw8P7UdpBk&#10;7+IklxCTbSrzE12UzQAA3RsyVaDkl33hDyT9Emnp1WRP5fOZxFMWa+hZMXMv9JRon6ClfYI9mXf6&#10;V9KUTCWK1xtdKI1ab+iiX3UZs8G+u1j7fCoAQDeDTG2lonbFLt/wQ0ZKav5Lvqwxley2rbhbTFCt&#10;Ylt2s+Ko5XOpSB5rlOVc/0qalalMlVX5Jd45LEIMTs3y3lrboiRXvQN5CgCHCmTqfg5XSXTKhf40&#10;0i+RlrOb7Gl8TlO5U+cI8RmsuGIm8HlUGm1J6vXcndJXMTv4c2pkStYRa8UQ9ZexG+3Lk13B7qIB&#10;AOiukKn7peW/ok4j/ZIX5Ek1Hae4rbbltwrxqV3mX6oEDB+4r3qhej01n/WmiXYpypoHlhpryXk8&#10;Pv3W6JTzo1P6Vtat4pMDNDiV2GJpqcX13W7nlB2OqbscP8c512S40ys9Lg/6pgBwKEKmcvXWBOPj&#10;D+zNGuR7OExokuwtbZT3lErb86TNue7dRVJOtexwh4gcKX+tdY6Bs6rUVY3/is/TIqv4A/WqxqVf&#10;zycEIXmaSqtm78kcqJ7LX+qaYng7AAAIBZnK+QfzC1ni0vs73WV8tiAoStMqPPMSXR9u1LioZ+Q6&#10;26w4p6Xc4wl+cNS5a7QQn5rFtuxW4VlsiVn3qtc2PuM2PiGAokj7qufHpF6ubt+6nEGdV94aAABC&#10;QaY2c7iKIo2N6p6QcZvdWcBn00IxGVMsTdpu6PrYKTsd6ZXax0kVyeHY+KqQoJrFU5nE52kektcV&#10;qbpAicqerIF8WmtuqS4l71l1y8ASk3Ylhi4CADAOmdqsqOJ7IU60Ss+Mwrfdksaltn55NfKXO9s2&#10;KO6wCNvCvS675tFgye7cMUJI0MDiSvqet/d6m+zpwmpbch7h01RcUvWerAFCy8Diu7DZKHtjTU7i&#10;lqg/f1r78+g/v33nrx9H7Fg2PStuvaMJz5MBgEMFMrXZ3uwHhThRl0jLmSl5/61r2q1z5wx1Nv/K&#10;cL9n7CaTwDJpm73CqrVwRZZyVtqW3CDkqLo4Nr3KG3u95TVLhZVPzXuGT2shK86knEeEZpplX/VC&#10;Pk9wTTXlO3//+od3bxt93wn+wY3VZez9/14w4amitN3NAwcDAHRryFTKGHfevomWnMfj0m/anXJh&#10;dErf6JTzY9Ou3Jt1f2bRe2U1i0KePSWS7P2hYwP4jd1oL6zTPr+quG3utLn2lYOsc84XApWKbdn+&#10;M6Y5JR8KuUh9az6tRf4+Q4NaRCWf53JX8nk0KOX5KUu+eDFYlApl5D3HLpjwdGM1HiwDAN0ZMrUV&#10;RfF4ZIcsu/jrtrC5lW+i2vw0NHUZu8FeXB/8siVFluuy3ekLnDtH2v963Lb0Jtuiq20Lr7It7u/1&#10;8BX2PT2tVTRmF3/IJjE2R7Z6RAidklHwJp9Hi7WuYtyjpwnBGbJMeOKsrPgNfBEAAN0OMtVMDrcy&#10;M7ZDvdXvdjuDPcdbpHio/6q4rVToBVXQ3kB0ch8hGvPLPmfNmczCd4QGmiXSckajLZnPE8S2xV8K&#10;kWmkjLnvxPh1c/giAAC6F2SqyTyyd1Waa1hAWBopC/e6qLPLF9R2TfbUXQFD/5dWzeSTvV6nu8Lg&#10;5c2ZRcP5PMHJHvdvYx8SItNIGTXw+IQNc/lSAAC6EWRqp8is8kzc1objwF/tdGRVdXQkv7KaJUI0&#10;UqmoXcknt34GnE6JS7tW//JmP3tj7dRXrhAi00ihWM2KW8+XAgDQXSBTO4vL492e5x6/Re9G1ffW&#10;Nh/stZR5jB7v1ZVTMlZIRyo1DVv5ZK/XkvO4MDWwRKf0bbTtv+E1pLrywi+eu0iITCPlk8fOqC3L&#10;40sBAOgWkKmdyy170yo9y5NdU3c5Pt5kH7vB/tFG++TtjtkJzh35UpXNzFHm92Y/IAQkFf/T6Dyy&#10;PSo5xNVJMamX1TdFs/bG1VUUfvP6dUJkGimz3h8gezCmBAB0H8jUA0eSmzuvbo+hx8RQS6ekUDHY&#10;g5Vk226Nh+qc7nRXswYNtj36Axpbcp9wuIpY47ZyWuuXfvHiyHuOFVJTv3z10mX1FYV8EQAAXR8y&#10;NVxQdhbXy2sy3N9GOz7caB+xtvnIMJUP1tknbnP8muDclOMuqJODHSX2XaAkxmSk5UxFkVgDzbOt&#10;vtIzMeveqvoIxduxTrOipEWv/vKFS4XgDCwj7/nHt2/flLhpgUdqzz1LAABhC5naHorisToy91XP&#10;zykZm1bwekrei6n5r2YVvVdY/jWFk8NVSg14UwMoJTOqPF9HGrqmadI2O/V3A5W1fsQbK7Fp/flk&#10;r7egbIpqUs+o5N6JWffll33uu2fGYGc4NNnjTtn1x9xxj3/y2OkfDDjOn6MfDDxu3COnzRxx99aF&#10;n1cWpvPWAADdCzK1bTyyfV/13ITMO3SPo56RkHFb/r5JFK58tuCckrLY4hpmeFDDJRbtvl1260e8&#10;sZKU/SCf3HzsN6GsZl55zZKahm1N9jTJ08QndA7JZa8pzS1MjSxI3lmUvrt2X57kcvBpAADdFDK1&#10;DeqtsQmZtwu5FaxEWs5osqfwOYNocilft2XopffX2iqaNI/QKolaY+JnFA7l0wEAoPMhU40qrZpt&#10;cMAEVlLzX9Q/pmp3K1+18SE2f6Rqd1IlT2NUwAhKVPLLJvEWAADQ+ZCpRihFFd8JcaVfopLPsToy&#10;+dxaZMX7UxtHMRy/xR5slKUG6x5hBVgpq1nKWwAAQOdDpobmu/xH7y6UwFJQ9hWfOYj1WW4hMvXL&#10;exG2zKqg1z2VVP0mrAAr7bjZtDXFI9td7gqbM4+Kw1UkeRo6enkwAED3hUwNocG2Jyr5PCGr9Mve&#10;7EGyrHc9TkmD/P5aMTX1y+YcvbERMgrfFtaBFae7nLdoC5e7qqJ2ZVbx+3sy79mdcrF6DOGo5D4J&#10;GbdlF39Q27jTf5cOAAAwyFQ9HtmWkHGrP1GMlJjUfnan3jgGstLmJ62uTHPpnJiljmN8xi3CalDZ&#10;nXKJrLR5lKK6pihj+xA9EzPvqWncxmcDAABkqr6Csi8DskSvRKec32iz8JmDyKySjT+1ZniEbUO2&#10;W38sJbdUuyvpDGFNqOzNuk//IilNHtkRl95fWFTwcnp28ShZcfKZAQAObcjUoByuUs2LaYOV2LRr&#10;Qt48QxH3/W6j1/p+ttWeXhl67AjqLAprwkpm0Tu8RRvtq14gLEq/WHIGS55GPjMAwCEMmRpUbsk4&#10;ITyCl56pec873WV8zuBkxbsmwz15u4M6oEKC+suwCBs12J4nuTyGepmF5dMC1qe5FFf8yFu0kay4&#10;EzPvEZamXyhWPbKVzw8AcKhCpgZVWjUnMWtgpOVMIT9al9P3Zt9fVb9eUdpwNSwla41dsZR7Nma7&#10;l1pcc/Y4Z8U55yU6V6a5owulssagg/pqSsn7b8BaNZeOnOxssO2NtPQSFqhfMgrfxiXBAHCIQ6bq&#10;oaSk3mdl3V/5+yal5b+6N/vePZl3UEnKfjCj8J2SyllWR2ab0tR09O67Uy4R4s1XznC69/FG7dLW&#10;W3Kps76veiGfGQDgkIRM7dqsjhzNe2dj065qx0W/apTWtN8gLFa/RCf3dRoY4hgAoLtCpnZt5TVL&#10;hWBjJSX3Wd6iA2TZmVbwirBk/ZJR8CafGQDg0INM7dqyit8XUo2V/LIveIuOoc5ubul4zXt1NEuk&#10;5cwmOx7lBgCHKGRq15aQof2cnOr69byFCZTqhk3x6TcIbxGsZBa9y+cDADjEIFO7MJe7MkrrUTmR&#10;ll4OVwlvZBJZdpbXLLPkPhHk4Tw9o5P7Juc+WVI50+Eq5vMAABxikKldWHX9xoBsay5xadd13tXI&#10;ksdab42tqF1VWvVzSeX3ZTXLqBdrc+bKGP4XAA55yNQuzHemUwxUKukFr/EWAABwACFTuy5lb9Yg&#10;IU1ZKan6lTcBAIADCJnaVbml2qjk3kKa+krPRtte3ggAAA4gZGpXVdOwNSBNm0t0ygWyjAfFAAAc&#10;BMjUripv30QhTVlJyTNhtAcAAGgHZGqXpHiVvdn3C2nKSnHlT7wRAAAcWMjULskt1UVZzhXSlJUm&#10;eypvBAAABxYytUuqadgiRCkrMamXe/HANQCAgwSZ2iXlln4qpCkrmUXDeAsAADjgkKldkbInc4CQ&#10;pqxU1a/lTQAA4IBDpnY9bqlG80ExUcm9JU89bwQAAAccMrXrqaz/S0hTVlLy/stbAADAwYBM7Xqy&#10;iz8Q0pSV8prlvAUAdIzH45Ek8bEQmpUdRMsk/EWLznijg0uWZfpERFEUXtVNIVO7HCVO61GmUcnn&#10;udxVvAkAdMxff/3Vu3fvsWPH1tbW0kuXy/Xbb79dfPHFY8aMoXhgbUwxe/ZseqPJkyc3NjbSS7vd&#10;PmPGjPPPP3/69OmsQTfgdDrvvPPOM84448EHH2xoaOC13RQytYuxOwsitU6mpuQN4S0AwAy//vrr&#10;kUceedppp3344YdXXHHF4Ycf/sYbb1C48skmoX7blClT/va3v5111lmffPLJBRdccMQRR4wcOTKw&#10;89p1ff7554cddhjFKttB6d6QqV1MWfVCIU1ZKa/FgV8Aky1cuPDoo4+mPCBvvvlmJ+Ucxeo333xD&#10;sUrvQoE6YcIEc7vCB1dGRsZxxx335JNPWq1WXtWtIVO7mPSC14Q0pRKdfL5bquMtTNLY2JjqE3LH&#10;vLCwkJqVlJTw1y1YfU5ODn/dorq6mupLS0v56yBoQ5OZmUkt6+rEj0bL1FlCVVXVX3/99csvvyxd&#10;ujQ3N1c4f0Nz0bxGFBcX83l857fS09P5hABFRUW8nU9lZSWf4ENra7fb+TRdNptt8+bNs2fPXrBg&#10;QWJiorBhramp4UsMhb439qlpxehl4K9AjT4am4uWz6sCUPeCVmzevHn0ra5YsSItLa3dG33jn4I0&#10;NTXx2WhvsqyM12pxOvc/N0KSJFpDqgx5mLGiooKaZWdn89ct1L/B+Pj4WJ+UlBRWQ78m3k71Vyqg&#10;75xWXvjbC7Rv3z4+Q2pqXFwcvQv9638j9X89t9vNKnV+TQL6A6Zf1s8//7xy5Up6I17bgv5rsAWG&#10;RN8Stadvlb3UXwH2v5v+s1B7VuNwOOhzJScn0yRW070hU7sSWXHFpF4uBCqV9ILXeQvzrFq1iu2e&#10;v/766zqbhp07d/bo0YOaPf3007yqxX333Uf1l156KX/d4ssvv6T6E088MSkpiVdpoQ1Kz549qeWc&#10;OXN4lQ9tzc8//3yqf/7553lVC9oRfvvtt9n6MIcffvgtt9yyd+/+h9/RXHxaKI899hifx5cE//jH&#10;P/iEAI8++ihv5/Ppp5/yCS2or3PPPffs2rWLtwhAH2r69On/+te/+Aw+ffv2/eOPP3gLr5e6MnxC&#10;KKeffjptgmmWr7/+ml7+/e9/D9zj8aMNLrU58sgjExISeFUL+r1v3bp1wIABRx11lG/B+5155pmf&#10;fPJJOw7lTZs2jS8ilMsvv1y9LzJs2DA+QUtWVhZv5/WWl5fTx6HKm266SWdvhnY4zjjjDGpG3zOv&#10;ajFp0iTfUrVFRUXxdr4zhSeffDKf0Br1OC+++OKxY8fSziVvHYD6vry1loKCAt7Oty/IKmfMmMGr&#10;gqNv4OGHH6YVYLMQ+kIeeeQR9c7fFVdcwaeF8tFHH1F72vei/8v08qGHHtLZIDz44IPU5tprr/Xv&#10;dVGc+xZzGP01spruDZnalTTYEncl9RQClWqqGzbzFubxZyrF0o8//shrW6P/8yz2SFszlZx99tnq&#10;rYagrZlK/88p23wLbg7sc8899z//+Q97SVt/3sjrffXVV49tzX/Mjb9uof5E/kyldOGTVZ566ine&#10;zsefqSeccAKtCTVgLylZ586dyxu1NmXKFPqeqQ29C635qaeeyjaIN9xwA2/h9X7//ffs7fxY1NGM&#10;xxxzDK/y6d27N8tU6hmwnP7444/ZQgLddddd1IDiR9hQUm+Mviv/dpne65RTTqHfyD//+U9WQ3r1&#10;6rVt2zY+gzEUCXwttfgPtNJXR901Po8Py1T6sLxpa+q+pj9TyWuvvabZpabdL/puWRudTOVLb233&#10;7t28nSpT1X8Y9OtgszPHH388fWrN48YsU4N9KHUYG89U2o2g3RG2WFo3+nOiL5PNq/7zu/766/nb&#10;tGB/gfTV8dctxo8fz2b56aefqAH9joId+aA9G/YbnD17Nq9CpkI4K6qYERCop8WmXUH9V97CPP5M&#10;JdTR2bFjB5/QoqmpqX///rxFuzKVXHnllcH6Om3N1OjoaAoA2i7QbjU76EepEBERQfvj6kxtbGys&#10;ao3ihJZGzfjrFuojh/5MnTx5Mp+sIhxjZJlKUU1bE5pEDai7SX1HqqSEY0fS1GiVWFA9/vjj7Bgd&#10;ffa4uDjqENx4442sDaFtJXs7v5EjR9JcFNv5+fm8ykd9dI5ttU877TSHw8GrVCwWC4ufRYsW8Sof&#10;avzAAw9QPaHgpK0hvQXlBwVDXV3dpk2b/N0gCgx6yWczIPBT+FVWVrK9IlryL7/8wmdowTKVvkDe&#10;ujV1Yqkzlf4eaF+ET2hBf0Ivvvgia0B0MpUvvTW2v8L4M/Xtt9/mk6uq6FecmZlJv/QhQ4ZQJtFU&#10;Wg36ZQV279hv5//+7//4nK2pP5TxTKWvjpr16NHjt99+Y7/0+vp6StOzzjpLnan0/46/TYszzzyT&#10;ZnzppZf46xb+86C0HNrbozYjRoxgNYL33nuPptK+l/rUKTIVwldSziNCoFLJ2zeRTzaVP1NPOukk&#10;+pfiTb3XTFsldhCVkoNtNdqaqWynmAwYMEB9MsyvrZlKXT2qpC6a0CGgZI2Pj+cvtNx+++004zXX&#10;XMNfa/Fn6rfffsurgvNnqvp0oP/7XLBgAa9qsX37dqqnHXyh106fVD+uaF+BZqSYYbdhaKLeHuvO&#10;zps3j1epvP766zSJ8l44Rkr7JVRPBg4cqLnTQ/FAH4R1SujXFLij0A60QJbTzzzzDH12XtuCZep/&#10;/vMf/jo4f6Yed9xx9C/tEdI3zKf5TJ8+nf35sb9tnUzlr4PzZ+oHH3zAq1pLTU296KKLqAF9NGHH&#10;hbBMpS+Qvw7OeKY+99xz1Ix+cfx1C/odJScn8xdazj77bJrxrbfe4q+1sN04+pMLvOCIEpfSlKYK&#10;XwUyFcKUW6qJSu4tBOqupJ5Wx/4zSSbyZ8CSJUuoL0I/UK/UHxL+vubEiRMvvvhi+qGtmUrbEdrb&#10;bV7EYYdRpyFwF76tmTphwgSqpP1o9SUkRhyYTC0pKaFKMnXqVF7VYt26day9/gnmQEYyldBeCzVT&#10;n+JiqqurWaiMGzeOV/lQtLP9JOq765yPJLNmzWLh9M477/Cq9qKOnT/hAq9KI+3I1MmTJ19wwQX0&#10;A3UE/XuEGzduZDsZjz32GPXJ2DuySX4mZiqhUGFHKajHL/xxdkamDh48mJrR/9bA/RJ9RjI1JyeH&#10;9lGoWeD5oJkzZ1I9fbd5eXm8ygeZCmGqqn59QKCelpT9MPUZeAtT+TOVOjrLly+nLT79TDFGvcC1&#10;a9eyrdKjjz5KL9uXqbSVkSSJ/f8ntFkXYrWtmUprxbbvVK+fBIIDk6lbt26lSkI5xKtaVFZWsuuq&#10;aB3Kysp4rQEGM3XNmjX0zdD6REZG8iofdrkQ9TVpe82rfNj60ywhz5XSb//666+nxhSHbfrOBTQv&#10;O49A30NsbCyvba0dmUpbeeqZnXjiifQzfbf068jOzmYRSH+W1K967bXX6OfOzlTy888/swXSfyVe&#10;5dMZmUo7bdSMusX0KYRjNvqMZCphx+fpC1QvnP4v9+vXj+offPBBXtUCmQphKrt4tBCoVMprlvLJ&#10;ZlNnKqXdhx9+SD/Tdva9996jjTj9fMkll1B/gia1O1PpZ9rM3XzzzfSStvi//vora8C0NVPpfzhL&#10;R3L11VcLh/t0HIBMpb17dpkl7ePn5uaySjXaItNUQl/LggUL/Pch6DOYqbQ09o0988wzvMr39bI+&#10;3BNPPMGrWtx4441UT0ljZDW+//57akyEwDaO/oT8Ryzob4PXBmhfptJL/x4h7cCxi3foG0tPT6dJ&#10;ByxTa2tr2YFoekde5dMZmUr7Cueeey5rfO+996ampvIJoRjMVNo7pMAmW7Zs4VVeL/3M9mg3bNjA&#10;q1ogUyEcKYonPv1GIVB3p1wiefb3hMylzlR66Xa7Bw0axGoI9UvS0tKovoOZSqhn1qdPH6qhvImI&#10;iGCVpK2ZSqqrq9kFR4S2qk899ZT6HtNg2pSptEr0iQTz58/n7Xz8/by77rprwIABV155JTtcRjWf&#10;ffYZb9QafVja2tJ2ipoRSrVg3TU1g5lK2H049BH8d1PQV+17q8OEq8/o6z3ttNOoXn0rkY64uDi2&#10;HOHXZBytCcs8+oPRSXGWqfRr5V+6Cn3P6hmFTCVjxoxpXkUfeq8///yT1YfMVP4GKjfccIP68IPB&#10;TKX/Jpdddhk1u+WWW3iVD8vUo446ii9d5Z577lEfvDWeqYT+b9KHYu3pb2/48OEUtHxacAYzldaK&#10;7Zo8/PDDvKql80qbAvUFXAwyFcKRzZETeBdNTknzfWOdRMhUUlVVxcKMtko0lVV2PFNJZmYmu++F&#10;ojoxMZFVtiNTCW3jxo8f77+ZgbZ369at49OCaFOmahKGZmWZKjjxxBOpA0pfF28UgD7XokWL2FUe&#10;pEePHlOnTtVpT4xnKm1S2aXF7NQpLXbgwIH0kvJeODxIq8F+Fy+//DKv0kWbb2pMvvvuO17VFrTB&#10;/b//+z+a/YwzzqCfea0WlqmaaF71pjwwU2kq+2sk9KWxShIyUwPR71F9mbfBTCXseMwVV1zBX/uw&#10;TNV01llntTtTCfWM6dOxnRVCu60Wi4VPC8JgphJ2KJvSmt1UU1BQwL5w2nVjDdSQqRCOSip/FgI1&#10;0tLL6sjgkztBYKaSpKSkE044YcKECfy1SZlKdu7cya6Loe0ju/y1fZnKUEhTZrCDUfQ/X/+wZJsy&#10;lT7mLwHUXxFhmUqdzvfff5+SoHfv3vSSVmbs2LHqraQmeiP1pjDwPhA145lKhg4dSo3p67XZbOnp&#10;6axP7E8dP/qF9urViyYNGjSIV+natm0bNSaLFy/mVYZR1N199900L3XUAo8ZClimHnfccfxLV6G3&#10;Vn+xgZlK6Iul7KSulXofImSm8jdQmTdvHv1l8naGM5W60ZSR1GzAgAG8yodlKuU0X7rKkiVL1HtU&#10;bc1Uhv7yWZ+SnHrqqTqjTxDjmWq329mOF7uphv7O6WfaIdYcKQmZCuEoOfdpIVMtuYNpA8gndwLN&#10;TCUUV+rtl1mZSmgjwi596tevH+1ldyRTCTWbNm0a27Zed911OhdrdPb5VAo8NrgMxarBh42sWbOG&#10;3ad//PHH6xy1a1OmUoeSfb3z589/++236QcKA82Fs18cbYID75cIRB1fakyMn7fzmzhxIpt3zJgx&#10;vCq4dp9P9SspKRG+qJCZyl8HZzBT6ctnOzGjR4/mVT6dcT5V4HA43njjDTav/n8Z45lKRo0aRY1P&#10;OeUU+lbZwRV6Fz6tNWQqhB2PbI+ynCNkalX9/lOPnSFYpgpMzFRa1BdffME2PdR9oc19RzKVoU0Y&#10;taRl6gzOdwCuUaJwuvbaa6mS+uKBQwBq+v3331k/Wz08oaBNmUpfL/uNXHbZZSywhw8fzqe1xobL&#10;IdRb4lVB0Puy7hfFks5ei6adO3ey08w33XQTJROvDa7jmRrogGUquw+YfqFxcXG8yucAZCqhX81D&#10;Dz1E89J+ks4Z6zZlan5+PrtY/ZZbbqF/6QsPdicYMhXCTk3DZiFQ49L7d8bYSWoHPlMJ5aV/n/qZ&#10;Z56hTQD9YDBTaT0Dtxf+s306vagDkKkkKyuLndGkcFUfPCSVlZW0fP6ihd1u//e//03tdYKhTZlK&#10;IiIiWE4T6rPSl8MntNbQ0MD2ZijANK9SZuhX/+qrr7Kl/fDDD7zWGPq87NrUk046SbidMZium6lr&#10;1qxh6zNw4ED66+W1Pp2RqZq/1uXLl7PZdXZf2pSp9Nt/7LHH2DIJ/SeiGj6tNWQqhJ2ckjFCphZV&#10;tG0T1g4HJVOJ2+32j4rHGMzUadOm0ToId0kuW7aMWlK80X9sXhXgwGQqoXmpPnAh9A1T0AqXKFMG&#10;s26c/yLVQG3NVPpu2Zg+JHCcHbXFixfT+lOzXr167dq1K3BzSbnLBkwgN954o5GOph/9Btl9yUcc&#10;ccTSpUZvBuuKmUpTKQLZhQLULPABOJ2RqUOHDh0/frxw2IANjEVvpHM4oU2ZSrZt2+bfRRPuu1VD&#10;pkJ4UbxyXPr16kCNSu7j9pj8ZLdABytTCUXRVVdd1fzePsYzlSpp0o8//ki9Usok2qTSJpgqb731&#10;VqF/oNamTH355ZdXBFi7dq16+cEylSKNHSijDmt+fj6v9WUqVdKq0oyJiYk5OTl//PEHCz/9vGxr&#10;phKW67QppM4Tr9JCv9bPPvuMxSr9++CDD86dO3fPnj3p6enr168fPXo0u1iXXHDBBTrH1TX5jy1f&#10;eeWVv//+O/8StaiXzDKVvjo+rTX1sI4mZipfemuZmZm8nSpTH374YT55xQoKmFmzZr399tsspQi1&#10;2blzJ59HhWUq/Qb5nK2pHyPjz1TNv0D6g/Hv1rCT5ddffz3tGNGq0v8Filg2imSwU55MWzNVkiT2&#10;/5R2vOhvm9cGQKZCeLHaMyOTzlBnKnVb+bTOdBAzlVCn7bzzzmt+e8OZSivMOnYC2mBRGPBGWtqU&#10;qZros6gP5wbLVJKcnMyWQ2/q3wxRcrDsF1AwLFy4kLXR1I5Mra2tpfa9e/fWOa/G0G+WctR/b08g&#10;+oBPPPFEZWUln8GYpKQkNvqBEereD8vUYNQDhpiYqZq++OIL3k6VqcFQX/zee+8N7KEyLFODUd/3&#10;7M9UTfR56VOzlrRzyXaGBPQx9UfpamumEvraaZZgd10zyFQIL8WVP6oDNdJyps2p94hps1B3hKKC&#10;ZGTo3bFDW16KB2pGWwde1WLIkCFUf8cdd/DXLagfSfXUR+Gvg6CNL236qeWyZct4lQ9lKvX2qJ42&#10;sryqBc1CQcuGLCDHHHPMAw88oL9PQAYPHkxLoz0A/lpLXV0dWxlNtLeu3k+njRpVnnnmmZrXzU6e&#10;PJnNpR6kkLaYI0eOpLdgB9NoE9m/f3/q/tLXy1tomTp1Ki2H9mkCw1vHO++8Q7s1/EUoVVVVFCHX&#10;XnstO4BJKCTOOeecl156KTo6Wn/1AlECUcCwj2+EujNNOxC8Vov6Th6Keeo5UeWCgMcVCOg7p2Y3&#10;3XQTf91ixowZvqVqU9/gRPtStNfIJ6ice+65N998My0/NjZW5xjJmDFj+AxaqBPP2/mGRuG1Wujz&#10;+ndu6JeydevWhx566CTf+MnkhBNOeOGFF3ROfzDXXXcdLWrs2LH8tQG0M0efVH/JFPZsJX/++Wde&#10;1a0hU8OdJecxdaam5r9E/2v4tM5EGwLKCRJyu8maBfZ7qIZN4q9b+JfMXwfHlhC4SWKzBzszRJu5&#10;ioqK/Px8+g9vZKPP3iVkv429aTC8kQ+tWGClH60Sm6r5jVVXV9OaU29SZ0Psp/9GwVB7nZNqmmid&#10;af+A+tMFBQW0biG/q2D8n90g9Zfg/7Ca1C397xLyOwz2Beq/l/Dt8drWDH5F7fhQwVAD3rSFw+Gg&#10;fTX6lRl8qgRbjvDpQtJ8hqCa8V9H94BMDWsuqSoq+TxVpvast4Yesg4AAA4KZGpYq6xbrQrU05Jy&#10;HlGUQ2JfDwCgK0KmhrWMwqGqTO1ZXR9i/DYAADiIkKnhS5YdMamX+zN1T+YditLO81gAAHAAIFPD&#10;V7011h+oVCpq918ECAAAYQiZGr7y9k30B2p8xk2y0rbLOwEA4ABDpoYpxSsnZNzuz9R91SHutAMA&#10;gIMOmRqmbM48/0PIY9Ouk+XOHTEfAAA6DpkapkoqZ4ZPJ1VRlDVr1qxdu1Z9P3htbe2yZcsMPrks&#10;TND6r1y5cvHixatXrw68Rx4AoIOQqWEqKedRFqhx6dfLchse+tFJtm3b9s9//vPSSy+lZLVardOm&#10;Tfv3v//dr1+/iooK3qIrmDVr1mGHHXbaaaft3r2bVwEAmAeZGo5cUk2kpVdLJ1VvFPUDaceOHWy4&#10;cPZcz/79++sPyR1u2FD15513Xnp6Oq8CADAVMjUcldcsaemk3uiRWz0Q9OCKi4t79dVXX3nllXff&#10;fTfwMdph7vfff3/rrbfUz88CADAXMjUcpea/yDK1rGYJrzrY8vPzv/zyy4cffviKK6648MILr7rq&#10;qsGDB0+bNk2zz7dixQrK3WCEx20qirJ58+YhQ4awJd92222TJk0KPKT8xx9/0LyU5YHnQbOzs197&#10;7TWaOmrUKP9TJJmIiAjfe2rLyTH0hB+XyzV06FA+j8/w4cMXLFjQ0NDAW2gZOXIkbx3g008/5Y18&#10;li9fzie0eP3116dMmRL4RB367KwBfRu8Sss333xDbdSPJCMej2f06NFsdoZ2j8aNG7dz585gp5Y/&#10;/PBDavbDD6EfgL969WpqSd+S+pl3JCkpyfdWrwQ+7Mxms40YMYIm/e9///M//VSSJLaS9A0Ee9pJ&#10;VlYW+3V/9tlnOCkO4QaZGnYkT2N0yvkUqAkZt8nKwb/ct7Ky8vnnnz/qqKOanxoV4IgjjrjuuuuS&#10;k5N5ax/aLPLJWiwWC2/n29BT35EWwqe1+Ne//iXE6tixY6n+3//+t/B0C0roPn360KRjjz12165d&#10;vLaF/oMwIyMjeTtdtPU/8cQT+TwqJ598sk62nXnmmbxdgMsuu4w38nn//ff5hNb+9re/vfHGG+on&#10;nNBnZ5PGjNF7hu7AgQOpjfAIM1rOOeecw2ZXO/zwwwcMGKB51IE9p5Z2pPjr4NiTXP/5z3/a7a0O&#10;q/z111++NzlM+NVQ9D766KNUT+8+ffp0Xuuzdu1a9vTTO++80x3wxJjGxsYrr7ySpv7973+PiYnh&#10;tQBhA5kadqrq1/k6qT0r6/7iVQfP3r17e/Xq1bxR9G0xafNKW8+pU6fSv08++eTpp5/OJqkf9EhY&#10;pvbo0aO5hxJA3U+dP38+W8LNN99Mvd4ff/yRuiD/+c9/KMILCwt5Ix/NTK2rq6PeLdUfc8wx6mdt&#10;+rFMPfroo1988UX+9ioG+6n+TO3fvz917CjPKA/Yo8VpydTP4+1aY5l6ySWX8DdTEfqpLFNpUbTv&#10;whoMHjzY/5Ry6izydiZl6gUXXMDehX6D/uC///77Ax/F1UmZSjtSL730ElVSoGo+rXPixInsObLU&#10;1+dVPrSGQ4YMYTOGfN44wEGBTA07mYXvUKYmZg9SvAf5ETQFBQVsm0sdpqFDhwYej3U6natWraI4&#10;XLFiBa/yYZlKqRDy0Nwdd9xBLe+99151b6yqquq5554LmanUZbn11lupkgI42NOnWaZSIgrb+jbx&#10;Z+rw4cN5lde7Z8+e448/niqDPcycfXXvvvsufx0cy1R6C/XB5PLycurOUj0Flb/elEylvRZe5fVa&#10;rdZBgwZRJf2KhYMNpDMylf4k/P1y6oWr787yo1VlvdgjjjhCvbv2zTffsBnpIwTuAQCEA2RqePHI&#10;tpjUftRJrW0ydFiy89A268EHH6TtF/UJZs2axWu10BawqamJv/AxmKn+rfxXX33Fq1rQpladskTI&#10;VIrzBx54gGpos0ub2mBv1HmZSqg3SZUnn3xy4CFK0sFMJb/99hvVE/8xatMzlaxbt863yMOWLBFP&#10;3ndGpn7++efsUD/1koWTr2q1tbUXXXQRNTvppJNSU1OpZvv27T169KCa/v37064AawYQbpCp4aW2&#10;cQd1UlPynmsenfCgiomJYdu+l156qa1XghjMVJrKjtxee+21mrGkps5UStwXXniBXpJPP/1U5106&#10;NVPZOvzrX/8SLoxiOp6pq1atonpCscdqOjVT169fz6tamJ6ptHNGHWJ6OWDAgJC/kZSUFFogNab+&#10;OsUqO9Fwyimn5Ofn8xYA4QeZGl6yij+ItJxtdWTx1wcPhQFtwo4++uh2bMKMH/udMmUKtSR33323&#10;cLBX4M9Uyga2bmTo0KF8chCdl6k1NTU9e/akymuuuYZXtdbBTKWvjmU2hVBGRgarND1TaVfmkUce&#10;ocpTTz21rq6O17YwN1OXLl1Kf07083XXXWewo/n777+zHbtjjjmG/qXZN2/ezKcBhCVkahiRFVds&#10;2jU5JR/x1wcPbdCp70hbsauvvjpkLgZimUpbWNoCbmlt586d7OAtQ5tg6rJQY0KhMnnyZOEwsp8/&#10;U9nmmzz77LPC8eFALFOPO+64tWvX8jVosX37ds2TeYH8mfr000/HxcXFxsb+9ttv/fr1o5rDDz98&#10;7ty5vF1rLFMfffRR/n4qmZmZvJEPy1T6uuLj4yk+yY4dO15++WUWJzfccIP/V2BKpt55551LlixZ&#10;uHAh7dCw3zLt/QR2UomJmTpu3DiWi5dcckmbxt5if0vMl19+yWsBwhUyNYxY7RkxaVe4pIM/lgJt&#10;u9nlvk8++SSvagv1dlBwyimnCEdKKURfeeUVlh+EtuPbtm3j01RYplIz1pJCLtj9i2osUzVR0FJY&#10;8na6/JkqOPLIIynb1LsIaixTNb355pu8kQ/LVE3UFU5LS+PtTMpUAXX+Pv30086+l4b91mgXhGr4&#10;NGNcLte5555L81Lv1uA+EMBBhEwNI0325LqDfWkSQxsvdmBz8ODBvKotWKbSBvRfAfr27Rt49pH6&#10;YevWraNJNBehrfy8efP4tBYsU0866aTXXnuNNaPMCDmWE8tUWhOaka9BC8o8gweEg2Xq//73P51O&#10;PMvUHj168PdToRDljXwCM5USqE+fPu+9956w32BKptLOBO0wMZSCvuU1H/v9888/edMWJmbqq6++&#10;yu46Pfnkk/fs2cMnG0NdW5px0KBB/DVAGEOmggaKiquuuoo2ZP369QvWD9PhP59KnQx3azpHaym6&#10;KDjZlveYY44RRhFSn08dOnQo/Uxo9aqqqngLLf7zqQ0NDXwNVHijUPyZ+vrrr1dWVu7evZviil5S&#10;VE+cOJE3CsAylVaVv5mK0N9imXrCCSfk5eXR8onVatX82g1m6t13301tgmUqxRutAEO/oNjYWPZx&#10;6DtPTEzkrX3MPZ+6ePFiduEu/WG06RkGyFToQpCpoG3YsGG0IaOE818gY5w/U9txLpa2vCxWhQOk&#10;/kylXKEwGDlyJEUa1Vx++eWlpaW8UYBOukaJlnbnnXdSDXUoA7t3DMvUjlz3G4i+T+plUmPqwvIq&#10;Lddccw21ueuuu/hrH3+mCtf9kvr6+lNOOYUmPffcc7zKx9xMpZfLly//+9//Ti9pB2LHjh2sTUjI&#10;VOhCkKmgLSEhgWXb4MGD29pVNZ6pmkt+7LHHaPbrr7+ev/ZRZyq9pH+phsXqBRdcEOya4U7KVFJe&#10;Xn7WWWdR5emnn67ZV+6kTL344oup8YABA3hVAFrISSedRG2EnRKdTCVsF4EWrv6VmZ6prIYNQUWf&#10;d+PGjaxSHzIVuhBkKmijbetTTz1F2zLKrQkTJujEam1tbVxcHH/hYzxTv/zyy8C0Y13k/v3789c+&#10;QqYS+oFWzB+reXl5rF6t8zKVrF+/nl16o3litTMylbzzzjvUuEePHsEGK/YPNrRy5Upe5aOTqfQB&#10;2d2fwmXenZGpZN26dcceeyxVUp/bf+utDmQqdCHIVAiKumJseHrKrfvvv596rkJyFBQU0Mb01FNP&#10;/eijVvf/GM/Um2+++ZZbblHfW5Kfn88uj6Kg4lU+gZlKaPlffPEFi9Wzzz47NzeXT2jRqZlKXnzx&#10;Rao/6qijAkf97aRMzcrKYoFEX8XSpUvV37DVap04cSI7uHrhhRe6W58wDpap9FtmO0+EvmRe69NJ&#10;mUq2bdvGvlLqswY7eO6HTIUuBJkKeig1L730Ut9Wsdm555772GOPPf/88/Rv3759WZgRzUw98sgj&#10;L9dCScDb+TKVWv7tb3+7/fbb33jjjSeffJKdLzzmmGPYiHR+mplKKFS+/vprdpi6V69ewtlflqm0&#10;/Msuu4y/vcpvv/3G2+nSydTq6mq2B0AZJtxZyzL15JNP5m/WmnrQgzZlKqHV9j8miPYknnjiieee&#10;e+6uu+5i4w+Tk046SbjaiPgzlb5DvhKXX06pyQY2ItTXp4/DW/uwTD3hhBN469bU/eC2ZiqhGnaM&#10;+uijjxaewSBApkIXgkyFECgqxowZQxti37ZRRBH4zDPPqO+hJCxTg/n+++95O982t3fv3nxCC0qX&#10;5cuX8xYtgmUq89NPP7GYOe2005KSknhtS6YG8/nnn/N2unQylSxbtowdAX7llVd4lQ/L1GDU8dnW&#10;TCVr1qzx33qkRvsWFK6aD7X1Z2qgHj16PProo8JzbQnL1GB+/fVX3q5dmUri4uJOPfVUmkp96zlz&#10;5vDaAMhU6EKQqWBIXV0d9UsoLJ9++unBgwcPGTKE+qZ//PGH5pg4UVFRM4JTPz+V0FZ49erVI0aM&#10;oE4qLXzKlClFRUV8mkp0dDTNO2vWrGDHkylm2PIpj/1t4uPjWaWmhIQE1kwfpdHMmTOpveZj3Sjj&#10;582bR1O/++47dVeVepO+N9GmHj4+MjKSaugtdMaUD+R0OtetW0e7O+w38uqrr06fPj05OVlzn4NQ&#10;PeUWe3c16iMGu8Jr/vz5vJEW9Y5UTEwM1dCeDX1XvMonPz+fNQ42QAetMGtA8wYbQmvhwoXUgP5I&#10;+GuAMIZMBQAAMAcyFQAAwBzIVAAAAHMgUwEAAMyBTAUAADAHMhUAAMAcyFQAAABzIFMBAADMgUwF&#10;AAAwBzIVAADAHMhUAAAAcyBTAQAAzIFMBQAAMAcyFQAAwBzIVAAAAHMgUwEAAMyBTAUAADAHMhUA&#10;AMAcyFQAAABzIFMBAADMgUwFAAAwBzIVAADAHMhUAAAAcyBTAQAAzIFMBQAAMAcyFQAAwBzIVAAA&#10;AHMgUwEAAMyBTAUAADAHMhUAAMAcyFQAAABzIFMBAADMgUwFAAAwBzIVAADAHMhUAAAAcyBTAQAA&#10;zIFMBQAAMAcyFQAAwBzIVAAAAHMgUwEAAMyBTAUAADAHMhUAAMAcyFQAAABzIFMBAADMgUwFAAAw&#10;BzIVAADAHMhUAAAAcyBTAQAAzIFMBQAAMAcyFQAAwBzIVAAAAHMgUwEAAMyBTAUAADAHMhUAAMAc&#10;yFQAAABzIFMBAADMgUwFAAAwBzIVAADAHMhUAAAAcyBTAQAAzIFMBQAAMAcyFQAAwBzIVAAAAHMg&#10;UwEAAMyBTAUAADAHMhUAAMAcyFQAAABzIFMBAADMgUwFAAAwBzIVAADAHMhUAAAAcyBTAQAAzIFM&#10;BQAAMAcyFQAAwAxe7/8DLgm2curCwB4AAAAASUVORK5CYIJQSwECLQAUAAYACAAAACEAsYJntgoB&#10;AAATAgAAEwAAAAAAAAAAAAAAAAAAAAAAW0NvbnRlbnRfVHlwZXNdLnhtbFBLAQItABQABgAIAAAA&#10;IQA4/SH/1gAAAJQBAAALAAAAAAAAAAAAAAAAADsBAABfcmVscy8ucmVsc1BLAQItABQABgAIAAAA&#10;IQAXPQPuUQQAAJgKAAAOAAAAAAAAAAAAAAAAADoCAABkcnMvZTJvRG9jLnhtbFBLAQItABQABgAI&#10;AAAAIQCqJg6+vAAAACEBAAAZAAAAAAAAAAAAAAAAALcGAABkcnMvX3JlbHMvZTJvRG9jLnhtbC5y&#10;ZWxzUEsBAi0AFAAGAAgAAAAhAENLorziAAAADAEAAA8AAAAAAAAAAAAAAAAAqgcAAGRycy9kb3du&#10;cmV2LnhtbFBLAQItAAoAAAAAAAAAIQA1MLOEaFcAAGhXAAAUAAAAAAAAAAAAAAAAALkIAABkcnMv&#10;bWVkaWEvaW1hZ2UxLnBuZ1BLBQYAAAAABgAGAHwBAABT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70;top:89;width:4092;height:2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z+ofEAAAA2wAAAA8AAABkcnMvZG93bnJldi54bWxEj0FLw0AQhe+C/2EZoTe7sYcqsdtShUKF&#10;IjUK9jhkxySYnV131yT9952D4G2G9+a9b1abyfVqoJg6zwbu5gUo4trbjhsDH++72wdQKSNb7D2T&#10;gTMl2Kyvr1ZYWj/yGw1VbpSEcCrRQJtzKLVOdUsO09wHYtG+fHSYZY2NthFHCXe9XhTFUjvsWBpa&#10;DPTcUv1d/ToDx/19qD5ft2E4nE72J45PLzVNxsxupu0jqExT/jf/Xe+t4Au9/CID6P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z+ofEAAAA2wAAAA8AAAAAAAAAAAAAAAAA&#10;nwIAAGRycy9kb3ducmV2LnhtbFBLBQYAAAAABAAEAPcAAACQAwAAAAA=&#10;">
                  <v:imagedata r:id="rId9" o:title="" gain="69719f"/>
                </v:shape>
                <v:rect id="Rectangle 4" o:spid="_x0000_s1028" style="position:absolute;left:1785;top:1811;width:1626;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57sIA&#10;AADbAAAADwAAAGRycy9kb3ducmV2LnhtbERPTWvCQBC9C/0PyxR6MxuFFomuQVqsFbwYS8/j7jQJ&#10;yc6m2dXEf98tFLzN433OKh9tK67U+9qxglmSgiDWztRcKvg8bacLED4gG2wdk4IbecjXD5MVZsYN&#10;fKRrEUoRQ9hnqKAKocuk9Loiiz5xHXHkvl1vMUTYl9L0OMRw28p5mr5IizXHhgo7eq1IN8XFKjj8&#10;7LV/1unQhLfLbicPX+di867U0+O4WYIINIa7+N/9YeL8Gfz9E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qXnuwgAAANsAAAAPAAAAAAAAAAAAAAAAAJgCAABkcnMvZG93&#10;bnJldi54bWxQSwUGAAAAAAQABAD1AAAAhwMAAAAA&#10;" stroked="f" strokecolor="#333" strokeweight="0">
                  <v:textbox inset="0,0"/>
                </v:rect>
              </v:group>
            </w:pict>
          </mc:Fallback>
        </mc:AlternateContent>
      </w:r>
    </w:p>
    <w:p w14:paraId="19E28860" w14:textId="77777777" w:rsidR="001E7952" w:rsidRPr="00C62639" w:rsidRDefault="001E7952" w:rsidP="001E7952">
      <w:pPr>
        <w:jc w:val="center"/>
        <w:rPr>
          <w:rFonts w:asciiTheme="minorHAnsi" w:hAnsiTheme="minorHAnsi" w:cs="Arial"/>
          <w:b/>
        </w:rPr>
      </w:pPr>
    </w:p>
    <w:p w14:paraId="22968565" w14:textId="77777777" w:rsidR="001E7952" w:rsidRPr="00C62639" w:rsidRDefault="001E7952" w:rsidP="001E7952">
      <w:pPr>
        <w:jc w:val="center"/>
        <w:rPr>
          <w:rFonts w:asciiTheme="minorHAnsi" w:hAnsiTheme="minorHAnsi" w:cs="Arial"/>
          <w:b/>
        </w:rPr>
      </w:pPr>
    </w:p>
    <w:p w14:paraId="03884837" w14:textId="77777777" w:rsidR="001E7952" w:rsidRPr="00C62639" w:rsidRDefault="001E7952" w:rsidP="001E7952">
      <w:pPr>
        <w:rPr>
          <w:rFonts w:asciiTheme="minorHAnsi" w:hAnsiTheme="minorHAnsi" w:cs="Arial"/>
          <w:b/>
        </w:rPr>
      </w:pPr>
      <w:r w:rsidRPr="00C62639">
        <w:rPr>
          <w:rFonts w:asciiTheme="minorHAnsi" w:hAnsiTheme="minorHAnsi" w:cs="Arial"/>
          <w:b/>
        </w:rPr>
        <w:t>Odbor dozoru a regulace vodárenství,</w:t>
      </w:r>
    </w:p>
    <w:p w14:paraId="1E471543" w14:textId="77777777" w:rsidR="001E7952" w:rsidRPr="00C62639" w:rsidRDefault="001E7952" w:rsidP="001E7952">
      <w:pPr>
        <w:rPr>
          <w:rFonts w:asciiTheme="minorHAnsi" w:hAnsiTheme="minorHAnsi" w:cs="Arial"/>
          <w:b/>
        </w:rPr>
      </w:pPr>
      <w:r w:rsidRPr="00C62639">
        <w:rPr>
          <w:rFonts w:asciiTheme="minorHAnsi" w:hAnsiTheme="minorHAnsi" w:cs="Arial"/>
          <w:b/>
        </w:rPr>
        <w:t>oddělení analytické a benchmarkingu</w:t>
      </w:r>
    </w:p>
    <w:p w14:paraId="2807766B" w14:textId="77777777" w:rsidR="001E7952" w:rsidRPr="00C62639" w:rsidRDefault="001E7952" w:rsidP="001E7952">
      <w:pPr>
        <w:jc w:val="center"/>
        <w:rPr>
          <w:rFonts w:asciiTheme="minorHAnsi" w:hAnsiTheme="minorHAnsi" w:cs="Arial"/>
          <w:b/>
        </w:rPr>
      </w:pPr>
    </w:p>
    <w:p w14:paraId="4156C0DC" w14:textId="77777777" w:rsidR="001E7952" w:rsidRPr="00C62639" w:rsidRDefault="001E7952" w:rsidP="001E7952">
      <w:pPr>
        <w:jc w:val="center"/>
        <w:rPr>
          <w:rFonts w:asciiTheme="minorHAnsi" w:hAnsiTheme="minorHAnsi" w:cs="Arial"/>
          <w:b/>
        </w:rPr>
      </w:pPr>
    </w:p>
    <w:p w14:paraId="38319788" w14:textId="77777777" w:rsidR="001E7952" w:rsidRPr="00C62639" w:rsidRDefault="001E7952" w:rsidP="001E7952">
      <w:pPr>
        <w:jc w:val="center"/>
        <w:rPr>
          <w:rFonts w:asciiTheme="minorHAnsi" w:hAnsiTheme="minorHAnsi" w:cs="Arial"/>
          <w:b/>
        </w:rPr>
      </w:pPr>
    </w:p>
    <w:p w14:paraId="618F0D8D" w14:textId="77777777" w:rsidR="001E7952" w:rsidRPr="00C62639" w:rsidRDefault="001E7952" w:rsidP="001E7952">
      <w:pPr>
        <w:jc w:val="center"/>
        <w:rPr>
          <w:rFonts w:asciiTheme="minorHAnsi" w:hAnsiTheme="minorHAnsi" w:cs="Arial"/>
          <w:b/>
        </w:rPr>
      </w:pPr>
    </w:p>
    <w:p w14:paraId="4807CF8F" w14:textId="77777777" w:rsidR="001E7952" w:rsidRPr="00C62639" w:rsidRDefault="001E7952" w:rsidP="001E7952">
      <w:pPr>
        <w:jc w:val="center"/>
        <w:rPr>
          <w:rFonts w:asciiTheme="minorHAnsi" w:hAnsiTheme="minorHAnsi" w:cs="Arial"/>
          <w:b/>
        </w:rPr>
      </w:pPr>
    </w:p>
    <w:p w14:paraId="6EB28C05" w14:textId="77777777" w:rsidR="001E7952" w:rsidRPr="00C62639" w:rsidRDefault="001E7952" w:rsidP="001E7952">
      <w:pPr>
        <w:jc w:val="center"/>
        <w:rPr>
          <w:rFonts w:asciiTheme="minorHAnsi" w:hAnsiTheme="minorHAnsi" w:cs="Arial"/>
          <w:b/>
        </w:rPr>
      </w:pPr>
    </w:p>
    <w:p w14:paraId="52B28B4F" w14:textId="77777777" w:rsidR="001E7952" w:rsidRPr="00C62639" w:rsidRDefault="001E7952" w:rsidP="001E7952">
      <w:pPr>
        <w:jc w:val="center"/>
        <w:rPr>
          <w:rFonts w:asciiTheme="minorHAnsi" w:hAnsiTheme="minorHAnsi" w:cs="Arial"/>
          <w:b/>
        </w:rPr>
      </w:pPr>
    </w:p>
    <w:p w14:paraId="26973A54" w14:textId="77777777" w:rsidR="001E7952" w:rsidRPr="00C62639" w:rsidRDefault="001E7952" w:rsidP="001E7952">
      <w:pPr>
        <w:jc w:val="center"/>
        <w:rPr>
          <w:rFonts w:asciiTheme="minorHAnsi" w:hAnsiTheme="minorHAnsi" w:cs="Arial"/>
          <w:b/>
        </w:rPr>
      </w:pPr>
    </w:p>
    <w:p w14:paraId="12A5802F" w14:textId="77777777" w:rsidR="001E7952" w:rsidRPr="00C62639" w:rsidRDefault="001E7952" w:rsidP="001E7952">
      <w:pPr>
        <w:jc w:val="center"/>
        <w:rPr>
          <w:rFonts w:asciiTheme="minorHAnsi" w:hAnsiTheme="minorHAnsi" w:cs="Arial"/>
          <w:b/>
        </w:rPr>
      </w:pPr>
    </w:p>
    <w:p w14:paraId="7233527A" w14:textId="77777777" w:rsidR="001E7952" w:rsidRPr="00C62639" w:rsidRDefault="001E7952" w:rsidP="001E7952">
      <w:pPr>
        <w:jc w:val="center"/>
        <w:rPr>
          <w:rFonts w:asciiTheme="minorHAnsi" w:hAnsiTheme="minorHAnsi" w:cs="Arial"/>
          <w:b/>
        </w:rPr>
      </w:pPr>
    </w:p>
    <w:p w14:paraId="35F0167F" w14:textId="77777777" w:rsidR="001E7952" w:rsidRPr="00C62639" w:rsidRDefault="001E7952" w:rsidP="001E7952">
      <w:pPr>
        <w:jc w:val="center"/>
        <w:rPr>
          <w:rFonts w:asciiTheme="minorHAnsi" w:hAnsiTheme="minorHAnsi" w:cs="Arial"/>
          <w:b/>
        </w:rPr>
      </w:pPr>
    </w:p>
    <w:p w14:paraId="569BC97F" w14:textId="77777777" w:rsidR="001E7952" w:rsidRPr="00C62639" w:rsidRDefault="001E7952" w:rsidP="001E7952">
      <w:pPr>
        <w:jc w:val="center"/>
        <w:rPr>
          <w:rFonts w:asciiTheme="minorHAnsi" w:hAnsiTheme="minorHAnsi" w:cs="Arial"/>
          <w:b/>
        </w:rPr>
      </w:pPr>
    </w:p>
    <w:p w14:paraId="318DF24B" w14:textId="77777777" w:rsidR="001E7952" w:rsidRPr="00C62639" w:rsidRDefault="001E7952" w:rsidP="001E7952">
      <w:pPr>
        <w:jc w:val="center"/>
        <w:rPr>
          <w:rFonts w:asciiTheme="minorHAnsi" w:hAnsiTheme="minorHAnsi" w:cs="Arial"/>
          <w:b/>
        </w:rPr>
      </w:pPr>
    </w:p>
    <w:p w14:paraId="2D94E2F7" w14:textId="77777777" w:rsidR="001E7952" w:rsidRPr="00C62639" w:rsidRDefault="001E7952" w:rsidP="001E7952">
      <w:pPr>
        <w:jc w:val="center"/>
        <w:rPr>
          <w:rFonts w:asciiTheme="minorHAnsi" w:hAnsiTheme="minorHAnsi" w:cs="Arial"/>
          <w:b/>
        </w:rPr>
      </w:pPr>
    </w:p>
    <w:p w14:paraId="43D3EEA7" w14:textId="77777777" w:rsidR="001E7952" w:rsidRPr="00C62639" w:rsidRDefault="001E7952" w:rsidP="001E7952">
      <w:pPr>
        <w:jc w:val="center"/>
        <w:rPr>
          <w:rFonts w:asciiTheme="minorHAnsi" w:hAnsiTheme="minorHAnsi" w:cs="Arial"/>
          <w:b/>
          <w:color w:val="000000"/>
          <w:sz w:val="28"/>
          <w:szCs w:val="28"/>
        </w:rPr>
      </w:pPr>
      <w:r w:rsidRPr="00C62639">
        <w:rPr>
          <w:rStyle w:val="Nzevknihy"/>
          <w:rFonts w:asciiTheme="minorHAnsi" w:hAnsiTheme="minorHAnsi"/>
          <w:noProof/>
          <w:color w:val="365F91"/>
          <w:sz w:val="44"/>
        </w:rPr>
        <w:t>Zpráva z benchmarkingu za rok 2016</w:t>
      </w:r>
    </w:p>
    <w:p w14:paraId="34775D1A" w14:textId="77777777" w:rsidR="001E7952" w:rsidRPr="00C62639" w:rsidRDefault="001E7952" w:rsidP="001E7952">
      <w:pPr>
        <w:jc w:val="center"/>
        <w:rPr>
          <w:rFonts w:asciiTheme="minorHAnsi" w:hAnsiTheme="minorHAnsi" w:cs="Arial"/>
        </w:rPr>
      </w:pPr>
    </w:p>
    <w:p w14:paraId="623B7F84" w14:textId="77777777" w:rsidR="001E7952" w:rsidRPr="00C62639" w:rsidRDefault="001E7952" w:rsidP="001E7952">
      <w:pPr>
        <w:jc w:val="center"/>
        <w:rPr>
          <w:rFonts w:asciiTheme="minorHAnsi" w:hAnsiTheme="minorHAnsi" w:cs="Arial"/>
        </w:rPr>
      </w:pPr>
    </w:p>
    <w:p w14:paraId="1F97D953" w14:textId="77777777" w:rsidR="001E7952" w:rsidRPr="00C62639" w:rsidRDefault="001E7952" w:rsidP="001E7952">
      <w:pPr>
        <w:jc w:val="center"/>
        <w:rPr>
          <w:rFonts w:asciiTheme="minorHAnsi" w:hAnsiTheme="minorHAnsi" w:cs="Arial"/>
        </w:rPr>
      </w:pPr>
    </w:p>
    <w:p w14:paraId="1F790DFC" w14:textId="77777777" w:rsidR="001E7952" w:rsidRPr="00C62639" w:rsidRDefault="001E7952" w:rsidP="001E7952">
      <w:pPr>
        <w:jc w:val="center"/>
        <w:rPr>
          <w:rFonts w:asciiTheme="minorHAnsi" w:hAnsiTheme="minorHAnsi" w:cs="Arial"/>
        </w:rPr>
      </w:pPr>
    </w:p>
    <w:p w14:paraId="021A454E" w14:textId="77777777" w:rsidR="001E7952" w:rsidRPr="00C62639" w:rsidRDefault="001E7952" w:rsidP="001E7952">
      <w:pPr>
        <w:jc w:val="center"/>
        <w:rPr>
          <w:rFonts w:asciiTheme="minorHAnsi" w:hAnsiTheme="minorHAnsi" w:cs="Arial"/>
        </w:rPr>
      </w:pPr>
    </w:p>
    <w:p w14:paraId="44E1831F" w14:textId="77777777" w:rsidR="001E7952" w:rsidRPr="00C62639" w:rsidRDefault="001E7952" w:rsidP="001E7952">
      <w:pPr>
        <w:jc w:val="center"/>
        <w:rPr>
          <w:rFonts w:asciiTheme="minorHAnsi" w:hAnsiTheme="minorHAnsi" w:cs="Arial"/>
        </w:rPr>
      </w:pPr>
    </w:p>
    <w:p w14:paraId="1A70288A" w14:textId="77777777" w:rsidR="001E7952" w:rsidRPr="00C62639" w:rsidRDefault="001E7952" w:rsidP="001E7952">
      <w:pPr>
        <w:jc w:val="center"/>
        <w:rPr>
          <w:rFonts w:asciiTheme="minorHAnsi" w:hAnsiTheme="minorHAnsi" w:cs="Arial"/>
        </w:rPr>
      </w:pPr>
    </w:p>
    <w:p w14:paraId="5BCFEC4E" w14:textId="77777777" w:rsidR="001E7952" w:rsidRPr="00C62639" w:rsidRDefault="001E7952" w:rsidP="001E7952">
      <w:pPr>
        <w:jc w:val="center"/>
        <w:rPr>
          <w:rFonts w:asciiTheme="minorHAnsi" w:hAnsiTheme="minorHAnsi" w:cs="Arial"/>
        </w:rPr>
      </w:pPr>
    </w:p>
    <w:p w14:paraId="52A952B0" w14:textId="77777777" w:rsidR="001E7952" w:rsidRPr="00C62639" w:rsidRDefault="001E7952" w:rsidP="001E7952">
      <w:pPr>
        <w:jc w:val="center"/>
        <w:rPr>
          <w:rFonts w:asciiTheme="minorHAnsi" w:hAnsiTheme="minorHAnsi" w:cs="Arial"/>
        </w:rPr>
      </w:pPr>
    </w:p>
    <w:p w14:paraId="44D6086C" w14:textId="77777777" w:rsidR="001E7952" w:rsidRPr="00C62639" w:rsidRDefault="001E7952" w:rsidP="001E7952">
      <w:pPr>
        <w:jc w:val="center"/>
        <w:rPr>
          <w:rFonts w:asciiTheme="minorHAnsi" w:hAnsiTheme="minorHAnsi" w:cs="Arial"/>
        </w:rPr>
      </w:pPr>
    </w:p>
    <w:p w14:paraId="620DF2F2" w14:textId="77777777" w:rsidR="001E7952" w:rsidRPr="00C62639" w:rsidRDefault="001E7952" w:rsidP="001E7952">
      <w:pPr>
        <w:jc w:val="center"/>
        <w:rPr>
          <w:rFonts w:asciiTheme="minorHAnsi" w:hAnsiTheme="minorHAnsi" w:cs="Arial"/>
        </w:rPr>
      </w:pPr>
    </w:p>
    <w:p w14:paraId="4C2E1457" w14:textId="77777777" w:rsidR="001E7952" w:rsidRPr="00C62639" w:rsidRDefault="001E7952" w:rsidP="001E7952">
      <w:pPr>
        <w:jc w:val="center"/>
        <w:rPr>
          <w:rFonts w:asciiTheme="minorHAnsi" w:hAnsiTheme="minorHAnsi" w:cs="Arial"/>
        </w:rPr>
      </w:pPr>
    </w:p>
    <w:p w14:paraId="1ECF3310" w14:textId="77777777" w:rsidR="001E7952" w:rsidRPr="00C62639" w:rsidRDefault="001E7952" w:rsidP="001E7952">
      <w:pPr>
        <w:jc w:val="center"/>
        <w:rPr>
          <w:rFonts w:asciiTheme="minorHAnsi" w:hAnsiTheme="minorHAnsi" w:cs="Arial"/>
        </w:rPr>
      </w:pPr>
    </w:p>
    <w:p w14:paraId="0DE69E0B" w14:textId="77777777" w:rsidR="001E7952" w:rsidRPr="00C62639" w:rsidRDefault="001E7952" w:rsidP="001E7952">
      <w:pPr>
        <w:jc w:val="center"/>
        <w:rPr>
          <w:rFonts w:asciiTheme="minorHAnsi" w:hAnsiTheme="minorHAnsi" w:cs="Arial"/>
        </w:rPr>
      </w:pPr>
    </w:p>
    <w:p w14:paraId="6349CC6F" w14:textId="77777777" w:rsidR="001E7952" w:rsidRPr="00C62639" w:rsidRDefault="001E7952" w:rsidP="001E7952">
      <w:pPr>
        <w:jc w:val="center"/>
        <w:rPr>
          <w:rFonts w:asciiTheme="minorHAnsi" w:hAnsiTheme="minorHAnsi" w:cs="Arial"/>
        </w:rPr>
      </w:pPr>
    </w:p>
    <w:p w14:paraId="2134A042" w14:textId="77777777" w:rsidR="001E7952" w:rsidRPr="00C62639" w:rsidRDefault="001E7952" w:rsidP="001E7952">
      <w:pPr>
        <w:jc w:val="center"/>
        <w:rPr>
          <w:rFonts w:asciiTheme="minorHAnsi" w:hAnsiTheme="minorHAnsi" w:cs="Arial"/>
        </w:rPr>
      </w:pPr>
    </w:p>
    <w:p w14:paraId="7AF4C6F6" w14:textId="77777777" w:rsidR="001E7952" w:rsidRPr="00C62639" w:rsidRDefault="001E7952" w:rsidP="001E7952">
      <w:pPr>
        <w:jc w:val="center"/>
        <w:rPr>
          <w:rFonts w:asciiTheme="minorHAnsi" w:hAnsiTheme="minorHAnsi" w:cs="Arial"/>
        </w:rPr>
      </w:pPr>
    </w:p>
    <w:p w14:paraId="1B81B40B" w14:textId="77777777" w:rsidR="001E7952" w:rsidRPr="00C62639" w:rsidRDefault="001E7952" w:rsidP="001E7952">
      <w:pPr>
        <w:jc w:val="center"/>
        <w:rPr>
          <w:rFonts w:asciiTheme="minorHAnsi" w:hAnsiTheme="minorHAnsi" w:cs="Arial"/>
        </w:rPr>
      </w:pPr>
    </w:p>
    <w:p w14:paraId="59E4DA65" w14:textId="77777777" w:rsidR="001E7952" w:rsidRPr="00C62639" w:rsidRDefault="001E7952" w:rsidP="001E7952">
      <w:pPr>
        <w:jc w:val="center"/>
        <w:rPr>
          <w:rFonts w:asciiTheme="minorHAnsi" w:hAnsiTheme="minorHAnsi" w:cs="Arial"/>
        </w:rPr>
      </w:pPr>
    </w:p>
    <w:p w14:paraId="3B9B2AB6" w14:textId="77777777" w:rsidR="001E7952" w:rsidRPr="00C62639" w:rsidRDefault="001E7952" w:rsidP="001E7952">
      <w:pPr>
        <w:jc w:val="center"/>
        <w:rPr>
          <w:rFonts w:asciiTheme="minorHAnsi" w:hAnsiTheme="minorHAnsi" w:cs="Arial"/>
        </w:rPr>
      </w:pPr>
    </w:p>
    <w:p w14:paraId="4AC24FAC" w14:textId="77777777" w:rsidR="001E7952" w:rsidRPr="00C62639" w:rsidRDefault="001E7952" w:rsidP="001E7952">
      <w:pPr>
        <w:jc w:val="center"/>
        <w:rPr>
          <w:rFonts w:asciiTheme="minorHAnsi" w:hAnsiTheme="minorHAnsi" w:cs="Arial"/>
        </w:rPr>
      </w:pPr>
    </w:p>
    <w:p w14:paraId="1B77653C" w14:textId="77777777" w:rsidR="001E7952" w:rsidRPr="00C62639" w:rsidRDefault="001E7952" w:rsidP="001E7952">
      <w:pPr>
        <w:jc w:val="center"/>
        <w:rPr>
          <w:rFonts w:asciiTheme="minorHAnsi" w:hAnsiTheme="minorHAnsi" w:cs="Arial"/>
        </w:rPr>
      </w:pPr>
    </w:p>
    <w:p w14:paraId="4E7369EA" w14:textId="77777777" w:rsidR="001E7952" w:rsidRPr="00C62639" w:rsidRDefault="001E7952" w:rsidP="001E7952">
      <w:pPr>
        <w:jc w:val="center"/>
        <w:rPr>
          <w:rFonts w:asciiTheme="minorHAnsi" w:hAnsiTheme="minorHAnsi" w:cs="Arial"/>
        </w:rPr>
      </w:pPr>
    </w:p>
    <w:p w14:paraId="3CB31BE9" w14:textId="77777777" w:rsidR="001E7952" w:rsidRPr="00C62639" w:rsidRDefault="001E7952" w:rsidP="001E7952">
      <w:pPr>
        <w:jc w:val="center"/>
        <w:rPr>
          <w:rFonts w:asciiTheme="minorHAnsi" w:hAnsiTheme="minorHAnsi" w:cs="Arial"/>
        </w:rPr>
      </w:pPr>
    </w:p>
    <w:p w14:paraId="3E4294AF" w14:textId="77777777" w:rsidR="001E7952" w:rsidRPr="00C62639" w:rsidRDefault="001E7952" w:rsidP="001E7952">
      <w:pPr>
        <w:jc w:val="center"/>
        <w:rPr>
          <w:rFonts w:asciiTheme="minorHAnsi" w:hAnsiTheme="minorHAnsi" w:cs="Arial"/>
        </w:rPr>
      </w:pPr>
    </w:p>
    <w:p w14:paraId="1B4ECBA7" w14:textId="16D721A3" w:rsidR="001E7952" w:rsidRPr="00C62639" w:rsidRDefault="001E7952" w:rsidP="001E7952">
      <w:pPr>
        <w:jc w:val="left"/>
        <w:rPr>
          <w:rStyle w:val="Nzevknihy"/>
          <w:rFonts w:asciiTheme="minorHAnsi" w:hAnsiTheme="minorHAnsi"/>
          <w:noProof/>
          <w:color w:val="365F91"/>
          <w:sz w:val="44"/>
        </w:rPr>
        <w:sectPr w:rsidR="001E7952" w:rsidRPr="00C62639" w:rsidSect="00FF4564">
          <w:headerReference w:type="default" r:id="rId10"/>
          <w:footerReference w:type="default" r:id="rId11"/>
          <w:pgSz w:w="11906" w:h="16838"/>
          <w:pgMar w:top="1417" w:right="1417" w:bottom="1417" w:left="1417" w:header="708" w:footer="708" w:gutter="0"/>
          <w:cols w:space="708"/>
          <w:docGrid w:linePitch="360"/>
        </w:sectPr>
      </w:pPr>
      <w:r w:rsidRPr="00C62639">
        <w:rPr>
          <w:rFonts w:asciiTheme="minorHAnsi" w:hAnsiTheme="minorHAnsi" w:cs="Arial"/>
        </w:rPr>
        <w:t>Praha, 2</w:t>
      </w:r>
      <w:r w:rsidR="0036188E">
        <w:rPr>
          <w:rFonts w:asciiTheme="minorHAnsi" w:hAnsiTheme="minorHAnsi" w:cs="Arial"/>
        </w:rPr>
        <w:t>2</w:t>
      </w:r>
      <w:r w:rsidRPr="00C62639">
        <w:rPr>
          <w:rFonts w:asciiTheme="minorHAnsi" w:hAnsiTheme="minorHAnsi" w:cs="Arial"/>
        </w:rPr>
        <w:t>. ledna 2018</w:t>
      </w:r>
    </w:p>
    <w:p w14:paraId="38E7837C" w14:textId="2C232113" w:rsidR="003466F3" w:rsidRPr="00C62639" w:rsidRDefault="004E2989" w:rsidP="009E71F3">
      <w:pPr>
        <w:pStyle w:val="Nzev"/>
        <w:jc w:val="center"/>
        <w:rPr>
          <w:rStyle w:val="Nzevknihy"/>
          <w:rFonts w:asciiTheme="minorHAnsi" w:hAnsiTheme="minorHAnsi"/>
          <w:noProof/>
          <w:color w:val="365F91"/>
          <w:sz w:val="44"/>
        </w:rPr>
      </w:pPr>
      <w:r>
        <w:rPr>
          <w:rFonts w:asciiTheme="minorHAnsi" w:hAnsiTheme="minorHAnsi"/>
          <w:noProof/>
          <w:lang w:eastAsia="cs-CZ"/>
        </w:rPr>
        <w:lastRenderedPageBreak/>
        <mc:AlternateContent>
          <mc:Choice Requires="wps">
            <w:drawing>
              <wp:anchor distT="45720" distB="45720" distL="114300" distR="114300" simplePos="0" relativeHeight="251650048" behindDoc="0" locked="0" layoutInCell="1" allowOverlap="1" wp14:anchorId="76E0DF4F" wp14:editId="74604424">
                <wp:simplePos x="0" y="0"/>
                <wp:positionH relativeFrom="column">
                  <wp:posOffset>1681480</wp:posOffset>
                </wp:positionH>
                <wp:positionV relativeFrom="paragraph">
                  <wp:posOffset>0</wp:posOffset>
                </wp:positionV>
                <wp:extent cx="2302510" cy="552450"/>
                <wp:effectExtent l="0" t="0" r="127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552450"/>
                        </a:xfrm>
                        <a:prstGeom prst="rect">
                          <a:avLst/>
                        </a:prstGeom>
                        <a:solidFill>
                          <a:srgbClr val="FFFFFF"/>
                        </a:solidFill>
                        <a:ln w="9525">
                          <a:noFill/>
                          <a:miter lim="800000"/>
                          <a:headEnd/>
                          <a:tailEnd/>
                        </a:ln>
                      </wps:spPr>
                      <wps:txbx>
                        <w:txbxContent>
                          <w:p w14:paraId="12954F24" w14:textId="77777777" w:rsidR="008E082B" w:rsidRPr="008F5DE0" w:rsidRDefault="008E082B" w:rsidP="00E731F3">
                            <w:pPr>
                              <w:pStyle w:val="Normlnzprva"/>
                              <w:spacing w:after="0"/>
                              <w:jc w:val="center"/>
                              <w:rPr>
                                <w:i/>
                              </w:rPr>
                            </w:pPr>
                            <w:r w:rsidRPr="008F5DE0">
                              <w:rPr>
                                <w:i/>
                              </w:rPr>
                              <w:t>III.1.</w:t>
                            </w:r>
                          </w:p>
                          <w:p w14:paraId="0509D599" w14:textId="77777777" w:rsidR="008E082B" w:rsidRPr="008F5DE0" w:rsidRDefault="008E082B" w:rsidP="00E731F3">
                            <w:pPr>
                              <w:pStyle w:val="Normlnzprva"/>
                              <w:spacing w:after="0"/>
                              <w:jc w:val="center"/>
                              <w:rPr>
                                <w:i/>
                              </w:rPr>
                            </w:pPr>
                            <w:r w:rsidRPr="008F5DE0">
                              <w:rPr>
                                <w:i/>
                              </w:rPr>
                              <w:t>Vlastní materiál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E0DF4F" id="_x0000_t202" coordsize="21600,21600" o:spt="202" path="m,l,21600r21600,l21600,xe">
                <v:stroke joinstyle="miter"/>
                <v:path gradientshapeok="t" o:connecttype="rect"/>
              </v:shapetype>
              <v:shape id="Textové pole 2" o:spid="_x0000_s1026" type="#_x0000_t202" style="position:absolute;left:0;text-align:left;margin-left:132.4pt;margin-top:0;width:181.3pt;height:43.5pt;z-index:2516500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ddKQIAACIEAAAOAAAAZHJzL2Uyb0RvYy54bWysU1tu2zAQ/C/QOxD8ryWrVpMIloPUqYsC&#10;6QNIegCKoiyiJJclaUvujXKOXqxLynGM9K+oPgiudjmcnR0ur0etyF44L8HUdD7LKRGGQyvNtqbf&#10;HzZvLinxgZmWKTCipgfh6fXq9avlYCtRQA+qFY4giPHVYGvah2CrLPO8F5r5GVhhMNmB0yxg6LZZ&#10;69iA6FplRZ6/ywZwrXXAhff493ZK0lXC7zrBw9eu8yIQVVPkFtLq0trENVstWbV1zPaSH2mwf2Ch&#10;mTR46QnqlgVGdk7+BaUld+ChCzMOOoOuk1ykHrCbef6im/ueWZF6QXG8Pcnk/x8s/7L/5ohsa1rM&#10;LygxTOOQHsQYYP/7kVhQghRRpMH6CmvvLVaH8T2MOOzUsLd3wH94YmDdM7MVN87B0AvWIsl5PJmd&#10;HZ1wfARphs/Q4l1sFyABjZ3TUUHUhCA6DutwGhDyIRx/Fm/zopxjimOuLItFmSaYserptHU+fBSg&#10;SdzU1KEBEjrb3/kQ2bDqqSRe5kHJdiOVSoHbNmvlyJ6hWTbpSw28KFOGDDW9KosyIRuI55OPtAxo&#10;ZiV1TS/z+E32imp8MG0qCUyqaY9MlDnKExWZtAljM2Jh1KyB9oBCOZhMi48MNz24X5QMaNia+p87&#10;5gQl6pNBsa/mi0V0eAoW5UWBgTvPNOcZZjhC1TRQMm3XIb2KqIOBGxxKJ5Nez0yOXNGIScbjo4lO&#10;P49T1fPTXv0BAAD//wMAUEsDBBQABgAIAAAAIQAln3p23AAAAAcBAAAPAAAAZHJzL2Rvd25yZXYu&#10;eG1sTM/PaoNAEAbwe6HvsEyht2aNBA3WNZSCtOApaR5gdcc/6M6KuzH27Ts9tcfhG775TX7a7CRW&#10;XPzgSMF+F4FAapwZqFNw/SpfjiB80GT05AgVfKOHU/H4kOvMuDudcb2ETnAJ+Uwr6EOYMyl906PV&#10;fudmJM5at1gdeFw6aRZ953I7yTiKEmn1QHyh1zO+99iMl5tV8Fk1ZRtXtl3DuLdjda4/yjZV6vlp&#10;e3sFEXALf8vwy2c6FGyq3Y2MF5OCODkwPSjgjzhO4vQAolZwTCOQRS7/+4sfAAAA//8DAFBLAQIt&#10;ABQABgAIAAAAIQC2gziS/gAAAOEBAAATAAAAAAAAAAAAAAAAAAAAAABbQ29udGVudF9UeXBlc10u&#10;eG1sUEsBAi0AFAAGAAgAAAAhADj9If/WAAAAlAEAAAsAAAAAAAAAAAAAAAAALwEAAF9yZWxzLy5y&#10;ZWxzUEsBAi0AFAAGAAgAAAAhADOGt10pAgAAIgQAAA4AAAAAAAAAAAAAAAAALgIAAGRycy9lMm9E&#10;b2MueG1sUEsBAi0AFAAGAAgAAAAhACWfenbcAAAABwEAAA8AAAAAAAAAAAAAAAAAgwQAAGRycy9k&#10;b3ducmV2LnhtbFBLBQYAAAAABAAEAPMAAACMBQAAAAA=&#10;" stroked="f">
                <v:textbox>
                  <w:txbxContent>
                    <w:p w14:paraId="12954F24" w14:textId="77777777" w:rsidR="008E082B" w:rsidRPr="008F5DE0" w:rsidRDefault="008E082B" w:rsidP="00E731F3">
                      <w:pPr>
                        <w:pStyle w:val="Normlnzprva"/>
                        <w:spacing w:after="0"/>
                        <w:jc w:val="center"/>
                        <w:rPr>
                          <w:i/>
                        </w:rPr>
                      </w:pPr>
                      <w:proofErr w:type="gramStart"/>
                      <w:r w:rsidRPr="008F5DE0">
                        <w:rPr>
                          <w:i/>
                        </w:rPr>
                        <w:t>III.1.</w:t>
                      </w:r>
                      <w:proofErr w:type="gramEnd"/>
                    </w:p>
                    <w:p w14:paraId="0509D599" w14:textId="77777777" w:rsidR="008E082B" w:rsidRPr="008F5DE0" w:rsidRDefault="008E082B" w:rsidP="00E731F3">
                      <w:pPr>
                        <w:pStyle w:val="Normlnzprva"/>
                        <w:spacing w:after="0"/>
                        <w:jc w:val="center"/>
                        <w:rPr>
                          <w:i/>
                        </w:rPr>
                      </w:pPr>
                      <w:r w:rsidRPr="008F5DE0">
                        <w:rPr>
                          <w:i/>
                        </w:rPr>
                        <w:t>Vlastní materiál</w:t>
                      </w:r>
                    </w:p>
                  </w:txbxContent>
                </v:textbox>
                <w10:wrap type="square"/>
              </v:shape>
            </w:pict>
          </mc:Fallback>
        </mc:AlternateContent>
      </w:r>
    </w:p>
    <w:p w14:paraId="24AC0045" w14:textId="77777777" w:rsidR="00E731F3" w:rsidRPr="00C62639" w:rsidRDefault="00E731F3" w:rsidP="009E71F3">
      <w:pPr>
        <w:pStyle w:val="Nzev"/>
        <w:jc w:val="center"/>
        <w:rPr>
          <w:rStyle w:val="Nzevknihy"/>
          <w:rFonts w:asciiTheme="minorHAnsi" w:hAnsiTheme="minorHAnsi"/>
          <w:noProof/>
          <w:color w:val="365F91"/>
          <w:sz w:val="44"/>
        </w:rPr>
      </w:pPr>
    </w:p>
    <w:p w14:paraId="759310D5" w14:textId="77777777" w:rsidR="00590F65" w:rsidRPr="00C62639" w:rsidRDefault="00F623AA" w:rsidP="009E71F3">
      <w:pPr>
        <w:pStyle w:val="Nzev"/>
        <w:jc w:val="center"/>
        <w:rPr>
          <w:rStyle w:val="Nzevknihy"/>
          <w:rFonts w:asciiTheme="minorHAnsi" w:hAnsiTheme="minorHAnsi"/>
          <w:noProof/>
          <w:sz w:val="44"/>
        </w:rPr>
      </w:pPr>
      <w:r w:rsidRPr="00C62639">
        <w:rPr>
          <w:rStyle w:val="Nzevknihy"/>
          <w:rFonts w:asciiTheme="minorHAnsi" w:hAnsiTheme="minorHAnsi"/>
          <w:noProof/>
          <w:color w:val="365F91"/>
          <w:sz w:val="44"/>
        </w:rPr>
        <w:t>Zpráva z benchmarkingu</w:t>
      </w:r>
      <w:r w:rsidR="00590F65" w:rsidRPr="00C62639">
        <w:rPr>
          <w:rStyle w:val="Nzevknihy"/>
          <w:rFonts w:asciiTheme="minorHAnsi" w:hAnsiTheme="minorHAnsi"/>
          <w:noProof/>
          <w:color w:val="365F91"/>
          <w:sz w:val="44"/>
        </w:rPr>
        <w:t xml:space="preserve"> za rok 201</w:t>
      </w:r>
      <w:r w:rsidR="009E060E" w:rsidRPr="00C62639">
        <w:rPr>
          <w:rStyle w:val="Nzevknihy"/>
          <w:rFonts w:asciiTheme="minorHAnsi" w:hAnsiTheme="minorHAnsi"/>
          <w:noProof/>
          <w:color w:val="365F91"/>
          <w:sz w:val="44"/>
        </w:rPr>
        <w:t>6</w:t>
      </w:r>
    </w:p>
    <w:p w14:paraId="25F9BD4E" w14:textId="77777777" w:rsidR="00590F65" w:rsidRPr="00C62639" w:rsidRDefault="00590F65" w:rsidP="00E4339E">
      <w:pPr>
        <w:pStyle w:val="Nadpisobsahu"/>
        <w:rPr>
          <w:rFonts w:asciiTheme="minorHAnsi" w:hAnsiTheme="minorHAnsi"/>
          <w:noProof/>
        </w:rPr>
      </w:pPr>
      <w:r w:rsidRPr="00C62639">
        <w:rPr>
          <w:rFonts w:asciiTheme="minorHAnsi" w:hAnsiTheme="minorHAnsi"/>
          <w:noProof/>
        </w:rPr>
        <w:t>Obsah</w:t>
      </w:r>
    </w:p>
    <w:p w14:paraId="558ED239" w14:textId="77777777" w:rsidR="00324D46" w:rsidRPr="009B6BE8" w:rsidRDefault="001F5B53" w:rsidP="009B6BE8">
      <w:pPr>
        <w:pStyle w:val="Obsah1"/>
        <w:rPr>
          <w:rFonts w:asciiTheme="minorHAnsi" w:eastAsiaTheme="minorEastAsia" w:hAnsiTheme="minorHAnsi" w:cstheme="minorBidi"/>
          <w:noProof/>
          <w:sz w:val="22"/>
          <w:lang w:eastAsia="cs-CZ"/>
        </w:rPr>
      </w:pPr>
      <w:r w:rsidRPr="00C62639">
        <w:rPr>
          <w:rFonts w:asciiTheme="minorHAnsi" w:hAnsiTheme="minorHAnsi"/>
          <w:noProof/>
        </w:rPr>
        <w:fldChar w:fldCharType="begin"/>
      </w:r>
      <w:r w:rsidR="00590F65" w:rsidRPr="00C62639">
        <w:rPr>
          <w:rFonts w:asciiTheme="minorHAnsi" w:hAnsiTheme="minorHAnsi"/>
          <w:noProof/>
        </w:rPr>
        <w:instrText xml:space="preserve"> TOC \o "1-3" \h \z \u </w:instrText>
      </w:r>
      <w:r w:rsidRPr="00C62639">
        <w:rPr>
          <w:rFonts w:asciiTheme="minorHAnsi" w:hAnsiTheme="minorHAnsi"/>
          <w:noProof/>
        </w:rPr>
        <w:fldChar w:fldCharType="separate"/>
      </w:r>
      <w:hyperlink w:anchor="_Toc505684394" w:history="1">
        <w:r w:rsidR="00324D46" w:rsidRPr="009B6BE8">
          <w:rPr>
            <w:rStyle w:val="Hypertextovodkaz"/>
            <w:smallCaps/>
            <w:noProof/>
          </w:rPr>
          <w:t>1.</w:t>
        </w:r>
        <w:r w:rsidR="00324D46" w:rsidRPr="009B6BE8">
          <w:rPr>
            <w:rFonts w:asciiTheme="minorHAnsi" w:eastAsiaTheme="minorEastAsia" w:hAnsiTheme="minorHAnsi" w:cstheme="minorBidi"/>
            <w:noProof/>
            <w:sz w:val="22"/>
            <w:lang w:eastAsia="cs-CZ"/>
          </w:rPr>
          <w:tab/>
        </w:r>
        <w:r w:rsidR="00324D46" w:rsidRPr="009B6BE8">
          <w:rPr>
            <w:rStyle w:val="Hypertextovodkaz"/>
            <w:smallCaps/>
            <w:noProof/>
          </w:rPr>
          <w:t>Úvod</w:t>
        </w:r>
        <w:r w:rsidR="00324D46" w:rsidRPr="009B6BE8">
          <w:rPr>
            <w:noProof/>
            <w:webHidden/>
          </w:rPr>
          <w:tab/>
        </w:r>
        <w:r w:rsidR="00324D46" w:rsidRPr="009B6BE8">
          <w:rPr>
            <w:noProof/>
            <w:webHidden/>
          </w:rPr>
          <w:fldChar w:fldCharType="begin"/>
        </w:r>
        <w:r w:rsidR="00324D46" w:rsidRPr="009B6BE8">
          <w:rPr>
            <w:noProof/>
            <w:webHidden/>
          </w:rPr>
          <w:instrText xml:space="preserve"> PAGEREF _Toc505684394 \h </w:instrText>
        </w:r>
        <w:r w:rsidR="00324D46" w:rsidRPr="009B6BE8">
          <w:rPr>
            <w:noProof/>
            <w:webHidden/>
          </w:rPr>
        </w:r>
        <w:r w:rsidR="00324D46" w:rsidRPr="009B6BE8">
          <w:rPr>
            <w:noProof/>
            <w:webHidden/>
          </w:rPr>
          <w:fldChar w:fldCharType="separate"/>
        </w:r>
        <w:r w:rsidR="004B51AE">
          <w:rPr>
            <w:noProof/>
            <w:webHidden/>
          </w:rPr>
          <w:t>4</w:t>
        </w:r>
        <w:r w:rsidR="00324D46" w:rsidRPr="009B6BE8">
          <w:rPr>
            <w:noProof/>
            <w:webHidden/>
          </w:rPr>
          <w:fldChar w:fldCharType="end"/>
        </w:r>
      </w:hyperlink>
    </w:p>
    <w:p w14:paraId="6323ACAC"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395" w:history="1">
        <w:r w:rsidR="00324D46" w:rsidRPr="009B6BE8">
          <w:rPr>
            <w:rStyle w:val="Hypertextovodkaz"/>
            <w:smallCaps/>
            <w:noProof/>
          </w:rPr>
          <w:t>1.1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Terminologie a použité zkratky</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_Toc505684395 \h </w:instrText>
        </w:r>
        <w:r w:rsidR="00324D46" w:rsidRPr="009B6BE8">
          <w:rPr>
            <w:smallCaps/>
            <w:noProof/>
            <w:webHidden/>
          </w:rPr>
        </w:r>
        <w:r w:rsidR="00324D46" w:rsidRPr="009B6BE8">
          <w:rPr>
            <w:smallCaps/>
            <w:noProof/>
            <w:webHidden/>
          </w:rPr>
          <w:fldChar w:fldCharType="separate"/>
        </w:r>
        <w:r>
          <w:rPr>
            <w:smallCaps/>
            <w:noProof/>
            <w:webHidden/>
          </w:rPr>
          <w:t>4</w:t>
        </w:r>
        <w:r w:rsidR="00324D46" w:rsidRPr="009B6BE8">
          <w:rPr>
            <w:smallCaps/>
            <w:noProof/>
            <w:webHidden/>
          </w:rPr>
          <w:fldChar w:fldCharType="end"/>
        </w:r>
      </w:hyperlink>
    </w:p>
    <w:p w14:paraId="6AA425C3"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396" w:history="1">
        <w:r w:rsidR="00324D46" w:rsidRPr="009B6BE8">
          <w:rPr>
            <w:rStyle w:val="Hypertextovodkaz"/>
            <w:smallCaps/>
            <w:noProof/>
          </w:rPr>
          <w:t>1.1.1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Terminologie</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_Toc505684396 \h </w:instrText>
        </w:r>
        <w:r w:rsidR="00324D46" w:rsidRPr="009B6BE8">
          <w:rPr>
            <w:smallCaps/>
            <w:noProof/>
            <w:webHidden/>
          </w:rPr>
        </w:r>
        <w:r w:rsidR="00324D46" w:rsidRPr="009B6BE8">
          <w:rPr>
            <w:smallCaps/>
            <w:noProof/>
            <w:webHidden/>
          </w:rPr>
          <w:fldChar w:fldCharType="separate"/>
        </w:r>
        <w:r>
          <w:rPr>
            <w:smallCaps/>
            <w:noProof/>
            <w:webHidden/>
          </w:rPr>
          <w:t>4</w:t>
        </w:r>
        <w:r w:rsidR="00324D46" w:rsidRPr="009B6BE8">
          <w:rPr>
            <w:smallCaps/>
            <w:noProof/>
            <w:webHidden/>
          </w:rPr>
          <w:fldChar w:fldCharType="end"/>
        </w:r>
      </w:hyperlink>
    </w:p>
    <w:p w14:paraId="36499D88"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397" w:history="1">
        <w:r w:rsidR="00324D46" w:rsidRPr="009B6BE8">
          <w:rPr>
            <w:rStyle w:val="Hypertextovodkaz"/>
            <w:smallCaps/>
            <w:noProof/>
          </w:rPr>
          <w:t>1.1.2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Použité zkratky</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_Toc505684397 \h </w:instrText>
        </w:r>
        <w:r w:rsidR="00324D46" w:rsidRPr="009B6BE8">
          <w:rPr>
            <w:smallCaps/>
            <w:noProof/>
            <w:webHidden/>
          </w:rPr>
        </w:r>
        <w:r w:rsidR="00324D46" w:rsidRPr="009B6BE8">
          <w:rPr>
            <w:smallCaps/>
            <w:noProof/>
            <w:webHidden/>
          </w:rPr>
          <w:fldChar w:fldCharType="separate"/>
        </w:r>
        <w:r>
          <w:rPr>
            <w:smallCaps/>
            <w:noProof/>
            <w:webHidden/>
          </w:rPr>
          <w:t>6</w:t>
        </w:r>
        <w:r w:rsidR="00324D46" w:rsidRPr="009B6BE8">
          <w:rPr>
            <w:smallCaps/>
            <w:noProof/>
            <w:webHidden/>
          </w:rPr>
          <w:fldChar w:fldCharType="end"/>
        </w:r>
      </w:hyperlink>
    </w:p>
    <w:p w14:paraId="412D2F44" w14:textId="6CD04A91"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398" w:history="1">
        <w:r w:rsidR="00324D46" w:rsidRPr="009B6BE8">
          <w:rPr>
            <w:rStyle w:val="Hypertextovodkaz"/>
            <w:smallCaps/>
            <w:noProof/>
          </w:rPr>
          <w:t>1.2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Funkce zprávy z benchmarkingu v procesu regulace - provázanost s vizí a záměry dozoru</w:t>
        </w:r>
        <w:r w:rsidR="009B6BE8">
          <w:rPr>
            <w:rStyle w:val="Hypertextovodkaz"/>
            <w:smallCaps/>
            <w:noProof/>
          </w:rPr>
          <w:br/>
        </w:r>
        <w:r w:rsidR="00324D46" w:rsidRPr="009B6BE8">
          <w:rPr>
            <w:rStyle w:val="Hypertextovodkaz"/>
            <w:smallCaps/>
            <w:noProof/>
          </w:rPr>
          <w:t xml:space="preserve"> a regulace oboru VaK</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_Toc505684398 \h </w:instrText>
        </w:r>
        <w:r w:rsidR="00324D46" w:rsidRPr="009B6BE8">
          <w:rPr>
            <w:smallCaps/>
            <w:noProof/>
            <w:webHidden/>
          </w:rPr>
        </w:r>
        <w:r w:rsidR="00324D46" w:rsidRPr="009B6BE8">
          <w:rPr>
            <w:smallCaps/>
            <w:noProof/>
            <w:webHidden/>
          </w:rPr>
          <w:fldChar w:fldCharType="separate"/>
        </w:r>
        <w:r>
          <w:rPr>
            <w:smallCaps/>
            <w:noProof/>
            <w:webHidden/>
          </w:rPr>
          <w:t>7</w:t>
        </w:r>
        <w:r w:rsidR="00324D46" w:rsidRPr="009B6BE8">
          <w:rPr>
            <w:smallCaps/>
            <w:noProof/>
            <w:webHidden/>
          </w:rPr>
          <w:fldChar w:fldCharType="end"/>
        </w:r>
      </w:hyperlink>
    </w:p>
    <w:p w14:paraId="7D7B1AC4"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399" w:history="1">
        <w:r w:rsidR="00324D46" w:rsidRPr="009B6BE8">
          <w:rPr>
            <w:rStyle w:val="Hypertextovodkaz"/>
            <w:smallCaps/>
            <w:noProof/>
          </w:rPr>
          <w:t>1.2.1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Vize regulace oboru VaK</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_Toc505684399 \h </w:instrText>
        </w:r>
        <w:r w:rsidR="00324D46" w:rsidRPr="009B6BE8">
          <w:rPr>
            <w:smallCaps/>
            <w:noProof/>
            <w:webHidden/>
          </w:rPr>
        </w:r>
        <w:r w:rsidR="00324D46" w:rsidRPr="009B6BE8">
          <w:rPr>
            <w:smallCaps/>
            <w:noProof/>
            <w:webHidden/>
          </w:rPr>
          <w:fldChar w:fldCharType="separate"/>
        </w:r>
        <w:r>
          <w:rPr>
            <w:smallCaps/>
            <w:noProof/>
            <w:webHidden/>
          </w:rPr>
          <w:t>7</w:t>
        </w:r>
        <w:r w:rsidR="00324D46" w:rsidRPr="009B6BE8">
          <w:rPr>
            <w:smallCaps/>
            <w:noProof/>
            <w:webHidden/>
          </w:rPr>
          <w:fldChar w:fldCharType="end"/>
        </w:r>
      </w:hyperlink>
    </w:p>
    <w:p w14:paraId="76BED3F3"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00" w:history="1">
        <w:r w:rsidR="00324D46" w:rsidRPr="009B6BE8">
          <w:rPr>
            <w:rStyle w:val="Hypertextovodkaz"/>
            <w:smallCaps/>
            <w:noProof/>
          </w:rPr>
          <w:t>1.2.2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Záměry regulace oboru VaK</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_Toc505684400 \h </w:instrText>
        </w:r>
        <w:r w:rsidR="00324D46" w:rsidRPr="009B6BE8">
          <w:rPr>
            <w:smallCaps/>
            <w:noProof/>
            <w:webHidden/>
          </w:rPr>
        </w:r>
        <w:r w:rsidR="00324D46" w:rsidRPr="009B6BE8">
          <w:rPr>
            <w:smallCaps/>
            <w:noProof/>
            <w:webHidden/>
          </w:rPr>
          <w:fldChar w:fldCharType="separate"/>
        </w:r>
        <w:r>
          <w:rPr>
            <w:smallCaps/>
            <w:noProof/>
            <w:webHidden/>
          </w:rPr>
          <w:t>7</w:t>
        </w:r>
        <w:r w:rsidR="00324D46" w:rsidRPr="009B6BE8">
          <w:rPr>
            <w:smallCaps/>
            <w:noProof/>
            <w:webHidden/>
          </w:rPr>
          <w:fldChar w:fldCharType="end"/>
        </w:r>
      </w:hyperlink>
    </w:p>
    <w:p w14:paraId="11D61022" w14:textId="77777777" w:rsidR="00324D46" w:rsidRPr="009B6BE8" w:rsidRDefault="004B51AE" w:rsidP="009B6BE8">
      <w:pPr>
        <w:pStyle w:val="Obsah1"/>
        <w:rPr>
          <w:rFonts w:asciiTheme="minorHAnsi" w:eastAsiaTheme="minorEastAsia" w:hAnsiTheme="minorHAnsi" w:cstheme="minorBidi"/>
          <w:noProof/>
          <w:sz w:val="22"/>
          <w:lang w:eastAsia="cs-CZ"/>
        </w:rPr>
      </w:pPr>
      <w:hyperlink w:anchor="_Toc505684401" w:history="1">
        <w:r w:rsidR="00324D46" w:rsidRPr="009B6BE8">
          <w:rPr>
            <w:rStyle w:val="Hypertextovodkaz"/>
            <w:smallCaps/>
            <w:noProof/>
          </w:rPr>
          <w:t>2.</w:t>
        </w:r>
        <w:r w:rsidR="00324D46" w:rsidRPr="009B6BE8">
          <w:rPr>
            <w:rFonts w:asciiTheme="minorHAnsi" w:eastAsiaTheme="minorEastAsia" w:hAnsiTheme="minorHAnsi" w:cstheme="minorBidi"/>
            <w:noProof/>
            <w:sz w:val="22"/>
            <w:lang w:eastAsia="cs-CZ"/>
          </w:rPr>
          <w:tab/>
        </w:r>
        <w:r w:rsidR="00324D46" w:rsidRPr="009B6BE8">
          <w:rPr>
            <w:rStyle w:val="Hypertextovodkaz"/>
            <w:smallCaps/>
            <w:noProof/>
          </w:rPr>
          <w:t>Proces zlepšování kvality sbíraných dat</w:t>
        </w:r>
        <w:r w:rsidR="00324D46" w:rsidRPr="009B6BE8">
          <w:rPr>
            <w:noProof/>
            <w:webHidden/>
          </w:rPr>
          <w:tab/>
        </w:r>
        <w:r w:rsidR="00324D46" w:rsidRPr="009B6BE8">
          <w:rPr>
            <w:noProof/>
            <w:webHidden/>
          </w:rPr>
          <w:fldChar w:fldCharType="begin"/>
        </w:r>
        <w:r w:rsidR="00324D46" w:rsidRPr="009B6BE8">
          <w:rPr>
            <w:noProof/>
            <w:webHidden/>
          </w:rPr>
          <w:instrText xml:space="preserve"> PAGEREF _Toc505684401 \h </w:instrText>
        </w:r>
        <w:r w:rsidR="00324D46" w:rsidRPr="009B6BE8">
          <w:rPr>
            <w:noProof/>
            <w:webHidden/>
          </w:rPr>
        </w:r>
        <w:r w:rsidR="00324D46" w:rsidRPr="009B6BE8">
          <w:rPr>
            <w:noProof/>
            <w:webHidden/>
          </w:rPr>
          <w:fldChar w:fldCharType="separate"/>
        </w:r>
        <w:r>
          <w:rPr>
            <w:noProof/>
            <w:webHidden/>
          </w:rPr>
          <w:t>8</w:t>
        </w:r>
        <w:r w:rsidR="00324D46" w:rsidRPr="009B6BE8">
          <w:rPr>
            <w:noProof/>
            <w:webHidden/>
          </w:rPr>
          <w:fldChar w:fldCharType="end"/>
        </w:r>
      </w:hyperlink>
    </w:p>
    <w:p w14:paraId="5C35AFC2" w14:textId="77777777" w:rsidR="00324D46" w:rsidRPr="009B6BE8" w:rsidRDefault="004B51AE" w:rsidP="009B6BE8">
      <w:pPr>
        <w:pStyle w:val="Obsah1"/>
        <w:rPr>
          <w:rFonts w:asciiTheme="minorHAnsi" w:eastAsiaTheme="minorEastAsia" w:hAnsiTheme="minorHAnsi" w:cstheme="minorBidi"/>
          <w:noProof/>
          <w:sz w:val="22"/>
          <w:lang w:eastAsia="cs-CZ"/>
        </w:rPr>
      </w:pPr>
      <w:hyperlink w:anchor="_Toc505684402" w:history="1">
        <w:r w:rsidR="00324D46" w:rsidRPr="009B6BE8">
          <w:rPr>
            <w:rStyle w:val="Hypertextovodkaz"/>
            <w:smallCaps/>
            <w:noProof/>
          </w:rPr>
          <w:t>3.</w:t>
        </w:r>
        <w:r w:rsidR="00324D46" w:rsidRPr="009B6BE8">
          <w:rPr>
            <w:rFonts w:asciiTheme="minorHAnsi" w:eastAsiaTheme="minorEastAsia" w:hAnsiTheme="minorHAnsi" w:cstheme="minorBidi"/>
            <w:noProof/>
            <w:sz w:val="22"/>
            <w:lang w:eastAsia="cs-CZ"/>
          </w:rPr>
          <w:tab/>
        </w:r>
        <w:r w:rsidR="00324D46" w:rsidRPr="009B6BE8">
          <w:rPr>
            <w:rStyle w:val="Hypertextovodkaz"/>
            <w:smallCaps/>
            <w:noProof/>
          </w:rPr>
          <w:t>Změny některých použitých postupů pro projekty benchmarkingu za rok 2016</w:t>
        </w:r>
        <w:r w:rsidR="00324D46" w:rsidRPr="009B6BE8">
          <w:rPr>
            <w:noProof/>
            <w:webHidden/>
          </w:rPr>
          <w:tab/>
        </w:r>
        <w:r w:rsidR="00324D46" w:rsidRPr="009B6BE8">
          <w:rPr>
            <w:noProof/>
            <w:webHidden/>
          </w:rPr>
          <w:fldChar w:fldCharType="begin"/>
        </w:r>
        <w:r w:rsidR="00324D46" w:rsidRPr="009B6BE8">
          <w:rPr>
            <w:noProof/>
            <w:webHidden/>
          </w:rPr>
          <w:instrText xml:space="preserve"> PAGEREF _Toc505684402 \h </w:instrText>
        </w:r>
        <w:r w:rsidR="00324D46" w:rsidRPr="009B6BE8">
          <w:rPr>
            <w:noProof/>
            <w:webHidden/>
          </w:rPr>
        </w:r>
        <w:r w:rsidR="00324D46" w:rsidRPr="009B6BE8">
          <w:rPr>
            <w:noProof/>
            <w:webHidden/>
          </w:rPr>
          <w:fldChar w:fldCharType="separate"/>
        </w:r>
        <w:r>
          <w:rPr>
            <w:noProof/>
            <w:webHidden/>
          </w:rPr>
          <w:t>9</w:t>
        </w:r>
        <w:r w:rsidR="00324D46" w:rsidRPr="009B6BE8">
          <w:rPr>
            <w:noProof/>
            <w:webHidden/>
          </w:rPr>
          <w:fldChar w:fldCharType="end"/>
        </w:r>
      </w:hyperlink>
    </w:p>
    <w:p w14:paraId="12A4834A" w14:textId="3FCED0CA"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03" w:history="1">
        <w:r w:rsidR="00324D46" w:rsidRPr="009B6BE8">
          <w:rPr>
            <w:rStyle w:val="Hypertextovodkaz"/>
            <w:smallCaps/>
            <w:noProof/>
          </w:rPr>
          <w:t>3.1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 xml:space="preserve">Stručná charakteristika rozdílů analyzovaných modelů provozování </w:t>
        </w:r>
        <w:r w:rsidR="00324D46" w:rsidRPr="009B6BE8">
          <w:rPr>
            <w:rStyle w:val="Hypertextovodkaz"/>
            <w:smallCaps/>
            <w:noProof/>
          </w:rPr>
          <w:br/>
          <w:t>a jejich podskupin</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_Toc505684403 \h </w:instrText>
        </w:r>
        <w:r w:rsidR="00324D46" w:rsidRPr="009B6BE8">
          <w:rPr>
            <w:smallCaps/>
            <w:noProof/>
            <w:webHidden/>
          </w:rPr>
        </w:r>
        <w:r w:rsidR="00324D46" w:rsidRPr="009B6BE8">
          <w:rPr>
            <w:smallCaps/>
            <w:noProof/>
            <w:webHidden/>
          </w:rPr>
          <w:fldChar w:fldCharType="separate"/>
        </w:r>
        <w:r>
          <w:rPr>
            <w:smallCaps/>
            <w:noProof/>
            <w:webHidden/>
          </w:rPr>
          <w:t>9</w:t>
        </w:r>
        <w:r w:rsidR="00324D46" w:rsidRPr="009B6BE8">
          <w:rPr>
            <w:smallCaps/>
            <w:noProof/>
            <w:webHidden/>
          </w:rPr>
          <w:fldChar w:fldCharType="end"/>
        </w:r>
      </w:hyperlink>
    </w:p>
    <w:p w14:paraId="4C4D713E" w14:textId="16A6152D"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04" w:history="1">
        <w:r w:rsidR="00324D46" w:rsidRPr="009B6BE8">
          <w:rPr>
            <w:rStyle w:val="Hypertextovodkaz"/>
            <w:smallCaps/>
            <w:noProof/>
          </w:rPr>
          <w:t>3.2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 xml:space="preserve">Postup výpočtu skutečné dosažené výše prostředků na obnovu pro </w:t>
        </w:r>
        <w:r w:rsidR="00324D46" w:rsidRPr="009B6BE8">
          <w:rPr>
            <w:rStyle w:val="Hypertextovodkaz"/>
            <w:smallCaps/>
            <w:noProof/>
          </w:rPr>
          <w:br/>
          <w:t>jednotlivé modely provozování a jejich podskupiny</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_Toc505684404 \h </w:instrText>
        </w:r>
        <w:r w:rsidR="00324D46" w:rsidRPr="009B6BE8">
          <w:rPr>
            <w:smallCaps/>
            <w:noProof/>
            <w:webHidden/>
          </w:rPr>
        </w:r>
        <w:r w:rsidR="00324D46" w:rsidRPr="009B6BE8">
          <w:rPr>
            <w:smallCaps/>
            <w:noProof/>
            <w:webHidden/>
          </w:rPr>
          <w:fldChar w:fldCharType="separate"/>
        </w:r>
        <w:r>
          <w:rPr>
            <w:smallCaps/>
            <w:noProof/>
            <w:webHidden/>
          </w:rPr>
          <w:t>11</w:t>
        </w:r>
        <w:r w:rsidR="00324D46" w:rsidRPr="009B6BE8">
          <w:rPr>
            <w:smallCaps/>
            <w:noProof/>
            <w:webHidden/>
          </w:rPr>
          <w:fldChar w:fldCharType="end"/>
        </w:r>
      </w:hyperlink>
    </w:p>
    <w:p w14:paraId="51FE3CAD" w14:textId="7C870A81"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05" w:history="1">
        <w:r w:rsidR="00324D46" w:rsidRPr="009B6BE8">
          <w:rPr>
            <w:rStyle w:val="Hypertextovodkaz"/>
            <w:smallCaps/>
            <w:noProof/>
          </w:rPr>
          <w:t>3.3</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Problematika vyhodnocování obnovy a řádku 20 - Prostředky obnovy infrastrukturního majetku v Porovnání a další návaznosti na benchmarking vlastnických subjektů a možnosti využití údajů pro sledování obnovy VIM</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_Toc505684405 \h </w:instrText>
        </w:r>
        <w:r w:rsidR="00324D46" w:rsidRPr="009B6BE8">
          <w:rPr>
            <w:smallCaps/>
            <w:noProof/>
            <w:webHidden/>
          </w:rPr>
        </w:r>
        <w:r w:rsidR="00324D46" w:rsidRPr="009B6BE8">
          <w:rPr>
            <w:smallCaps/>
            <w:noProof/>
            <w:webHidden/>
          </w:rPr>
          <w:fldChar w:fldCharType="separate"/>
        </w:r>
        <w:r>
          <w:rPr>
            <w:smallCaps/>
            <w:noProof/>
            <w:webHidden/>
          </w:rPr>
          <w:t>12</w:t>
        </w:r>
        <w:r w:rsidR="00324D46" w:rsidRPr="009B6BE8">
          <w:rPr>
            <w:smallCaps/>
            <w:noProof/>
            <w:webHidden/>
          </w:rPr>
          <w:fldChar w:fldCharType="end"/>
        </w:r>
      </w:hyperlink>
    </w:p>
    <w:p w14:paraId="216A9AEE"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06" w:history="1">
        <w:r w:rsidR="00324D46" w:rsidRPr="009B6BE8">
          <w:rPr>
            <w:rStyle w:val="Hypertextovodkaz"/>
            <w:smallCaps/>
            <w:noProof/>
          </w:rPr>
          <w:t>3.4</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Úprava konstrukce ukazatele OKF – operační koeficient</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_Toc505684406 \h </w:instrText>
        </w:r>
        <w:r w:rsidR="00324D46" w:rsidRPr="009B6BE8">
          <w:rPr>
            <w:smallCaps/>
            <w:noProof/>
            <w:webHidden/>
          </w:rPr>
        </w:r>
        <w:r w:rsidR="00324D46" w:rsidRPr="009B6BE8">
          <w:rPr>
            <w:smallCaps/>
            <w:noProof/>
            <w:webHidden/>
          </w:rPr>
          <w:fldChar w:fldCharType="separate"/>
        </w:r>
        <w:r>
          <w:rPr>
            <w:smallCaps/>
            <w:noProof/>
            <w:webHidden/>
          </w:rPr>
          <w:t>13</w:t>
        </w:r>
        <w:r w:rsidR="00324D46" w:rsidRPr="009B6BE8">
          <w:rPr>
            <w:smallCaps/>
            <w:noProof/>
            <w:webHidden/>
          </w:rPr>
          <w:fldChar w:fldCharType="end"/>
        </w:r>
      </w:hyperlink>
    </w:p>
    <w:p w14:paraId="11C66D63"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07" w:history="1">
        <w:r w:rsidR="00324D46" w:rsidRPr="009B6BE8">
          <w:rPr>
            <w:rStyle w:val="Hypertextovodkaz"/>
            <w:smallCaps/>
            <w:noProof/>
          </w:rPr>
          <w:t>3.5</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Postup stanovení optimálního provozovatelského subjektu</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_Toc505684407 \h </w:instrText>
        </w:r>
        <w:r w:rsidR="00324D46" w:rsidRPr="009B6BE8">
          <w:rPr>
            <w:smallCaps/>
            <w:noProof/>
            <w:webHidden/>
          </w:rPr>
        </w:r>
        <w:r w:rsidR="00324D46" w:rsidRPr="009B6BE8">
          <w:rPr>
            <w:smallCaps/>
            <w:noProof/>
            <w:webHidden/>
          </w:rPr>
          <w:fldChar w:fldCharType="separate"/>
        </w:r>
        <w:r>
          <w:rPr>
            <w:smallCaps/>
            <w:noProof/>
            <w:webHidden/>
          </w:rPr>
          <w:t>13</w:t>
        </w:r>
        <w:r w:rsidR="00324D46" w:rsidRPr="009B6BE8">
          <w:rPr>
            <w:smallCaps/>
            <w:noProof/>
            <w:webHidden/>
          </w:rPr>
          <w:fldChar w:fldCharType="end"/>
        </w:r>
      </w:hyperlink>
    </w:p>
    <w:p w14:paraId="045F290A" w14:textId="77777777" w:rsidR="00324D46" w:rsidRPr="009B6BE8" w:rsidRDefault="004B51AE" w:rsidP="009B6BE8">
      <w:pPr>
        <w:pStyle w:val="Obsah1"/>
        <w:rPr>
          <w:rFonts w:asciiTheme="minorHAnsi" w:eastAsiaTheme="minorEastAsia" w:hAnsiTheme="minorHAnsi" w:cstheme="minorBidi"/>
          <w:noProof/>
          <w:sz w:val="22"/>
          <w:lang w:eastAsia="cs-CZ"/>
        </w:rPr>
      </w:pPr>
      <w:hyperlink w:anchor="_Toc505684408" w:history="1">
        <w:r w:rsidR="00324D46" w:rsidRPr="009B6BE8">
          <w:rPr>
            <w:rStyle w:val="Hypertextovodkaz"/>
            <w:smallCaps/>
            <w:noProof/>
          </w:rPr>
          <w:t>4.</w:t>
        </w:r>
        <w:r w:rsidR="00324D46" w:rsidRPr="009B6BE8">
          <w:rPr>
            <w:rFonts w:asciiTheme="minorHAnsi" w:eastAsiaTheme="minorEastAsia" w:hAnsiTheme="minorHAnsi" w:cstheme="minorBidi"/>
            <w:noProof/>
            <w:sz w:val="22"/>
            <w:lang w:eastAsia="cs-CZ"/>
          </w:rPr>
          <w:tab/>
        </w:r>
        <w:r w:rsidR="00324D46" w:rsidRPr="009B6BE8">
          <w:rPr>
            <w:rStyle w:val="Hypertextovodkaz"/>
            <w:smallCaps/>
            <w:noProof/>
          </w:rPr>
          <w:t>Proces vypracování zpráv z benchmarkingových projektů - řešení problematiky propojení dat</w:t>
        </w:r>
        <w:r w:rsidR="00324D46" w:rsidRPr="009B6BE8">
          <w:rPr>
            <w:noProof/>
            <w:webHidden/>
          </w:rPr>
          <w:tab/>
        </w:r>
        <w:r w:rsidR="00324D46" w:rsidRPr="009B6BE8">
          <w:rPr>
            <w:noProof/>
            <w:webHidden/>
          </w:rPr>
          <w:fldChar w:fldCharType="begin"/>
        </w:r>
        <w:r w:rsidR="00324D46" w:rsidRPr="009B6BE8">
          <w:rPr>
            <w:noProof/>
            <w:webHidden/>
          </w:rPr>
          <w:instrText xml:space="preserve"> PAGEREF _Toc505684408 \h </w:instrText>
        </w:r>
        <w:r w:rsidR="00324D46" w:rsidRPr="009B6BE8">
          <w:rPr>
            <w:noProof/>
            <w:webHidden/>
          </w:rPr>
        </w:r>
        <w:r w:rsidR="00324D46" w:rsidRPr="009B6BE8">
          <w:rPr>
            <w:noProof/>
            <w:webHidden/>
          </w:rPr>
          <w:fldChar w:fldCharType="separate"/>
        </w:r>
        <w:r>
          <w:rPr>
            <w:noProof/>
            <w:webHidden/>
          </w:rPr>
          <w:t>15</w:t>
        </w:r>
        <w:r w:rsidR="00324D46" w:rsidRPr="009B6BE8">
          <w:rPr>
            <w:noProof/>
            <w:webHidden/>
          </w:rPr>
          <w:fldChar w:fldCharType="end"/>
        </w:r>
      </w:hyperlink>
    </w:p>
    <w:p w14:paraId="51B60F57"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09" w:history="1">
        <w:r w:rsidR="00324D46" w:rsidRPr="009B6BE8">
          <w:rPr>
            <w:rStyle w:val="Hypertextovodkaz"/>
            <w:smallCaps/>
            <w:noProof/>
          </w:rPr>
          <w:t>4.1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Přehled počtu očištěných dat</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_Toc505684409 \h </w:instrText>
        </w:r>
        <w:r w:rsidR="00324D46" w:rsidRPr="009B6BE8">
          <w:rPr>
            <w:smallCaps/>
            <w:noProof/>
            <w:webHidden/>
          </w:rPr>
        </w:r>
        <w:r w:rsidR="00324D46" w:rsidRPr="009B6BE8">
          <w:rPr>
            <w:smallCaps/>
            <w:noProof/>
            <w:webHidden/>
          </w:rPr>
          <w:fldChar w:fldCharType="separate"/>
        </w:r>
        <w:r>
          <w:rPr>
            <w:smallCaps/>
            <w:noProof/>
            <w:webHidden/>
          </w:rPr>
          <w:t>16</w:t>
        </w:r>
        <w:r w:rsidR="00324D46" w:rsidRPr="009B6BE8">
          <w:rPr>
            <w:smallCaps/>
            <w:noProof/>
            <w:webHidden/>
          </w:rPr>
          <w:fldChar w:fldCharType="end"/>
        </w:r>
      </w:hyperlink>
    </w:p>
    <w:p w14:paraId="50776AF9"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10" w:history="1">
        <w:r w:rsidR="00324D46" w:rsidRPr="009B6BE8">
          <w:rPr>
            <w:rStyle w:val="Hypertextovodkaz"/>
            <w:smallCaps/>
            <w:noProof/>
          </w:rPr>
          <w:t>4.2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Důvody, které znemožňují použití dat pro benchmarking</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_Toc505684410 \h </w:instrText>
        </w:r>
        <w:r w:rsidR="00324D46" w:rsidRPr="009B6BE8">
          <w:rPr>
            <w:smallCaps/>
            <w:noProof/>
            <w:webHidden/>
          </w:rPr>
        </w:r>
        <w:r w:rsidR="00324D46" w:rsidRPr="009B6BE8">
          <w:rPr>
            <w:smallCaps/>
            <w:noProof/>
            <w:webHidden/>
          </w:rPr>
          <w:fldChar w:fldCharType="separate"/>
        </w:r>
        <w:r>
          <w:rPr>
            <w:smallCaps/>
            <w:noProof/>
            <w:webHidden/>
          </w:rPr>
          <w:t>17</w:t>
        </w:r>
        <w:r w:rsidR="00324D46" w:rsidRPr="009B6BE8">
          <w:rPr>
            <w:smallCaps/>
            <w:noProof/>
            <w:webHidden/>
          </w:rPr>
          <w:fldChar w:fldCharType="end"/>
        </w:r>
      </w:hyperlink>
    </w:p>
    <w:p w14:paraId="104FC1A7"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11" w:history="1">
        <w:r w:rsidR="00324D46" w:rsidRPr="009B6BE8">
          <w:rPr>
            <w:rStyle w:val="Hypertextovodkaz"/>
            <w:smallCaps/>
            <w:noProof/>
          </w:rPr>
          <w:t>4.2.1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Vodovod</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_Toc505684411 \h </w:instrText>
        </w:r>
        <w:r w:rsidR="00324D46" w:rsidRPr="009B6BE8">
          <w:rPr>
            <w:smallCaps/>
            <w:noProof/>
            <w:webHidden/>
          </w:rPr>
        </w:r>
        <w:r w:rsidR="00324D46" w:rsidRPr="009B6BE8">
          <w:rPr>
            <w:smallCaps/>
            <w:noProof/>
            <w:webHidden/>
          </w:rPr>
          <w:fldChar w:fldCharType="separate"/>
        </w:r>
        <w:r>
          <w:rPr>
            <w:smallCaps/>
            <w:noProof/>
            <w:webHidden/>
          </w:rPr>
          <w:t>18</w:t>
        </w:r>
        <w:r w:rsidR="00324D46" w:rsidRPr="009B6BE8">
          <w:rPr>
            <w:smallCaps/>
            <w:noProof/>
            <w:webHidden/>
          </w:rPr>
          <w:fldChar w:fldCharType="end"/>
        </w:r>
      </w:hyperlink>
    </w:p>
    <w:p w14:paraId="5EC4EC6C"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12" w:history="1">
        <w:r w:rsidR="00324D46" w:rsidRPr="009B6BE8">
          <w:rPr>
            <w:rStyle w:val="Hypertextovodkaz"/>
            <w:smallCaps/>
            <w:noProof/>
          </w:rPr>
          <w:t>4.2.2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Kanalizace</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_Toc505684412 \h </w:instrText>
        </w:r>
        <w:r w:rsidR="00324D46" w:rsidRPr="009B6BE8">
          <w:rPr>
            <w:smallCaps/>
            <w:noProof/>
            <w:webHidden/>
          </w:rPr>
        </w:r>
        <w:r w:rsidR="00324D46" w:rsidRPr="009B6BE8">
          <w:rPr>
            <w:smallCaps/>
            <w:noProof/>
            <w:webHidden/>
          </w:rPr>
          <w:fldChar w:fldCharType="separate"/>
        </w:r>
        <w:r>
          <w:rPr>
            <w:smallCaps/>
            <w:noProof/>
            <w:webHidden/>
          </w:rPr>
          <w:t>18</w:t>
        </w:r>
        <w:r w:rsidR="00324D46" w:rsidRPr="009B6BE8">
          <w:rPr>
            <w:smallCaps/>
            <w:noProof/>
            <w:webHidden/>
          </w:rPr>
          <w:fldChar w:fldCharType="end"/>
        </w:r>
      </w:hyperlink>
    </w:p>
    <w:p w14:paraId="43AED363"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13" w:history="1">
        <w:r w:rsidR="00324D46" w:rsidRPr="009B6BE8">
          <w:rPr>
            <w:rStyle w:val="Hypertextovodkaz"/>
            <w:smallCaps/>
            <w:noProof/>
          </w:rPr>
          <w:t>4.3</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Rozdělení Porovnání do vlastnických a provozovatelských skupin</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_Toc505684413 \h </w:instrText>
        </w:r>
        <w:r w:rsidR="00324D46" w:rsidRPr="009B6BE8">
          <w:rPr>
            <w:smallCaps/>
            <w:noProof/>
            <w:webHidden/>
          </w:rPr>
        </w:r>
        <w:r w:rsidR="00324D46" w:rsidRPr="009B6BE8">
          <w:rPr>
            <w:smallCaps/>
            <w:noProof/>
            <w:webHidden/>
          </w:rPr>
          <w:fldChar w:fldCharType="separate"/>
        </w:r>
        <w:r>
          <w:rPr>
            <w:smallCaps/>
            <w:noProof/>
            <w:webHidden/>
          </w:rPr>
          <w:t>18</w:t>
        </w:r>
        <w:r w:rsidR="00324D46" w:rsidRPr="009B6BE8">
          <w:rPr>
            <w:smallCaps/>
            <w:noProof/>
            <w:webHidden/>
          </w:rPr>
          <w:fldChar w:fldCharType="end"/>
        </w:r>
      </w:hyperlink>
    </w:p>
    <w:p w14:paraId="24F042E0"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14" w:history="1">
        <w:r w:rsidR="00324D46" w:rsidRPr="009B6BE8">
          <w:rPr>
            <w:rStyle w:val="Hypertextovodkaz"/>
            <w:smallCaps/>
            <w:noProof/>
          </w:rPr>
          <w:t>4.3.1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Skupiny vlastnického benchmarkingu</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_Toc505684414 \h </w:instrText>
        </w:r>
        <w:r w:rsidR="00324D46" w:rsidRPr="009B6BE8">
          <w:rPr>
            <w:smallCaps/>
            <w:noProof/>
            <w:webHidden/>
          </w:rPr>
        </w:r>
        <w:r w:rsidR="00324D46" w:rsidRPr="009B6BE8">
          <w:rPr>
            <w:smallCaps/>
            <w:noProof/>
            <w:webHidden/>
          </w:rPr>
          <w:fldChar w:fldCharType="separate"/>
        </w:r>
        <w:r>
          <w:rPr>
            <w:smallCaps/>
            <w:noProof/>
            <w:webHidden/>
          </w:rPr>
          <w:t>18</w:t>
        </w:r>
        <w:r w:rsidR="00324D46" w:rsidRPr="009B6BE8">
          <w:rPr>
            <w:smallCaps/>
            <w:noProof/>
            <w:webHidden/>
          </w:rPr>
          <w:fldChar w:fldCharType="end"/>
        </w:r>
      </w:hyperlink>
    </w:p>
    <w:p w14:paraId="304250E9"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15" w:history="1">
        <w:r w:rsidR="00324D46" w:rsidRPr="009B6BE8">
          <w:rPr>
            <w:rStyle w:val="Hypertextovodkaz"/>
            <w:smallCaps/>
            <w:noProof/>
          </w:rPr>
          <w:t>4.3.2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Skupiny provozovatelského benchmarkingu</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_Toc505684415 \h </w:instrText>
        </w:r>
        <w:r w:rsidR="00324D46" w:rsidRPr="009B6BE8">
          <w:rPr>
            <w:smallCaps/>
            <w:noProof/>
            <w:webHidden/>
          </w:rPr>
        </w:r>
        <w:r w:rsidR="00324D46" w:rsidRPr="009B6BE8">
          <w:rPr>
            <w:smallCaps/>
            <w:noProof/>
            <w:webHidden/>
          </w:rPr>
          <w:fldChar w:fldCharType="separate"/>
        </w:r>
        <w:r>
          <w:rPr>
            <w:smallCaps/>
            <w:noProof/>
            <w:webHidden/>
          </w:rPr>
          <w:t>19</w:t>
        </w:r>
        <w:r w:rsidR="00324D46" w:rsidRPr="009B6BE8">
          <w:rPr>
            <w:smallCaps/>
            <w:noProof/>
            <w:webHidden/>
          </w:rPr>
          <w:fldChar w:fldCharType="end"/>
        </w:r>
      </w:hyperlink>
    </w:p>
    <w:p w14:paraId="7B26C3B2" w14:textId="77777777" w:rsidR="00324D46" w:rsidRPr="009B6BE8" w:rsidRDefault="004B51AE" w:rsidP="009B6BE8">
      <w:pPr>
        <w:pStyle w:val="Obsah1"/>
        <w:rPr>
          <w:rFonts w:asciiTheme="minorHAnsi" w:eastAsiaTheme="minorEastAsia" w:hAnsiTheme="minorHAnsi" w:cstheme="minorBidi"/>
          <w:noProof/>
          <w:sz w:val="22"/>
          <w:lang w:eastAsia="cs-CZ"/>
        </w:rPr>
      </w:pPr>
      <w:hyperlink w:anchor="_Toc505684416" w:history="1">
        <w:r w:rsidR="00324D46" w:rsidRPr="009B6BE8">
          <w:rPr>
            <w:rStyle w:val="Hypertextovodkaz"/>
            <w:smallCaps/>
            <w:noProof/>
          </w:rPr>
          <w:t>5.</w:t>
        </w:r>
        <w:r w:rsidR="00324D46" w:rsidRPr="009B6BE8">
          <w:rPr>
            <w:rFonts w:asciiTheme="minorHAnsi" w:eastAsiaTheme="minorEastAsia" w:hAnsiTheme="minorHAnsi" w:cstheme="minorBidi"/>
            <w:noProof/>
            <w:sz w:val="22"/>
            <w:lang w:eastAsia="cs-CZ"/>
          </w:rPr>
          <w:tab/>
        </w:r>
        <w:r w:rsidR="00324D46" w:rsidRPr="009B6BE8">
          <w:rPr>
            <w:rStyle w:val="Hypertextovodkaz"/>
            <w:smallCaps/>
            <w:noProof/>
          </w:rPr>
          <w:t>Benchmarking vlastnických subjektů 2016</w:t>
        </w:r>
        <w:r w:rsidR="00324D46" w:rsidRPr="009B6BE8">
          <w:rPr>
            <w:noProof/>
            <w:webHidden/>
          </w:rPr>
          <w:tab/>
        </w:r>
        <w:r w:rsidR="00324D46" w:rsidRPr="009B6BE8">
          <w:rPr>
            <w:noProof/>
            <w:webHidden/>
          </w:rPr>
          <w:fldChar w:fldCharType="begin"/>
        </w:r>
        <w:r w:rsidR="00324D46" w:rsidRPr="009B6BE8">
          <w:rPr>
            <w:noProof/>
            <w:webHidden/>
          </w:rPr>
          <w:instrText xml:space="preserve"> PAGEREF _Toc505684416 \h </w:instrText>
        </w:r>
        <w:r w:rsidR="00324D46" w:rsidRPr="009B6BE8">
          <w:rPr>
            <w:noProof/>
            <w:webHidden/>
          </w:rPr>
        </w:r>
        <w:r w:rsidR="00324D46" w:rsidRPr="009B6BE8">
          <w:rPr>
            <w:noProof/>
            <w:webHidden/>
          </w:rPr>
          <w:fldChar w:fldCharType="separate"/>
        </w:r>
        <w:r>
          <w:rPr>
            <w:noProof/>
            <w:webHidden/>
          </w:rPr>
          <w:t>21</w:t>
        </w:r>
        <w:r w:rsidR="00324D46" w:rsidRPr="009B6BE8">
          <w:rPr>
            <w:noProof/>
            <w:webHidden/>
          </w:rPr>
          <w:fldChar w:fldCharType="end"/>
        </w:r>
      </w:hyperlink>
    </w:p>
    <w:p w14:paraId="192E87B1"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17" w:history="1">
        <w:r w:rsidR="00324D46" w:rsidRPr="009B6BE8">
          <w:rPr>
            <w:rStyle w:val="Hypertextovodkaz"/>
            <w:smallCaps/>
            <w:noProof/>
          </w:rPr>
          <w:t>5.1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Cíl zprávy</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_Toc505684417 \h </w:instrText>
        </w:r>
        <w:r w:rsidR="00324D46" w:rsidRPr="009B6BE8">
          <w:rPr>
            <w:smallCaps/>
            <w:noProof/>
            <w:webHidden/>
          </w:rPr>
        </w:r>
        <w:r w:rsidR="00324D46" w:rsidRPr="009B6BE8">
          <w:rPr>
            <w:smallCaps/>
            <w:noProof/>
            <w:webHidden/>
          </w:rPr>
          <w:fldChar w:fldCharType="separate"/>
        </w:r>
        <w:r>
          <w:rPr>
            <w:smallCaps/>
            <w:noProof/>
            <w:webHidden/>
          </w:rPr>
          <w:t>21</w:t>
        </w:r>
        <w:r w:rsidR="00324D46" w:rsidRPr="009B6BE8">
          <w:rPr>
            <w:smallCaps/>
            <w:noProof/>
            <w:webHidden/>
          </w:rPr>
          <w:fldChar w:fldCharType="end"/>
        </w:r>
      </w:hyperlink>
    </w:p>
    <w:p w14:paraId="291846E0"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18" w:history="1">
        <w:r w:rsidR="00324D46" w:rsidRPr="009B6BE8">
          <w:rPr>
            <w:rStyle w:val="Hypertextovodkaz"/>
            <w:smallCaps/>
            <w:noProof/>
          </w:rPr>
          <w:t>5.2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Identifikované anomálie</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_Toc505684418 \h </w:instrText>
        </w:r>
        <w:r w:rsidR="00324D46" w:rsidRPr="009B6BE8">
          <w:rPr>
            <w:smallCaps/>
            <w:noProof/>
            <w:webHidden/>
          </w:rPr>
        </w:r>
        <w:r w:rsidR="00324D46" w:rsidRPr="009B6BE8">
          <w:rPr>
            <w:smallCaps/>
            <w:noProof/>
            <w:webHidden/>
          </w:rPr>
          <w:fldChar w:fldCharType="separate"/>
        </w:r>
        <w:r>
          <w:rPr>
            <w:smallCaps/>
            <w:noProof/>
            <w:webHidden/>
          </w:rPr>
          <w:t>21</w:t>
        </w:r>
        <w:r w:rsidR="00324D46" w:rsidRPr="009B6BE8">
          <w:rPr>
            <w:smallCaps/>
            <w:noProof/>
            <w:webHidden/>
          </w:rPr>
          <w:fldChar w:fldCharType="end"/>
        </w:r>
      </w:hyperlink>
    </w:p>
    <w:p w14:paraId="2363D459"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19" w:history="1">
        <w:r w:rsidR="00324D46" w:rsidRPr="009B6BE8">
          <w:rPr>
            <w:rStyle w:val="Hypertextovodkaz"/>
            <w:smallCaps/>
            <w:noProof/>
          </w:rPr>
          <w:t>5.2.1</w:t>
        </w:r>
        <w:r w:rsidR="00324D46" w:rsidRPr="009B6BE8">
          <w:rPr>
            <w:rFonts w:asciiTheme="minorHAnsi" w:eastAsiaTheme="minorEastAsia" w:hAnsiTheme="minorHAnsi" w:cstheme="minorBidi"/>
            <w:smallCaps/>
            <w:noProof/>
            <w:sz w:val="22"/>
            <w:lang w:eastAsia="cs-CZ"/>
          </w:rPr>
          <w:tab/>
        </w:r>
        <w:r w:rsidR="00324D46" w:rsidRPr="009B6BE8">
          <w:rPr>
            <w:rStyle w:val="Hypertextovodkaz"/>
            <w:rFonts w:eastAsia="Calibri Light"/>
            <w:smallCaps/>
            <w:noProof/>
          </w:rPr>
          <w:t>Vodovod</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_Toc505684419 \h </w:instrText>
        </w:r>
        <w:r w:rsidR="00324D46" w:rsidRPr="009B6BE8">
          <w:rPr>
            <w:smallCaps/>
            <w:noProof/>
            <w:webHidden/>
          </w:rPr>
        </w:r>
        <w:r w:rsidR="00324D46" w:rsidRPr="009B6BE8">
          <w:rPr>
            <w:smallCaps/>
            <w:noProof/>
            <w:webHidden/>
          </w:rPr>
          <w:fldChar w:fldCharType="separate"/>
        </w:r>
        <w:r>
          <w:rPr>
            <w:smallCaps/>
            <w:noProof/>
            <w:webHidden/>
          </w:rPr>
          <w:t>21</w:t>
        </w:r>
        <w:r w:rsidR="00324D46" w:rsidRPr="009B6BE8">
          <w:rPr>
            <w:smallCaps/>
            <w:noProof/>
            <w:webHidden/>
          </w:rPr>
          <w:fldChar w:fldCharType="end"/>
        </w:r>
      </w:hyperlink>
    </w:p>
    <w:p w14:paraId="47D60D0F"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20" w:history="1">
        <w:r w:rsidR="00324D46" w:rsidRPr="009B6BE8">
          <w:rPr>
            <w:rStyle w:val="Hypertextovodkaz"/>
            <w:smallCaps/>
            <w:noProof/>
          </w:rPr>
          <w:t>5.2.2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Nedostatečná tvorba prostředků na obnovu</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_Toc505684420 \h </w:instrText>
        </w:r>
        <w:r w:rsidR="00324D46" w:rsidRPr="009B6BE8">
          <w:rPr>
            <w:smallCaps/>
            <w:noProof/>
            <w:webHidden/>
          </w:rPr>
        </w:r>
        <w:r w:rsidR="00324D46" w:rsidRPr="009B6BE8">
          <w:rPr>
            <w:smallCaps/>
            <w:noProof/>
            <w:webHidden/>
          </w:rPr>
          <w:fldChar w:fldCharType="separate"/>
        </w:r>
        <w:r>
          <w:rPr>
            <w:smallCaps/>
            <w:noProof/>
            <w:webHidden/>
          </w:rPr>
          <w:t>26</w:t>
        </w:r>
        <w:r w:rsidR="00324D46" w:rsidRPr="009B6BE8">
          <w:rPr>
            <w:smallCaps/>
            <w:noProof/>
            <w:webHidden/>
          </w:rPr>
          <w:fldChar w:fldCharType="end"/>
        </w:r>
      </w:hyperlink>
    </w:p>
    <w:p w14:paraId="79BFD129"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21" w:history="1">
        <w:r w:rsidR="00324D46" w:rsidRPr="009B6BE8">
          <w:rPr>
            <w:rStyle w:val="Hypertextovodkaz"/>
            <w:smallCaps/>
            <w:noProof/>
          </w:rPr>
          <w:t>5.2.3</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Výskyt anomálii v jednotlivých skupinách vlastníků</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_Toc505684421 \h </w:instrText>
        </w:r>
        <w:r w:rsidR="00324D46" w:rsidRPr="009B6BE8">
          <w:rPr>
            <w:smallCaps/>
            <w:noProof/>
            <w:webHidden/>
          </w:rPr>
        </w:r>
        <w:r w:rsidR="00324D46" w:rsidRPr="009B6BE8">
          <w:rPr>
            <w:smallCaps/>
            <w:noProof/>
            <w:webHidden/>
          </w:rPr>
          <w:fldChar w:fldCharType="separate"/>
        </w:r>
        <w:r>
          <w:rPr>
            <w:smallCaps/>
            <w:noProof/>
            <w:webHidden/>
          </w:rPr>
          <w:t>27</w:t>
        </w:r>
        <w:r w:rsidR="00324D46" w:rsidRPr="009B6BE8">
          <w:rPr>
            <w:smallCaps/>
            <w:noProof/>
            <w:webHidden/>
          </w:rPr>
          <w:fldChar w:fldCharType="end"/>
        </w:r>
      </w:hyperlink>
    </w:p>
    <w:p w14:paraId="4EC8147E"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22" w:history="1">
        <w:r w:rsidR="00324D46" w:rsidRPr="009B6BE8">
          <w:rPr>
            <w:rStyle w:val="Hypertextovodkaz"/>
            <w:smallCaps/>
            <w:noProof/>
          </w:rPr>
          <w:t>5.2.4</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Kanalizace</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_Toc505684422 \h </w:instrText>
        </w:r>
        <w:r w:rsidR="00324D46" w:rsidRPr="009B6BE8">
          <w:rPr>
            <w:smallCaps/>
            <w:noProof/>
            <w:webHidden/>
          </w:rPr>
        </w:r>
        <w:r w:rsidR="00324D46" w:rsidRPr="009B6BE8">
          <w:rPr>
            <w:smallCaps/>
            <w:noProof/>
            <w:webHidden/>
          </w:rPr>
          <w:fldChar w:fldCharType="separate"/>
        </w:r>
        <w:r>
          <w:rPr>
            <w:smallCaps/>
            <w:noProof/>
            <w:webHidden/>
          </w:rPr>
          <w:t>31</w:t>
        </w:r>
        <w:r w:rsidR="00324D46" w:rsidRPr="009B6BE8">
          <w:rPr>
            <w:smallCaps/>
            <w:noProof/>
            <w:webHidden/>
          </w:rPr>
          <w:fldChar w:fldCharType="end"/>
        </w:r>
      </w:hyperlink>
    </w:p>
    <w:p w14:paraId="6CC716B0"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23" w:history="1">
        <w:r w:rsidR="00324D46" w:rsidRPr="009B6BE8">
          <w:rPr>
            <w:rStyle w:val="Hypertextovodkaz"/>
            <w:smallCaps/>
            <w:noProof/>
          </w:rPr>
          <w:t>5.2.5</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Nedostatečná tvorba prostředků na obnovu</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_Toc505684423 \h </w:instrText>
        </w:r>
        <w:r w:rsidR="00324D46" w:rsidRPr="009B6BE8">
          <w:rPr>
            <w:smallCaps/>
            <w:noProof/>
            <w:webHidden/>
          </w:rPr>
        </w:r>
        <w:r w:rsidR="00324D46" w:rsidRPr="009B6BE8">
          <w:rPr>
            <w:smallCaps/>
            <w:noProof/>
            <w:webHidden/>
          </w:rPr>
          <w:fldChar w:fldCharType="separate"/>
        </w:r>
        <w:r>
          <w:rPr>
            <w:smallCaps/>
            <w:noProof/>
            <w:webHidden/>
          </w:rPr>
          <w:t>36</w:t>
        </w:r>
        <w:r w:rsidR="00324D46" w:rsidRPr="009B6BE8">
          <w:rPr>
            <w:smallCaps/>
            <w:noProof/>
            <w:webHidden/>
          </w:rPr>
          <w:fldChar w:fldCharType="end"/>
        </w:r>
      </w:hyperlink>
    </w:p>
    <w:p w14:paraId="2CBE53E0"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24" w:history="1">
        <w:r w:rsidR="00324D46" w:rsidRPr="009B6BE8">
          <w:rPr>
            <w:rStyle w:val="Hypertextovodkaz"/>
            <w:smallCaps/>
            <w:noProof/>
          </w:rPr>
          <w:t>5.2.6</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Výskyt anomálii v jednotlivých skupinách vlastníků</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_Toc505684424 \h </w:instrText>
        </w:r>
        <w:r w:rsidR="00324D46" w:rsidRPr="009B6BE8">
          <w:rPr>
            <w:smallCaps/>
            <w:noProof/>
            <w:webHidden/>
          </w:rPr>
        </w:r>
        <w:r w:rsidR="00324D46" w:rsidRPr="009B6BE8">
          <w:rPr>
            <w:smallCaps/>
            <w:noProof/>
            <w:webHidden/>
          </w:rPr>
          <w:fldChar w:fldCharType="separate"/>
        </w:r>
        <w:r>
          <w:rPr>
            <w:smallCaps/>
            <w:noProof/>
            <w:webHidden/>
          </w:rPr>
          <w:t>37</w:t>
        </w:r>
        <w:r w:rsidR="00324D46" w:rsidRPr="009B6BE8">
          <w:rPr>
            <w:smallCaps/>
            <w:noProof/>
            <w:webHidden/>
          </w:rPr>
          <w:fldChar w:fldCharType="end"/>
        </w:r>
      </w:hyperlink>
    </w:p>
    <w:p w14:paraId="1CA48E9F"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25" w:history="1">
        <w:r w:rsidR="00324D46" w:rsidRPr="009B6BE8">
          <w:rPr>
            <w:rStyle w:val="Hypertextovodkaz"/>
            <w:rFonts w:eastAsia="Calibri Light"/>
            <w:smallCaps/>
            <w:noProof/>
          </w:rPr>
          <w:t>5.3</w:t>
        </w:r>
        <w:r w:rsidR="00324D46" w:rsidRPr="009B6BE8">
          <w:rPr>
            <w:rFonts w:asciiTheme="minorHAnsi" w:eastAsiaTheme="minorEastAsia" w:hAnsiTheme="minorHAnsi" w:cstheme="minorBidi"/>
            <w:smallCaps/>
            <w:noProof/>
            <w:sz w:val="22"/>
            <w:lang w:eastAsia="cs-CZ"/>
          </w:rPr>
          <w:tab/>
        </w:r>
        <w:r w:rsidR="00324D46" w:rsidRPr="009B6BE8">
          <w:rPr>
            <w:rStyle w:val="Hypertextovodkaz"/>
            <w:rFonts w:eastAsia="Calibri Light"/>
            <w:smallCaps/>
            <w:noProof/>
          </w:rPr>
          <w:t>Závěry benchmarkingového projektu vlastnických subjektů za rok 2016</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_Toc505684425 \h </w:instrText>
        </w:r>
        <w:r w:rsidR="00324D46" w:rsidRPr="009B6BE8">
          <w:rPr>
            <w:smallCaps/>
            <w:noProof/>
            <w:webHidden/>
          </w:rPr>
        </w:r>
        <w:r w:rsidR="00324D46" w:rsidRPr="009B6BE8">
          <w:rPr>
            <w:smallCaps/>
            <w:noProof/>
            <w:webHidden/>
          </w:rPr>
          <w:fldChar w:fldCharType="separate"/>
        </w:r>
        <w:r>
          <w:rPr>
            <w:smallCaps/>
            <w:noProof/>
            <w:webHidden/>
          </w:rPr>
          <w:t>40</w:t>
        </w:r>
        <w:r w:rsidR="00324D46" w:rsidRPr="009B6BE8">
          <w:rPr>
            <w:smallCaps/>
            <w:noProof/>
            <w:webHidden/>
          </w:rPr>
          <w:fldChar w:fldCharType="end"/>
        </w:r>
      </w:hyperlink>
    </w:p>
    <w:p w14:paraId="70001FDB"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26" w:history="1">
        <w:r w:rsidR="00324D46" w:rsidRPr="009B6BE8">
          <w:rPr>
            <w:rStyle w:val="Hypertextovodkaz"/>
            <w:smallCaps/>
            <w:noProof/>
          </w:rPr>
          <w:t>5.3.1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SWOT analýza</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_Toc505684426 \h </w:instrText>
        </w:r>
        <w:r w:rsidR="00324D46" w:rsidRPr="009B6BE8">
          <w:rPr>
            <w:smallCaps/>
            <w:noProof/>
            <w:webHidden/>
          </w:rPr>
        </w:r>
        <w:r w:rsidR="00324D46" w:rsidRPr="009B6BE8">
          <w:rPr>
            <w:smallCaps/>
            <w:noProof/>
            <w:webHidden/>
          </w:rPr>
          <w:fldChar w:fldCharType="separate"/>
        </w:r>
        <w:r>
          <w:rPr>
            <w:smallCaps/>
            <w:noProof/>
            <w:webHidden/>
          </w:rPr>
          <w:t>40</w:t>
        </w:r>
        <w:r w:rsidR="00324D46" w:rsidRPr="009B6BE8">
          <w:rPr>
            <w:smallCaps/>
            <w:noProof/>
            <w:webHidden/>
          </w:rPr>
          <w:fldChar w:fldCharType="end"/>
        </w:r>
      </w:hyperlink>
    </w:p>
    <w:p w14:paraId="4FD31A4E"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27" w:history="1">
        <w:r w:rsidR="00324D46" w:rsidRPr="009B6BE8">
          <w:rPr>
            <w:rStyle w:val="Hypertextovodkaz"/>
            <w:smallCaps/>
            <w:noProof/>
          </w:rPr>
          <w:t>5.3.2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Závěr, zhodnocení a návrh dalšího postupu</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_Toc505684427 \h </w:instrText>
        </w:r>
        <w:r w:rsidR="00324D46" w:rsidRPr="009B6BE8">
          <w:rPr>
            <w:smallCaps/>
            <w:noProof/>
            <w:webHidden/>
          </w:rPr>
        </w:r>
        <w:r w:rsidR="00324D46" w:rsidRPr="009B6BE8">
          <w:rPr>
            <w:smallCaps/>
            <w:noProof/>
            <w:webHidden/>
          </w:rPr>
          <w:fldChar w:fldCharType="separate"/>
        </w:r>
        <w:r>
          <w:rPr>
            <w:smallCaps/>
            <w:noProof/>
            <w:webHidden/>
          </w:rPr>
          <w:t>41</w:t>
        </w:r>
        <w:r w:rsidR="00324D46" w:rsidRPr="009B6BE8">
          <w:rPr>
            <w:smallCaps/>
            <w:noProof/>
            <w:webHidden/>
          </w:rPr>
          <w:fldChar w:fldCharType="end"/>
        </w:r>
      </w:hyperlink>
    </w:p>
    <w:p w14:paraId="70A50504" w14:textId="77777777" w:rsidR="00324D46" w:rsidRPr="009B6BE8" w:rsidRDefault="004B51AE" w:rsidP="009B6BE8">
      <w:pPr>
        <w:pStyle w:val="Obsah1"/>
        <w:rPr>
          <w:rFonts w:asciiTheme="minorHAnsi" w:eastAsiaTheme="minorEastAsia" w:hAnsiTheme="minorHAnsi" w:cstheme="minorBidi"/>
          <w:noProof/>
          <w:sz w:val="22"/>
          <w:lang w:eastAsia="cs-CZ"/>
        </w:rPr>
      </w:pPr>
      <w:hyperlink w:anchor="_Toc505684428" w:history="1">
        <w:r w:rsidR="00324D46" w:rsidRPr="009B6BE8">
          <w:rPr>
            <w:rStyle w:val="Hypertextovodkaz"/>
            <w:smallCaps/>
            <w:noProof/>
          </w:rPr>
          <w:t>6.</w:t>
        </w:r>
        <w:r w:rsidR="00324D46" w:rsidRPr="009B6BE8">
          <w:rPr>
            <w:rFonts w:asciiTheme="minorHAnsi" w:eastAsiaTheme="minorEastAsia" w:hAnsiTheme="minorHAnsi" w:cstheme="minorBidi"/>
            <w:noProof/>
            <w:sz w:val="22"/>
            <w:lang w:eastAsia="cs-CZ"/>
          </w:rPr>
          <w:tab/>
        </w:r>
        <w:r w:rsidR="00324D46" w:rsidRPr="009B6BE8">
          <w:rPr>
            <w:rStyle w:val="Hypertextovodkaz"/>
            <w:smallCaps/>
            <w:noProof/>
          </w:rPr>
          <w:t>Benchmarking provozovatelských subjektů 2016</w:t>
        </w:r>
        <w:r w:rsidR="00324D46" w:rsidRPr="009B6BE8">
          <w:rPr>
            <w:noProof/>
            <w:webHidden/>
          </w:rPr>
          <w:tab/>
        </w:r>
        <w:r w:rsidR="00324D46" w:rsidRPr="009B6BE8">
          <w:rPr>
            <w:noProof/>
            <w:webHidden/>
          </w:rPr>
          <w:fldChar w:fldCharType="begin"/>
        </w:r>
        <w:r w:rsidR="00324D46" w:rsidRPr="009B6BE8">
          <w:rPr>
            <w:noProof/>
            <w:webHidden/>
          </w:rPr>
          <w:instrText xml:space="preserve"> PAGEREF _Toc505684428 \h </w:instrText>
        </w:r>
        <w:r w:rsidR="00324D46" w:rsidRPr="009B6BE8">
          <w:rPr>
            <w:noProof/>
            <w:webHidden/>
          </w:rPr>
        </w:r>
        <w:r w:rsidR="00324D46" w:rsidRPr="009B6BE8">
          <w:rPr>
            <w:noProof/>
            <w:webHidden/>
          </w:rPr>
          <w:fldChar w:fldCharType="separate"/>
        </w:r>
        <w:r>
          <w:rPr>
            <w:noProof/>
            <w:webHidden/>
          </w:rPr>
          <w:t>43</w:t>
        </w:r>
        <w:r w:rsidR="00324D46" w:rsidRPr="009B6BE8">
          <w:rPr>
            <w:noProof/>
            <w:webHidden/>
          </w:rPr>
          <w:fldChar w:fldCharType="end"/>
        </w:r>
      </w:hyperlink>
    </w:p>
    <w:p w14:paraId="05BE4CC3"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29" w:history="1">
        <w:r w:rsidR="00324D46" w:rsidRPr="009B6BE8">
          <w:rPr>
            <w:rStyle w:val="Hypertextovodkaz"/>
            <w:smallCaps/>
            <w:noProof/>
          </w:rPr>
          <w:t>6.1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Cíl zprávy</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_Toc505684429 \h </w:instrText>
        </w:r>
        <w:r w:rsidR="00324D46" w:rsidRPr="009B6BE8">
          <w:rPr>
            <w:smallCaps/>
            <w:noProof/>
            <w:webHidden/>
          </w:rPr>
        </w:r>
        <w:r w:rsidR="00324D46" w:rsidRPr="009B6BE8">
          <w:rPr>
            <w:smallCaps/>
            <w:noProof/>
            <w:webHidden/>
          </w:rPr>
          <w:fldChar w:fldCharType="separate"/>
        </w:r>
        <w:r>
          <w:rPr>
            <w:smallCaps/>
            <w:noProof/>
            <w:webHidden/>
          </w:rPr>
          <w:t>43</w:t>
        </w:r>
        <w:r w:rsidR="00324D46" w:rsidRPr="009B6BE8">
          <w:rPr>
            <w:smallCaps/>
            <w:noProof/>
            <w:webHidden/>
          </w:rPr>
          <w:fldChar w:fldCharType="end"/>
        </w:r>
      </w:hyperlink>
    </w:p>
    <w:p w14:paraId="7093944D"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30" w:history="1">
        <w:r w:rsidR="00324D46" w:rsidRPr="009B6BE8">
          <w:rPr>
            <w:rStyle w:val="Hypertextovodkaz"/>
            <w:smallCaps/>
            <w:noProof/>
          </w:rPr>
          <w:t>6.2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Identifikované anomálie</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_Toc505684430 \h </w:instrText>
        </w:r>
        <w:r w:rsidR="00324D46" w:rsidRPr="009B6BE8">
          <w:rPr>
            <w:smallCaps/>
            <w:noProof/>
            <w:webHidden/>
          </w:rPr>
        </w:r>
        <w:r w:rsidR="00324D46" w:rsidRPr="009B6BE8">
          <w:rPr>
            <w:smallCaps/>
            <w:noProof/>
            <w:webHidden/>
          </w:rPr>
          <w:fldChar w:fldCharType="separate"/>
        </w:r>
        <w:r>
          <w:rPr>
            <w:smallCaps/>
            <w:noProof/>
            <w:webHidden/>
          </w:rPr>
          <w:t>43</w:t>
        </w:r>
        <w:r w:rsidR="00324D46" w:rsidRPr="009B6BE8">
          <w:rPr>
            <w:smallCaps/>
            <w:noProof/>
            <w:webHidden/>
          </w:rPr>
          <w:fldChar w:fldCharType="end"/>
        </w:r>
      </w:hyperlink>
    </w:p>
    <w:p w14:paraId="68AD4867"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31" w:history="1">
        <w:r w:rsidR="00324D46" w:rsidRPr="009B6BE8">
          <w:rPr>
            <w:rStyle w:val="Hypertextovodkaz"/>
            <w:rFonts w:eastAsia="Calibri Light"/>
            <w:smallCaps/>
            <w:noProof/>
          </w:rPr>
          <w:t>6.2.1</w:t>
        </w:r>
        <w:r w:rsidR="00324D46" w:rsidRPr="009B6BE8">
          <w:rPr>
            <w:rFonts w:asciiTheme="minorHAnsi" w:eastAsiaTheme="minorEastAsia" w:hAnsiTheme="minorHAnsi" w:cstheme="minorBidi"/>
            <w:smallCaps/>
            <w:noProof/>
            <w:sz w:val="22"/>
            <w:lang w:eastAsia="cs-CZ"/>
          </w:rPr>
          <w:tab/>
        </w:r>
        <w:r w:rsidR="00324D46" w:rsidRPr="009B6BE8">
          <w:rPr>
            <w:rStyle w:val="Hypertextovodkaz"/>
            <w:rFonts w:eastAsia="Calibri Light"/>
            <w:smallCaps/>
            <w:noProof/>
          </w:rPr>
          <w:t>Vodovod</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_Toc505684431 \h </w:instrText>
        </w:r>
        <w:r w:rsidR="00324D46" w:rsidRPr="009B6BE8">
          <w:rPr>
            <w:smallCaps/>
            <w:noProof/>
            <w:webHidden/>
          </w:rPr>
        </w:r>
        <w:r w:rsidR="00324D46" w:rsidRPr="009B6BE8">
          <w:rPr>
            <w:smallCaps/>
            <w:noProof/>
            <w:webHidden/>
          </w:rPr>
          <w:fldChar w:fldCharType="separate"/>
        </w:r>
        <w:r>
          <w:rPr>
            <w:smallCaps/>
            <w:noProof/>
            <w:webHidden/>
          </w:rPr>
          <w:t>43</w:t>
        </w:r>
        <w:r w:rsidR="00324D46" w:rsidRPr="009B6BE8">
          <w:rPr>
            <w:smallCaps/>
            <w:noProof/>
            <w:webHidden/>
          </w:rPr>
          <w:fldChar w:fldCharType="end"/>
        </w:r>
      </w:hyperlink>
    </w:p>
    <w:p w14:paraId="5ABF9020"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32" w:history="1">
        <w:r w:rsidR="00324D46" w:rsidRPr="009B6BE8">
          <w:rPr>
            <w:rStyle w:val="Hypertextovodkaz"/>
            <w:smallCaps/>
            <w:noProof/>
          </w:rPr>
          <w:t>6.2.2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Výskyt anomálii v jednotlivých skupinách provozovatelů</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_Toc505684432 \h </w:instrText>
        </w:r>
        <w:r w:rsidR="00324D46" w:rsidRPr="009B6BE8">
          <w:rPr>
            <w:smallCaps/>
            <w:noProof/>
            <w:webHidden/>
          </w:rPr>
        </w:r>
        <w:r w:rsidR="00324D46" w:rsidRPr="009B6BE8">
          <w:rPr>
            <w:smallCaps/>
            <w:noProof/>
            <w:webHidden/>
          </w:rPr>
          <w:fldChar w:fldCharType="separate"/>
        </w:r>
        <w:r>
          <w:rPr>
            <w:smallCaps/>
            <w:noProof/>
            <w:webHidden/>
          </w:rPr>
          <w:t>48</w:t>
        </w:r>
        <w:r w:rsidR="00324D46" w:rsidRPr="009B6BE8">
          <w:rPr>
            <w:smallCaps/>
            <w:noProof/>
            <w:webHidden/>
          </w:rPr>
          <w:fldChar w:fldCharType="end"/>
        </w:r>
      </w:hyperlink>
    </w:p>
    <w:p w14:paraId="02090D5F" w14:textId="55E9B64E" w:rsidR="00324D46" w:rsidRPr="009B6BE8" w:rsidRDefault="004B51AE" w:rsidP="009B6BE8">
      <w:pPr>
        <w:pStyle w:val="Obsah3"/>
        <w:tabs>
          <w:tab w:val="left" w:pos="1320"/>
          <w:tab w:val="right" w:leader="dot" w:pos="9060"/>
        </w:tabs>
        <w:ind w:left="1320" w:hanging="880"/>
        <w:jc w:val="left"/>
        <w:rPr>
          <w:rFonts w:asciiTheme="minorHAnsi" w:eastAsiaTheme="minorEastAsia" w:hAnsiTheme="minorHAnsi" w:cstheme="minorBidi"/>
          <w:smallCaps/>
          <w:noProof/>
          <w:sz w:val="22"/>
          <w:lang w:eastAsia="cs-CZ"/>
        </w:rPr>
      </w:pPr>
      <w:hyperlink w:anchor="_Toc505684433" w:history="1">
        <w:r w:rsidR="00324D46" w:rsidRPr="009B6BE8">
          <w:rPr>
            <w:rStyle w:val="Hypertextovodkaz"/>
            <w:smallCaps/>
            <w:noProof/>
          </w:rPr>
          <w:t>6.2.3</w:t>
        </w:r>
        <w:r w:rsidR="00324D46" w:rsidRPr="009B6BE8">
          <w:rPr>
            <w:rFonts w:asciiTheme="minorHAnsi" w:eastAsiaTheme="minorEastAsia" w:hAnsiTheme="minorHAnsi" w:cstheme="minorBidi"/>
            <w:smallCaps/>
            <w:noProof/>
            <w:sz w:val="22"/>
            <w:lang w:eastAsia="cs-CZ"/>
          </w:rPr>
          <w:tab/>
        </w:r>
        <w:r w:rsidR="00324D46" w:rsidRPr="009B6BE8">
          <w:rPr>
            <w:rStyle w:val="Hypertextovodkaz"/>
            <w:bCs/>
            <w:smallCaps/>
            <w:noProof/>
          </w:rPr>
          <w:t xml:space="preserve">Porovnání optimálních hodnot sledovaných ukazatelů jednotlivých </w:t>
        </w:r>
        <w:r w:rsidR="00324D46" w:rsidRPr="009B6BE8">
          <w:rPr>
            <w:rStyle w:val="Hypertextovodkaz"/>
            <w:bCs/>
            <w:smallCaps/>
            <w:noProof/>
          </w:rPr>
          <w:br/>
          <w:t>skupin provozovatelských subjektů - vodovod</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_Toc505684433 \h </w:instrText>
        </w:r>
        <w:r w:rsidR="00324D46" w:rsidRPr="009B6BE8">
          <w:rPr>
            <w:smallCaps/>
            <w:noProof/>
            <w:webHidden/>
          </w:rPr>
        </w:r>
        <w:r w:rsidR="00324D46" w:rsidRPr="009B6BE8">
          <w:rPr>
            <w:smallCaps/>
            <w:noProof/>
            <w:webHidden/>
          </w:rPr>
          <w:fldChar w:fldCharType="separate"/>
        </w:r>
        <w:r>
          <w:rPr>
            <w:smallCaps/>
            <w:noProof/>
            <w:webHidden/>
          </w:rPr>
          <w:t>52</w:t>
        </w:r>
        <w:r w:rsidR="00324D46" w:rsidRPr="009B6BE8">
          <w:rPr>
            <w:smallCaps/>
            <w:noProof/>
            <w:webHidden/>
          </w:rPr>
          <w:fldChar w:fldCharType="end"/>
        </w:r>
      </w:hyperlink>
    </w:p>
    <w:p w14:paraId="30529EA6"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34" w:history="1">
        <w:r w:rsidR="00324D46" w:rsidRPr="009B6BE8">
          <w:rPr>
            <w:rStyle w:val="Hypertextovodkaz"/>
            <w:smallCaps/>
            <w:noProof/>
          </w:rPr>
          <w:t>6.2.4</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Kanalizace</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_Toc505684434 \h </w:instrText>
        </w:r>
        <w:r w:rsidR="00324D46" w:rsidRPr="009B6BE8">
          <w:rPr>
            <w:smallCaps/>
            <w:noProof/>
            <w:webHidden/>
          </w:rPr>
        </w:r>
        <w:r w:rsidR="00324D46" w:rsidRPr="009B6BE8">
          <w:rPr>
            <w:smallCaps/>
            <w:noProof/>
            <w:webHidden/>
          </w:rPr>
          <w:fldChar w:fldCharType="separate"/>
        </w:r>
        <w:r>
          <w:rPr>
            <w:smallCaps/>
            <w:noProof/>
            <w:webHidden/>
          </w:rPr>
          <w:t>53</w:t>
        </w:r>
        <w:r w:rsidR="00324D46" w:rsidRPr="009B6BE8">
          <w:rPr>
            <w:smallCaps/>
            <w:noProof/>
            <w:webHidden/>
          </w:rPr>
          <w:fldChar w:fldCharType="end"/>
        </w:r>
      </w:hyperlink>
    </w:p>
    <w:p w14:paraId="6C9D156E" w14:textId="77777777" w:rsidR="00324D46" w:rsidRPr="009B6BE8" w:rsidRDefault="004B51AE" w:rsidP="009B6BE8">
      <w:pPr>
        <w:pStyle w:val="Obsah3"/>
        <w:tabs>
          <w:tab w:val="left" w:pos="1320"/>
          <w:tab w:val="right" w:leader="dot" w:pos="9060"/>
        </w:tabs>
        <w:jc w:val="left"/>
        <w:rPr>
          <w:rFonts w:asciiTheme="minorHAnsi" w:eastAsiaTheme="minorEastAsia" w:hAnsiTheme="minorHAnsi" w:cstheme="minorBidi"/>
          <w:smallCaps/>
          <w:noProof/>
          <w:sz w:val="22"/>
          <w:lang w:eastAsia="cs-CZ"/>
        </w:rPr>
      </w:pPr>
      <w:hyperlink w:anchor="_Toc505684435" w:history="1">
        <w:r w:rsidR="00324D46" w:rsidRPr="009B6BE8">
          <w:rPr>
            <w:rStyle w:val="Hypertextovodkaz"/>
            <w:smallCaps/>
            <w:noProof/>
          </w:rPr>
          <w:t>6.2.5</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Výskyt anomálii v jednotlivých skupinách provozovatelů</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_Toc505684435 \h </w:instrText>
        </w:r>
        <w:r w:rsidR="00324D46" w:rsidRPr="009B6BE8">
          <w:rPr>
            <w:smallCaps/>
            <w:noProof/>
            <w:webHidden/>
          </w:rPr>
        </w:r>
        <w:r w:rsidR="00324D46" w:rsidRPr="009B6BE8">
          <w:rPr>
            <w:smallCaps/>
            <w:noProof/>
            <w:webHidden/>
          </w:rPr>
          <w:fldChar w:fldCharType="separate"/>
        </w:r>
        <w:r>
          <w:rPr>
            <w:smallCaps/>
            <w:noProof/>
            <w:webHidden/>
          </w:rPr>
          <w:t>56</w:t>
        </w:r>
        <w:r w:rsidR="00324D46" w:rsidRPr="009B6BE8">
          <w:rPr>
            <w:smallCaps/>
            <w:noProof/>
            <w:webHidden/>
          </w:rPr>
          <w:fldChar w:fldCharType="end"/>
        </w:r>
      </w:hyperlink>
    </w:p>
    <w:p w14:paraId="614C069C" w14:textId="0203B49E" w:rsidR="00324D46" w:rsidRPr="009B6BE8" w:rsidRDefault="004B51AE" w:rsidP="009B6BE8">
      <w:pPr>
        <w:pStyle w:val="Obsah3"/>
        <w:tabs>
          <w:tab w:val="left" w:pos="1320"/>
          <w:tab w:val="right" w:leader="dot" w:pos="9060"/>
        </w:tabs>
        <w:ind w:left="1320" w:hanging="880"/>
        <w:jc w:val="left"/>
        <w:rPr>
          <w:rFonts w:asciiTheme="minorHAnsi" w:eastAsiaTheme="minorEastAsia" w:hAnsiTheme="minorHAnsi" w:cstheme="minorBidi"/>
          <w:smallCaps/>
          <w:noProof/>
          <w:sz w:val="22"/>
          <w:lang w:eastAsia="cs-CZ"/>
        </w:rPr>
      </w:pPr>
      <w:hyperlink w:anchor="_Toc505684436" w:history="1">
        <w:r w:rsidR="00324D46" w:rsidRPr="009B6BE8">
          <w:rPr>
            <w:rStyle w:val="Hypertextovodkaz"/>
            <w:smallCaps/>
            <w:noProof/>
          </w:rPr>
          <w:t>6.2.6</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 xml:space="preserve">Porovnání optimálních hodnot sledovaných ukazatelů jednotlivých skupin </w:t>
        </w:r>
        <w:r w:rsidR="00324D46" w:rsidRPr="009B6BE8">
          <w:rPr>
            <w:rStyle w:val="Hypertextovodkaz"/>
            <w:smallCaps/>
            <w:noProof/>
          </w:rPr>
          <w:br/>
          <w:t>provozovatelských subjektů - kanalizace</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_Toc505684436 \h </w:instrText>
        </w:r>
        <w:r w:rsidR="00324D46" w:rsidRPr="009B6BE8">
          <w:rPr>
            <w:smallCaps/>
            <w:noProof/>
            <w:webHidden/>
          </w:rPr>
        </w:r>
        <w:r w:rsidR="00324D46" w:rsidRPr="009B6BE8">
          <w:rPr>
            <w:smallCaps/>
            <w:noProof/>
            <w:webHidden/>
          </w:rPr>
          <w:fldChar w:fldCharType="separate"/>
        </w:r>
        <w:r>
          <w:rPr>
            <w:smallCaps/>
            <w:noProof/>
            <w:webHidden/>
          </w:rPr>
          <w:t>60</w:t>
        </w:r>
        <w:r w:rsidR="00324D46" w:rsidRPr="009B6BE8">
          <w:rPr>
            <w:smallCaps/>
            <w:noProof/>
            <w:webHidden/>
          </w:rPr>
          <w:fldChar w:fldCharType="end"/>
        </w:r>
      </w:hyperlink>
    </w:p>
    <w:p w14:paraId="3CA66D02" w14:textId="77777777" w:rsidR="00324D46" w:rsidRPr="009B6BE8" w:rsidRDefault="004B51AE" w:rsidP="009B6BE8">
      <w:pPr>
        <w:pStyle w:val="Obsah2"/>
        <w:rPr>
          <w:rFonts w:asciiTheme="minorHAnsi" w:eastAsiaTheme="minorEastAsia" w:hAnsiTheme="minorHAnsi" w:cstheme="minorBidi"/>
          <w:smallCaps/>
          <w:noProof/>
          <w:sz w:val="22"/>
          <w:lang w:eastAsia="cs-CZ"/>
        </w:rPr>
      </w:pPr>
      <w:hyperlink w:anchor="_Toc505684437" w:history="1">
        <w:r w:rsidR="00324D46" w:rsidRPr="009B6BE8">
          <w:rPr>
            <w:rStyle w:val="Hypertextovodkaz"/>
            <w:rFonts w:eastAsia="Calibri Light"/>
            <w:smallCaps/>
            <w:noProof/>
          </w:rPr>
          <w:t>6.3</w:t>
        </w:r>
        <w:r w:rsidR="00324D46" w:rsidRPr="009B6BE8">
          <w:rPr>
            <w:rFonts w:asciiTheme="minorHAnsi" w:eastAsiaTheme="minorEastAsia" w:hAnsiTheme="minorHAnsi" w:cstheme="minorBidi"/>
            <w:smallCaps/>
            <w:noProof/>
            <w:sz w:val="22"/>
            <w:lang w:eastAsia="cs-CZ"/>
          </w:rPr>
          <w:tab/>
        </w:r>
        <w:r w:rsidR="00324D46" w:rsidRPr="009B6BE8">
          <w:rPr>
            <w:rStyle w:val="Hypertextovodkaz"/>
            <w:rFonts w:eastAsia="Calibri Light"/>
            <w:smallCaps/>
            <w:noProof/>
          </w:rPr>
          <w:t>Závěry benchmarkingového projektu provozovatelských subjektů  za rok 2016</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_Toc505684437 \h </w:instrText>
        </w:r>
        <w:r w:rsidR="00324D46" w:rsidRPr="009B6BE8">
          <w:rPr>
            <w:smallCaps/>
            <w:noProof/>
            <w:webHidden/>
          </w:rPr>
        </w:r>
        <w:r w:rsidR="00324D46" w:rsidRPr="009B6BE8">
          <w:rPr>
            <w:smallCaps/>
            <w:noProof/>
            <w:webHidden/>
          </w:rPr>
          <w:fldChar w:fldCharType="separate"/>
        </w:r>
        <w:r>
          <w:rPr>
            <w:smallCaps/>
            <w:noProof/>
            <w:webHidden/>
          </w:rPr>
          <w:t>61</w:t>
        </w:r>
        <w:r w:rsidR="00324D46" w:rsidRPr="009B6BE8">
          <w:rPr>
            <w:smallCaps/>
            <w:noProof/>
            <w:webHidden/>
          </w:rPr>
          <w:fldChar w:fldCharType="end"/>
        </w:r>
      </w:hyperlink>
    </w:p>
    <w:p w14:paraId="57B0B380" w14:textId="77777777" w:rsidR="00324D46" w:rsidRPr="009B6BE8" w:rsidRDefault="004B51AE" w:rsidP="009B6BE8">
      <w:pPr>
        <w:pStyle w:val="Obsah3"/>
        <w:tabs>
          <w:tab w:val="left" w:pos="1320"/>
          <w:tab w:val="right" w:leader="dot" w:pos="9060"/>
        </w:tabs>
        <w:rPr>
          <w:rFonts w:asciiTheme="minorHAnsi" w:eastAsiaTheme="minorEastAsia" w:hAnsiTheme="minorHAnsi" w:cstheme="minorBidi"/>
          <w:smallCaps/>
          <w:noProof/>
          <w:sz w:val="22"/>
          <w:lang w:eastAsia="cs-CZ"/>
        </w:rPr>
      </w:pPr>
      <w:hyperlink w:anchor="_Toc505684438" w:history="1">
        <w:r w:rsidR="00324D46" w:rsidRPr="009B6BE8">
          <w:rPr>
            <w:rStyle w:val="Hypertextovodkaz"/>
            <w:rFonts w:eastAsia="Calibri Light"/>
            <w:smallCaps/>
            <w:noProof/>
          </w:rPr>
          <w:t>6.3.1</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SWOT analýza</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_Toc505684438 \h </w:instrText>
        </w:r>
        <w:r w:rsidR="00324D46" w:rsidRPr="009B6BE8">
          <w:rPr>
            <w:smallCaps/>
            <w:noProof/>
            <w:webHidden/>
          </w:rPr>
        </w:r>
        <w:r w:rsidR="00324D46" w:rsidRPr="009B6BE8">
          <w:rPr>
            <w:smallCaps/>
            <w:noProof/>
            <w:webHidden/>
          </w:rPr>
          <w:fldChar w:fldCharType="separate"/>
        </w:r>
        <w:r>
          <w:rPr>
            <w:smallCaps/>
            <w:noProof/>
            <w:webHidden/>
          </w:rPr>
          <w:t>61</w:t>
        </w:r>
        <w:r w:rsidR="00324D46" w:rsidRPr="009B6BE8">
          <w:rPr>
            <w:smallCaps/>
            <w:noProof/>
            <w:webHidden/>
          </w:rPr>
          <w:fldChar w:fldCharType="end"/>
        </w:r>
      </w:hyperlink>
    </w:p>
    <w:p w14:paraId="30E3242C" w14:textId="77777777" w:rsidR="00324D46" w:rsidRPr="009B6BE8" w:rsidRDefault="004B51AE" w:rsidP="009B6BE8">
      <w:pPr>
        <w:pStyle w:val="Obsah3"/>
        <w:tabs>
          <w:tab w:val="left" w:pos="1320"/>
          <w:tab w:val="right" w:leader="dot" w:pos="9060"/>
        </w:tabs>
        <w:rPr>
          <w:rFonts w:asciiTheme="minorHAnsi" w:eastAsiaTheme="minorEastAsia" w:hAnsiTheme="minorHAnsi" w:cstheme="minorBidi"/>
          <w:smallCaps/>
          <w:noProof/>
          <w:sz w:val="22"/>
          <w:lang w:eastAsia="cs-CZ"/>
        </w:rPr>
      </w:pPr>
      <w:hyperlink w:anchor="_Toc505684439" w:history="1">
        <w:r w:rsidR="00324D46" w:rsidRPr="009B6BE8">
          <w:rPr>
            <w:rStyle w:val="Hypertextovodkaz"/>
            <w:smallCaps/>
            <w:noProof/>
          </w:rPr>
          <w:t>6.3.2</w:t>
        </w:r>
        <w:r w:rsidR="00324D46" w:rsidRPr="009B6BE8">
          <w:rPr>
            <w:rFonts w:asciiTheme="minorHAnsi" w:eastAsiaTheme="minorEastAsia" w:hAnsiTheme="minorHAnsi" w:cstheme="minorBidi"/>
            <w:smallCaps/>
            <w:noProof/>
            <w:sz w:val="22"/>
            <w:lang w:eastAsia="cs-CZ"/>
          </w:rPr>
          <w:tab/>
        </w:r>
        <w:r w:rsidR="00324D46" w:rsidRPr="009B6BE8">
          <w:rPr>
            <w:rStyle w:val="Hypertextovodkaz"/>
            <w:smallCaps/>
            <w:noProof/>
          </w:rPr>
          <w:t>Závěr, zhodnocení a návrh dalšího postupu</w:t>
        </w:r>
        <w:r w:rsidR="00324D46" w:rsidRPr="009B6BE8">
          <w:rPr>
            <w:smallCaps/>
            <w:noProof/>
            <w:webHidden/>
          </w:rPr>
          <w:tab/>
        </w:r>
        <w:r w:rsidR="00324D46" w:rsidRPr="009B6BE8">
          <w:rPr>
            <w:smallCaps/>
            <w:noProof/>
            <w:webHidden/>
          </w:rPr>
          <w:fldChar w:fldCharType="begin"/>
        </w:r>
        <w:r w:rsidR="00324D46" w:rsidRPr="009B6BE8">
          <w:rPr>
            <w:smallCaps/>
            <w:noProof/>
            <w:webHidden/>
          </w:rPr>
          <w:instrText xml:space="preserve"> PAGEREF _Toc505684439 \h </w:instrText>
        </w:r>
        <w:r w:rsidR="00324D46" w:rsidRPr="009B6BE8">
          <w:rPr>
            <w:smallCaps/>
            <w:noProof/>
            <w:webHidden/>
          </w:rPr>
        </w:r>
        <w:r w:rsidR="00324D46" w:rsidRPr="009B6BE8">
          <w:rPr>
            <w:smallCaps/>
            <w:noProof/>
            <w:webHidden/>
          </w:rPr>
          <w:fldChar w:fldCharType="separate"/>
        </w:r>
        <w:r>
          <w:rPr>
            <w:smallCaps/>
            <w:noProof/>
            <w:webHidden/>
          </w:rPr>
          <w:t>63</w:t>
        </w:r>
        <w:r w:rsidR="00324D46" w:rsidRPr="009B6BE8">
          <w:rPr>
            <w:smallCaps/>
            <w:noProof/>
            <w:webHidden/>
          </w:rPr>
          <w:fldChar w:fldCharType="end"/>
        </w:r>
      </w:hyperlink>
    </w:p>
    <w:p w14:paraId="14EF6A54" w14:textId="77777777" w:rsidR="00324D46" w:rsidRDefault="004B51AE" w:rsidP="009B6BE8">
      <w:pPr>
        <w:pStyle w:val="Obsah1"/>
        <w:rPr>
          <w:rFonts w:asciiTheme="minorHAnsi" w:eastAsiaTheme="minorEastAsia" w:hAnsiTheme="minorHAnsi" w:cstheme="minorBidi"/>
          <w:noProof/>
          <w:sz w:val="22"/>
          <w:lang w:eastAsia="cs-CZ"/>
        </w:rPr>
      </w:pPr>
      <w:hyperlink w:anchor="_Toc505684440" w:history="1">
        <w:r w:rsidR="00324D46" w:rsidRPr="009B6BE8">
          <w:rPr>
            <w:rStyle w:val="Hypertextovodkaz"/>
            <w:smallCaps/>
            <w:noProof/>
          </w:rPr>
          <w:t>7.</w:t>
        </w:r>
        <w:r w:rsidR="00324D46" w:rsidRPr="009B6BE8">
          <w:rPr>
            <w:rFonts w:asciiTheme="minorHAnsi" w:eastAsiaTheme="minorEastAsia" w:hAnsiTheme="minorHAnsi" w:cstheme="minorBidi"/>
            <w:noProof/>
            <w:sz w:val="22"/>
            <w:lang w:eastAsia="cs-CZ"/>
          </w:rPr>
          <w:tab/>
        </w:r>
        <w:r w:rsidR="00324D46" w:rsidRPr="009B6BE8">
          <w:rPr>
            <w:rStyle w:val="Hypertextovodkaz"/>
            <w:smallCaps/>
            <w:noProof/>
          </w:rPr>
          <w:t>Posouzení závěrů a jejich porovnání se záměry regulace</w:t>
        </w:r>
        <w:r w:rsidR="00324D46" w:rsidRPr="009B6BE8">
          <w:rPr>
            <w:noProof/>
            <w:webHidden/>
          </w:rPr>
          <w:tab/>
        </w:r>
        <w:r w:rsidR="00324D46" w:rsidRPr="009B6BE8">
          <w:rPr>
            <w:noProof/>
            <w:webHidden/>
          </w:rPr>
          <w:fldChar w:fldCharType="begin"/>
        </w:r>
        <w:r w:rsidR="00324D46" w:rsidRPr="009B6BE8">
          <w:rPr>
            <w:noProof/>
            <w:webHidden/>
          </w:rPr>
          <w:instrText xml:space="preserve"> PAGEREF _Toc505684440 \h </w:instrText>
        </w:r>
        <w:r w:rsidR="00324D46" w:rsidRPr="009B6BE8">
          <w:rPr>
            <w:noProof/>
            <w:webHidden/>
          </w:rPr>
        </w:r>
        <w:r w:rsidR="00324D46" w:rsidRPr="009B6BE8">
          <w:rPr>
            <w:noProof/>
            <w:webHidden/>
          </w:rPr>
          <w:fldChar w:fldCharType="separate"/>
        </w:r>
        <w:r>
          <w:rPr>
            <w:noProof/>
            <w:webHidden/>
          </w:rPr>
          <w:t>65</w:t>
        </w:r>
        <w:r w:rsidR="00324D46" w:rsidRPr="009B6BE8">
          <w:rPr>
            <w:noProof/>
            <w:webHidden/>
          </w:rPr>
          <w:fldChar w:fldCharType="end"/>
        </w:r>
      </w:hyperlink>
    </w:p>
    <w:p w14:paraId="01EB568F" w14:textId="0F1E1947" w:rsidR="00F666F7" w:rsidRDefault="001F5B53" w:rsidP="009B6BE8">
      <w:pPr>
        <w:pStyle w:val="Obsah1"/>
        <w:rPr>
          <w:noProof/>
        </w:rPr>
      </w:pPr>
      <w:r w:rsidRPr="00C62639">
        <w:rPr>
          <w:noProof/>
        </w:rPr>
        <w:fldChar w:fldCharType="end"/>
      </w:r>
      <w:bookmarkStart w:id="0" w:name="_Toc459133201"/>
    </w:p>
    <w:p w14:paraId="10BC8526" w14:textId="77777777" w:rsidR="00F666F7" w:rsidRDefault="00F666F7">
      <w:pPr>
        <w:spacing w:before="0" w:after="0"/>
        <w:contextualSpacing w:val="0"/>
        <w:jc w:val="left"/>
        <w:rPr>
          <w:rFonts w:asciiTheme="minorHAnsi" w:hAnsiTheme="minorHAnsi"/>
          <w:b/>
          <w:bCs/>
          <w:noProof/>
        </w:rPr>
      </w:pPr>
      <w:r>
        <w:rPr>
          <w:rFonts w:asciiTheme="minorHAnsi" w:hAnsiTheme="minorHAnsi"/>
          <w:b/>
          <w:bCs/>
          <w:noProof/>
        </w:rPr>
        <w:br w:type="page"/>
      </w:r>
    </w:p>
    <w:p w14:paraId="3C64522A" w14:textId="77777777" w:rsidR="0064170D" w:rsidRPr="00C62639" w:rsidRDefault="0064170D" w:rsidP="00E4339E">
      <w:pPr>
        <w:pStyle w:val="Nadpis1"/>
        <w:rPr>
          <w:rFonts w:asciiTheme="minorHAnsi" w:hAnsiTheme="minorHAnsi"/>
          <w:noProof/>
        </w:rPr>
      </w:pPr>
      <w:bookmarkStart w:id="1" w:name="_Toc505684394"/>
      <w:bookmarkEnd w:id="0"/>
      <w:r w:rsidRPr="00C62639">
        <w:rPr>
          <w:rFonts w:asciiTheme="minorHAnsi" w:hAnsiTheme="minorHAnsi"/>
          <w:noProof/>
        </w:rPr>
        <w:lastRenderedPageBreak/>
        <w:t>Úvod</w:t>
      </w:r>
      <w:bookmarkEnd w:id="1"/>
    </w:p>
    <w:p w14:paraId="6FB0E129" w14:textId="28C7AD5E" w:rsidR="00C62639" w:rsidRPr="00A340F8" w:rsidRDefault="00C62639" w:rsidP="00A340F8">
      <w:pPr>
        <w:pStyle w:val="Normlnzprva"/>
      </w:pPr>
      <w:r w:rsidRPr="00A340F8">
        <w:t>Zpráva z benchmarkingu za rok 2016 prezentuje</w:t>
      </w:r>
      <w:r w:rsidR="00B26631">
        <w:t xml:space="preserve"> </w:t>
      </w:r>
      <w:r w:rsidRPr="00A340F8">
        <w:t xml:space="preserve">odborné i laické veřejnosti výsledky realizovaných projektů: benchmarkingu vlastnických subjektů a benchmarkingu </w:t>
      </w:r>
      <w:r w:rsidRPr="00A340F8">
        <w:rPr>
          <w:rStyle w:val="NormlnzprvaChar"/>
        </w:rPr>
        <w:t>provozovatelských subjektů za rok 2016. Tyto výsledky dále vyhodnocuje. Cílem zprávy je</w:t>
      </w:r>
      <w:r w:rsidRPr="00A340F8">
        <w:t xml:space="preserve"> srozumitelnou formou přiblížit zjištěné nedostatky vyskytující se v jednotlivých skupinách, informovat o závěrech projektů a navrhnout další kroky vedoucí k plnění záměrů regulace. </w:t>
      </w:r>
    </w:p>
    <w:p w14:paraId="6FBAD2CF" w14:textId="1BE45EC8" w:rsidR="00C62639" w:rsidRPr="00A340F8" w:rsidRDefault="00C62639" w:rsidP="00A340F8">
      <w:pPr>
        <w:pStyle w:val="Normlnzprva"/>
      </w:pPr>
      <w:r w:rsidRPr="00A340F8">
        <w:t xml:space="preserve">Zpráva obsahuje bližší informaci o implementaci doporučení benchmarkingu za rok 2015 ve formě některých </w:t>
      </w:r>
      <w:r w:rsidR="000362BF">
        <w:t>zákonných</w:t>
      </w:r>
      <w:r w:rsidRPr="00A340F8">
        <w:t xml:space="preserve"> opatření zaměřených na zlepšení kvality a struktury sbíraných dat v budoucnu. </w:t>
      </w:r>
    </w:p>
    <w:p w14:paraId="6D364535" w14:textId="70AE605D" w:rsidR="00C62639" w:rsidRPr="00A340F8" w:rsidRDefault="00C62639" w:rsidP="00A340F8">
      <w:pPr>
        <w:pStyle w:val="Normlnzprva"/>
      </w:pPr>
      <w:r w:rsidRPr="00A340F8">
        <w:t>Zpráva dále</w:t>
      </w:r>
      <w:r w:rsidR="00B26631">
        <w:t xml:space="preserve"> </w:t>
      </w:r>
      <w:r w:rsidRPr="00A340F8">
        <w:t xml:space="preserve">přibližuje a vysvětluje změny některých procesů používaných v obou benchmarkingových projektech. Tyto změny byly přijaty na základě veřejného projednání výsledků benchmarkingu za rok 2015. </w:t>
      </w:r>
    </w:p>
    <w:p w14:paraId="560A05C1" w14:textId="463C9151" w:rsidR="00C62639" w:rsidRPr="00A340F8" w:rsidRDefault="00C62639" w:rsidP="00A340F8">
      <w:pPr>
        <w:pStyle w:val="Normlnzprva"/>
      </w:pPr>
      <w:r w:rsidRPr="00A340F8">
        <w:t>Struktura zprávy za rok 2016 odpovídá struktuře zprávy za rok 2015. Výjimkou je meziskupinové zhodnocení výsledků</w:t>
      </w:r>
      <w:r w:rsidR="00B26631">
        <w:t xml:space="preserve"> </w:t>
      </w:r>
      <w:r w:rsidRPr="00A340F8">
        <w:t>vlastnického i provozov</w:t>
      </w:r>
      <w:r w:rsidR="00A340F8">
        <w:t>a</w:t>
      </w:r>
      <w:r w:rsidRPr="00A340F8">
        <w:t>telského benchmar</w:t>
      </w:r>
      <w:r w:rsidR="00A340F8">
        <w:t>k</w:t>
      </w:r>
      <w:r w:rsidRPr="00A340F8">
        <w:t xml:space="preserve">ingu, které ve zprávě za rok 2015 chybělo. Důvodem pro zařazení tohoto srovnání je skutečnost, že analýzám byl podroben podstatně větší podíl trhu (podle objemu fakturované pitné vody a objemu fakturované odvedené odpadní vody včetně srážkové). </w:t>
      </w:r>
    </w:p>
    <w:p w14:paraId="598B8E8F" w14:textId="77777777" w:rsidR="00C62639" w:rsidRPr="00A340F8" w:rsidRDefault="00C62639" w:rsidP="00A340F8">
      <w:pPr>
        <w:pStyle w:val="Normlnzprva"/>
      </w:pPr>
      <w:r w:rsidRPr="00A340F8">
        <w:t>Ve vztahu k činnosti MZe a Výboru pro koordinaci regulace oboru vodovodů a kanalizací je cílem zprávy poskytnout informace potřebné pro případnou úpravu strategie regulace oboru VaK nebo upřesnění cílů benchmarkingu pro další rok, čímž se ve smyslu platné Metodiky benchmarkingu ukončí roční cyklus benchmarkingu.</w:t>
      </w:r>
    </w:p>
    <w:p w14:paraId="59E8EECC" w14:textId="215AB587" w:rsidR="00C62639" w:rsidRPr="00A340F8" w:rsidRDefault="00C62639" w:rsidP="00A340F8">
      <w:pPr>
        <w:pStyle w:val="Normlnzprva"/>
      </w:pPr>
      <w:r w:rsidRPr="00A340F8">
        <w:t>Uživatelům</w:t>
      </w:r>
      <w:r w:rsidR="00B26631">
        <w:t xml:space="preserve"> </w:t>
      </w:r>
      <w:r w:rsidRPr="00A340F8">
        <w:t>výsledků</w:t>
      </w:r>
      <w:r w:rsidR="00B26631">
        <w:t xml:space="preserve"> </w:t>
      </w:r>
      <w:r w:rsidRPr="00A340F8">
        <w:t>benchmarkingu je třeba připomenout, že</w:t>
      </w:r>
      <w:r w:rsidR="00B26631">
        <w:t xml:space="preserve"> </w:t>
      </w:r>
      <w:r w:rsidRPr="00A340F8">
        <w:t>všechny tři zprávy (Benchmarking vlastnických subjektů za rok 2016, Benchmarking</w:t>
      </w:r>
      <w:r w:rsidR="00B26631">
        <w:t xml:space="preserve"> </w:t>
      </w:r>
      <w:r w:rsidRPr="00A340F8">
        <w:t xml:space="preserve">provozovatelských subjektů za rok 2016 a Zprávu z benchmarkingu za rok 2016) je nutné vnímat jako celek a nehodnotit jednotlivé nálezy odděleně od ostatních souvislostí. </w:t>
      </w:r>
    </w:p>
    <w:p w14:paraId="581DE2B2" w14:textId="77777777" w:rsidR="00C62639" w:rsidRDefault="00C62639" w:rsidP="00A340F8">
      <w:pPr>
        <w:pStyle w:val="Normlnzprva"/>
      </w:pPr>
      <w:r w:rsidRPr="00A340F8">
        <w:t xml:space="preserve">Jedním z hlavních záměrů regulace je zvýšení informovanosti konečných odběratelů. MZe v roce 2018 připravuje spuštění webové aplikace zpřístupňující zájemcům vybrané informace z Porovnání zahrnutých do benchmarkingu a s nimi souvisejících VÚME a VÚPE. Poprvé by tak měly být zpřístupněny informace za rok 2016 a bude se jednat o zkušební verzi. </w:t>
      </w:r>
    </w:p>
    <w:p w14:paraId="0D8EB7A9" w14:textId="77777777" w:rsidR="00590F65" w:rsidRPr="00C62639" w:rsidRDefault="00590F65" w:rsidP="00E4339E">
      <w:pPr>
        <w:pStyle w:val="Nadpis2"/>
        <w:rPr>
          <w:rFonts w:asciiTheme="minorHAnsi" w:hAnsiTheme="minorHAnsi"/>
          <w:noProof/>
        </w:rPr>
      </w:pPr>
      <w:bookmarkStart w:id="2" w:name="_Toc459133203"/>
      <w:bookmarkStart w:id="3" w:name="_Toc505684395"/>
      <w:r w:rsidRPr="00C62639">
        <w:rPr>
          <w:rFonts w:asciiTheme="minorHAnsi" w:hAnsiTheme="minorHAnsi"/>
          <w:noProof/>
        </w:rPr>
        <w:t>Terminologie a použité zkratky</w:t>
      </w:r>
      <w:bookmarkEnd w:id="2"/>
      <w:bookmarkEnd w:id="3"/>
      <w:r w:rsidRPr="00C62639">
        <w:rPr>
          <w:rFonts w:asciiTheme="minorHAnsi" w:hAnsiTheme="minorHAnsi"/>
          <w:noProof/>
        </w:rPr>
        <w:t xml:space="preserve"> </w:t>
      </w:r>
    </w:p>
    <w:p w14:paraId="37287E93" w14:textId="77777777" w:rsidR="00590F65" w:rsidRPr="00C62639" w:rsidRDefault="00590F65" w:rsidP="00E4339E">
      <w:pPr>
        <w:pStyle w:val="Nadpis3"/>
        <w:rPr>
          <w:rFonts w:asciiTheme="minorHAnsi" w:hAnsiTheme="minorHAnsi"/>
          <w:noProof/>
        </w:rPr>
      </w:pPr>
      <w:bookmarkStart w:id="4" w:name="_Toc459133204"/>
      <w:bookmarkStart w:id="5" w:name="_Toc505684396"/>
      <w:r w:rsidRPr="00C62639">
        <w:rPr>
          <w:rFonts w:asciiTheme="minorHAnsi" w:hAnsiTheme="minorHAnsi"/>
          <w:noProof/>
        </w:rPr>
        <w:t>Terminologie</w:t>
      </w:r>
      <w:bookmarkEnd w:id="4"/>
      <w:bookmarkEnd w:id="5"/>
    </w:p>
    <w:p w14:paraId="278C9F60" w14:textId="79CDF633" w:rsidR="00C62639" w:rsidRPr="00C62639" w:rsidRDefault="00C62639" w:rsidP="00C62639">
      <w:pPr>
        <w:rPr>
          <w:rStyle w:val="NormlnzprvaChar"/>
          <w:rFonts w:asciiTheme="minorHAnsi" w:hAnsiTheme="minorHAnsi"/>
        </w:rPr>
      </w:pPr>
      <w:r w:rsidRPr="00C62639">
        <w:rPr>
          <w:rFonts w:asciiTheme="minorHAnsi" w:hAnsiTheme="minorHAnsi"/>
          <w:b/>
          <w:i/>
          <w:noProof/>
        </w:rPr>
        <w:t>Anomálie</w:t>
      </w:r>
      <w:r w:rsidRPr="00C62639">
        <w:rPr>
          <w:rFonts w:asciiTheme="minorHAnsi" w:hAnsiTheme="minorHAnsi"/>
          <w:noProof/>
        </w:rPr>
        <w:t xml:space="preserve"> - </w:t>
      </w:r>
      <w:r w:rsidRPr="00C62639">
        <w:rPr>
          <w:rStyle w:val="NormlnzprvaChar"/>
          <w:rFonts w:asciiTheme="minorHAnsi" w:hAnsiTheme="minorHAnsi"/>
        </w:rPr>
        <w:t>údaj, vztah, stav, který se významně odlišuje od střední nebo očekávané hodnoty, stavu, vztahu, případně signalizuje porušení platn</w:t>
      </w:r>
      <w:r w:rsidR="00087EF5">
        <w:rPr>
          <w:rStyle w:val="NormlnzprvaChar"/>
          <w:rFonts w:asciiTheme="minorHAnsi" w:hAnsiTheme="minorHAnsi"/>
        </w:rPr>
        <w:t>ých zákonných požadavků</w:t>
      </w:r>
      <w:r w:rsidRPr="00C62639">
        <w:rPr>
          <w:rStyle w:val="NormlnzprvaChar"/>
          <w:rFonts w:asciiTheme="minorHAnsi" w:hAnsiTheme="minorHAnsi"/>
        </w:rPr>
        <w:t xml:space="preserve"> a zamezuje plnění cílů regulace.</w:t>
      </w:r>
    </w:p>
    <w:p w14:paraId="58CAF4C6" w14:textId="77777777" w:rsidR="00C62639" w:rsidRPr="00C62639" w:rsidRDefault="00C62639" w:rsidP="00C62639">
      <w:pPr>
        <w:rPr>
          <w:rFonts w:asciiTheme="minorHAnsi" w:hAnsiTheme="minorHAnsi"/>
          <w:noProof/>
        </w:rPr>
      </w:pPr>
    </w:p>
    <w:p w14:paraId="7D1D3408" w14:textId="77777777" w:rsidR="00C62639" w:rsidRPr="00C62639" w:rsidRDefault="00C62639" w:rsidP="00C62639">
      <w:pPr>
        <w:rPr>
          <w:rStyle w:val="NormlnzprvaChar"/>
          <w:rFonts w:asciiTheme="minorHAnsi" w:hAnsiTheme="minorHAnsi"/>
        </w:rPr>
      </w:pPr>
      <w:r w:rsidRPr="00C62639">
        <w:rPr>
          <w:rFonts w:asciiTheme="minorHAnsi" w:hAnsiTheme="minorHAnsi"/>
          <w:b/>
          <w:i/>
          <w:noProof/>
        </w:rPr>
        <w:lastRenderedPageBreak/>
        <w:t>Benchmarking</w:t>
      </w:r>
      <w:r w:rsidRPr="00C62639">
        <w:rPr>
          <w:rFonts w:asciiTheme="minorHAnsi" w:hAnsiTheme="minorHAnsi"/>
          <w:noProof/>
        </w:rPr>
        <w:t xml:space="preserve"> - </w:t>
      </w:r>
      <w:r w:rsidRPr="00C62639">
        <w:rPr>
          <w:rStyle w:val="NormlnzprvaChar"/>
          <w:rFonts w:asciiTheme="minorHAnsi" w:hAnsiTheme="minorHAnsi"/>
        </w:rPr>
        <w:t>systematický proces pro identifikaci, obeznámení se a přijetí úspěšných nástrojů, metod a postupů řízení pro srovnávané subjekty. Typicky se jedná o souvislý nebo opakující se proces, hlavním cílem benchmarkingu je zlepšení činnosti zúčastněných srovnávaných subjektů.</w:t>
      </w:r>
    </w:p>
    <w:p w14:paraId="64620A85" w14:textId="77777777" w:rsidR="00C62639" w:rsidRPr="00C62639" w:rsidRDefault="00C62639" w:rsidP="00C62639">
      <w:pPr>
        <w:rPr>
          <w:rFonts w:asciiTheme="minorHAnsi" w:hAnsiTheme="minorHAnsi"/>
          <w:noProof/>
        </w:rPr>
      </w:pPr>
    </w:p>
    <w:p w14:paraId="203A74A6" w14:textId="77777777" w:rsidR="00C62639" w:rsidRPr="00C62639" w:rsidRDefault="00C62639" w:rsidP="00C62639">
      <w:pPr>
        <w:rPr>
          <w:rStyle w:val="NormlnzprvaChar"/>
          <w:rFonts w:asciiTheme="minorHAnsi" w:hAnsiTheme="minorHAnsi"/>
        </w:rPr>
      </w:pPr>
      <w:r w:rsidRPr="00C62639">
        <w:rPr>
          <w:rFonts w:asciiTheme="minorHAnsi" w:hAnsiTheme="minorHAnsi"/>
          <w:b/>
          <w:i/>
          <w:noProof/>
        </w:rPr>
        <w:t>Investiční činnost</w:t>
      </w:r>
      <w:r w:rsidRPr="00C62639">
        <w:rPr>
          <w:rFonts w:asciiTheme="minorHAnsi" w:hAnsiTheme="minorHAnsi"/>
          <w:noProof/>
        </w:rPr>
        <w:t xml:space="preserve"> – </w:t>
      </w:r>
      <w:r w:rsidRPr="00C62639">
        <w:rPr>
          <w:rStyle w:val="NormlnzprvaChar"/>
          <w:rFonts w:asciiTheme="minorHAnsi" w:hAnsiTheme="minorHAnsi"/>
        </w:rPr>
        <w:t>procesy související s obnovou a rozvojem vodohospodářského infrastrukturního majetku.</w:t>
      </w:r>
    </w:p>
    <w:p w14:paraId="7D99C018" w14:textId="77777777" w:rsidR="00C62639" w:rsidRPr="00C62639" w:rsidRDefault="00C62639" w:rsidP="00C62639">
      <w:pPr>
        <w:rPr>
          <w:rFonts w:asciiTheme="minorHAnsi" w:hAnsiTheme="minorHAnsi"/>
          <w:noProof/>
        </w:rPr>
      </w:pPr>
    </w:p>
    <w:p w14:paraId="0E6B56FA" w14:textId="4E38DA46" w:rsidR="00C62639" w:rsidRPr="00C62639" w:rsidRDefault="00C62639" w:rsidP="00C62639">
      <w:pPr>
        <w:rPr>
          <w:rStyle w:val="NormlnzprvaChar"/>
          <w:rFonts w:asciiTheme="minorHAnsi" w:hAnsiTheme="minorHAnsi"/>
        </w:rPr>
      </w:pPr>
      <w:r w:rsidRPr="00C62639">
        <w:rPr>
          <w:rFonts w:asciiTheme="minorHAnsi" w:hAnsiTheme="minorHAnsi"/>
          <w:b/>
          <w:i/>
          <w:noProof/>
        </w:rPr>
        <w:t>Kalkulace</w:t>
      </w:r>
      <w:r w:rsidRPr="00C62639">
        <w:rPr>
          <w:rFonts w:asciiTheme="minorHAnsi" w:hAnsiTheme="minorHAnsi"/>
          <w:noProof/>
        </w:rPr>
        <w:t xml:space="preserve"> – </w:t>
      </w:r>
      <w:r w:rsidRPr="00C62639">
        <w:rPr>
          <w:rStyle w:val="NormlnzprvaChar"/>
          <w:rFonts w:asciiTheme="minorHAnsi" w:hAnsiTheme="minorHAnsi"/>
        </w:rPr>
        <w:t xml:space="preserve">přiřazování nákladů, respektive zisku na jednu kalkulační jednici (zde </w:t>
      </w:r>
      <w:r w:rsidR="00E27252">
        <w:rPr>
          <w:rStyle w:val="NormlnzprvaChar"/>
          <w:rFonts w:asciiTheme="minorHAnsi" w:hAnsiTheme="minorHAnsi"/>
        </w:rPr>
        <w:t xml:space="preserve"> m</w:t>
      </w:r>
      <w:r w:rsidR="00E27252" w:rsidRPr="00E27252">
        <w:rPr>
          <w:rStyle w:val="NormlnzprvaChar"/>
          <w:rFonts w:asciiTheme="minorHAnsi" w:hAnsiTheme="minorHAnsi"/>
          <w:vertAlign w:val="superscript"/>
        </w:rPr>
        <w:t>3</w:t>
      </w:r>
      <w:r w:rsidRPr="00C62639">
        <w:rPr>
          <w:rStyle w:val="NormlnzprvaChar"/>
          <w:rFonts w:asciiTheme="minorHAnsi" w:hAnsiTheme="minorHAnsi"/>
        </w:rPr>
        <w:t>).</w:t>
      </w:r>
    </w:p>
    <w:p w14:paraId="46F46AD8" w14:textId="77777777" w:rsidR="00C62639" w:rsidRPr="00C62639" w:rsidRDefault="00C62639" w:rsidP="00C62639">
      <w:pPr>
        <w:rPr>
          <w:rFonts w:asciiTheme="minorHAnsi" w:hAnsiTheme="minorHAnsi"/>
          <w:noProof/>
        </w:rPr>
      </w:pPr>
    </w:p>
    <w:p w14:paraId="29B3B8E3" w14:textId="401424B3" w:rsidR="00C62639" w:rsidRPr="00C62639" w:rsidRDefault="00C62639" w:rsidP="00C62639">
      <w:pPr>
        <w:rPr>
          <w:rStyle w:val="NormlnzprvaChar"/>
          <w:rFonts w:asciiTheme="minorHAnsi" w:hAnsiTheme="minorHAnsi"/>
        </w:rPr>
      </w:pPr>
      <w:r w:rsidRPr="00C62639">
        <w:rPr>
          <w:rFonts w:asciiTheme="minorHAnsi" w:hAnsiTheme="minorHAnsi"/>
          <w:b/>
          <w:i/>
          <w:noProof/>
        </w:rPr>
        <w:t>Kalkulační položka</w:t>
      </w:r>
      <w:r w:rsidRPr="00C62639">
        <w:rPr>
          <w:rFonts w:asciiTheme="minorHAnsi" w:hAnsiTheme="minorHAnsi"/>
          <w:noProof/>
        </w:rPr>
        <w:t xml:space="preserve"> </w:t>
      </w:r>
      <w:r w:rsidRPr="00C62639">
        <w:rPr>
          <w:rStyle w:val="NormlnzprvaChar"/>
          <w:rFonts w:asciiTheme="minorHAnsi" w:hAnsiTheme="minorHAnsi"/>
        </w:rPr>
        <w:t>- část kalkulace sdružující podobné druhy nákladů, respektive zisk (zde položka v cenové kalkulaci vodného nebo stočného, dle přílohy č. 19 k vyhlášce č. 428/2001 Sb.</w:t>
      </w:r>
      <w:r w:rsidR="00307725">
        <w:rPr>
          <w:rStyle w:val="NormlnzprvaChar"/>
          <w:rFonts w:asciiTheme="minorHAnsi" w:hAnsiTheme="minorHAnsi"/>
        </w:rPr>
        <w:t xml:space="preserve">, kterou se provádí zákon č. </w:t>
      </w:r>
      <w:r w:rsidR="00307725">
        <w:t>274/2001 Sb., o vodovodech a kanalizacích pro veřejnou potřebu a o změně některých zákonů (zákon o vodovodech a kanalizacích), ve znění pozdějších předpisů</w:t>
      </w:r>
      <w:r w:rsidRPr="00C62639">
        <w:rPr>
          <w:rStyle w:val="NormlnzprvaChar"/>
          <w:rFonts w:asciiTheme="minorHAnsi" w:hAnsiTheme="minorHAnsi"/>
        </w:rPr>
        <w:t>).</w:t>
      </w:r>
    </w:p>
    <w:p w14:paraId="6EC89CD3" w14:textId="77777777" w:rsidR="00C62639" w:rsidRPr="00C62639" w:rsidRDefault="00C62639" w:rsidP="00C62639">
      <w:pPr>
        <w:rPr>
          <w:rFonts w:asciiTheme="minorHAnsi" w:hAnsiTheme="minorHAnsi"/>
          <w:noProof/>
        </w:rPr>
      </w:pPr>
    </w:p>
    <w:p w14:paraId="21354BFB" w14:textId="77777777" w:rsidR="00C62639" w:rsidRPr="00C62639" w:rsidRDefault="00C62639" w:rsidP="00C62639">
      <w:pPr>
        <w:rPr>
          <w:rStyle w:val="NormlnzprvaChar"/>
          <w:rFonts w:asciiTheme="minorHAnsi" w:hAnsiTheme="minorHAnsi"/>
        </w:rPr>
      </w:pPr>
      <w:r w:rsidRPr="00C62639">
        <w:rPr>
          <w:rFonts w:asciiTheme="minorHAnsi" w:hAnsiTheme="minorHAnsi"/>
          <w:b/>
          <w:i/>
          <w:noProof/>
        </w:rPr>
        <w:t>Kombinovaný model provozování</w:t>
      </w:r>
      <w:r w:rsidRPr="00C62639">
        <w:rPr>
          <w:rFonts w:asciiTheme="minorHAnsi" w:hAnsiTheme="minorHAnsi"/>
          <w:noProof/>
        </w:rPr>
        <w:t xml:space="preserve"> - </w:t>
      </w:r>
      <w:r w:rsidRPr="00C62639">
        <w:rPr>
          <w:rStyle w:val="NormlnzprvaChar"/>
          <w:rFonts w:asciiTheme="minorHAnsi" w:hAnsiTheme="minorHAnsi"/>
        </w:rPr>
        <w:t xml:space="preserve">jeden z vlastníků vodohospodářského infrastrukturního majetku je jeho provozovatelem, který provozuje infrastrukturní majetek na základě dlouhodobé smlouvy. </w:t>
      </w:r>
    </w:p>
    <w:p w14:paraId="14B0A372" w14:textId="77777777" w:rsidR="00C62639" w:rsidRPr="00C62639" w:rsidRDefault="00C62639" w:rsidP="00C62639">
      <w:pPr>
        <w:rPr>
          <w:rFonts w:asciiTheme="minorHAnsi" w:hAnsiTheme="minorHAnsi"/>
          <w:noProof/>
        </w:rPr>
      </w:pPr>
    </w:p>
    <w:p w14:paraId="577AF5EC" w14:textId="5CD7BEEF" w:rsidR="00C62639" w:rsidRPr="00C62639" w:rsidRDefault="00C62639" w:rsidP="00C62639">
      <w:pPr>
        <w:rPr>
          <w:rStyle w:val="NormlnzprvaChar"/>
          <w:rFonts w:asciiTheme="minorHAnsi" w:hAnsiTheme="minorHAnsi"/>
        </w:rPr>
      </w:pPr>
      <w:r w:rsidRPr="00C62639">
        <w:rPr>
          <w:rFonts w:asciiTheme="minorHAnsi" w:hAnsiTheme="minorHAnsi"/>
          <w:b/>
          <w:i/>
          <w:noProof/>
        </w:rPr>
        <w:t>Obnova vodohospodářské infrastruktury</w:t>
      </w:r>
      <w:r w:rsidRPr="00C62639">
        <w:rPr>
          <w:rFonts w:asciiTheme="minorHAnsi" w:hAnsiTheme="minorHAnsi"/>
          <w:noProof/>
        </w:rPr>
        <w:t xml:space="preserve"> - </w:t>
      </w:r>
      <w:r w:rsidR="0074574E" w:rsidRPr="0074574E">
        <w:rPr>
          <w:rStyle w:val="NormlnzprvaChar"/>
          <w:rFonts w:asciiTheme="minorHAnsi" w:hAnsiTheme="minorHAnsi"/>
        </w:rPr>
        <w:t>výměna části vodovodu, úpravny vody, kanalizace nebo čistírny odpadních vod, která je inventárně sledovanou částí majetku vlastníka nebo samostatnou položkou uvedenou ve vybraných údajích majetkové evidence za účelem prodloužení životnosti stavby a s ní související technologie (dle Zákona č. 274/2001 Sb., o vodovodech a kanalizacích pro veřejnou potřebu a o změně některých zákonů (zákon o vodovodech a kanalizacích</w:t>
      </w:r>
      <w:r w:rsidR="003C549F">
        <w:rPr>
          <w:rStyle w:val="NormlnzprvaChar"/>
          <w:rFonts w:asciiTheme="minorHAnsi" w:hAnsiTheme="minorHAnsi"/>
        </w:rPr>
        <w:t xml:space="preserve">, </w:t>
      </w:r>
      <w:r w:rsidR="0074574E" w:rsidRPr="0074574E">
        <w:rPr>
          <w:rStyle w:val="NormlnzprvaChar"/>
          <w:rFonts w:asciiTheme="minorHAnsi" w:hAnsiTheme="minorHAnsi"/>
        </w:rPr>
        <w:t>dále jen ZVK).</w:t>
      </w:r>
    </w:p>
    <w:p w14:paraId="233950B4" w14:textId="77777777" w:rsidR="00C62639" w:rsidRPr="00C62639" w:rsidRDefault="00C62639" w:rsidP="00C62639">
      <w:pPr>
        <w:rPr>
          <w:rFonts w:asciiTheme="minorHAnsi" w:hAnsiTheme="minorHAnsi"/>
          <w:noProof/>
        </w:rPr>
      </w:pPr>
    </w:p>
    <w:p w14:paraId="68D9C76E" w14:textId="6E4A5757" w:rsidR="00C62639" w:rsidRPr="00C62639" w:rsidRDefault="00C62639" w:rsidP="00C62639">
      <w:pPr>
        <w:rPr>
          <w:rStyle w:val="NormlnzprvaChar"/>
          <w:rFonts w:asciiTheme="minorHAnsi" w:hAnsiTheme="minorHAnsi"/>
        </w:rPr>
      </w:pPr>
      <w:r w:rsidRPr="00C62639">
        <w:rPr>
          <w:rFonts w:asciiTheme="minorHAnsi" w:hAnsiTheme="minorHAnsi"/>
          <w:b/>
          <w:i/>
          <w:noProof/>
        </w:rPr>
        <w:t>Oddílný model provozování vodohospodářského infrastrukturního majetku</w:t>
      </w:r>
      <w:r w:rsidRPr="00C62639">
        <w:rPr>
          <w:rFonts w:asciiTheme="minorHAnsi" w:hAnsiTheme="minorHAnsi"/>
          <w:noProof/>
        </w:rPr>
        <w:t xml:space="preserve"> – </w:t>
      </w:r>
      <w:r w:rsidRPr="00C62639">
        <w:rPr>
          <w:rStyle w:val="NormlnzprvaChar"/>
          <w:rFonts w:asciiTheme="minorHAnsi" w:hAnsiTheme="minorHAnsi"/>
        </w:rPr>
        <w:t>vlastník vodohospodářské infrastruktury uzavírá dlouhodobou smlouvu zabezpečující provozování vodohospodářské infrastruktury s provozovatelem. Příjemce vodného nebo stočného je provozovatel (koncesní smlouva) nebo vlastník (tzv. servisní smlouva), kde provozovatel je vybrán v souladu se zákonem o veřejných zakázkách. Tento model také zahrnuje model vlastnický.</w:t>
      </w:r>
    </w:p>
    <w:p w14:paraId="05C4B017" w14:textId="77777777" w:rsidR="00C62639" w:rsidRPr="00C62639" w:rsidRDefault="00C62639" w:rsidP="00C62639">
      <w:pPr>
        <w:rPr>
          <w:rFonts w:asciiTheme="minorHAnsi" w:hAnsiTheme="minorHAnsi"/>
          <w:noProof/>
        </w:rPr>
      </w:pPr>
    </w:p>
    <w:p w14:paraId="65A40FC3" w14:textId="03A79D20" w:rsidR="00C62639" w:rsidRPr="00C62639" w:rsidRDefault="00C62639" w:rsidP="00C62639">
      <w:pPr>
        <w:rPr>
          <w:rStyle w:val="NormlnzprvaChar"/>
          <w:rFonts w:asciiTheme="minorHAnsi" w:hAnsiTheme="minorHAnsi"/>
        </w:rPr>
      </w:pPr>
      <w:r w:rsidRPr="00C62639">
        <w:rPr>
          <w:rFonts w:asciiTheme="minorHAnsi" w:hAnsiTheme="minorHAnsi"/>
          <w:b/>
          <w:i/>
          <w:noProof/>
        </w:rPr>
        <w:t>Orientační ukazatele</w:t>
      </w:r>
      <w:r w:rsidRPr="00C62639">
        <w:rPr>
          <w:rFonts w:asciiTheme="minorHAnsi" w:hAnsiTheme="minorHAnsi"/>
          <w:noProof/>
        </w:rPr>
        <w:t xml:space="preserve"> </w:t>
      </w:r>
      <w:r w:rsidR="008E082B" w:rsidRPr="008E082B">
        <w:rPr>
          <w:rFonts w:asciiTheme="minorHAnsi" w:hAnsiTheme="minorHAnsi"/>
          <w:noProof/>
        </w:rPr>
        <w:t>- ukazatele výpočtu pořizovací (aktualizované) ceny objektů do Vybraných údajů majetkové evidence vodovodů a kanalizací, pro Plány rozvoje vodovodů a kanalizací a pro Plány financování obnovy vodovodů a kanalizací dle Metodického pokynu Ministerstva zemědělství čj.: 401/2010-15000, pro orientační ukazatele výpočtu pořizovací (aktualizované) ceny objektů do Vybraných údajů majetkové evidence vodovodů a kanalizací, pro Plány rozvoje vodovodů a kanalizací a pro Plány financování obnovy vodovodů a kanalizací (dále jen "metodický pokyn").</w:t>
      </w:r>
    </w:p>
    <w:p w14:paraId="61FD8886" w14:textId="77777777" w:rsidR="00C62639" w:rsidRPr="00C62639" w:rsidRDefault="00C62639" w:rsidP="00C62639">
      <w:pPr>
        <w:rPr>
          <w:rFonts w:asciiTheme="minorHAnsi" w:hAnsiTheme="minorHAnsi"/>
          <w:noProof/>
        </w:rPr>
      </w:pPr>
    </w:p>
    <w:p w14:paraId="566B70F8" w14:textId="77777777" w:rsidR="00C62639" w:rsidRPr="00C62639" w:rsidRDefault="00C62639" w:rsidP="00C62639">
      <w:pPr>
        <w:rPr>
          <w:rStyle w:val="NormlnzprvaChar"/>
          <w:rFonts w:asciiTheme="minorHAnsi" w:hAnsiTheme="minorHAnsi"/>
        </w:rPr>
      </w:pPr>
      <w:r w:rsidRPr="00C62639">
        <w:rPr>
          <w:rFonts w:asciiTheme="minorHAnsi" w:hAnsiTheme="minorHAnsi"/>
          <w:b/>
          <w:i/>
          <w:noProof/>
        </w:rPr>
        <w:t>Plán financování obnovy vodohospodářské infrastruktury</w:t>
      </w:r>
      <w:r w:rsidRPr="00C62639">
        <w:rPr>
          <w:rFonts w:asciiTheme="minorHAnsi" w:hAnsiTheme="minorHAnsi"/>
          <w:noProof/>
        </w:rPr>
        <w:t xml:space="preserve"> – </w:t>
      </w:r>
      <w:r w:rsidRPr="00C62639">
        <w:rPr>
          <w:rStyle w:val="NormlnzprvaChar"/>
          <w:rFonts w:asciiTheme="minorHAnsi" w:hAnsiTheme="minorHAnsi"/>
        </w:rPr>
        <w:t>výkaz, jehož obsahem je vymezení infrastrukturního majetku v členění podle vybraných údajů majetkové evidence s reprodukční pořizovací cenou, vyhodnocení stavu majetku vyjádřené v % opotřebení, výpočet teoretické doby akumulace finančních prostředků, roční potřeba finančních</w:t>
      </w:r>
      <w:r w:rsidRPr="00C62639">
        <w:rPr>
          <w:rFonts w:asciiTheme="minorHAnsi" w:hAnsiTheme="minorHAnsi"/>
          <w:noProof/>
        </w:rPr>
        <w:t xml:space="preserve"> </w:t>
      </w:r>
      <w:r w:rsidRPr="00C62639">
        <w:rPr>
          <w:rStyle w:val="NormlnzprvaChar"/>
          <w:rFonts w:asciiTheme="minorHAnsi" w:hAnsiTheme="minorHAnsi"/>
        </w:rPr>
        <w:t xml:space="preserve">prostředků a její krytí a doklady o čerpání vytvořených finančních prostředků včetně faktur </w:t>
      </w:r>
      <w:r w:rsidRPr="00C62639">
        <w:rPr>
          <w:rStyle w:val="NormlnzprvaChar"/>
          <w:rFonts w:asciiTheme="minorHAnsi" w:hAnsiTheme="minorHAnsi"/>
        </w:rPr>
        <w:lastRenderedPageBreak/>
        <w:t xml:space="preserve">nebo jejich kopií. Zpracování se provádí podle přílohy č. 18 k vyhlášce č. 428/2001 Sb. Každá provedená aktualizace je součástí původního plánu financování obnovy vodovodů nebo kanalizací. </w:t>
      </w:r>
    </w:p>
    <w:p w14:paraId="72D9B055" w14:textId="77777777" w:rsidR="00C62639" w:rsidRPr="00C62639" w:rsidRDefault="00C62639" w:rsidP="00C62639">
      <w:pPr>
        <w:rPr>
          <w:rFonts w:asciiTheme="minorHAnsi" w:hAnsiTheme="minorHAnsi"/>
          <w:noProof/>
        </w:rPr>
      </w:pPr>
    </w:p>
    <w:p w14:paraId="244EAFB5" w14:textId="56864F8B" w:rsidR="00C62639" w:rsidRPr="00C62639" w:rsidRDefault="00C62639" w:rsidP="00C62639">
      <w:pPr>
        <w:rPr>
          <w:rStyle w:val="NormlnzprvaChar"/>
          <w:rFonts w:asciiTheme="minorHAnsi" w:hAnsiTheme="minorHAnsi"/>
        </w:rPr>
      </w:pPr>
      <w:r w:rsidRPr="00C62639">
        <w:rPr>
          <w:rFonts w:asciiTheme="minorHAnsi" w:hAnsiTheme="minorHAnsi"/>
          <w:b/>
          <w:i/>
          <w:noProof/>
        </w:rPr>
        <w:t>Porovnání</w:t>
      </w:r>
      <w:r w:rsidRPr="00C62639">
        <w:rPr>
          <w:rFonts w:asciiTheme="minorHAnsi" w:hAnsiTheme="minorHAnsi"/>
          <w:noProof/>
        </w:rPr>
        <w:t xml:space="preserve"> – </w:t>
      </w:r>
      <w:r w:rsidR="0074574E" w:rsidRPr="0074574E">
        <w:rPr>
          <w:rStyle w:val="NormlnzprvaChar"/>
          <w:rFonts w:asciiTheme="minorHAnsi" w:hAnsiTheme="minorHAnsi"/>
        </w:rPr>
        <w:t>podle přílohy č. 20 k vyhlášce č. 428/2001 Sb., „Porovnání všech položek výpočtu (kalkulace) cen pro vodné a stočné za kalendářní rok a dosažené skutečnosti v témže roce“, které vlastník vodovodu nebo kanalizace, popřípadě provozovatel, pokud je k tomu vlastníkem zmocněn, povinně zasílá v elektronické podobě a ve stanovené formě, a to každoročně nejpozději do 30. 4. za předchozí kalendářní rok (podle § 36 odst. 5, zákona č. 274/2001 Sb., o vodovodech a kanalizacích pro veřejnou potřebu a o změně některých zákonů).</w:t>
      </w:r>
    </w:p>
    <w:p w14:paraId="79B76BEC" w14:textId="77777777" w:rsidR="00C62639" w:rsidRPr="00C62639" w:rsidRDefault="00C62639" w:rsidP="00C62639">
      <w:pPr>
        <w:rPr>
          <w:rFonts w:asciiTheme="minorHAnsi" w:hAnsiTheme="minorHAnsi"/>
          <w:noProof/>
        </w:rPr>
      </w:pPr>
    </w:p>
    <w:p w14:paraId="0CB42D48" w14:textId="278ADF86" w:rsidR="00C62639" w:rsidRPr="00C62639" w:rsidRDefault="00C62639" w:rsidP="00C62639">
      <w:pPr>
        <w:rPr>
          <w:rStyle w:val="NormlnzprvaChar"/>
          <w:rFonts w:asciiTheme="minorHAnsi" w:hAnsiTheme="minorHAnsi"/>
        </w:rPr>
      </w:pPr>
      <w:r w:rsidRPr="00C62639">
        <w:rPr>
          <w:rFonts w:asciiTheme="minorHAnsi" w:hAnsiTheme="minorHAnsi"/>
          <w:b/>
          <w:i/>
          <w:noProof/>
        </w:rPr>
        <w:t>Samofinancovatelnost vodohospodářské infrastruktury</w:t>
      </w:r>
      <w:r w:rsidRPr="00C62639">
        <w:rPr>
          <w:rFonts w:asciiTheme="minorHAnsi" w:hAnsiTheme="minorHAnsi"/>
          <w:noProof/>
        </w:rPr>
        <w:t xml:space="preserve"> – </w:t>
      </w:r>
      <w:r w:rsidRPr="00C62639">
        <w:rPr>
          <w:rStyle w:val="NormlnzprvaChar"/>
          <w:rFonts w:asciiTheme="minorHAnsi" w:hAnsiTheme="minorHAnsi"/>
        </w:rPr>
        <w:t xml:space="preserve">stav, kdy výnosy z výběru vodného a stočného pokrývají veškeré náklady na </w:t>
      </w:r>
      <w:r w:rsidR="008E082B">
        <w:rPr>
          <w:rStyle w:val="NormlnzprvaChar"/>
          <w:rFonts w:asciiTheme="minorHAnsi" w:hAnsiTheme="minorHAnsi"/>
        </w:rPr>
        <w:t>její</w:t>
      </w:r>
      <w:r w:rsidR="00EC3A4D" w:rsidRPr="00C62639">
        <w:rPr>
          <w:rStyle w:val="NormlnzprvaChar"/>
          <w:rFonts w:asciiTheme="minorHAnsi" w:hAnsiTheme="minorHAnsi"/>
        </w:rPr>
        <w:t xml:space="preserve"> </w:t>
      </w:r>
      <w:r w:rsidRPr="00C62639">
        <w:rPr>
          <w:rStyle w:val="NormlnzprvaChar"/>
          <w:rFonts w:asciiTheme="minorHAnsi" w:hAnsiTheme="minorHAnsi"/>
        </w:rPr>
        <w:t xml:space="preserve">provoz, obnovu a rozvoj. </w:t>
      </w:r>
    </w:p>
    <w:p w14:paraId="7739D009" w14:textId="77777777" w:rsidR="00C62639" w:rsidRPr="00C62639" w:rsidRDefault="00C62639" w:rsidP="00C62639">
      <w:pPr>
        <w:rPr>
          <w:rFonts w:asciiTheme="minorHAnsi" w:hAnsiTheme="minorHAnsi"/>
          <w:noProof/>
        </w:rPr>
      </w:pPr>
    </w:p>
    <w:p w14:paraId="7FEEE1E7" w14:textId="7DFD8346" w:rsidR="00C62639" w:rsidRPr="00C62639" w:rsidRDefault="00C62639" w:rsidP="00C62639">
      <w:pPr>
        <w:rPr>
          <w:rStyle w:val="NormlnzprvaChar"/>
          <w:rFonts w:asciiTheme="minorHAnsi" w:hAnsiTheme="minorHAnsi"/>
        </w:rPr>
      </w:pPr>
      <w:r w:rsidRPr="00C62639">
        <w:rPr>
          <w:rFonts w:asciiTheme="minorHAnsi" w:hAnsiTheme="minorHAnsi"/>
          <w:b/>
          <w:i/>
          <w:noProof/>
        </w:rPr>
        <w:t>Smíšený model provozování vodohospodářského infrastrukturního majetku</w:t>
      </w:r>
      <w:r w:rsidRPr="00C62639">
        <w:rPr>
          <w:rFonts w:asciiTheme="minorHAnsi" w:hAnsiTheme="minorHAnsi"/>
          <w:noProof/>
        </w:rPr>
        <w:t xml:space="preserve"> </w:t>
      </w:r>
      <w:r w:rsidR="008E082B" w:rsidRPr="008E082B">
        <w:rPr>
          <w:rFonts w:asciiTheme="minorHAnsi" w:hAnsiTheme="minorHAnsi"/>
          <w:noProof/>
        </w:rPr>
        <w:t>– vlastník vodohospodářské infrastruktury vloží infrastrukturní majetek do obchodní společnosti, která jej poté vlastní i provozuje, vlastník má v provozovateli majetkový podíl. Formou smíšeného modelu je také samoprovozování v případě obcí. Pro účely této analýzy se oba tyto modely označují jako smíšené.</w:t>
      </w:r>
    </w:p>
    <w:p w14:paraId="0A5D45D8" w14:textId="77777777" w:rsidR="00C62639" w:rsidRPr="00C62639" w:rsidRDefault="00C62639" w:rsidP="00C62639">
      <w:pPr>
        <w:rPr>
          <w:rFonts w:asciiTheme="minorHAnsi" w:hAnsiTheme="minorHAnsi"/>
          <w:noProof/>
        </w:rPr>
      </w:pPr>
    </w:p>
    <w:p w14:paraId="374D2ABD" w14:textId="77777777" w:rsidR="00C62639" w:rsidRPr="00C62639" w:rsidRDefault="00C62639" w:rsidP="00C62639">
      <w:pPr>
        <w:rPr>
          <w:rStyle w:val="NormlnzprvaChar"/>
          <w:rFonts w:asciiTheme="minorHAnsi" w:hAnsiTheme="minorHAnsi"/>
        </w:rPr>
      </w:pPr>
      <w:r w:rsidRPr="00C62639">
        <w:rPr>
          <w:rFonts w:asciiTheme="minorHAnsi" w:hAnsiTheme="minorHAnsi"/>
          <w:b/>
          <w:i/>
          <w:noProof/>
        </w:rPr>
        <w:t>SWOT analýza</w:t>
      </w:r>
      <w:r w:rsidRPr="00C62639">
        <w:rPr>
          <w:rFonts w:asciiTheme="minorHAnsi" w:hAnsiTheme="minorHAnsi"/>
          <w:noProof/>
        </w:rPr>
        <w:t xml:space="preserve"> - </w:t>
      </w:r>
      <w:r w:rsidRPr="00C62639">
        <w:rPr>
          <w:rStyle w:val="NormlnzprvaChar"/>
          <w:rFonts w:asciiTheme="minorHAnsi" w:hAnsiTheme="minorHAnsi"/>
        </w:rPr>
        <w:t>metoda, kterou identifikujeme silné (Strengths) a slabé (Weaknesses) stránky, příležitosti (Opportunities) a hrozby (Threats) spojené s určitým projektem, typem podnikání (zde s použitím metody benchmarkingu pro hodnocení hospodářských subjektů).</w:t>
      </w:r>
    </w:p>
    <w:p w14:paraId="266D6223" w14:textId="77777777" w:rsidR="00C62639" w:rsidRPr="00C62639" w:rsidRDefault="00C62639" w:rsidP="00C62639">
      <w:pPr>
        <w:rPr>
          <w:rFonts w:asciiTheme="minorHAnsi" w:hAnsiTheme="minorHAnsi"/>
          <w:noProof/>
        </w:rPr>
      </w:pPr>
    </w:p>
    <w:p w14:paraId="4D5AAB83" w14:textId="54857894" w:rsidR="00C62639" w:rsidRPr="00C62639" w:rsidRDefault="00C62639" w:rsidP="00E148EF">
      <w:pPr>
        <w:spacing w:after="0"/>
        <w:rPr>
          <w:rFonts w:asciiTheme="minorHAnsi" w:hAnsiTheme="minorHAnsi"/>
          <w:noProof/>
        </w:rPr>
      </w:pPr>
      <w:r w:rsidRPr="00C62639">
        <w:rPr>
          <w:rFonts w:asciiTheme="minorHAnsi" w:hAnsiTheme="minorHAnsi"/>
          <w:b/>
          <w:i/>
          <w:noProof/>
        </w:rPr>
        <w:t>Vlastník</w:t>
      </w:r>
      <w:r w:rsidRPr="00C62639">
        <w:rPr>
          <w:rFonts w:asciiTheme="minorHAnsi" w:hAnsiTheme="minorHAnsi"/>
          <w:noProof/>
        </w:rPr>
        <w:t xml:space="preserve"> –</w:t>
      </w:r>
      <w:r w:rsidR="00502E1D">
        <w:rPr>
          <w:rFonts w:asciiTheme="minorHAnsi" w:hAnsiTheme="minorHAnsi"/>
          <w:noProof/>
        </w:rPr>
        <w:t xml:space="preserve"> </w:t>
      </w:r>
      <w:r w:rsidRPr="00C62639">
        <w:rPr>
          <w:rStyle w:val="NormlnzprvaChar"/>
          <w:rFonts w:asciiTheme="minorHAnsi" w:hAnsiTheme="minorHAnsi"/>
        </w:rPr>
        <w:t>majitel vodohospodářského infrastrukturního majetku.</w:t>
      </w:r>
    </w:p>
    <w:p w14:paraId="2A728F6B" w14:textId="77777777" w:rsidR="00C62639" w:rsidRPr="00C62639" w:rsidRDefault="00C62639" w:rsidP="00E148EF">
      <w:pPr>
        <w:spacing w:after="0"/>
        <w:rPr>
          <w:rFonts w:asciiTheme="minorHAnsi" w:hAnsiTheme="minorHAnsi"/>
          <w:noProof/>
        </w:rPr>
      </w:pPr>
    </w:p>
    <w:p w14:paraId="07F4B2A6" w14:textId="77777777" w:rsidR="00C62639" w:rsidRDefault="00C62639" w:rsidP="00E148EF">
      <w:pPr>
        <w:pStyle w:val="Normlnzprva"/>
        <w:spacing w:after="0"/>
        <w:ind w:firstLine="0"/>
        <w:rPr>
          <w:rFonts w:asciiTheme="minorHAnsi" w:hAnsiTheme="minorHAnsi"/>
          <w:noProof/>
        </w:rPr>
      </w:pPr>
      <w:r w:rsidRPr="00C62639">
        <w:rPr>
          <w:rFonts w:asciiTheme="minorHAnsi" w:hAnsiTheme="minorHAnsi"/>
          <w:b/>
          <w:i/>
          <w:noProof/>
        </w:rPr>
        <w:t>Vlastnický model provozování</w:t>
      </w:r>
      <w:r w:rsidRPr="00C62639">
        <w:rPr>
          <w:rFonts w:asciiTheme="minorHAnsi" w:hAnsiTheme="minorHAnsi"/>
          <w:noProof/>
        </w:rPr>
        <w:t xml:space="preserve"> – podskupina oddílného modelu provozování – vlastník vodohospodářské infrastruktury uzavírá dlouhodobou smlouvu o provozování vodohospodářské infrastruktury s provozovatelem, ve kterém má vlastnický podíl. Provozování VIM se zadává formou in-house veřejného zadávání.</w:t>
      </w:r>
    </w:p>
    <w:p w14:paraId="4315A93A" w14:textId="77777777" w:rsidR="00E148EF" w:rsidRDefault="00E148EF" w:rsidP="00E148EF">
      <w:pPr>
        <w:pStyle w:val="Normlnzprva"/>
        <w:spacing w:after="0"/>
        <w:ind w:firstLine="0"/>
        <w:rPr>
          <w:rFonts w:asciiTheme="minorHAnsi" w:hAnsiTheme="minorHAnsi"/>
          <w:noProof/>
        </w:rPr>
      </w:pPr>
    </w:p>
    <w:p w14:paraId="6A6AF942" w14:textId="2536C8E3" w:rsidR="00DC5472" w:rsidRDefault="00E148EF" w:rsidP="0074574E">
      <w:pPr>
        <w:pStyle w:val="Normlnzprva"/>
        <w:spacing w:after="0"/>
        <w:ind w:firstLine="0"/>
      </w:pPr>
      <w:r w:rsidRPr="00E148EF">
        <w:rPr>
          <w:b/>
        </w:rPr>
        <w:t>Vyhláška č. 428/2001 Sb.</w:t>
      </w:r>
      <w:r>
        <w:t xml:space="preserve"> – </w:t>
      </w:r>
      <w:r w:rsidR="0074574E">
        <w:t>vyhláška č. 428/2001 Sb. Ministerstva zemědělství ze dne 16.</w:t>
      </w:r>
      <w:r w:rsidR="003C549F">
        <w:t> </w:t>
      </w:r>
      <w:r w:rsidR="0074574E">
        <w:t>listopadu 2001, kterou se provádí zákon č. 274/2001 Sb., o vodovodech a kanalizacích pro veřejnou pot</w:t>
      </w:r>
      <w:r w:rsidR="00502E1D">
        <w:t>řebu a o změně některých zákonů</w:t>
      </w:r>
      <w:r w:rsidR="003C549F">
        <w:t xml:space="preserve"> (dále jen </w:t>
      </w:r>
      <w:r w:rsidR="0074574E">
        <w:t>vyhláška).</w:t>
      </w:r>
    </w:p>
    <w:p w14:paraId="24E94999" w14:textId="77777777" w:rsidR="00590F65" w:rsidRPr="00C62639" w:rsidRDefault="0064170D" w:rsidP="00E4339E">
      <w:pPr>
        <w:pStyle w:val="Nadpis3"/>
        <w:rPr>
          <w:rFonts w:asciiTheme="minorHAnsi" w:hAnsiTheme="minorHAnsi"/>
          <w:noProof/>
        </w:rPr>
      </w:pPr>
      <w:bookmarkStart w:id="6" w:name="_Toc459133205"/>
      <w:r w:rsidRPr="00C62639">
        <w:rPr>
          <w:rFonts w:asciiTheme="minorHAnsi" w:hAnsiTheme="minorHAnsi"/>
          <w:noProof/>
        </w:rPr>
        <w:t xml:space="preserve"> </w:t>
      </w:r>
      <w:bookmarkStart w:id="7" w:name="_Toc505684397"/>
      <w:r w:rsidR="00590F65" w:rsidRPr="00C62639">
        <w:rPr>
          <w:rFonts w:asciiTheme="minorHAnsi" w:hAnsiTheme="minorHAnsi"/>
          <w:noProof/>
        </w:rPr>
        <w:t>Použité zkratky</w:t>
      </w:r>
      <w:bookmarkEnd w:id="6"/>
      <w:bookmarkEnd w:id="7"/>
    </w:p>
    <w:p w14:paraId="24B92649" w14:textId="26598CAF"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MZe  </w:t>
      </w:r>
      <w:r w:rsidRPr="00C62639">
        <w:rPr>
          <w:rFonts w:asciiTheme="minorHAnsi" w:eastAsia="Times New Roman" w:hAnsiTheme="minorHAnsi"/>
          <w:noProof/>
        </w:rPr>
        <w:tab/>
      </w:r>
      <w:r w:rsidRPr="00C62639">
        <w:rPr>
          <w:rFonts w:asciiTheme="minorHAnsi" w:eastAsia="Times New Roman" w:hAnsiTheme="minorHAnsi"/>
          <w:noProof/>
        </w:rPr>
        <w:tab/>
        <w:t xml:space="preserve">Ministerstvo zemědělství </w:t>
      </w:r>
    </w:p>
    <w:p w14:paraId="6DFE7EBB" w14:textId="5476E509" w:rsidR="00663154" w:rsidRPr="00C62639" w:rsidRDefault="00663154"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MF </w:t>
      </w:r>
      <w:r w:rsidRPr="00C62639">
        <w:rPr>
          <w:rFonts w:asciiTheme="minorHAnsi" w:eastAsia="Times New Roman" w:hAnsiTheme="minorHAnsi"/>
          <w:noProof/>
        </w:rPr>
        <w:tab/>
      </w:r>
      <w:r w:rsidRPr="00C62639">
        <w:rPr>
          <w:rFonts w:asciiTheme="minorHAnsi" w:eastAsia="Times New Roman" w:hAnsiTheme="minorHAnsi"/>
          <w:noProof/>
        </w:rPr>
        <w:tab/>
        <w:t>Ministerstvo financí</w:t>
      </w:r>
    </w:p>
    <w:p w14:paraId="5750BF52" w14:textId="7EF57F34" w:rsidR="00663154" w:rsidRPr="00C62639" w:rsidRDefault="00663154" w:rsidP="006E3288">
      <w:pPr>
        <w:contextualSpacing w:val="0"/>
        <w:rPr>
          <w:rFonts w:asciiTheme="minorHAnsi" w:eastAsia="Times New Roman" w:hAnsiTheme="minorHAnsi"/>
          <w:noProof/>
        </w:rPr>
      </w:pPr>
      <w:r w:rsidRPr="00C62639">
        <w:rPr>
          <w:rFonts w:asciiTheme="minorHAnsi" w:eastAsia="Times New Roman" w:hAnsiTheme="minorHAnsi"/>
          <w:noProof/>
        </w:rPr>
        <w:t>MŽP</w:t>
      </w:r>
      <w:r w:rsidRPr="00C62639">
        <w:rPr>
          <w:rFonts w:asciiTheme="minorHAnsi" w:eastAsia="Times New Roman" w:hAnsiTheme="minorHAnsi"/>
          <w:noProof/>
        </w:rPr>
        <w:tab/>
      </w:r>
      <w:r w:rsidRPr="00C62639">
        <w:rPr>
          <w:rFonts w:asciiTheme="minorHAnsi" w:eastAsia="Times New Roman" w:hAnsiTheme="minorHAnsi"/>
          <w:noProof/>
        </w:rPr>
        <w:tab/>
        <w:t>Ministerstvo životního prostředí</w:t>
      </w:r>
    </w:p>
    <w:p w14:paraId="4FC8A280" w14:textId="42DD32D1"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VÚME </w:t>
      </w:r>
      <w:r w:rsidR="0074574E">
        <w:rPr>
          <w:rFonts w:asciiTheme="minorHAnsi" w:eastAsia="Times New Roman" w:hAnsiTheme="minorHAnsi"/>
          <w:noProof/>
        </w:rPr>
        <w:tab/>
      </w:r>
      <w:r w:rsidR="0074574E">
        <w:rPr>
          <w:rFonts w:asciiTheme="minorHAnsi" w:eastAsia="Times New Roman" w:hAnsiTheme="minorHAnsi"/>
          <w:noProof/>
        </w:rPr>
        <w:tab/>
      </w:r>
      <w:r w:rsidRPr="00C62639">
        <w:rPr>
          <w:rFonts w:asciiTheme="minorHAnsi" w:eastAsia="Times New Roman" w:hAnsiTheme="minorHAnsi"/>
          <w:noProof/>
        </w:rPr>
        <w:t>Vybrané údaje majetkové evidence</w:t>
      </w:r>
    </w:p>
    <w:p w14:paraId="5F0EF00D" w14:textId="7FCAF6E0"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VÚPE </w:t>
      </w:r>
      <w:r w:rsidR="0074574E">
        <w:rPr>
          <w:rFonts w:asciiTheme="minorHAnsi" w:eastAsia="Times New Roman" w:hAnsiTheme="minorHAnsi"/>
          <w:noProof/>
        </w:rPr>
        <w:tab/>
      </w:r>
      <w:r w:rsidR="0074574E">
        <w:rPr>
          <w:rFonts w:asciiTheme="minorHAnsi" w:eastAsia="Times New Roman" w:hAnsiTheme="minorHAnsi"/>
          <w:noProof/>
        </w:rPr>
        <w:tab/>
      </w:r>
      <w:r w:rsidRPr="00C62639">
        <w:rPr>
          <w:rFonts w:asciiTheme="minorHAnsi" w:eastAsia="Times New Roman" w:hAnsiTheme="minorHAnsi"/>
          <w:noProof/>
        </w:rPr>
        <w:t>Vybrané údaje provozní evidence</w:t>
      </w:r>
    </w:p>
    <w:p w14:paraId="5B1BFD9C" w14:textId="33A9A5DC"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IČPE </w:t>
      </w:r>
      <w:r w:rsidR="0074574E">
        <w:rPr>
          <w:rFonts w:asciiTheme="minorHAnsi" w:eastAsia="Times New Roman" w:hAnsiTheme="minorHAnsi"/>
          <w:noProof/>
        </w:rPr>
        <w:tab/>
      </w:r>
      <w:r w:rsidRPr="00C62639">
        <w:rPr>
          <w:rFonts w:asciiTheme="minorHAnsi" w:eastAsia="Times New Roman" w:hAnsiTheme="minorHAnsi"/>
          <w:noProof/>
        </w:rPr>
        <w:tab/>
        <w:t>Identifikační číslo provozní evidence</w:t>
      </w:r>
    </w:p>
    <w:p w14:paraId="5BDD302C" w14:textId="0E4CC40A"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PFO  </w:t>
      </w:r>
      <w:r w:rsidRPr="00C62639">
        <w:rPr>
          <w:rFonts w:asciiTheme="minorHAnsi" w:eastAsia="Times New Roman" w:hAnsiTheme="minorHAnsi"/>
          <w:noProof/>
        </w:rPr>
        <w:tab/>
      </w:r>
      <w:r w:rsidRPr="00C62639">
        <w:rPr>
          <w:rFonts w:asciiTheme="minorHAnsi" w:eastAsia="Times New Roman" w:hAnsiTheme="minorHAnsi"/>
          <w:noProof/>
        </w:rPr>
        <w:tab/>
        <w:t>Plán financování obnovy vodohospodářského infrastrukturního majetku</w:t>
      </w:r>
    </w:p>
    <w:p w14:paraId="4F8DF468" w14:textId="3B8F2641" w:rsidR="00B80DA1" w:rsidRDefault="00B80DA1" w:rsidP="006E3288">
      <w:pPr>
        <w:contextualSpacing w:val="0"/>
        <w:rPr>
          <w:rFonts w:asciiTheme="minorHAnsi" w:eastAsia="Times New Roman" w:hAnsiTheme="minorHAnsi"/>
          <w:noProof/>
        </w:rPr>
      </w:pPr>
      <w:r w:rsidRPr="00C62639">
        <w:rPr>
          <w:rFonts w:asciiTheme="minorHAnsi" w:eastAsia="Times New Roman" w:hAnsiTheme="minorHAnsi"/>
          <w:noProof/>
        </w:rPr>
        <w:lastRenderedPageBreak/>
        <w:t xml:space="preserve">OKF </w:t>
      </w:r>
      <w:r w:rsidRPr="00C62639">
        <w:rPr>
          <w:rFonts w:asciiTheme="minorHAnsi" w:eastAsia="Times New Roman" w:hAnsiTheme="minorHAnsi"/>
          <w:noProof/>
        </w:rPr>
        <w:tab/>
      </w:r>
      <w:r w:rsidRPr="00C62639">
        <w:rPr>
          <w:rFonts w:asciiTheme="minorHAnsi" w:eastAsia="Times New Roman" w:hAnsiTheme="minorHAnsi"/>
          <w:noProof/>
        </w:rPr>
        <w:tab/>
        <w:t>Operační koeficient (</w:t>
      </w:r>
      <w:r w:rsidR="00C01C67" w:rsidRPr="00C62639">
        <w:rPr>
          <w:rFonts w:asciiTheme="minorHAnsi" w:eastAsia="Times New Roman" w:hAnsiTheme="minorHAnsi"/>
          <w:noProof/>
        </w:rPr>
        <w:t>výpočet viz</w:t>
      </w:r>
      <w:r w:rsidR="00502E1D">
        <w:rPr>
          <w:rFonts w:asciiTheme="minorHAnsi" w:eastAsia="Times New Roman" w:hAnsiTheme="minorHAnsi"/>
          <w:noProof/>
        </w:rPr>
        <w:t>.</w:t>
      </w:r>
      <w:r w:rsidRPr="00C62639">
        <w:rPr>
          <w:rFonts w:asciiTheme="minorHAnsi" w:eastAsia="Times New Roman" w:hAnsiTheme="minorHAnsi"/>
          <w:noProof/>
        </w:rPr>
        <w:t xml:space="preserve"> platná Metodika benchmarkingu)</w:t>
      </w:r>
    </w:p>
    <w:p w14:paraId="04F63DAD" w14:textId="77FEB4E7" w:rsidR="0074574E" w:rsidRPr="003443C9" w:rsidRDefault="0074574E" w:rsidP="0074574E">
      <w:pPr>
        <w:pStyle w:val="normlntextvodstavcch"/>
        <w:tabs>
          <w:tab w:val="left" w:pos="1134"/>
        </w:tabs>
        <w:ind w:firstLine="0"/>
      </w:pPr>
      <w:r>
        <w:t>OV</w:t>
      </w:r>
      <w:r>
        <w:tab/>
      </w:r>
      <w:r>
        <w:tab/>
        <w:t>Odpadní vody</w:t>
      </w:r>
    </w:p>
    <w:p w14:paraId="0EB99E47" w14:textId="682BEBB7" w:rsidR="0074574E" w:rsidRDefault="0074574E" w:rsidP="006E3288">
      <w:pPr>
        <w:contextualSpacing w:val="0"/>
        <w:rPr>
          <w:rFonts w:asciiTheme="minorHAnsi" w:eastAsia="Times New Roman" w:hAnsiTheme="minorHAnsi"/>
          <w:noProof/>
        </w:rPr>
      </w:pPr>
      <w:r w:rsidRPr="003443C9">
        <w:t>VaK</w:t>
      </w:r>
      <w:r w:rsidRPr="003443C9">
        <w:tab/>
      </w:r>
      <w:r>
        <w:tab/>
      </w:r>
      <w:r w:rsidRPr="003443C9">
        <w:t>Vodovody a kanalizace pro veřejnou potřebu</w:t>
      </w:r>
      <w:r w:rsidRPr="00C62639">
        <w:rPr>
          <w:rFonts w:asciiTheme="minorHAnsi" w:eastAsia="Times New Roman" w:hAnsiTheme="minorHAnsi"/>
          <w:noProof/>
        </w:rPr>
        <w:t xml:space="preserve"> </w:t>
      </w:r>
    </w:p>
    <w:p w14:paraId="13E60D41" w14:textId="2D0D771F"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VIM </w:t>
      </w:r>
      <w:r w:rsidRPr="00C62639">
        <w:rPr>
          <w:rFonts w:asciiTheme="minorHAnsi" w:eastAsia="Times New Roman" w:hAnsiTheme="minorHAnsi"/>
          <w:noProof/>
        </w:rPr>
        <w:tab/>
      </w:r>
      <w:r w:rsidRPr="00C62639">
        <w:rPr>
          <w:rFonts w:asciiTheme="minorHAnsi" w:eastAsia="Times New Roman" w:hAnsiTheme="minorHAnsi"/>
          <w:noProof/>
        </w:rPr>
        <w:tab/>
        <w:t>Vodohospodářský infrastrukturní majetek</w:t>
      </w:r>
    </w:p>
    <w:p w14:paraId="7B97376C" w14:textId="789FB4DA" w:rsidR="00F762DB" w:rsidRPr="00C62639" w:rsidRDefault="00F762DB" w:rsidP="00F762DB">
      <w:pPr>
        <w:contextualSpacing w:val="0"/>
        <w:rPr>
          <w:rFonts w:asciiTheme="minorHAnsi" w:eastAsia="Times New Roman" w:hAnsiTheme="minorHAnsi"/>
          <w:noProof/>
        </w:rPr>
      </w:pPr>
      <w:r w:rsidRPr="00C62639">
        <w:rPr>
          <w:rFonts w:asciiTheme="minorHAnsi" w:eastAsia="Times New Roman" w:hAnsiTheme="minorHAnsi"/>
          <w:noProof/>
        </w:rPr>
        <w:t xml:space="preserve">ODaRV </w:t>
      </w:r>
      <w:r w:rsidRPr="00C62639">
        <w:rPr>
          <w:rFonts w:asciiTheme="minorHAnsi" w:eastAsia="Times New Roman" w:hAnsiTheme="minorHAnsi"/>
          <w:noProof/>
        </w:rPr>
        <w:tab/>
        <w:t>Odbor dozoru a regulace vodárenství</w:t>
      </w:r>
    </w:p>
    <w:p w14:paraId="00B6347A" w14:textId="21EA122C" w:rsidR="00F762DB" w:rsidRDefault="00F762DB" w:rsidP="00F762DB">
      <w:pPr>
        <w:contextualSpacing w:val="0"/>
        <w:rPr>
          <w:rFonts w:asciiTheme="minorHAnsi" w:eastAsia="Times New Roman" w:hAnsiTheme="minorHAnsi"/>
          <w:noProof/>
        </w:rPr>
      </w:pPr>
      <w:r w:rsidRPr="00C62639">
        <w:rPr>
          <w:rFonts w:asciiTheme="minorHAnsi" w:eastAsia="Times New Roman" w:hAnsiTheme="minorHAnsi"/>
          <w:noProof/>
        </w:rPr>
        <w:t xml:space="preserve">ZVK </w:t>
      </w:r>
      <w:r w:rsidRPr="00C62639">
        <w:rPr>
          <w:rFonts w:asciiTheme="minorHAnsi" w:eastAsia="Times New Roman" w:hAnsiTheme="minorHAnsi"/>
          <w:noProof/>
        </w:rPr>
        <w:tab/>
      </w:r>
      <w:r w:rsidRPr="00C62639">
        <w:rPr>
          <w:rFonts w:asciiTheme="minorHAnsi" w:eastAsia="Times New Roman" w:hAnsiTheme="minorHAnsi"/>
          <w:noProof/>
        </w:rPr>
        <w:tab/>
        <w:t>Zákon o vodovodech a kanalizacích č. 274/2001 Sb.</w:t>
      </w:r>
    </w:p>
    <w:p w14:paraId="63A6D74C" w14:textId="77777777" w:rsidR="00307725" w:rsidRPr="00C62639" w:rsidRDefault="00307725" w:rsidP="00F762DB">
      <w:pPr>
        <w:contextualSpacing w:val="0"/>
        <w:rPr>
          <w:rFonts w:asciiTheme="minorHAnsi" w:eastAsia="Times New Roman" w:hAnsiTheme="minorHAnsi"/>
          <w:noProof/>
        </w:rPr>
      </w:pPr>
    </w:p>
    <w:p w14:paraId="6AE58C07" w14:textId="2E68271E" w:rsidR="00DF5417" w:rsidRPr="00C62639" w:rsidRDefault="00DF5417" w:rsidP="00DF5417">
      <w:pPr>
        <w:pStyle w:val="Nadpis2"/>
        <w:rPr>
          <w:rFonts w:asciiTheme="minorHAnsi" w:hAnsiTheme="minorHAnsi"/>
          <w:noProof/>
        </w:rPr>
      </w:pPr>
      <w:r w:rsidRPr="00C62639">
        <w:rPr>
          <w:rFonts w:asciiTheme="minorHAnsi" w:hAnsiTheme="minorHAnsi"/>
          <w:noProof/>
        </w:rPr>
        <w:t xml:space="preserve"> </w:t>
      </w:r>
      <w:bookmarkStart w:id="8" w:name="_Toc505684398"/>
      <w:r w:rsidR="00997897" w:rsidRPr="00C62639">
        <w:rPr>
          <w:rFonts w:asciiTheme="minorHAnsi" w:hAnsiTheme="minorHAnsi"/>
          <w:noProof/>
        </w:rPr>
        <w:t xml:space="preserve">Funkce </w:t>
      </w:r>
      <w:r w:rsidRPr="00C62639">
        <w:rPr>
          <w:rFonts w:asciiTheme="minorHAnsi" w:hAnsiTheme="minorHAnsi"/>
          <w:noProof/>
        </w:rPr>
        <w:t>zprávy z benchmarkingu</w:t>
      </w:r>
      <w:r w:rsidR="00B26631">
        <w:rPr>
          <w:rFonts w:asciiTheme="minorHAnsi" w:hAnsiTheme="minorHAnsi"/>
          <w:noProof/>
        </w:rPr>
        <w:t xml:space="preserve"> </w:t>
      </w:r>
      <w:r w:rsidR="00997897" w:rsidRPr="00C62639">
        <w:rPr>
          <w:rFonts w:asciiTheme="minorHAnsi" w:hAnsiTheme="minorHAnsi"/>
          <w:noProof/>
        </w:rPr>
        <w:t>v procesu regulace - provázanost</w:t>
      </w:r>
      <w:r w:rsidR="00B26631">
        <w:rPr>
          <w:rFonts w:asciiTheme="minorHAnsi" w:hAnsiTheme="minorHAnsi"/>
          <w:noProof/>
        </w:rPr>
        <w:t xml:space="preserve"> </w:t>
      </w:r>
      <w:r w:rsidR="00997897" w:rsidRPr="00C62639">
        <w:rPr>
          <w:rFonts w:asciiTheme="minorHAnsi" w:hAnsiTheme="minorHAnsi"/>
          <w:noProof/>
        </w:rPr>
        <w:t>s</w:t>
      </w:r>
      <w:r w:rsidRPr="00C62639">
        <w:rPr>
          <w:rFonts w:asciiTheme="minorHAnsi" w:hAnsiTheme="minorHAnsi"/>
          <w:noProof/>
        </w:rPr>
        <w:t xml:space="preserve"> viz</w:t>
      </w:r>
      <w:r w:rsidR="00C62639" w:rsidRPr="00C62639">
        <w:rPr>
          <w:rFonts w:asciiTheme="minorHAnsi" w:hAnsiTheme="minorHAnsi"/>
          <w:noProof/>
        </w:rPr>
        <w:t>í</w:t>
      </w:r>
      <w:r w:rsidRPr="00C62639">
        <w:rPr>
          <w:rFonts w:asciiTheme="minorHAnsi" w:hAnsiTheme="minorHAnsi"/>
          <w:noProof/>
        </w:rPr>
        <w:t xml:space="preserve"> a záměry dozoru a regulace </w:t>
      </w:r>
      <w:r w:rsidR="00997897" w:rsidRPr="00C62639">
        <w:rPr>
          <w:rFonts w:asciiTheme="minorHAnsi" w:hAnsiTheme="minorHAnsi"/>
          <w:noProof/>
        </w:rPr>
        <w:t>oboru VaK</w:t>
      </w:r>
      <w:bookmarkEnd w:id="8"/>
    </w:p>
    <w:p w14:paraId="0339CB01" w14:textId="10F8CEE3" w:rsidR="00C62639" w:rsidRPr="00A340F8" w:rsidRDefault="00C62639" w:rsidP="00A340F8">
      <w:pPr>
        <w:pStyle w:val="Normlnzprva"/>
      </w:pPr>
      <w:r w:rsidRPr="00A340F8">
        <w:t>Podstatou a cílem Zprávy z benchmarkingu je přiblížit závěry benchmarkingových projektů všem zúčastněným stranám, zhodnotit jejich výsledky ve vztahu ke stanovené vizi a záměrům regulace, navrhnout a definovat oblasti</w:t>
      </w:r>
      <w:r w:rsidR="00B26631">
        <w:t xml:space="preserve"> </w:t>
      </w:r>
      <w:r w:rsidRPr="00A340F8">
        <w:t>problémů, které je nutno řešit</w:t>
      </w:r>
      <w:r w:rsidR="00B26631">
        <w:t xml:space="preserve"> </w:t>
      </w:r>
      <w:r w:rsidRPr="00A340F8">
        <w:t xml:space="preserve">regulací v zájmu zlepšení fungování oboru VaK, a popřípadě navrhnout další změny související s realizací samotného benchmarkingu. </w:t>
      </w:r>
    </w:p>
    <w:p w14:paraId="5B2D8C8D" w14:textId="77777777" w:rsidR="00997897" w:rsidRPr="00C62639" w:rsidRDefault="00997897" w:rsidP="00DF5417">
      <w:pPr>
        <w:pStyle w:val="normlntextvodstavcch"/>
        <w:rPr>
          <w:rFonts w:asciiTheme="minorHAnsi" w:hAnsiTheme="minorHAnsi" w:cs="Calibri"/>
          <w:noProof/>
        </w:rPr>
      </w:pPr>
    </w:p>
    <w:p w14:paraId="7D75D6FC" w14:textId="77777777" w:rsidR="00DF5417" w:rsidRPr="00C62639" w:rsidRDefault="00DF5417" w:rsidP="00DF5417">
      <w:pPr>
        <w:pStyle w:val="Nadpis3"/>
        <w:rPr>
          <w:rFonts w:asciiTheme="minorHAnsi" w:hAnsiTheme="minorHAnsi"/>
          <w:noProof/>
        </w:rPr>
      </w:pPr>
      <w:bookmarkStart w:id="9" w:name="_Toc505684399"/>
      <w:r w:rsidRPr="00C62639">
        <w:rPr>
          <w:rFonts w:asciiTheme="minorHAnsi" w:hAnsiTheme="minorHAnsi"/>
          <w:noProof/>
        </w:rPr>
        <w:t>Vize regulace oboru VaK</w:t>
      </w:r>
      <w:bookmarkEnd w:id="9"/>
    </w:p>
    <w:p w14:paraId="2CC5899E" w14:textId="0D56A257" w:rsidR="00DF5417" w:rsidRPr="00C62639" w:rsidRDefault="00DF5417" w:rsidP="00DF5417">
      <w:pPr>
        <w:pStyle w:val="normlntextvodstavcch"/>
        <w:rPr>
          <w:rFonts w:asciiTheme="minorHAnsi" w:hAnsiTheme="minorHAnsi" w:cs="Calibri"/>
          <w:noProof/>
        </w:rPr>
      </w:pPr>
      <w:r w:rsidRPr="00C62639">
        <w:rPr>
          <w:rFonts w:asciiTheme="minorHAnsi" w:hAnsiTheme="minorHAnsi" w:cs="Calibri"/>
          <w:noProof/>
        </w:rPr>
        <w:t>Čistá výroba a nepřetržitá dodávka kvalitní pitné vody a odvádění a kvalitní čištění odp</w:t>
      </w:r>
      <w:r w:rsidR="00B26631">
        <w:rPr>
          <w:rFonts w:asciiTheme="minorHAnsi" w:hAnsiTheme="minorHAnsi" w:cs="Calibri"/>
          <w:noProof/>
        </w:rPr>
        <w:t>adních vod pro všechny potřebné</w:t>
      </w:r>
      <w:r w:rsidRPr="00C62639">
        <w:rPr>
          <w:rFonts w:asciiTheme="minorHAnsi" w:hAnsiTheme="minorHAnsi" w:cs="Calibri"/>
          <w:noProof/>
        </w:rPr>
        <w:t xml:space="preserve"> za přiměřenou a dostupnou cenu, se zřetelem na zachování schopnosti budoucích generací uspokojovat své potřeby v oblasti infrastruktury vodovodů a kanalizací.</w:t>
      </w:r>
    </w:p>
    <w:p w14:paraId="313D46D8" w14:textId="77777777" w:rsidR="00DF5417" w:rsidRPr="00C62639" w:rsidRDefault="00DF5417" w:rsidP="00DF5417">
      <w:pPr>
        <w:pStyle w:val="Nadpis3"/>
        <w:rPr>
          <w:rFonts w:asciiTheme="minorHAnsi" w:hAnsiTheme="minorHAnsi"/>
          <w:noProof/>
        </w:rPr>
      </w:pPr>
      <w:bookmarkStart w:id="10" w:name="_Toc505684400"/>
      <w:r w:rsidRPr="00C62639">
        <w:rPr>
          <w:rFonts w:asciiTheme="minorHAnsi" w:hAnsiTheme="minorHAnsi"/>
          <w:noProof/>
        </w:rPr>
        <w:t>Záměry regulace oboru VaK</w:t>
      </w:r>
      <w:bookmarkEnd w:id="10"/>
    </w:p>
    <w:tbl>
      <w:tblPr>
        <w:tblW w:w="9099"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441"/>
        <w:gridCol w:w="3792"/>
        <w:gridCol w:w="4866"/>
      </w:tblGrid>
      <w:tr w:rsidR="00DF5417" w:rsidRPr="00C62639" w14:paraId="7DEF84ED" w14:textId="77777777" w:rsidTr="00762B0A">
        <w:trPr>
          <w:jc w:val="center"/>
        </w:trPr>
        <w:tc>
          <w:tcPr>
            <w:tcW w:w="425" w:type="dxa"/>
            <w:tcBorders>
              <w:top w:val="single" w:sz="4" w:space="0" w:color="70AD47"/>
              <w:left w:val="single" w:sz="4" w:space="0" w:color="70AD47"/>
              <w:bottom w:val="single" w:sz="4" w:space="0" w:color="70AD47"/>
              <w:right w:val="nil"/>
            </w:tcBorders>
            <w:shd w:val="clear" w:color="auto" w:fill="70AD47"/>
            <w:vAlign w:val="center"/>
          </w:tcPr>
          <w:p w14:paraId="16D39B25" w14:textId="77777777" w:rsidR="00DF5417" w:rsidRPr="00C62639" w:rsidRDefault="00DF5417" w:rsidP="00762B0A">
            <w:pPr>
              <w:spacing w:after="0"/>
              <w:jc w:val="left"/>
              <w:rPr>
                <w:rFonts w:asciiTheme="minorHAnsi" w:hAnsiTheme="minorHAnsi" w:cs="Arial"/>
                <w:b/>
                <w:bCs/>
                <w:noProof/>
                <w:color w:val="FFFFFF"/>
                <w:sz w:val="20"/>
                <w:szCs w:val="20"/>
                <w:lang w:eastAsia="cs-CZ"/>
              </w:rPr>
            </w:pPr>
          </w:p>
        </w:tc>
        <w:tc>
          <w:tcPr>
            <w:tcW w:w="3798" w:type="dxa"/>
            <w:tcBorders>
              <w:top w:val="single" w:sz="4" w:space="0" w:color="70AD47"/>
              <w:left w:val="nil"/>
              <w:bottom w:val="single" w:sz="4" w:space="0" w:color="70AD47"/>
              <w:right w:val="nil"/>
            </w:tcBorders>
            <w:shd w:val="clear" w:color="auto" w:fill="70AD47"/>
            <w:vAlign w:val="center"/>
          </w:tcPr>
          <w:p w14:paraId="4EF3A9A4" w14:textId="77777777" w:rsidR="00DF5417" w:rsidRPr="00C62639" w:rsidRDefault="00DF5417" w:rsidP="00762B0A">
            <w:pPr>
              <w:spacing w:after="0"/>
              <w:jc w:val="left"/>
              <w:rPr>
                <w:rFonts w:asciiTheme="minorHAnsi" w:hAnsiTheme="minorHAnsi" w:cs="Arial"/>
                <w:b/>
                <w:bCs/>
                <w:noProof/>
                <w:color w:val="FFFFFF"/>
                <w:sz w:val="20"/>
                <w:szCs w:val="20"/>
                <w:lang w:eastAsia="cs-CZ"/>
              </w:rPr>
            </w:pPr>
            <w:r w:rsidRPr="00C62639">
              <w:rPr>
                <w:rFonts w:asciiTheme="minorHAnsi" w:hAnsiTheme="minorHAnsi" w:cs="Arial"/>
                <w:b/>
                <w:bCs/>
                <w:noProof/>
                <w:color w:val="FFFFFF"/>
                <w:sz w:val="20"/>
                <w:szCs w:val="20"/>
                <w:lang w:eastAsia="cs-CZ"/>
              </w:rPr>
              <w:t>ZÁMĚRY</w:t>
            </w:r>
          </w:p>
        </w:tc>
        <w:tc>
          <w:tcPr>
            <w:tcW w:w="4876" w:type="dxa"/>
            <w:tcBorders>
              <w:top w:val="single" w:sz="4" w:space="0" w:color="70AD47"/>
              <w:left w:val="nil"/>
              <w:bottom w:val="single" w:sz="4" w:space="0" w:color="70AD47"/>
              <w:right w:val="single" w:sz="4" w:space="0" w:color="70AD47"/>
            </w:tcBorders>
            <w:shd w:val="clear" w:color="auto" w:fill="70AD47"/>
            <w:vAlign w:val="center"/>
          </w:tcPr>
          <w:p w14:paraId="74BFD231" w14:textId="77777777" w:rsidR="00DF5417" w:rsidRPr="00C62639" w:rsidRDefault="00DF5417" w:rsidP="00762B0A">
            <w:pPr>
              <w:spacing w:after="0"/>
              <w:jc w:val="left"/>
              <w:rPr>
                <w:rFonts w:asciiTheme="minorHAnsi" w:hAnsiTheme="minorHAnsi" w:cs="Arial"/>
                <w:b/>
                <w:bCs/>
                <w:noProof/>
                <w:color w:val="FFFFFF"/>
                <w:sz w:val="20"/>
                <w:szCs w:val="20"/>
                <w:lang w:eastAsia="cs-CZ"/>
              </w:rPr>
            </w:pPr>
            <w:r w:rsidRPr="00C62639">
              <w:rPr>
                <w:rFonts w:asciiTheme="minorHAnsi" w:hAnsiTheme="minorHAnsi" w:cs="Arial"/>
                <w:b/>
                <w:bCs/>
                <w:noProof/>
                <w:color w:val="FFFFFF"/>
                <w:sz w:val="20"/>
                <w:szCs w:val="20"/>
                <w:lang w:eastAsia="cs-CZ"/>
              </w:rPr>
              <w:t>PROBLEMATIKA</w:t>
            </w:r>
          </w:p>
        </w:tc>
      </w:tr>
      <w:tr w:rsidR="00DF5417" w:rsidRPr="00C62639" w14:paraId="19924771" w14:textId="77777777" w:rsidTr="00762B0A">
        <w:trPr>
          <w:jc w:val="center"/>
        </w:trPr>
        <w:tc>
          <w:tcPr>
            <w:tcW w:w="425" w:type="dxa"/>
            <w:shd w:val="clear" w:color="auto" w:fill="E2EFD9"/>
            <w:vAlign w:val="center"/>
          </w:tcPr>
          <w:p w14:paraId="68CB8449"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w:t>
            </w:r>
          </w:p>
        </w:tc>
        <w:tc>
          <w:tcPr>
            <w:tcW w:w="3798" w:type="dxa"/>
            <w:shd w:val="clear" w:color="auto" w:fill="E2EFD9"/>
            <w:vAlign w:val="center"/>
          </w:tcPr>
          <w:p w14:paraId="629EDF07"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Dosáhnout </w:t>
            </w:r>
            <w:r w:rsidRPr="00C62639">
              <w:rPr>
                <w:rFonts w:asciiTheme="minorHAnsi" w:hAnsiTheme="minorHAnsi" w:cs="Arial"/>
                <w:b/>
                <w:noProof/>
                <w:sz w:val="20"/>
                <w:szCs w:val="20"/>
                <w:lang w:eastAsia="cs-CZ"/>
              </w:rPr>
              <w:t>samofinancovatelnost</w:t>
            </w:r>
            <w:r w:rsidR="001E179C" w:rsidRPr="00C62639">
              <w:rPr>
                <w:rFonts w:asciiTheme="minorHAnsi" w:hAnsiTheme="minorHAnsi" w:cs="Arial"/>
                <w:b/>
                <w:noProof/>
                <w:sz w:val="20"/>
                <w:szCs w:val="20"/>
                <w:lang w:eastAsia="cs-CZ"/>
              </w:rPr>
              <w:t>i</w:t>
            </w:r>
            <w:r w:rsidRPr="00C62639">
              <w:rPr>
                <w:rFonts w:asciiTheme="minorHAnsi" w:hAnsiTheme="minorHAnsi" w:cs="Arial"/>
                <w:b/>
                <w:noProof/>
                <w:sz w:val="20"/>
                <w:szCs w:val="20"/>
                <w:lang w:eastAsia="cs-CZ"/>
              </w:rPr>
              <w:t xml:space="preserve"> infrastruktury</w:t>
            </w:r>
          </w:p>
        </w:tc>
        <w:tc>
          <w:tcPr>
            <w:tcW w:w="4876" w:type="dxa"/>
            <w:shd w:val="clear" w:color="auto" w:fill="E2EFD9"/>
            <w:vAlign w:val="center"/>
          </w:tcPr>
          <w:p w14:paraId="03DEE8B6" w14:textId="77777777" w:rsidR="00DF5417" w:rsidRPr="00C62639" w:rsidRDefault="00DF5417" w:rsidP="00762B0A">
            <w:pPr>
              <w:spacing w:after="0"/>
              <w:ind w:firstLine="29"/>
              <w:rPr>
                <w:rFonts w:asciiTheme="minorHAnsi" w:hAnsiTheme="minorHAnsi" w:cs="Arial"/>
                <w:noProof/>
                <w:sz w:val="20"/>
                <w:szCs w:val="20"/>
                <w:lang w:eastAsia="cs-CZ"/>
              </w:rPr>
            </w:pPr>
            <w:r w:rsidRPr="00C62639">
              <w:rPr>
                <w:rFonts w:asciiTheme="minorHAnsi" w:hAnsiTheme="minorHAnsi" w:cs="Arial"/>
                <w:b/>
                <w:noProof/>
                <w:sz w:val="20"/>
                <w:szCs w:val="20"/>
                <w:lang w:eastAsia="cs-CZ"/>
              </w:rPr>
              <w:t>Obnova</w:t>
            </w:r>
            <w:r w:rsidRPr="00C62639">
              <w:rPr>
                <w:rFonts w:asciiTheme="minorHAnsi" w:hAnsiTheme="minorHAnsi" w:cs="Arial"/>
                <w:noProof/>
                <w:sz w:val="20"/>
                <w:szCs w:val="20"/>
                <w:lang w:eastAsia="cs-CZ"/>
              </w:rPr>
              <w:t xml:space="preserve"> vodohospodářské infrastruktury z hlediska dosažení udržitelnosti infrastruktury a hlediska reinvestování získaných prostředků od spotřebitelů</w:t>
            </w:r>
          </w:p>
        </w:tc>
      </w:tr>
      <w:tr w:rsidR="00DF5417" w:rsidRPr="00C62639" w14:paraId="1D21A293" w14:textId="77777777" w:rsidTr="00762B0A">
        <w:trPr>
          <w:jc w:val="center"/>
        </w:trPr>
        <w:tc>
          <w:tcPr>
            <w:tcW w:w="425" w:type="dxa"/>
            <w:shd w:val="clear" w:color="auto" w:fill="auto"/>
            <w:vAlign w:val="center"/>
          </w:tcPr>
          <w:p w14:paraId="1BCB6BCE"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II</w:t>
            </w:r>
          </w:p>
        </w:tc>
        <w:tc>
          <w:tcPr>
            <w:tcW w:w="3798" w:type="dxa"/>
            <w:shd w:val="clear" w:color="auto" w:fill="auto"/>
            <w:vAlign w:val="center"/>
          </w:tcPr>
          <w:p w14:paraId="65F388B0"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b/>
                <w:noProof/>
                <w:sz w:val="20"/>
                <w:szCs w:val="20"/>
                <w:lang w:eastAsia="cs-CZ"/>
              </w:rPr>
              <w:t>Zabezpečit rovnováhu</w:t>
            </w:r>
            <w:r w:rsidRPr="00C62639">
              <w:rPr>
                <w:rFonts w:asciiTheme="minorHAnsi" w:hAnsiTheme="minorHAnsi" w:cs="Arial"/>
                <w:noProof/>
                <w:sz w:val="20"/>
                <w:szCs w:val="20"/>
                <w:lang w:eastAsia="cs-CZ"/>
              </w:rPr>
              <w:t xml:space="preserve"> mezi cenou za služby a náklady na poskytování služeb</w:t>
            </w:r>
          </w:p>
        </w:tc>
        <w:tc>
          <w:tcPr>
            <w:tcW w:w="4876" w:type="dxa"/>
            <w:shd w:val="clear" w:color="auto" w:fill="auto"/>
            <w:vAlign w:val="center"/>
          </w:tcPr>
          <w:p w14:paraId="4ACFB362" w14:textId="77777777" w:rsidR="00DF5417" w:rsidRPr="00C62639" w:rsidRDefault="00DF5417" w:rsidP="00762B0A">
            <w:pPr>
              <w:spacing w:after="0"/>
              <w:ind w:right="-57" w:firstLine="29"/>
              <w:rPr>
                <w:rFonts w:asciiTheme="minorHAnsi" w:hAnsiTheme="minorHAnsi" w:cs="Arial"/>
                <w:noProof/>
                <w:sz w:val="20"/>
                <w:szCs w:val="20"/>
                <w:lang w:eastAsia="cs-CZ"/>
              </w:rPr>
            </w:pPr>
            <w:r w:rsidRPr="00C62639">
              <w:rPr>
                <w:rFonts w:asciiTheme="minorHAnsi" w:hAnsiTheme="minorHAnsi" w:cs="Arial"/>
                <w:b/>
                <w:noProof/>
                <w:sz w:val="20"/>
                <w:szCs w:val="20"/>
                <w:lang w:eastAsia="cs-CZ"/>
              </w:rPr>
              <w:t>Cenotvorba</w:t>
            </w:r>
            <w:r w:rsidRPr="00C62639">
              <w:rPr>
                <w:rFonts w:asciiTheme="minorHAnsi" w:hAnsiTheme="minorHAnsi" w:cs="Arial"/>
                <w:noProof/>
                <w:sz w:val="20"/>
                <w:szCs w:val="20"/>
                <w:lang w:eastAsia="cs-CZ"/>
              </w:rPr>
              <w:t xml:space="preserve"> – stanovení ceny za služby, která pokryje provozní náklady a náklady na obnovu infrastruktury </w:t>
            </w:r>
            <w:r w:rsidRPr="00C62639">
              <w:rPr>
                <w:rFonts w:asciiTheme="minorHAnsi" w:hAnsiTheme="minorHAnsi" w:cs="Arial"/>
                <w:noProof/>
                <w:sz w:val="20"/>
                <w:szCs w:val="20"/>
                <w:lang w:eastAsia="cs-CZ"/>
              </w:rPr>
              <w:br/>
              <w:t xml:space="preserve">a zabezpečí dostupnost služby všem spotřebitelům </w:t>
            </w:r>
            <w:r w:rsidRPr="00C62639">
              <w:rPr>
                <w:rFonts w:asciiTheme="minorHAnsi" w:hAnsiTheme="minorHAnsi" w:cs="Arial"/>
                <w:noProof/>
                <w:sz w:val="20"/>
                <w:szCs w:val="20"/>
                <w:lang w:eastAsia="cs-CZ"/>
              </w:rPr>
              <w:br/>
              <w:t>za sociálně únosnou cenu.</w:t>
            </w:r>
          </w:p>
        </w:tc>
      </w:tr>
      <w:tr w:rsidR="00DF5417" w:rsidRPr="00C62639" w14:paraId="0C844941" w14:textId="77777777" w:rsidTr="00762B0A">
        <w:trPr>
          <w:jc w:val="center"/>
        </w:trPr>
        <w:tc>
          <w:tcPr>
            <w:tcW w:w="425" w:type="dxa"/>
            <w:shd w:val="clear" w:color="auto" w:fill="E2EFD9"/>
            <w:vAlign w:val="center"/>
          </w:tcPr>
          <w:p w14:paraId="2E66B16D"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III.</w:t>
            </w:r>
          </w:p>
        </w:tc>
        <w:tc>
          <w:tcPr>
            <w:tcW w:w="3798" w:type="dxa"/>
            <w:shd w:val="clear" w:color="auto" w:fill="E2EFD9"/>
            <w:vAlign w:val="center"/>
          </w:tcPr>
          <w:p w14:paraId="34B17C23"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Zajistit dostatečnou </w:t>
            </w:r>
            <w:r w:rsidRPr="00C62639">
              <w:rPr>
                <w:rFonts w:asciiTheme="minorHAnsi" w:hAnsiTheme="minorHAnsi" w:cs="Arial"/>
                <w:b/>
                <w:noProof/>
                <w:sz w:val="20"/>
                <w:szCs w:val="20"/>
                <w:lang w:eastAsia="cs-CZ"/>
              </w:rPr>
              <w:t>úroveň kvality služeb</w:t>
            </w:r>
          </w:p>
        </w:tc>
        <w:tc>
          <w:tcPr>
            <w:tcW w:w="4876" w:type="dxa"/>
            <w:shd w:val="clear" w:color="auto" w:fill="E2EFD9"/>
            <w:vAlign w:val="center"/>
          </w:tcPr>
          <w:p w14:paraId="17F426E1" w14:textId="65D14338" w:rsidR="00DF5417" w:rsidRPr="00C62639" w:rsidRDefault="00DF5417" w:rsidP="006C7ACF">
            <w:pPr>
              <w:spacing w:after="0"/>
              <w:ind w:firstLine="29"/>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Stálé dodávky pitné vody v požadovaném množství </w:t>
            </w:r>
            <w:r w:rsidRPr="00C62639">
              <w:rPr>
                <w:rFonts w:asciiTheme="minorHAnsi" w:hAnsiTheme="minorHAnsi" w:cs="Arial"/>
                <w:noProof/>
                <w:sz w:val="20"/>
                <w:szCs w:val="20"/>
                <w:lang w:eastAsia="cs-CZ"/>
              </w:rPr>
              <w:br/>
              <w:t xml:space="preserve">a kvalitě a kontinuální odvádění odpadních vod a jejich čištění podle </w:t>
            </w:r>
            <w:r w:rsidR="006C7ACF">
              <w:rPr>
                <w:rFonts w:asciiTheme="minorHAnsi" w:hAnsiTheme="minorHAnsi" w:cs="Arial"/>
                <w:noProof/>
                <w:sz w:val="20"/>
                <w:szCs w:val="20"/>
                <w:lang w:eastAsia="cs-CZ"/>
              </w:rPr>
              <w:t>zákonem</w:t>
            </w:r>
            <w:r w:rsidRPr="00C62639">
              <w:rPr>
                <w:rFonts w:asciiTheme="minorHAnsi" w:hAnsiTheme="minorHAnsi" w:cs="Arial"/>
                <w:noProof/>
                <w:sz w:val="20"/>
                <w:szCs w:val="20"/>
                <w:lang w:eastAsia="cs-CZ"/>
              </w:rPr>
              <w:t xml:space="preserve"> stanovených parametrů</w:t>
            </w:r>
          </w:p>
        </w:tc>
      </w:tr>
      <w:tr w:rsidR="00DF5417" w:rsidRPr="00C62639" w14:paraId="00202E92" w14:textId="77777777" w:rsidTr="00762B0A">
        <w:trPr>
          <w:jc w:val="center"/>
        </w:trPr>
        <w:tc>
          <w:tcPr>
            <w:tcW w:w="425" w:type="dxa"/>
            <w:shd w:val="clear" w:color="auto" w:fill="auto"/>
            <w:vAlign w:val="center"/>
          </w:tcPr>
          <w:p w14:paraId="49FAE8FA"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IV.</w:t>
            </w:r>
          </w:p>
        </w:tc>
        <w:tc>
          <w:tcPr>
            <w:tcW w:w="3798" w:type="dxa"/>
            <w:shd w:val="clear" w:color="auto" w:fill="auto"/>
            <w:vAlign w:val="center"/>
          </w:tcPr>
          <w:p w14:paraId="39C898A9"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noProof/>
                <w:sz w:val="20"/>
                <w:szCs w:val="20"/>
                <w:lang w:eastAsia="cs-CZ"/>
              </w:rPr>
              <w:t>Zajistit</w:t>
            </w:r>
            <w:r w:rsidRPr="00C62639">
              <w:rPr>
                <w:rFonts w:asciiTheme="minorHAnsi" w:hAnsiTheme="minorHAnsi" w:cs="Arial"/>
                <w:b/>
                <w:noProof/>
                <w:sz w:val="20"/>
                <w:szCs w:val="20"/>
                <w:lang w:eastAsia="cs-CZ"/>
              </w:rPr>
              <w:t xml:space="preserve"> ochranu životního prostředí</w:t>
            </w:r>
            <w:r w:rsidRPr="00C62639">
              <w:rPr>
                <w:rFonts w:asciiTheme="minorHAnsi" w:hAnsiTheme="minorHAnsi" w:cs="Arial"/>
                <w:noProof/>
                <w:sz w:val="20"/>
                <w:szCs w:val="20"/>
                <w:lang w:eastAsia="cs-CZ"/>
              </w:rPr>
              <w:t xml:space="preserve"> a minimalizaci dopadů na něj</w:t>
            </w:r>
          </w:p>
        </w:tc>
        <w:tc>
          <w:tcPr>
            <w:tcW w:w="4876" w:type="dxa"/>
            <w:shd w:val="clear" w:color="auto" w:fill="auto"/>
            <w:vAlign w:val="center"/>
          </w:tcPr>
          <w:p w14:paraId="5F955D11" w14:textId="77777777" w:rsidR="00DF5417" w:rsidRPr="00C62639" w:rsidRDefault="00DF5417" w:rsidP="00762B0A">
            <w:pPr>
              <w:spacing w:after="0"/>
              <w:ind w:firstLine="29"/>
              <w:rPr>
                <w:rFonts w:asciiTheme="minorHAnsi" w:hAnsiTheme="minorHAnsi" w:cs="Arial"/>
                <w:noProof/>
                <w:sz w:val="20"/>
                <w:szCs w:val="20"/>
                <w:lang w:eastAsia="cs-CZ"/>
              </w:rPr>
            </w:pPr>
            <w:r w:rsidRPr="00C62639">
              <w:rPr>
                <w:rFonts w:asciiTheme="minorHAnsi" w:hAnsiTheme="minorHAnsi" w:cs="Arial"/>
                <w:noProof/>
                <w:sz w:val="20"/>
                <w:szCs w:val="20"/>
                <w:lang w:eastAsia="cs-CZ"/>
              </w:rPr>
              <w:t>Snižování negativních vlivů na životní prostředí (energetická náročnost, dodržování požadovaných limitů)</w:t>
            </w:r>
          </w:p>
        </w:tc>
      </w:tr>
      <w:tr w:rsidR="00DF5417" w:rsidRPr="00C62639" w14:paraId="4A6B07CA" w14:textId="77777777" w:rsidTr="00762B0A">
        <w:trPr>
          <w:jc w:val="center"/>
        </w:trPr>
        <w:tc>
          <w:tcPr>
            <w:tcW w:w="425" w:type="dxa"/>
            <w:shd w:val="clear" w:color="auto" w:fill="E2EFD9"/>
            <w:vAlign w:val="center"/>
          </w:tcPr>
          <w:p w14:paraId="6DA73EE6"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V.</w:t>
            </w:r>
          </w:p>
        </w:tc>
        <w:tc>
          <w:tcPr>
            <w:tcW w:w="3798" w:type="dxa"/>
            <w:shd w:val="clear" w:color="auto" w:fill="E2EFD9"/>
            <w:vAlign w:val="center"/>
          </w:tcPr>
          <w:p w14:paraId="4424EFAC"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Zvýšit </w:t>
            </w:r>
            <w:r w:rsidRPr="00C62639">
              <w:rPr>
                <w:rFonts w:asciiTheme="minorHAnsi" w:hAnsiTheme="minorHAnsi" w:cs="Arial"/>
                <w:b/>
                <w:noProof/>
                <w:sz w:val="20"/>
                <w:szCs w:val="20"/>
                <w:lang w:eastAsia="cs-CZ"/>
              </w:rPr>
              <w:t>transparentnost informací</w:t>
            </w:r>
            <w:r w:rsidRPr="00C62639">
              <w:rPr>
                <w:rFonts w:asciiTheme="minorHAnsi" w:hAnsiTheme="minorHAnsi" w:cs="Arial"/>
                <w:noProof/>
                <w:sz w:val="20"/>
                <w:szCs w:val="20"/>
                <w:lang w:eastAsia="cs-CZ"/>
              </w:rPr>
              <w:t xml:space="preserve"> všech zúčastněných stran v sektoru</w:t>
            </w:r>
          </w:p>
        </w:tc>
        <w:tc>
          <w:tcPr>
            <w:tcW w:w="4876" w:type="dxa"/>
            <w:shd w:val="clear" w:color="auto" w:fill="E2EFD9"/>
            <w:vAlign w:val="center"/>
          </w:tcPr>
          <w:p w14:paraId="580B73EC" w14:textId="77777777" w:rsidR="00DF5417" w:rsidRPr="00C62639" w:rsidRDefault="00DF5417" w:rsidP="00762B0A">
            <w:pPr>
              <w:spacing w:after="0"/>
              <w:ind w:firstLine="29"/>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Zabezpečení transparentní informovanosti o cenotvorbě, fungování, potřebách a problémech sektoru vodovodů </w:t>
            </w:r>
            <w:r w:rsidRPr="00C62639">
              <w:rPr>
                <w:rFonts w:asciiTheme="minorHAnsi" w:hAnsiTheme="minorHAnsi" w:cs="Arial"/>
                <w:noProof/>
                <w:sz w:val="20"/>
                <w:szCs w:val="20"/>
                <w:lang w:eastAsia="cs-CZ"/>
              </w:rPr>
              <w:br/>
              <w:t>a kanalizací</w:t>
            </w:r>
          </w:p>
        </w:tc>
      </w:tr>
    </w:tbl>
    <w:p w14:paraId="0716AF2C" w14:textId="77777777" w:rsidR="00DF5417" w:rsidRDefault="00DF5417" w:rsidP="00DF5417">
      <w:pPr>
        <w:spacing w:before="0" w:after="200" w:line="276" w:lineRule="auto"/>
        <w:contextualSpacing w:val="0"/>
        <w:jc w:val="left"/>
        <w:rPr>
          <w:rFonts w:asciiTheme="minorHAnsi" w:hAnsiTheme="minorHAnsi" w:cs="Calibri"/>
          <w:noProof/>
        </w:rPr>
      </w:pPr>
    </w:p>
    <w:p w14:paraId="2DFA956A" w14:textId="77777777" w:rsidR="004142CF" w:rsidRPr="00A340F8" w:rsidRDefault="004142CF" w:rsidP="00B26631">
      <w:pPr>
        <w:pStyle w:val="Nadpis1"/>
      </w:pPr>
      <w:bookmarkStart w:id="11" w:name="_Toc505684401"/>
      <w:r w:rsidRPr="00A340F8">
        <w:lastRenderedPageBreak/>
        <w:t>Proces zlepšování kvality sbíraných dat</w:t>
      </w:r>
      <w:bookmarkEnd w:id="11"/>
      <w:r w:rsidRPr="00A340F8">
        <w:t xml:space="preserve"> </w:t>
      </w:r>
    </w:p>
    <w:p w14:paraId="0142C41A" w14:textId="1E6D179D" w:rsidR="007A63FE" w:rsidRPr="00A340F8" w:rsidRDefault="00C67F59" w:rsidP="00A340F8">
      <w:pPr>
        <w:pStyle w:val="Normlnzprva"/>
      </w:pPr>
      <w:r w:rsidRPr="00A340F8">
        <w:tab/>
      </w:r>
      <w:r w:rsidR="007A63FE" w:rsidRPr="00A340F8">
        <w:t>Kvalita kteréhokoliv realizovaného benchmarkingu jednoznačně závisí na kvalitě vstupních dat, správném výběru a struktuře ukazatelů sledujících plnění stanovených cílů (resp. záměrů) a na</w:t>
      </w:r>
      <w:r w:rsidR="00B26631">
        <w:t xml:space="preserve"> </w:t>
      </w:r>
      <w:r w:rsidR="007A63FE" w:rsidRPr="00A340F8">
        <w:t>způsobu zpřístupnění a interpretace výsledků benchmarkingových projektů jednotlivým zúčastněným stranám. I v předchozím benchmarkingovém projektu byla v rámci SWOT analýz problematika kvality dat identifikována jako jedna ze slabých stránek.</w:t>
      </w:r>
      <w:r w:rsidR="00B26631">
        <w:t xml:space="preserve">   </w:t>
      </w:r>
      <w:r w:rsidR="007A63FE" w:rsidRPr="00A340F8">
        <w:t xml:space="preserve"> </w:t>
      </w:r>
    </w:p>
    <w:p w14:paraId="7969BC95" w14:textId="77777777" w:rsidR="007A63FE" w:rsidRPr="00A340F8" w:rsidRDefault="007A63FE" w:rsidP="00A340F8">
      <w:pPr>
        <w:pStyle w:val="Normlnzprva"/>
      </w:pPr>
    </w:p>
    <w:p w14:paraId="6874A799" w14:textId="4F49E999" w:rsidR="007A63FE" w:rsidRPr="00A340F8" w:rsidRDefault="007A63FE" w:rsidP="00A340F8">
      <w:pPr>
        <w:pStyle w:val="Normlnzprva"/>
      </w:pPr>
      <w:r w:rsidRPr="00A340F8">
        <w:t>Kvalitu dat pro potřeby zmíněných</w:t>
      </w:r>
      <w:r w:rsidR="00B26631">
        <w:t xml:space="preserve"> </w:t>
      </w:r>
      <w:r w:rsidRPr="00A340F8">
        <w:t>benchmarkingových projektů</w:t>
      </w:r>
      <w:r w:rsidR="00B26631">
        <w:t xml:space="preserve"> </w:t>
      </w:r>
      <w:r w:rsidRPr="00A340F8">
        <w:t>lze posuzovat podle čtyř</w:t>
      </w:r>
      <w:r w:rsidR="00B26631">
        <w:t xml:space="preserve"> </w:t>
      </w:r>
      <w:r w:rsidRPr="00A340F8">
        <w:t>hledisek:</w:t>
      </w:r>
    </w:p>
    <w:p w14:paraId="5E4E8D8B" w14:textId="77777777" w:rsidR="007A63FE" w:rsidRPr="00A340F8" w:rsidRDefault="007A63FE" w:rsidP="00A340F8">
      <w:pPr>
        <w:pStyle w:val="Normlnzprva"/>
      </w:pPr>
      <w:r w:rsidRPr="00A340F8">
        <w:t>1. náležitosti nutné k propojení, tj. data odevzdávaná prostřednictvím dvou databází musí obsahovat veškeré náležitosti potřebné pro jejich propojení;</w:t>
      </w:r>
    </w:p>
    <w:p w14:paraId="0698FC18" w14:textId="77777777" w:rsidR="007A63FE" w:rsidRPr="00A340F8" w:rsidRDefault="007A63FE" w:rsidP="00A340F8">
      <w:pPr>
        <w:pStyle w:val="Normlnzprva"/>
      </w:pPr>
      <w:r w:rsidRPr="00A340F8">
        <w:t>2. jednotná obsahová náplň, tj. zpracovatelé musí chápat jednotlivé vykazované údaje stejně;</w:t>
      </w:r>
    </w:p>
    <w:p w14:paraId="360BDC17" w14:textId="74081570" w:rsidR="007A63FE" w:rsidRDefault="007A63FE" w:rsidP="00A340F8">
      <w:pPr>
        <w:pStyle w:val="Normlnzprva"/>
        <w:rPr>
          <w:rFonts w:cs="Calibri"/>
          <w:noProof/>
        </w:rPr>
      </w:pPr>
      <w:r w:rsidRPr="00A340F8">
        <w:t>3. úplnost dat, tzn.</w:t>
      </w:r>
      <w:r w:rsidR="00E141EB">
        <w:t>,</w:t>
      </w:r>
      <w:r w:rsidR="00B26631">
        <w:t xml:space="preserve"> že se </w:t>
      </w:r>
      <w:r w:rsidRPr="00A340F8">
        <w:t>subjekty musí naučit pravdivě a úplně vykazovat např. počty poruch, ztráty pitné vody, veškeré související ekonomicky</w:t>
      </w:r>
      <w:r w:rsidR="00B26631">
        <w:t xml:space="preserve"> </w:t>
      </w:r>
      <w:r w:rsidRPr="00A340F8">
        <w:t>oprávněné náklady apod. tak, aby data měla vypovídací schopnost a byla srovnatelná; dále je třeba</w:t>
      </w:r>
      <w:r>
        <w:rPr>
          <w:rFonts w:cs="Calibri"/>
          <w:noProof/>
        </w:rPr>
        <w:t xml:space="preserve"> do VÚPE doplnit údaje za přiváděcí řady, které se dosud na MZe nezasílaly a docházelo tak ke zkreslení hodnot některých ukazatelů.</w:t>
      </w:r>
    </w:p>
    <w:p w14:paraId="0007411D" w14:textId="77777777" w:rsidR="007A63FE" w:rsidRPr="00A340F8" w:rsidRDefault="007A63FE" w:rsidP="00A340F8">
      <w:pPr>
        <w:pStyle w:val="Normlnzprva"/>
      </w:pPr>
      <w:r w:rsidRPr="00A340F8">
        <w:t xml:space="preserve">4. odlišnost struktury odevzdávaných dat v rámci Porovnání plynoucí z aplikovaného modelu provozování. Projevuje se nemožností blíže posuzovat některé ukazatele jednotně např. výše kalkulačního zisku (u oddílného modelu je část zisku skrytá v nájemném) nebo množství generovaných prostředků na obnovu plynoucí z oprav VIM v sobě zahrnuje i údržbu či náklady na odstranění poruch a havárií. </w:t>
      </w:r>
    </w:p>
    <w:p w14:paraId="3159B873" w14:textId="1C545763" w:rsidR="007A63FE" w:rsidRPr="00A340F8" w:rsidRDefault="007A63FE" w:rsidP="00A340F8">
      <w:pPr>
        <w:pStyle w:val="Normlnzprva"/>
      </w:pPr>
      <w:r w:rsidRPr="00A340F8">
        <w:tab/>
        <w:t>Na eliminaci</w:t>
      </w:r>
      <w:r w:rsidR="00B26631">
        <w:t xml:space="preserve"> </w:t>
      </w:r>
      <w:r w:rsidRPr="00A340F8">
        <w:t>uvedených nedostatků</w:t>
      </w:r>
      <w:r w:rsidR="00B26631">
        <w:t xml:space="preserve"> </w:t>
      </w:r>
      <w:r w:rsidRPr="00A340F8">
        <w:t>kvality dat MZe průběžně pracuje, a to prostřednictvím osobní komunikace s jednotlivými zpracovateli odevzdávaných údajů, informování v rámci tištěných článcích, prezentací na konferencích,</w:t>
      </w:r>
      <w:r w:rsidR="00B26631">
        <w:t xml:space="preserve"> </w:t>
      </w:r>
      <w:r w:rsidRPr="00A340F8">
        <w:t>novelizací vyhlášky č. 428/2001 Sb. (zejména příloha č. 20, v rámci které došlo k odstranění rozdílného přístupu pro poskytování informací o nákladové struktuře ceny pro vodné a stočné mezi subjekty aplikujícími smíšený a oddílný model provozování - doplnění informací o jednotlivých složkách nájemného hrazeného vlastníkům VIM). Vyhláška v této části nabude účinnosti</w:t>
      </w:r>
      <w:r w:rsidR="00B26631">
        <w:t xml:space="preserve"> </w:t>
      </w:r>
      <w:r w:rsidRPr="00A340F8">
        <w:t xml:space="preserve">od 1. září 2019. Dojde k doplnění některých informací v rámci </w:t>
      </w:r>
      <w:r w:rsidR="00A340F8">
        <w:t>V</w:t>
      </w:r>
      <w:r w:rsidRPr="00A340F8">
        <w:t>ybraných údajů provozní evidence - např. informace o provozních výsledcích přiváděcích řádů. Dalším prostorem pro zlepšení sběru dat bude</w:t>
      </w:r>
      <w:r w:rsidR="00B26631">
        <w:t xml:space="preserve"> </w:t>
      </w:r>
      <w:r w:rsidRPr="00A340F8">
        <w:t xml:space="preserve">i úprava informačního systému VaK sloužícího pro sběr dat. </w:t>
      </w:r>
    </w:p>
    <w:p w14:paraId="5A05CF1F" w14:textId="77777777" w:rsidR="00DC5472" w:rsidRPr="00A340F8" w:rsidRDefault="00DC5472" w:rsidP="00A340F8">
      <w:pPr>
        <w:pStyle w:val="Normlnzprva"/>
      </w:pPr>
    </w:p>
    <w:p w14:paraId="2BE7BA58" w14:textId="77777777" w:rsidR="004669F2" w:rsidRPr="00C62639" w:rsidRDefault="004669F2" w:rsidP="00F762DB">
      <w:pPr>
        <w:pStyle w:val="Nadpis1"/>
        <w:rPr>
          <w:rFonts w:asciiTheme="minorHAnsi" w:hAnsiTheme="minorHAnsi"/>
          <w:noProof/>
        </w:rPr>
      </w:pPr>
      <w:bookmarkStart w:id="12" w:name="_Toc505684402"/>
      <w:r w:rsidRPr="00C62639">
        <w:rPr>
          <w:rFonts w:asciiTheme="minorHAnsi" w:hAnsiTheme="minorHAnsi"/>
          <w:noProof/>
        </w:rPr>
        <w:lastRenderedPageBreak/>
        <w:t xml:space="preserve">Změny </w:t>
      </w:r>
      <w:r w:rsidR="000B4E2B" w:rsidRPr="00C62639">
        <w:rPr>
          <w:rFonts w:asciiTheme="minorHAnsi" w:hAnsiTheme="minorHAnsi"/>
          <w:noProof/>
        </w:rPr>
        <w:t xml:space="preserve">některých </w:t>
      </w:r>
      <w:r w:rsidRPr="00C62639">
        <w:rPr>
          <w:rFonts w:asciiTheme="minorHAnsi" w:hAnsiTheme="minorHAnsi"/>
          <w:noProof/>
        </w:rPr>
        <w:t>použitých postupů pro projekty benchmarkingu za rok 2016</w:t>
      </w:r>
      <w:bookmarkEnd w:id="12"/>
    </w:p>
    <w:p w14:paraId="73E492E3" w14:textId="77777777" w:rsidR="007A63FE" w:rsidRPr="00E141EB" w:rsidRDefault="007A63FE" w:rsidP="00E141EB">
      <w:pPr>
        <w:pStyle w:val="Normlnzprva"/>
      </w:pPr>
      <w:r w:rsidRPr="00E141EB">
        <w:t xml:space="preserve">Na základě výsledků projednání předložených připomínek k benchmarkingu za rok 2015 došlo k některým změnám v používaných postupech. Tyto změny se týkaly úpravy konstrukce ukazatele OKF (operační koeficient), úpravy postupu při určování optimálních ukazatelů provozování v jednotlivých skupinách (cílem byla objektivizace výběru) a změny postupu při zjišťování plnění povinnosti generování dostatečného množství prostředků na obnovu v oddílném modelu. Jednotlivé změny jsou popsané dále. </w:t>
      </w:r>
    </w:p>
    <w:p w14:paraId="22E41543" w14:textId="75835040" w:rsidR="007A63FE" w:rsidRPr="00E141EB" w:rsidRDefault="007A63FE" w:rsidP="00E141EB">
      <w:pPr>
        <w:pStyle w:val="Normlnzprva"/>
      </w:pPr>
      <w:r w:rsidRPr="00E141EB">
        <w:t>Na základě výsledků z benchmarkingu 2015 a v souvislosti s nárůstem počtu dat byly v rámci analýzy identifikovány i další modely provozování – model kombinovaný a podskupina oddílného modelu, tzv. servisní smlouvy.</w:t>
      </w:r>
      <w:r w:rsidR="00B26631" w:rsidRPr="00E141EB">
        <w:t xml:space="preserve"> </w:t>
      </w:r>
    </w:p>
    <w:p w14:paraId="23107C7D" w14:textId="77777777" w:rsidR="000B4E2B" w:rsidRPr="00C62639" w:rsidRDefault="000B4E2B" w:rsidP="000B4E2B">
      <w:pPr>
        <w:pStyle w:val="normlntextvodstavcch"/>
        <w:rPr>
          <w:rFonts w:asciiTheme="minorHAnsi" w:hAnsiTheme="minorHAnsi"/>
          <w:noProof/>
        </w:rPr>
      </w:pPr>
      <w:r w:rsidRPr="00C62639">
        <w:rPr>
          <w:rFonts w:asciiTheme="minorHAnsi" w:hAnsiTheme="minorHAnsi"/>
          <w:noProof/>
        </w:rPr>
        <w:t xml:space="preserve"> </w:t>
      </w:r>
    </w:p>
    <w:p w14:paraId="4A849662" w14:textId="77777777" w:rsidR="000B4E2B" w:rsidRPr="00C62639" w:rsidRDefault="000B4E2B" w:rsidP="000B4E2B">
      <w:pPr>
        <w:pStyle w:val="Nadpis2"/>
        <w:rPr>
          <w:rFonts w:asciiTheme="minorHAnsi" w:hAnsiTheme="minorHAnsi"/>
          <w:noProof/>
        </w:rPr>
      </w:pPr>
      <w:bookmarkStart w:id="13" w:name="_Toc505684403"/>
      <w:bookmarkStart w:id="14" w:name="_Toc502677192"/>
      <w:r w:rsidRPr="00C62639">
        <w:rPr>
          <w:rFonts w:asciiTheme="minorHAnsi" w:hAnsiTheme="minorHAnsi"/>
          <w:noProof/>
        </w:rPr>
        <w:t>Stručná charakteristika rozdílů analyzovaných modelů provozování a jejich podskupin</w:t>
      </w:r>
      <w:bookmarkEnd w:id="13"/>
    </w:p>
    <w:p w14:paraId="5B8A18AC" w14:textId="30183F38" w:rsidR="002A3893" w:rsidRPr="00E141EB" w:rsidRDefault="007A63FE" w:rsidP="00E141EB">
      <w:pPr>
        <w:pStyle w:val="Normlnzprva"/>
      </w:pPr>
      <w:r w:rsidRPr="00E141EB">
        <w:t>Jednotlivé modely provozování byly identifikovány na základě informací obsažených na Porovnáních.</w:t>
      </w:r>
      <w:r w:rsidR="00B26631" w:rsidRPr="00E141EB">
        <w:t xml:space="preserve"> </w:t>
      </w:r>
      <w:r w:rsidRPr="00E141EB">
        <w:t xml:space="preserve">Těmito informacemi byly: IČO vlastníka VIM, IČO provozovatele VIM a IČO příjemce vodného a stočného. </w:t>
      </w:r>
    </w:p>
    <w:p w14:paraId="7244F472" w14:textId="77777777" w:rsidR="00782E52" w:rsidRPr="00C62639" w:rsidRDefault="00782E52" w:rsidP="00782E52">
      <w:pPr>
        <w:pStyle w:val="Normlnzprva"/>
        <w:rPr>
          <w:rFonts w:asciiTheme="minorHAnsi" w:hAnsiTheme="minorHAnsi"/>
          <w:noProof/>
        </w:rPr>
      </w:pPr>
    </w:p>
    <w:tbl>
      <w:tblPr>
        <w:tblpPr w:leftFromText="141" w:rightFromText="141" w:vertAnchor="text" w:horzAnchor="margin" w:tblpXSpec="center" w:tblpY="11"/>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258"/>
      </w:tblGrid>
      <w:tr w:rsidR="00782E52" w:rsidRPr="00934258" w14:paraId="454FB0D7" w14:textId="77777777" w:rsidTr="009A3BB2">
        <w:trPr>
          <w:tblHeader/>
        </w:trPr>
        <w:tc>
          <w:tcPr>
            <w:tcW w:w="2235" w:type="dxa"/>
            <w:tcBorders>
              <w:top w:val="single" w:sz="4" w:space="0" w:color="FFFFFF"/>
              <w:left w:val="single" w:sz="4" w:space="0" w:color="FFFFFF"/>
              <w:right w:val="nil"/>
            </w:tcBorders>
            <w:shd w:val="clear" w:color="auto" w:fill="8064A2"/>
            <w:vAlign w:val="center"/>
          </w:tcPr>
          <w:p w14:paraId="5A62B771" w14:textId="77777777" w:rsidR="00782E52" w:rsidRPr="00934258" w:rsidRDefault="00782E52" w:rsidP="00782E52">
            <w:pPr>
              <w:spacing w:before="0" w:after="0" w:line="160" w:lineRule="atLeast"/>
              <w:contextualSpacing w:val="0"/>
              <w:jc w:val="center"/>
              <w:rPr>
                <w:rFonts w:ascii="Calibri Light" w:hAnsi="Calibri Light"/>
                <w:b/>
                <w:noProof/>
                <w:color w:val="FFFFFF"/>
                <w:sz w:val="20"/>
                <w:szCs w:val="20"/>
              </w:rPr>
            </w:pPr>
            <w:r w:rsidRPr="00934258">
              <w:rPr>
                <w:rFonts w:ascii="Calibri Light" w:hAnsi="Calibri Light"/>
                <w:b/>
                <w:bCs/>
                <w:noProof/>
                <w:color w:val="FFFFFF"/>
                <w:sz w:val="20"/>
                <w:szCs w:val="20"/>
              </w:rPr>
              <w:t>MODEL PROVOZOVÁNÍ</w:t>
            </w:r>
          </w:p>
        </w:tc>
        <w:tc>
          <w:tcPr>
            <w:tcW w:w="7258" w:type="dxa"/>
            <w:tcBorders>
              <w:top w:val="single" w:sz="4" w:space="0" w:color="FFFFFF"/>
              <w:left w:val="nil"/>
              <w:right w:val="single" w:sz="4" w:space="0" w:color="FFFFFF"/>
            </w:tcBorders>
            <w:shd w:val="clear" w:color="auto" w:fill="8064A2"/>
            <w:vAlign w:val="center"/>
          </w:tcPr>
          <w:p w14:paraId="182457F9" w14:textId="77777777" w:rsidR="00782E52" w:rsidRPr="00934258" w:rsidRDefault="00782E52" w:rsidP="00782E52">
            <w:pPr>
              <w:spacing w:before="0" w:after="0" w:line="160" w:lineRule="atLeast"/>
              <w:contextualSpacing w:val="0"/>
              <w:jc w:val="center"/>
              <w:rPr>
                <w:rFonts w:ascii="Calibri Light" w:hAnsi="Calibri Light"/>
                <w:b/>
                <w:noProof/>
                <w:color w:val="FFFFFF"/>
                <w:sz w:val="20"/>
                <w:szCs w:val="20"/>
              </w:rPr>
            </w:pPr>
            <w:r w:rsidRPr="00934258">
              <w:rPr>
                <w:rFonts w:ascii="Calibri Light" w:hAnsi="Calibri Light"/>
                <w:b/>
                <w:noProof/>
                <w:color w:val="FFFFFF"/>
                <w:sz w:val="20"/>
                <w:szCs w:val="20"/>
              </w:rPr>
              <w:t>Charakteristika z hlediska potřeb benchmarkingu</w:t>
            </w:r>
          </w:p>
        </w:tc>
      </w:tr>
      <w:tr w:rsidR="00782E52" w:rsidRPr="00934258" w14:paraId="6DA668A1" w14:textId="77777777" w:rsidTr="009A3BB2">
        <w:tc>
          <w:tcPr>
            <w:tcW w:w="2235" w:type="dxa"/>
            <w:tcBorders>
              <w:left w:val="single" w:sz="4" w:space="0" w:color="FFFFFF"/>
            </w:tcBorders>
            <w:shd w:val="clear" w:color="auto" w:fill="8064A2"/>
          </w:tcPr>
          <w:p w14:paraId="1D400997" w14:textId="77777777" w:rsidR="00782E52" w:rsidRPr="00934258" w:rsidRDefault="00782E52" w:rsidP="00782E52">
            <w:pPr>
              <w:spacing w:before="0" w:after="0" w:line="160" w:lineRule="atLeast"/>
              <w:contextualSpacing w:val="0"/>
              <w:rPr>
                <w:rFonts w:ascii="Calibri Light" w:hAnsi="Calibri Light"/>
                <w:bCs/>
                <w:noProof/>
                <w:color w:val="FFFFFF"/>
                <w:sz w:val="20"/>
                <w:szCs w:val="20"/>
              </w:rPr>
            </w:pPr>
            <w:r w:rsidRPr="00934258">
              <w:rPr>
                <w:rFonts w:ascii="Calibri Light" w:hAnsi="Calibri Light"/>
                <w:b/>
                <w:bCs/>
                <w:noProof/>
                <w:color w:val="FFFFFF"/>
                <w:sz w:val="20"/>
                <w:szCs w:val="20"/>
              </w:rPr>
              <w:t xml:space="preserve">SMÍŠENÝ </w:t>
            </w:r>
          </w:p>
        </w:tc>
        <w:tc>
          <w:tcPr>
            <w:tcW w:w="7258" w:type="dxa"/>
            <w:shd w:val="clear" w:color="auto" w:fill="CCC0D9"/>
          </w:tcPr>
          <w:p w14:paraId="3CBCA565"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a provozovatel je stejný právní subjekt. </w:t>
            </w:r>
          </w:p>
          <w:p w14:paraId="2C21EEBB"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(vlastníci) infrastruktury vloží svůj VIM do </w:t>
            </w:r>
            <w:r w:rsidRPr="00934258">
              <w:rPr>
                <w:rFonts w:ascii="Calibri Light" w:hAnsi="Calibri Light"/>
                <w:i/>
                <w:noProof/>
                <w:sz w:val="20"/>
                <w:szCs w:val="20"/>
              </w:rPr>
              <w:t>obchodní společnosti</w:t>
            </w:r>
            <w:r w:rsidRPr="00934258">
              <w:rPr>
                <w:rFonts w:ascii="Calibri Light" w:hAnsi="Calibri Light"/>
                <w:noProof/>
                <w:sz w:val="20"/>
                <w:szCs w:val="20"/>
              </w:rPr>
              <w:t xml:space="preserve"> (a.s., s.r.o., k.s.), která tento majetek vlastní a zároveň provozuje. Obchodní společnost má právo na výběr vodného a stočného. </w:t>
            </w:r>
          </w:p>
          <w:p w14:paraId="2CD04A03"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Původní vlastníci VIM dohlížejí na kvalitu a efektivitu služeb v rámci svých akcionářských práv nebo práv společníka. </w:t>
            </w:r>
          </w:p>
          <w:p w14:paraId="4DB412E8"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Obchodní společnost je odpovědná za rozvoj a obnovu a také opravy a údržbu.</w:t>
            </w:r>
          </w:p>
          <w:p w14:paraId="10462281" w14:textId="03B9717C" w:rsidR="00782E52" w:rsidRPr="00934258" w:rsidRDefault="00B41E34" w:rsidP="00B41E34">
            <w:pPr>
              <w:pStyle w:val="Odstavecseseznamem"/>
              <w:numPr>
                <w:ilvl w:val="0"/>
                <w:numId w:val="17"/>
              </w:numPr>
              <w:spacing w:before="0" w:after="0" w:line="160" w:lineRule="atLeast"/>
              <w:ind w:left="487"/>
              <w:contextualSpacing w:val="0"/>
              <w:jc w:val="left"/>
              <w:rPr>
                <w:rFonts w:ascii="Calibri Light" w:hAnsi="Calibri Light"/>
                <w:noProof/>
                <w:sz w:val="20"/>
                <w:szCs w:val="20"/>
              </w:rPr>
            </w:pPr>
            <w:r w:rsidRPr="00B41E34">
              <w:rPr>
                <w:rFonts w:ascii="Calibri Light" w:hAnsi="Calibri Light"/>
                <w:noProof/>
                <w:sz w:val="20"/>
                <w:szCs w:val="20"/>
              </w:rPr>
              <w:t xml:space="preserve">IČO vlastníka, provozovatele a příjemce vodného a stočného je stejné </w:t>
            </w:r>
            <w:r w:rsidR="00782E52" w:rsidRPr="00934258">
              <w:rPr>
                <w:rFonts w:ascii="Calibri Light" w:hAnsi="Calibri Light"/>
                <w:noProof/>
                <w:sz w:val="20"/>
                <w:szCs w:val="20"/>
              </w:rPr>
              <w:t>a jedná se o některou z forem obchodních společností.</w:t>
            </w:r>
          </w:p>
        </w:tc>
      </w:tr>
      <w:tr w:rsidR="00782E52" w:rsidRPr="00934258" w14:paraId="748BEC9D" w14:textId="77777777" w:rsidTr="009A3BB2">
        <w:tc>
          <w:tcPr>
            <w:tcW w:w="2235" w:type="dxa"/>
            <w:tcBorders>
              <w:left w:val="single" w:sz="4" w:space="0" w:color="FFFFFF"/>
            </w:tcBorders>
            <w:shd w:val="clear" w:color="auto" w:fill="8064A2"/>
          </w:tcPr>
          <w:p w14:paraId="2408EA6A" w14:textId="77777777" w:rsidR="00782E52" w:rsidRDefault="00782E52" w:rsidP="00782E52">
            <w:pPr>
              <w:spacing w:before="0" w:after="0" w:line="160" w:lineRule="atLeast"/>
              <w:contextualSpacing w:val="0"/>
              <w:rPr>
                <w:rFonts w:ascii="Calibri Light" w:hAnsi="Calibri Light"/>
                <w:b/>
                <w:bCs/>
                <w:noProof/>
                <w:color w:val="FFFFFF"/>
                <w:sz w:val="20"/>
                <w:szCs w:val="20"/>
              </w:rPr>
            </w:pPr>
            <w:r w:rsidRPr="00934258">
              <w:rPr>
                <w:rFonts w:ascii="Calibri Light" w:hAnsi="Calibri Light"/>
                <w:b/>
                <w:bCs/>
                <w:noProof/>
                <w:color w:val="FFFFFF"/>
                <w:sz w:val="20"/>
                <w:szCs w:val="20"/>
              </w:rPr>
              <w:t>OBEC PROVOZUJE SAMA</w:t>
            </w:r>
          </w:p>
          <w:p w14:paraId="0515BD27" w14:textId="77777777" w:rsidR="00782E52" w:rsidRPr="00934258" w:rsidRDefault="00782E52" w:rsidP="00782E52">
            <w:pPr>
              <w:spacing w:before="0" w:after="0" w:line="160" w:lineRule="atLeast"/>
              <w:contextualSpacing w:val="0"/>
              <w:rPr>
                <w:rFonts w:ascii="Calibri Light" w:hAnsi="Calibri Light"/>
                <w:b/>
                <w:bCs/>
                <w:noProof/>
                <w:color w:val="FFFFFF"/>
                <w:sz w:val="20"/>
                <w:szCs w:val="20"/>
              </w:rPr>
            </w:pPr>
            <w:r>
              <w:rPr>
                <w:rFonts w:ascii="Calibri Light" w:hAnsi="Calibri Light"/>
                <w:b/>
                <w:bCs/>
                <w:noProof/>
                <w:color w:val="FFFFFF"/>
                <w:sz w:val="20"/>
                <w:szCs w:val="20"/>
              </w:rPr>
              <w:t>(PODSKUPINA SMÍŠENÉHO MODELU PROVOZOVÁNÍ)</w:t>
            </w:r>
          </w:p>
        </w:tc>
        <w:tc>
          <w:tcPr>
            <w:tcW w:w="7258" w:type="dxa"/>
            <w:shd w:val="clear" w:color="auto" w:fill="E5DFEC"/>
          </w:tcPr>
          <w:p w14:paraId="2E063013"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Obec si svůj VIM provozuje vlastním jménem, na vlastní účet a vlastní odpovědnost. </w:t>
            </w:r>
          </w:p>
          <w:p w14:paraId="3E6F1781"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Obec má právo na výběr vodného a stočného. </w:t>
            </w:r>
          </w:p>
          <w:p w14:paraId="46E57818"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Některé činnosti nebo odborný dozor mohou vykonávat externí dodavatelé na základě smlouvy.</w:t>
            </w:r>
          </w:p>
          <w:p w14:paraId="6C3D0E74"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Obec nese odpovědnost za kvalitu a efektivitu služeb. Je také odpovědna za rozvoj, obnovu, opravy a údržbu VIM. </w:t>
            </w:r>
          </w:p>
          <w:p w14:paraId="7D605AE5" w14:textId="436C2B8C" w:rsidR="00782E52" w:rsidRPr="00934258" w:rsidRDefault="00B41E34" w:rsidP="00B41E34">
            <w:pPr>
              <w:pStyle w:val="Odstavecseseznamem"/>
              <w:numPr>
                <w:ilvl w:val="0"/>
                <w:numId w:val="17"/>
              </w:numPr>
              <w:spacing w:before="0" w:after="0" w:line="160" w:lineRule="atLeast"/>
              <w:ind w:left="487"/>
              <w:contextualSpacing w:val="0"/>
              <w:jc w:val="left"/>
              <w:rPr>
                <w:rFonts w:ascii="Calibri Light" w:hAnsi="Calibri Light"/>
                <w:noProof/>
                <w:sz w:val="20"/>
                <w:szCs w:val="20"/>
              </w:rPr>
            </w:pPr>
            <w:r w:rsidRPr="00B41E34">
              <w:rPr>
                <w:rFonts w:ascii="Calibri Light" w:hAnsi="Calibri Light"/>
                <w:noProof/>
                <w:sz w:val="20"/>
                <w:szCs w:val="20"/>
              </w:rPr>
              <w:t xml:space="preserve">IČO vlastníka, provozovatele a příjemce vodného a stočného je stejné </w:t>
            </w:r>
            <w:r w:rsidR="00782E52" w:rsidRPr="00934258">
              <w:rPr>
                <w:rFonts w:ascii="Calibri Light" w:hAnsi="Calibri Light"/>
                <w:noProof/>
                <w:sz w:val="20"/>
                <w:szCs w:val="20"/>
              </w:rPr>
              <w:t xml:space="preserve"> a jedná se o obec, městys, města nebo sdružení zřízená municipálními subjekty. </w:t>
            </w:r>
          </w:p>
        </w:tc>
      </w:tr>
    </w:tbl>
    <w:p w14:paraId="6961291B" w14:textId="77777777" w:rsidR="009A3BB2" w:rsidRDefault="009A3BB2">
      <w:r>
        <w:br w:type="page"/>
      </w:r>
    </w:p>
    <w:tbl>
      <w:tblPr>
        <w:tblpPr w:leftFromText="141" w:rightFromText="141" w:vertAnchor="text" w:horzAnchor="margin" w:tblpXSpec="center" w:tblpY="11"/>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258"/>
      </w:tblGrid>
      <w:tr w:rsidR="00782E52" w:rsidRPr="00934258" w14:paraId="3500B730" w14:textId="77777777" w:rsidTr="009A3BB2">
        <w:tc>
          <w:tcPr>
            <w:tcW w:w="2235" w:type="dxa"/>
            <w:tcBorders>
              <w:left w:val="single" w:sz="4" w:space="0" w:color="FFFFFF"/>
            </w:tcBorders>
            <w:shd w:val="clear" w:color="auto" w:fill="8064A2"/>
          </w:tcPr>
          <w:p w14:paraId="370132C1" w14:textId="2259C82D" w:rsidR="00782E52" w:rsidRPr="00934258" w:rsidRDefault="00782E52" w:rsidP="00782E52">
            <w:pPr>
              <w:spacing w:before="0" w:after="0" w:line="160" w:lineRule="atLeast"/>
              <w:contextualSpacing w:val="0"/>
              <w:rPr>
                <w:rFonts w:ascii="Calibri Light" w:hAnsi="Calibri Light"/>
                <w:bCs/>
                <w:noProof/>
                <w:color w:val="FFFFFF"/>
                <w:sz w:val="20"/>
                <w:szCs w:val="20"/>
              </w:rPr>
            </w:pPr>
            <w:r w:rsidRPr="00934258">
              <w:rPr>
                <w:rFonts w:ascii="Calibri Light" w:hAnsi="Calibri Light"/>
                <w:b/>
                <w:bCs/>
                <w:noProof/>
                <w:color w:val="FFFFFF"/>
                <w:sz w:val="20"/>
                <w:szCs w:val="20"/>
              </w:rPr>
              <w:lastRenderedPageBreak/>
              <w:t xml:space="preserve">ODDÍLNÝ </w:t>
            </w:r>
          </w:p>
        </w:tc>
        <w:tc>
          <w:tcPr>
            <w:tcW w:w="7258" w:type="dxa"/>
            <w:shd w:val="clear" w:color="auto" w:fill="CCC0D9"/>
          </w:tcPr>
          <w:p w14:paraId="4404E95C" w14:textId="07F1B790"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VIM</w:t>
            </w:r>
            <w:r w:rsidR="00B26631">
              <w:rPr>
                <w:rFonts w:ascii="Calibri Light" w:hAnsi="Calibri Light"/>
                <w:noProof/>
                <w:sz w:val="20"/>
                <w:szCs w:val="20"/>
              </w:rPr>
              <w:t xml:space="preserve"> </w:t>
            </w:r>
            <w:r w:rsidRPr="00934258">
              <w:rPr>
                <w:rFonts w:ascii="Calibri Light" w:hAnsi="Calibri Light"/>
                <w:noProof/>
                <w:sz w:val="20"/>
                <w:szCs w:val="20"/>
              </w:rPr>
              <w:t xml:space="preserve">a provozovatel jsou dva </w:t>
            </w:r>
            <w:r w:rsidR="00921505">
              <w:rPr>
                <w:rFonts w:ascii="Calibri Light" w:hAnsi="Calibri Light"/>
                <w:noProof/>
                <w:sz w:val="20"/>
                <w:szCs w:val="20"/>
              </w:rPr>
              <w:t>odlišné právní subjekty.</w:t>
            </w:r>
            <w:r w:rsidRPr="00934258">
              <w:rPr>
                <w:rFonts w:ascii="Calibri Light" w:hAnsi="Calibri Light"/>
                <w:noProof/>
                <w:sz w:val="20"/>
                <w:szCs w:val="20"/>
              </w:rPr>
              <w:t xml:space="preserve"> </w:t>
            </w:r>
          </w:p>
          <w:p w14:paraId="0B7940B2"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 xml:space="preserve">smlouva o nájmu a provozování VIM. </w:t>
            </w:r>
          </w:p>
          <w:p w14:paraId="45B3B113"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Za poskytnutou službu mu náleží </w:t>
            </w:r>
            <w:r w:rsidRPr="00934258">
              <w:rPr>
                <w:rFonts w:ascii="Calibri Light" w:hAnsi="Calibri Light"/>
                <w:i/>
                <w:noProof/>
                <w:sz w:val="20"/>
                <w:szCs w:val="20"/>
              </w:rPr>
              <w:t xml:space="preserve">odměna ve formě práva na výběr </w:t>
            </w:r>
            <w:r w:rsidRPr="00934258">
              <w:rPr>
                <w:rFonts w:ascii="Calibri Light" w:hAnsi="Calibri Light"/>
                <w:noProof/>
                <w:sz w:val="20"/>
                <w:szCs w:val="20"/>
              </w:rPr>
              <w:t xml:space="preserve">vodného a stočného. </w:t>
            </w:r>
          </w:p>
          <w:p w14:paraId="199CF986"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hradí vlastníku VIM </w:t>
            </w:r>
            <w:r w:rsidRPr="00934258">
              <w:rPr>
                <w:rFonts w:ascii="Calibri Light" w:hAnsi="Calibri Light"/>
                <w:i/>
                <w:noProof/>
                <w:sz w:val="20"/>
                <w:szCs w:val="20"/>
              </w:rPr>
              <w:t>nájemné</w:t>
            </w:r>
            <w:r w:rsidRPr="00934258">
              <w:rPr>
                <w:rFonts w:ascii="Calibri Light" w:hAnsi="Calibri Light"/>
                <w:noProof/>
                <w:sz w:val="20"/>
                <w:szCs w:val="20"/>
              </w:rPr>
              <w:t xml:space="preserve"> za užívání VIM. </w:t>
            </w:r>
          </w:p>
          <w:p w14:paraId="361D586E"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je odpovědný za rozvoj a obnovu VIM.</w:t>
            </w:r>
          </w:p>
          <w:p w14:paraId="1ED64A21"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je odpovědný za opravy a údržbu VIM.</w:t>
            </w:r>
          </w:p>
          <w:p w14:paraId="1DE6A97C"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IČO vlastníka je rozdílné od IČO provozovatele a IČO příjemce vodného a stočného je stejné jako IČO provozovatele. Může se jednat o dvě samostatné obchodní společnosti nebo kombinaci municipálního právního subjektu jako vlastníka VIM a obchodní společnosti jako provozovatele VIM. </w:t>
            </w:r>
          </w:p>
        </w:tc>
      </w:tr>
      <w:tr w:rsidR="00782E52" w:rsidRPr="00934258" w14:paraId="359AF79D" w14:textId="77777777" w:rsidTr="009A3BB2">
        <w:tc>
          <w:tcPr>
            <w:tcW w:w="2235" w:type="dxa"/>
            <w:tcBorders>
              <w:left w:val="single" w:sz="4" w:space="0" w:color="FFFFFF"/>
            </w:tcBorders>
            <w:shd w:val="clear" w:color="auto" w:fill="8064A2"/>
          </w:tcPr>
          <w:p w14:paraId="77808EAA" w14:textId="7AEDAC2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i/>
                <w:noProof/>
                <w:color w:val="FFFFFF"/>
                <w:sz w:val="20"/>
                <w:szCs w:val="20"/>
              </w:rPr>
              <w:t>VLASTNICKÝ</w:t>
            </w:r>
            <w:r w:rsidR="00B26631">
              <w:rPr>
                <w:rFonts w:ascii="Calibri Light" w:hAnsi="Calibri Light"/>
                <w:b/>
                <w:bCs/>
                <w:noProof/>
                <w:color w:val="FFFFFF"/>
                <w:sz w:val="20"/>
                <w:szCs w:val="20"/>
              </w:rPr>
              <w:t xml:space="preserve"> </w:t>
            </w:r>
          </w:p>
          <w:p w14:paraId="19EE14FC"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p>
          <w:p w14:paraId="5DA7B986"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noProof/>
                <w:color w:val="FFFFFF"/>
                <w:sz w:val="20"/>
                <w:szCs w:val="20"/>
              </w:rPr>
              <w:t>(PODSKUPINA ODDÍLNÉHO MODELU PROVOZOVÁNÍ)</w:t>
            </w:r>
          </w:p>
        </w:tc>
        <w:tc>
          <w:tcPr>
            <w:tcW w:w="7258" w:type="dxa"/>
            <w:shd w:val="clear" w:color="auto" w:fill="E5DFEC"/>
          </w:tcPr>
          <w:p w14:paraId="06852971" w14:textId="00EDE26E"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VIM</w:t>
            </w:r>
            <w:r w:rsidR="00B26631">
              <w:rPr>
                <w:rFonts w:ascii="Calibri Light" w:hAnsi="Calibri Light"/>
                <w:noProof/>
                <w:sz w:val="20"/>
                <w:szCs w:val="20"/>
              </w:rPr>
              <w:t xml:space="preserve"> </w:t>
            </w:r>
            <w:r w:rsidRPr="00934258">
              <w:rPr>
                <w:rFonts w:ascii="Calibri Light" w:hAnsi="Calibri Light"/>
                <w:noProof/>
                <w:sz w:val="20"/>
                <w:szCs w:val="20"/>
              </w:rPr>
              <w:t>a provozovatel jsou dva rozdílné právní subjekty.</w:t>
            </w:r>
            <w:r w:rsidR="00B26631">
              <w:rPr>
                <w:rFonts w:ascii="Calibri Light" w:hAnsi="Calibri Light"/>
                <w:noProof/>
                <w:sz w:val="20"/>
                <w:szCs w:val="20"/>
              </w:rPr>
              <w:t xml:space="preserve"> </w:t>
            </w:r>
            <w:r w:rsidRPr="00934258">
              <w:rPr>
                <w:rFonts w:ascii="Calibri Light" w:hAnsi="Calibri Light"/>
                <w:noProof/>
                <w:sz w:val="20"/>
                <w:szCs w:val="20"/>
              </w:rPr>
              <w:t xml:space="preserve">Vlastník VIM je zřizovatelem provozovatele a je 100% vlastníkem, tj. majetkově provozovatele ovládá. </w:t>
            </w:r>
          </w:p>
          <w:p w14:paraId="3D938CC6"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 xml:space="preserve">smlouva o nájmu a provozování VIM, </w:t>
            </w:r>
            <w:r w:rsidRPr="00934258">
              <w:rPr>
                <w:rFonts w:ascii="Calibri Light" w:hAnsi="Calibri Light"/>
                <w:noProof/>
                <w:sz w:val="20"/>
                <w:szCs w:val="20"/>
              </w:rPr>
              <w:t>nebo provozovatel provozuje VIM na základě jiného pověření</w:t>
            </w:r>
            <w:r w:rsidRPr="00934258">
              <w:rPr>
                <w:rFonts w:ascii="Calibri Light" w:hAnsi="Calibri Light"/>
                <w:i/>
                <w:noProof/>
                <w:sz w:val="20"/>
                <w:szCs w:val="20"/>
              </w:rPr>
              <w:t xml:space="preserve">. </w:t>
            </w:r>
            <w:r w:rsidRPr="00934258">
              <w:rPr>
                <w:rFonts w:ascii="Calibri Light" w:hAnsi="Calibri Light"/>
                <w:noProof/>
                <w:sz w:val="20"/>
                <w:szCs w:val="20"/>
              </w:rPr>
              <w:t>(Často se jedná o účelově založené obchodní společnosti nebo např. technické služby města/obce).</w:t>
            </w:r>
            <w:r w:rsidRPr="00934258">
              <w:rPr>
                <w:rFonts w:ascii="Calibri Light" w:hAnsi="Calibri Light"/>
                <w:i/>
                <w:noProof/>
                <w:sz w:val="20"/>
                <w:szCs w:val="20"/>
              </w:rPr>
              <w:t xml:space="preserve"> </w:t>
            </w:r>
          </w:p>
          <w:p w14:paraId="608C4EA9"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Za poskytnutou službu mu náleží </w:t>
            </w:r>
            <w:r w:rsidRPr="00934258">
              <w:rPr>
                <w:rFonts w:ascii="Calibri Light" w:hAnsi="Calibri Light"/>
                <w:i/>
                <w:noProof/>
                <w:sz w:val="20"/>
                <w:szCs w:val="20"/>
              </w:rPr>
              <w:t xml:space="preserve">odměna ve formě práva na výběr </w:t>
            </w:r>
            <w:r w:rsidRPr="00934258">
              <w:rPr>
                <w:rFonts w:ascii="Calibri Light" w:hAnsi="Calibri Light"/>
                <w:noProof/>
                <w:sz w:val="20"/>
                <w:szCs w:val="20"/>
              </w:rPr>
              <w:t xml:space="preserve">vodného a stočného. </w:t>
            </w:r>
          </w:p>
          <w:p w14:paraId="01B29538"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hradí vlastníku VIM </w:t>
            </w:r>
            <w:r w:rsidRPr="00934258">
              <w:rPr>
                <w:rFonts w:ascii="Calibri Light" w:hAnsi="Calibri Light"/>
                <w:i/>
                <w:noProof/>
                <w:sz w:val="20"/>
                <w:szCs w:val="20"/>
              </w:rPr>
              <w:t>nájemné</w:t>
            </w:r>
            <w:r w:rsidRPr="00934258">
              <w:rPr>
                <w:rFonts w:ascii="Calibri Light" w:hAnsi="Calibri Light"/>
                <w:noProof/>
                <w:sz w:val="20"/>
                <w:szCs w:val="20"/>
              </w:rPr>
              <w:t xml:space="preserve"> za užívání VIM. </w:t>
            </w:r>
          </w:p>
          <w:p w14:paraId="3B13476E"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je odpovědný za rozvoj a obnovu VIM.</w:t>
            </w:r>
          </w:p>
          <w:p w14:paraId="6DA828BE"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je odpovědný za opravy a údržbu VIM.</w:t>
            </w:r>
          </w:p>
          <w:p w14:paraId="672FF370" w14:textId="3F5861A2"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IČO vlastníka je rozdílné od IČO provozovatele a IČO příjemce vodného a stočného je stejné jako IČO provozovatele. Může se jednat o dvě samostatné obchodní společnosti nebo kombinaci municipálního právního subjektu (vlastník VIM)</w:t>
            </w:r>
            <w:r>
              <w:rPr>
                <w:rFonts w:ascii="Calibri Light" w:hAnsi="Calibri Light"/>
                <w:noProof/>
                <w:sz w:val="20"/>
                <w:szCs w:val="20"/>
              </w:rPr>
              <w:t xml:space="preserve"> a</w:t>
            </w:r>
            <w:r w:rsidRPr="00934258">
              <w:rPr>
                <w:rFonts w:ascii="Calibri Light" w:hAnsi="Calibri Light"/>
                <w:noProof/>
                <w:sz w:val="20"/>
                <w:szCs w:val="20"/>
              </w:rPr>
              <w:t xml:space="preserve"> obchodní společnosti nebo organizace zřízené municipálním vlastníkem VIM (provozovatel).</w:t>
            </w:r>
            <w:r w:rsidR="00B26631">
              <w:rPr>
                <w:rFonts w:ascii="Calibri Light" w:hAnsi="Calibri Light"/>
                <w:noProof/>
                <w:sz w:val="20"/>
                <w:szCs w:val="20"/>
              </w:rPr>
              <w:t xml:space="preserve"> </w:t>
            </w:r>
          </w:p>
        </w:tc>
      </w:tr>
      <w:tr w:rsidR="00782E52" w:rsidRPr="00934258" w14:paraId="4C2B0229" w14:textId="77777777" w:rsidTr="009A3BB2">
        <w:tc>
          <w:tcPr>
            <w:tcW w:w="2235" w:type="dxa"/>
            <w:tcBorders>
              <w:left w:val="single" w:sz="4" w:space="0" w:color="FFFFFF"/>
            </w:tcBorders>
            <w:shd w:val="clear" w:color="auto" w:fill="8064A2"/>
          </w:tcPr>
          <w:p w14:paraId="151A1968" w14:textId="53FAF144"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i/>
                <w:noProof/>
                <w:color w:val="FFFFFF"/>
                <w:sz w:val="20"/>
                <w:szCs w:val="20"/>
              </w:rPr>
              <w:t>SERVISNÍ SMLOUVY</w:t>
            </w:r>
            <w:r w:rsidR="00B26631">
              <w:rPr>
                <w:rFonts w:ascii="Calibri Light" w:hAnsi="Calibri Light"/>
                <w:b/>
                <w:bCs/>
                <w:noProof/>
                <w:color w:val="FFFFFF"/>
                <w:sz w:val="20"/>
                <w:szCs w:val="20"/>
              </w:rPr>
              <w:t xml:space="preserve"> </w:t>
            </w:r>
          </w:p>
          <w:p w14:paraId="254D5651"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p>
          <w:p w14:paraId="22F5295C"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noProof/>
                <w:color w:val="FFFFFF"/>
                <w:sz w:val="20"/>
                <w:szCs w:val="20"/>
              </w:rPr>
              <w:t>(PODSKUPINA ODDÍLNÉHO MODELU PROVOZOVÁNÍ)</w:t>
            </w:r>
          </w:p>
        </w:tc>
        <w:tc>
          <w:tcPr>
            <w:tcW w:w="7258" w:type="dxa"/>
            <w:shd w:val="clear" w:color="auto" w:fill="CCC0D9"/>
          </w:tcPr>
          <w:p w14:paraId="32407049" w14:textId="63F2DE82"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VIM</w:t>
            </w:r>
            <w:r w:rsidR="00B26631">
              <w:rPr>
                <w:rFonts w:ascii="Calibri Light" w:hAnsi="Calibri Light"/>
                <w:noProof/>
                <w:sz w:val="20"/>
                <w:szCs w:val="20"/>
              </w:rPr>
              <w:t xml:space="preserve"> </w:t>
            </w:r>
            <w:r w:rsidRPr="00934258">
              <w:rPr>
                <w:rFonts w:ascii="Calibri Light" w:hAnsi="Calibri Light"/>
                <w:noProof/>
                <w:sz w:val="20"/>
                <w:szCs w:val="20"/>
              </w:rPr>
              <w:t>a provozovatel jsou dva rozdílné subjekty bez majetkového p</w:t>
            </w:r>
            <w:r>
              <w:rPr>
                <w:rFonts w:ascii="Calibri Light" w:hAnsi="Calibri Light"/>
                <w:noProof/>
                <w:sz w:val="20"/>
                <w:szCs w:val="20"/>
              </w:rPr>
              <w:t>ro</w:t>
            </w:r>
            <w:r w:rsidRPr="00934258">
              <w:rPr>
                <w:rFonts w:ascii="Calibri Light" w:hAnsi="Calibri Light"/>
                <w:noProof/>
                <w:sz w:val="20"/>
                <w:szCs w:val="20"/>
              </w:rPr>
              <w:t xml:space="preserve">pojení. </w:t>
            </w:r>
          </w:p>
          <w:p w14:paraId="6D206D65"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servisní smlouva.</w:t>
            </w:r>
          </w:p>
          <w:p w14:paraId="1011A378"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Na základě servisní smlouvy hradí vlastník VIM provozovateli </w:t>
            </w:r>
            <w:r w:rsidRPr="00934258">
              <w:rPr>
                <w:rFonts w:ascii="Calibri Light" w:hAnsi="Calibri Light"/>
                <w:i/>
                <w:noProof/>
                <w:sz w:val="20"/>
                <w:szCs w:val="20"/>
              </w:rPr>
              <w:t xml:space="preserve">odměnu za provozování </w:t>
            </w:r>
          </w:p>
          <w:p w14:paraId="0FB8FC1A" w14:textId="77777777" w:rsidR="00782E52" w:rsidRPr="002E3CB1"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w:t>
            </w:r>
          </w:p>
          <w:p w14:paraId="46AC2C30"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VIM je příjemcem vodného a stočného. </w:t>
            </w:r>
          </w:p>
          <w:p w14:paraId="562816DC"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je odpovědný za rozvoj a obnovu VIM a ve většině případů hradí i opravy VIM realizované provozovatelem. </w:t>
            </w:r>
          </w:p>
          <w:p w14:paraId="5B01E590"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je odpovědný za údržbu VIM.</w:t>
            </w:r>
          </w:p>
          <w:p w14:paraId="72D0B7E0"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IČO vlastníka je rozdílné od IČO provozovatele a IČO příjemce vodného a stočného je stejné jako IČO vlastníka VIM. </w:t>
            </w:r>
          </w:p>
        </w:tc>
      </w:tr>
      <w:tr w:rsidR="00782E52" w:rsidRPr="00934258" w14:paraId="38BDC79B" w14:textId="77777777" w:rsidTr="009A3BB2">
        <w:tc>
          <w:tcPr>
            <w:tcW w:w="2235" w:type="dxa"/>
            <w:tcBorders>
              <w:left w:val="single" w:sz="4" w:space="0" w:color="FFFFFF"/>
              <w:bottom w:val="single" w:sz="4" w:space="0" w:color="FFFFFF"/>
            </w:tcBorders>
            <w:shd w:val="clear" w:color="auto" w:fill="8064A2"/>
          </w:tcPr>
          <w:p w14:paraId="28FECD6A" w14:textId="77777777" w:rsidR="00782E52" w:rsidRPr="00934258" w:rsidRDefault="00782E52" w:rsidP="00782E52">
            <w:pPr>
              <w:spacing w:before="0" w:after="0" w:line="160" w:lineRule="atLeast"/>
              <w:contextualSpacing w:val="0"/>
              <w:jc w:val="left"/>
              <w:rPr>
                <w:rFonts w:ascii="Calibri Light" w:hAnsi="Calibri Light"/>
                <w:b/>
                <w:bCs/>
                <w:i/>
                <w:noProof/>
                <w:color w:val="FFFFFF"/>
                <w:sz w:val="20"/>
                <w:szCs w:val="20"/>
              </w:rPr>
            </w:pPr>
            <w:r w:rsidRPr="00934258">
              <w:rPr>
                <w:rFonts w:ascii="Calibri Light" w:hAnsi="Calibri Light"/>
                <w:b/>
                <w:bCs/>
                <w:i/>
                <w:noProof/>
                <w:color w:val="FFFFFF"/>
                <w:sz w:val="20"/>
                <w:szCs w:val="20"/>
              </w:rPr>
              <w:t xml:space="preserve">KOMBINOVANÝ </w:t>
            </w:r>
          </w:p>
          <w:p w14:paraId="521B3246" w14:textId="77777777" w:rsidR="00782E52" w:rsidRPr="00934258" w:rsidRDefault="00782E52" w:rsidP="00782E52">
            <w:pPr>
              <w:spacing w:before="0" w:after="0" w:line="160" w:lineRule="atLeast"/>
              <w:contextualSpacing w:val="0"/>
              <w:jc w:val="left"/>
              <w:rPr>
                <w:rFonts w:ascii="Calibri Light" w:hAnsi="Calibri Light"/>
                <w:b/>
                <w:bCs/>
                <w:i/>
                <w:noProof/>
                <w:color w:val="FFFFFF"/>
                <w:sz w:val="20"/>
                <w:szCs w:val="20"/>
              </w:rPr>
            </w:pPr>
          </w:p>
          <w:p w14:paraId="78648E4E" w14:textId="77777777" w:rsidR="00782E52" w:rsidRPr="00934258" w:rsidRDefault="00782E52" w:rsidP="00782E52">
            <w:pPr>
              <w:spacing w:before="0" w:after="0" w:line="160" w:lineRule="atLeast"/>
              <w:contextualSpacing w:val="0"/>
              <w:jc w:val="left"/>
              <w:rPr>
                <w:rFonts w:ascii="Calibri Light" w:hAnsi="Calibri Light"/>
                <w:bCs/>
                <w:noProof/>
                <w:color w:val="FFFFFF"/>
                <w:sz w:val="20"/>
                <w:szCs w:val="20"/>
              </w:rPr>
            </w:pPr>
            <w:r w:rsidRPr="00934258">
              <w:rPr>
                <w:rFonts w:ascii="Calibri Light" w:hAnsi="Calibri Light"/>
                <w:b/>
                <w:bCs/>
                <w:noProof/>
                <w:color w:val="FFFFFF"/>
                <w:sz w:val="18"/>
                <w:szCs w:val="20"/>
              </w:rPr>
              <w:t>(KOMBIMACE ODDÍLNÉHO A SMÍŠENÉHO MODELU PROVOZOVÁNÍ)</w:t>
            </w:r>
          </w:p>
        </w:tc>
        <w:tc>
          <w:tcPr>
            <w:tcW w:w="7258" w:type="dxa"/>
            <w:shd w:val="clear" w:color="auto" w:fill="E5DFEC"/>
          </w:tcPr>
          <w:p w14:paraId="44B42F3C" w14:textId="77777777" w:rsidR="00782E52" w:rsidRPr="00934258" w:rsidRDefault="00782E52" w:rsidP="00782E52">
            <w:pPr>
              <w:pStyle w:val="Odstavecseseznamem"/>
              <w:numPr>
                <w:ilvl w:val="0"/>
                <w:numId w:val="23"/>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zároveň provozuje část VIM, ke kterému má vlastnické práva, takže k hodnotě tohoto VIM vytváří odpisy, které jsou součástí ceny pro vodné a stočné.</w:t>
            </w:r>
          </w:p>
          <w:p w14:paraId="4F84F606"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 xml:space="preserve">smlouva o nájmu a provozování VIM. </w:t>
            </w:r>
          </w:p>
          <w:p w14:paraId="3ADF2D3B"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Za poskytnutou službu mu náleží </w:t>
            </w:r>
            <w:r w:rsidRPr="00934258">
              <w:rPr>
                <w:rFonts w:ascii="Calibri Light" w:hAnsi="Calibri Light"/>
                <w:i/>
                <w:noProof/>
                <w:sz w:val="20"/>
                <w:szCs w:val="20"/>
              </w:rPr>
              <w:t xml:space="preserve">odměna ve formě práva na výběr </w:t>
            </w:r>
            <w:r w:rsidRPr="00934258">
              <w:rPr>
                <w:rFonts w:ascii="Calibri Light" w:hAnsi="Calibri Light"/>
                <w:noProof/>
                <w:sz w:val="20"/>
                <w:szCs w:val="20"/>
              </w:rPr>
              <w:t xml:space="preserve">vodného a stočného. </w:t>
            </w:r>
          </w:p>
          <w:p w14:paraId="1ED6FD3D" w14:textId="6A485F9D"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IČO vlastníka je rozdílné od IČO provozovatele a IČO příjemce vodného a stočného je stejné jako IČO provozovatele.</w:t>
            </w:r>
            <w:r w:rsidR="00B26631">
              <w:rPr>
                <w:rFonts w:ascii="Calibri Light" w:hAnsi="Calibri Light"/>
                <w:noProof/>
                <w:sz w:val="20"/>
                <w:szCs w:val="20"/>
              </w:rPr>
              <w:t xml:space="preserve"> </w:t>
            </w:r>
            <w:r w:rsidRPr="00934258">
              <w:rPr>
                <w:rFonts w:ascii="Calibri Light" w:hAnsi="Calibri Light"/>
                <w:i/>
                <w:noProof/>
                <w:sz w:val="20"/>
                <w:szCs w:val="20"/>
              </w:rPr>
              <w:t>IČO provozovatele je na Porovnání uvedeno i mezi vlastníky související provozované infrastruktury</w:t>
            </w:r>
            <w:r w:rsidRPr="00934258">
              <w:rPr>
                <w:rFonts w:ascii="Calibri Light" w:hAnsi="Calibri Light"/>
                <w:noProof/>
                <w:sz w:val="20"/>
                <w:szCs w:val="20"/>
              </w:rPr>
              <w:t>.</w:t>
            </w:r>
            <w:r w:rsidR="00B26631">
              <w:rPr>
                <w:rFonts w:ascii="Calibri Light" w:hAnsi="Calibri Light"/>
                <w:noProof/>
                <w:sz w:val="20"/>
                <w:szCs w:val="20"/>
              </w:rPr>
              <w:t xml:space="preserve"> </w:t>
            </w:r>
          </w:p>
        </w:tc>
      </w:tr>
    </w:tbl>
    <w:p w14:paraId="639F52DC" w14:textId="77777777" w:rsidR="000B4E2B" w:rsidRPr="00C62639" w:rsidRDefault="000B4E2B" w:rsidP="000B4E2B">
      <w:pPr>
        <w:rPr>
          <w:rFonts w:asciiTheme="minorHAnsi" w:hAnsiTheme="minorHAnsi"/>
          <w:noProof/>
        </w:rPr>
      </w:pPr>
    </w:p>
    <w:p w14:paraId="723A9BAF" w14:textId="77777777" w:rsidR="000B4E2B" w:rsidRPr="00C62639" w:rsidRDefault="000B4E2B" w:rsidP="000B4E2B">
      <w:pPr>
        <w:pStyle w:val="Nadpis2"/>
        <w:rPr>
          <w:rFonts w:asciiTheme="minorHAnsi" w:hAnsiTheme="minorHAnsi"/>
          <w:noProof/>
        </w:rPr>
      </w:pPr>
      <w:r w:rsidRPr="00C62639">
        <w:rPr>
          <w:rFonts w:asciiTheme="minorHAnsi" w:hAnsiTheme="minorHAnsi"/>
          <w:noProof/>
        </w:rPr>
        <w:lastRenderedPageBreak/>
        <w:t xml:space="preserve"> </w:t>
      </w:r>
      <w:bookmarkStart w:id="15" w:name="_Toc505684404"/>
      <w:r w:rsidRPr="00C62639">
        <w:rPr>
          <w:rFonts w:asciiTheme="minorHAnsi" w:hAnsiTheme="minorHAnsi"/>
          <w:noProof/>
        </w:rPr>
        <w:t>Postup výpočtu skutečné dosažené výše prostředků na obnovu pro jednotlivé modely provozování a jejich podskupiny</w:t>
      </w:r>
      <w:bookmarkEnd w:id="14"/>
      <w:bookmarkEnd w:id="15"/>
    </w:p>
    <w:p w14:paraId="4D7379A4" w14:textId="77777777" w:rsidR="00782E52" w:rsidRDefault="00782E52" w:rsidP="00E141EB">
      <w:pPr>
        <w:pStyle w:val="Normlnzprva"/>
      </w:pPr>
      <w:r w:rsidRPr="00E141EB">
        <w:t>Jak již bylo uvedeno, při hodnocení plnění povinnosti vlastníka VIM zabezpečovat obnovu VIM v souladu s §8 odst. 1, zák. č. 274/2001 Sb. se projekt zaměřuje na skutečnost, zda byla výše skutečně generovaných prostředků na obnovu rovna nebo vyšší než vypočtená výše teoretické roční potřeby akumulace finančních prostředků na obnovu. V porovnání s rokem 2015 byl na základě vznesené připomínky upraven způsob výpočtu pro oddílný model provozování, kde nově k těmto prostředkům přičítáme také náklady na opravy realizované provozovatelem. Bohužel MZe nemá k dispozici informace o charakteru realizovaných oprav, takže není možné určit, jaká část nákladů na opravy se týkala realizace oprav s charakterem obnovy VIM.</w:t>
      </w:r>
    </w:p>
    <w:p w14:paraId="06ABFC3E" w14:textId="77777777" w:rsidR="009A3BB2" w:rsidRPr="00E141EB" w:rsidRDefault="009A3BB2" w:rsidP="00E141EB">
      <w:pPr>
        <w:pStyle w:val="Normlnzprva"/>
      </w:pPr>
    </w:p>
    <w:p w14:paraId="620E6629" w14:textId="77777777" w:rsidR="00782E52" w:rsidRDefault="00782E52" w:rsidP="00E141EB">
      <w:pPr>
        <w:pStyle w:val="Normlnzprva"/>
      </w:pPr>
      <w:r w:rsidRPr="00E141EB">
        <w:t>Výpočet skutečně generovaných prostředků na obnovu VIM v daném roce se liší podle aplikovaného modelu provozování a je uveden v následující tabulce (čísla odpovídají příslušným řádkům v Porovnání):</w:t>
      </w:r>
    </w:p>
    <w:p w14:paraId="4F72EAF1" w14:textId="77777777" w:rsidR="009A3BB2" w:rsidRPr="00E141EB" w:rsidRDefault="009A3BB2" w:rsidP="00E141EB">
      <w:pPr>
        <w:pStyle w:val="Normlnzprva"/>
      </w:pPr>
    </w:p>
    <w:tbl>
      <w:tblPr>
        <w:tblpPr w:leftFromText="141" w:rightFromText="141" w:vertAnchor="text" w:horzAnchor="margin" w:tblpY="11"/>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405"/>
        <w:gridCol w:w="7088"/>
      </w:tblGrid>
      <w:tr w:rsidR="00782E52" w:rsidRPr="00934258" w14:paraId="447169D4" w14:textId="77777777" w:rsidTr="004B35ED">
        <w:trPr>
          <w:tblHeader/>
        </w:trPr>
        <w:tc>
          <w:tcPr>
            <w:tcW w:w="2405" w:type="dxa"/>
            <w:tcBorders>
              <w:top w:val="single" w:sz="4" w:space="0" w:color="FFFFFF"/>
              <w:left w:val="single" w:sz="4" w:space="0" w:color="FFFFFF"/>
              <w:right w:val="nil"/>
            </w:tcBorders>
            <w:shd w:val="clear" w:color="auto" w:fill="8064A2"/>
            <w:vAlign w:val="center"/>
          </w:tcPr>
          <w:p w14:paraId="5D722E13" w14:textId="77777777" w:rsidR="00782E52" w:rsidRPr="00934258" w:rsidRDefault="00782E52" w:rsidP="004B35ED">
            <w:pPr>
              <w:spacing w:before="0" w:after="0" w:line="240" w:lineRule="atLeast"/>
              <w:jc w:val="center"/>
              <w:rPr>
                <w:rFonts w:ascii="Calibri Light" w:hAnsi="Calibri Light"/>
                <w:b/>
                <w:noProof/>
                <w:color w:val="FFFFFF"/>
                <w:sz w:val="20"/>
                <w:szCs w:val="20"/>
              </w:rPr>
            </w:pPr>
            <w:r w:rsidRPr="00934258">
              <w:rPr>
                <w:rFonts w:ascii="Calibri Light" w:hAnsi="Calibri Light"/>
                <w:b/>
                <w:bCs/>
                <w:noProof/>
                <w:color w:val="FFFFFF"/>
                <w:sz w:val="20"/>
                <w:szCs w:val="20"/>
              </w:rPr>
              <w:t>MODEL PROVOZOVÁNÍ</w:t>
            </w:r>
          </w:p>
        </w:tc>
        <w:tc>
          <w:tcPr>
            <w:tcW w:w="7088" w:type="dxa"/>
            <w:tcBorders>
              <w:top w:val="single" w:sz="4" w:space="0" w:color="FFFFFF"/>
              <w:left w:val="nil"/>
              <w:right w:val="single" w:sz="4" w:space="0" w:color="FFFFFF"/>
            </w:tcBorders>
            <w:shd w:val="clear" w:color="auto" w:fill="8064A2"/>
            <w:vAlign w:val="center"/>
          </w:tcPr>
          <w:p w14:paraId="005E806C" w14:textId="77777777" w:rsidR="00782E52" w:rsidRPr="00934258" w:rsidRDefault="00782E52" w:rsidP="004B35ED">
            <w:pPr>
              <w:spacing w:after="0" w:line="240" w:lineRule="atLeast"/>
              <w:jc w:val="center"/>
              <w:rPr>
                <w:rFonts w:ascii="Calibri Light" w:hAnsi="Calibri Light"/>
                <w:b/>
                <w:noProof/>
                <w:color w:val="FFFFFF"/>
                <w:sz w:val="20"/>
                <w:szCs w:val="20"/>
              </w:rPr>
            </w:pPr>
            <w:r w:rsidRPr="00934258">
              <w:rPr>
                <w:rFonts w:ascii="Calibri Light" w:hAnsi="Calibri Light"/>
                <w:b/>
                <w:bCs/>
                <w:noProof/>
                <w:color w:val="FFFFFF"/>
                <w:sz w:val="20"/>
                <w:szCs w:val="20"/>
              </w:rPr>
              <w:t>VÝPOČET SKUTEČNĚ GENEROVANÝCH PROSTŘEDKŮ</w:t>
            </w:r>
          </w:p>
        </w:tc>
      </w:tr>
      <w:tr w:rsidR="00782E52" w:rsidRPr="00934258" w14:paraId="1D36CA12" w14:textId="77777777" w:rsidTr="004B35ED">
        <w:tc>
          <w:tcPr>
            <w:tcW w:w="2405" w:type="dxa"/>
            <w:tcBorders>
              <w:left w:val="single" w:sz="4" w:space="0" w:color="FFFFFF"/>
            </w:tcBorders>
            <w:shd w:val="clear" w:color="auto" w:fill="8064A2"/>
          </w:tcPr>
          <w:p w14:paraId="4DF5C581" w14:textId="77777777" w:rsidR="00782E52" w:rsidRPr="00934258" w:rsidRDefault="00782E52" w:rsidP="004B35ED">
            <w:pPr>
              <w:spacing w:after="0" w:line="240" w:lineRule="atLeast"/>
              <w:rPr>
                <w:rFonts w:ascii="Calibri Light" w:hAnsi="Calibri Light"/>
                <w:bCs/>
                <w:noProof/>
                <w:color w:val="FFFFFF"/>
                <w:sz w:val="20"/>
                <w:szCs w:val="20"/>
              </w:rPr>
            </w:pPr>
            <w:r w:rsidRPr="00934258">
              <w:rPr>
                <w:rFonts w:ascii="Calibri Light" w:hAnsi="Calibri Light"/>
                <w:b/>
                <w:bCs/>
                <w:noProof/>
                <w:color w:val="FFFFFF"/>
                <w:sz w:val="20"/>
                <w:szCs w:val="20"/>
              </w:rPr>
              <w:t xml:space="preserve">SMÍŠENÝ </w:t>
            </w:r>
          </w:p>
        </w:tc>
        <w:tc>
          <w:tcPr>
            <w:tcW w:w="7088" w:type="dxa"/>
            <w:shd w:val="clear" w:color="auto" w:fill="CCC0D9"/>
          </w:tcPr>
          <w:p w14:paraId="68A6C5C5"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4.1 Odpisy infrastrukturního majetku</w:t>
            </w:r>
          </w:p>
          <w:p w14:paraId="60FE0396"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+ 4.2 Opravy infrastrukturního majetku*</w:t>
            </w:r>
          </w:p>
          <w:p w14:paraId="0BDC7659"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+ 4.4 Prostředky obnovy infrastrukturního majetku</w:t>
            </w:r>
          </w:p>
          <w:p w14:paraId="23B4FA8B"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+ 13. Záporný kalkulační zisk**</w:t>
            </w:r>
          </w:p>
          <w:p w14:paraId="70FC6189"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r w:rsidR="00782E52" w:rsidRPr="00934258" w14:paraId="7DBFC887" w14:textId="77777777" w:rsidTr="004B35ED">
        <w:tc>
          <w:tcPr>
            <w:tcW w:w="2405" w:type="dxa"/>
            <w:tcBorders>
              <w:left w:val="single" w:sz="4" w:space="0" w:color="FFFFFF"/>
            </w:tcBorders>
            <w:shd w:val="clear" w:color="auto" w:fill="8064A2"/>
          </w:tcPr>
          <w:p w14:paraId="59F2CD69" w14:textId="77777777" w:rsidR="00782E52" w:rsidRPr="00934258" w:rsidRDefault="00782E52" w:rsidP="004B35ED">
            <w:pPr>
              <w:spacing w:after="0" w:line="240" w:lineRule="atLeast"/>
              <w:rPr>
                <w:rFonts w:ascii="Calibri Light" w:hAnsi="Calibri Light"/>
                <w:bCs/>
                <w:noProof/>
                <w:color w:val="FFFFFF"/>
                <w:sz w:val="20"/>
                <w:szCs w:val="20"/>
              </w:rPr>
            </w:pPr>
            <w:r w:rsidRPr="00934258">
              <w:rPr>
                <w:rFonts w:ascii="Calibri Light" w:hAnsi="Calibri Light"/>
                <w:b/>
                <w:bCs/>
                <w:noProof/>
                <w:color w:val="FFFFFF"/>
                <w:sz w:val="20"/>
                <w:szCs w:val="20"/>
              </w:rPr>
              <w:t xml:space="preserve">ODDÍLNÝ </w:t>
            </w:r>
          </w:p>
        </w:tc>
        <w:tc>
          <w:tcPr>
            <w:tcW w:w="7088" w:type="dxa"/>
            <w:shd w:val="clear" w:color="auto" w:fill="E5DFEC"/>
          </w:tcPr>
          <w:p w14:paraId="52BF09D0"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4.3 Nájem infrastrukturního majetku</w:t>
            </w:r>
          </w:p>
          <w:p w14:paraId="05E85425"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+ 4.2 Opravy infrastrukturního majetku* </w:t>
            </w:r>
          </w:p>
          <w:p w14:paraId="3CF0D247"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+ 15. Podíl kladného kalkulačního zisku na rozvoj a obnovu infrastrukturního majetku </w:t>
            </w:r>
          </w:p>
        </w:tc>
      </w:tr>
      <w:tr w:rsidR="00782E52" w:rsidRPr="00934258" w14:paraId="43B2AB70" w14:textId="77777777" w:rsidTr="00782E52">
        <w:trPr>
          <w:trHeight w:val="883"/>
        </w:trPr>
        <w:tc>
          <w:tcPr>
            <w:tcW w:w="2405" w:type="dxa"/>
            <w:tcBorders>
              <w:left w:val="single" w:sz="4" w:space="0" w:color="FFFFFF"/>
            </w:tcBorders>
            <w:shd w:val="clear" w:color="auto" w:fill="8064A2"/>
          </w:tcPr>
          <w:p w14:paraId="417CE1F9" w14:textId="77777777" w:rsidR="00782E52" w:rsidRDefault="00782E52" w:rsidP="004B35ED">
            <w:pPr>
              <w:spacing w:after="0" w:line="240" w:lineRule="atLeast"/>
              <w:jc w:val="left"/>
              <w:rPr>
                <w:rFonts w:ascii="Calibri Light" w:hAnsi="Calibri Light"/>
                <w:b/>
                <w:bCs/>
                <w:noProof/>
                <w:color w:val="FFFFFF"/>
                <w:sz w:val="20"/>
                <w:szCs w:val="20"/>
              </w:rPr>
            </w:pPr>
            <w:r w:rsidRPr="00934258">
              <w:rPr>
                <w:rFonts w:ascii="Calibri Light" w:hAnsi="Calibri Light"/>
                <w:b/>
                <w:bCs/>
                <w:i/>
                <w:noProof/>
                <w:color w:val="FFFFFF"/>
                <w:sz w:val="20"/>
                <w:szCs w:val="20"/>
              </w:rPr>
              <w:t>VLASTNICKÝ</w:t>
            </w:r>
            <w:r w:rsidRPr="00934258">
              <w:rPr>
                <w:rFonts w:ascii="Calibri Light" w:hAnsi="Calibri Light"/>
                <w:b/>
                <w:bCs/>
                <w:noProof/>
                <w:color w:val="FFFFFF"/>
                <w:sz w:val="20"/>
                <w:szCs w:val="20"/>
              </w:rPr>
              <w:t xml:space="preserve"> </w:t>
            </w:r>
          </w:p>
          <w:p w14:paraId="6EF5DBE8" w14:textId="77777777" w:rsidR="00782E52" w:rsidRPr="00934258" w:rsidRDefault="00782E52" w:rsidP="004B35ED">
            <w:pPr>
              <w:spacing w:after="0" w:line="240" w:lineRule="atLeast"/>
              <w:jc w:val="left"/>
              <w:rPr>
                <w:rFonts w:ascii="Calibri Light" w:hAnsi="Calibri Light"/>
                <w:b/>
                <w:bCs/>
                <w:noProof/>
                <w:color w:val="FFFFFF"/>
                <w:sz w:val="20"/>
                <w:szCs w:val="20"/>
              </w:rPr>
            </w:pPr>
            <w:r w:rsidRPr="00934258">
              <w:rPr>
                <w:rFonts w:ascii="Calibri Light" w:hAnsi="Calibri Light"/>
                <w:b/>
                <w:bCs/>
                <w:noProof/>
                <w:color w:val="FFFFFF"/>
                <w:sz w:val="20"/>
                <w:szCs w:val="20"/>
              </w:rPr>
              <w:t>(PODSKUPINA ODDÍLNÉHO MODELU PROVOZOVÁNÍ)</w:t>
            </w:r>
          </w:p>
        </w:tc>
        <w:tc>
          <w:tcPr>
            <w:tcW w:w="7088" w:type="dxa"/>
            <w:shd w:val="clear" w:color="auto" w:fill="CCC0D9"/>
          </w:tcPr>
          <w:p w14:paraId="690233F0"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4.3 Nájem infrastrukturního majetku</w:t>
            </w:r>
          </w:p>
          <w:p w14:paraId="148F6451"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+ 4.2 Opravy infrastrukturního majetku* </w:t>
            </w:r>
          </w:p>
          <w:p w14:paraId="5C084101"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r w:rsidR="00782E52" w:rsidRPr="00934258" w14:paraId="48F3847E" w14:textId="77777777" w:rsidTr="004B35ED">
        <w:tc>
          <w:tcPr>
            <w:tcW w:w="2405" w:type="dxa"/>
            <w:tcBorders>
              <w:left w:val="single" w:sz="4" w:space="0" w:color="FFFFFF"/>
            </w:tcBorders>
            <w:shd w:val="clear" w:color="auto" w:fill="8064A2"/>
          </w:tcPr>
          <w:p w14:paraId="3867CCFE" w14:textId="77777777" w:rsidR="00782E52" w:rsidRPr="00934258" w:rsidRDefault="00782E52" w:rsidP="004B35ED">
            <w:pPr>
              <w:spacing w:after="0" w:line="240" w:lineRule="atLeast"/>
              <w:jc w:val="left"/>
              <w:rPr>
                <w:rFonts w:ascii="Calibri Light" w:hAnsi="Calibri Light"/>
                <w:b/>
                <w:bCs/>
                <w:noProof/>
                <w:color w:val="FFFFFF"/>
                <w:sz w:val="20"/>
                <w:szCs w:val="20"/>
              </w:rPr>
            </w:pPr>
            <w:r w:rsidRPr="00934258">
              <w:rPr>
                <w:rFonts w:ascii="Calibri Light" w:hAnsi="Calibri Light"/>
                <w:b/>
                <w:bCs/>
                <w:i/>
                <w:noProof/>
                <w:color w:val="FFFFFF"/>
                <w:sz w:val="20"/>
                <w:szCs w:val="20"/>
              </w:rPr>
              <w:t>SERVISNÍ SMLOUVY</w:t>
            </w:r>
            <w:r w:rsidRPr="00934258">
              <w:rPr>
                <w:rFonts w:ascii="Calibri Light" w:hAnsi="Calibri Light"/>
                <w:b/>
                <w:bCs/>
                <w:noProof/>
                <w:color w:val="FFFFFF"/>
                <w:sz w:val="20"/>
                <w:szCs w:val="20"/>
              </w:rPr>
              <w:t xml:space="preserve"> (PODSKUPINA ODDÍLNÉHO MODELU PROVOZOVÁNÍ)</w:t>
            </w:r>
          </w:p>
        </w:tc>
        <w:tc>
          <w:tcPr>
            <w:tcW w:w="7088" w:type="dxa"/>
            <w:shd w:val="clear" w:color="auto" w:fill="E5DFEC"/>
          </w:tcPr>
          <w:p w14:paraId="012FF5EF"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4.1 Odpisy infrastrukturního majetku</w:t>
            </w:r>
          </w:p>
          <w:p w14:paraId="27FA7425"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+ 4.2 Opravy infrastrukturního majetku*</w:t>
            </w:r>
          </w:p>
          <w:p w14:paraId="4E466A43"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+ 4.4 Prostředky obnovy infrastrukturního majetku</w:t>
            </w:r>
          </w:p>
          <w:p w14:paraId="7E6761DE"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+ 13. Záporný kalkulační zisk**</w:t>
            </w:r>
          </w:p>
          <w:p w14:paraId="5F227BC8"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r w:rsidR="00782E52" w:rsidRPr="00934258" w14:paraId="791D4535" w14:textId="77777777" w:rsidTr="004B35ED">
        <w:tc>
          <w:tcPr>
            <w:tcW w:w="2405" w:type="dxa"/>
            <w:tcBorders>
              <w:left w:val="single" w:sz="4" w:space="0" w:color="FFFFFF"/>
              <w:bottom w:val="single" w:sz="4" w:space="0" w:color="FFFFFF"/>
            </w:tcBorders>
            <w:shd w:val="clear" w:color="auto" w:fill="8064A2"/>
          </w:tcPr>
          <w:p w14:paraId="412EB1A3" w14:textId="77777777" w:rsidR="00782E52" w:rsidRPr="00934258" w:rsidRDefault="00782E52" w:rsidP="004B35ED">
            <w:pPr>
              <w:spacing w:after="0" w:line="240" w:lineRule="atLeast"/>
              <w:rPr>
                <w:rFonts w:ascii="Calibri Light" w:hAnsi="Calibri Light"/>
                <w:bCs/>
                <w:noProof/>
                <w:color w:val="FFFFFF"/>
                <w:sz w:val="20"/>
                <w:szCs w:val="20"/>
              </w:rPr>
            </w:pPr>
            <w:r w:rsidRPr="00934258">
              <w:rPr>
                <w:rFonts w:ascii="Calibri Light" w:hAnsi="Calibri Light"/>
                <w:b/>
                <w:bCs/>
                <w:noProof/>
                <w:color w:val="FFFFFF"/>
                <w:sz w:val="20"/>
                <w:szCs w:val="20"/>
              </w:rPr>
              <w:t>KOMBINOVANÝ</w:t>
            </w:r>
          </w:p>
        </w:tc>
        <w:tc>
          <w:tcPr>
            <w:tcW w:w="7088" w:type="dxa"/>
            <w:shd w:val="clear" w:color="auto" w:fill="CCC0D9"/>
          </w:tcPr>
          <w:p w14:paraId="37618837"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4.1 Odpisy infrastrukturního majetku</w:t>
            </w:r>
          </w:p>
          <w:p w14:paraId="33B38331"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+ 4.2 Opravy infrastrukturního majetku*</w:t>
            </w:r>
          </w:p>
          <w:p w14:paraId="08BCC725"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+ 4.3 Nájem infrastrukturního majetku</w:t>
            </w:r>
          </w:p>
          <w:p w14:paraId="4D308FD6"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+ 4.4 Prostředky obnovy infrastrukturního majetku</w:t>
            </w:r>
          </w:p>
          <w:p w14:paraId="5B0AE3D3"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+ 13. Záporný kalkulační zisk**</w:t>
            </w:r>
          </w:p>
          <w:p w14:paraId="4BD302BF"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bl>
    <w:p w14:paraId="72F4EAB4" w14:textId="77777777" w:rsidR="000B4E2B" w:rsidRPr="00C62639" w:rsidRDefault="000B4E2B" w:rsidP="000B4E2B">
      <w:pPr>
        <w:pStyle w:val="normlntextvodstavcch"/>
        <w:spacing w:before="0" w:after="0"/>
        <w:ind w:left="142" w:hanging="142"/>
        <w:rPr>
          <w:rFonts w:asciiTheme="minorHAnsi" w:hAnsiTheme="minorHAnsi"/>
          <w:noProof/>
          <w:sz w:val="18"/>
        </w:rPr>
      </w:pPr>
      <w:r w:rsidRPr="00C62639">
        <w:rPr>
          <w:rFonts w:asciiTheme="minorHAnsi" w:hAnsiTheme="minorHAnsi"/>
          <w:noProof/>
          <w:sz w:val="18"/>
        </w:rPr>
        <w:t>*</w:t>
      </w:r>
      <w:r w:rsidRPr="00C62639">
        <w:rPr>
          <w:rFonts w:asciiTheme="minorHAnsi" w:hAnsiTheme="minorHAnsi"/>
          <w:i/>
          <w:noProof/>
          <w:sz w:val="18"/>
        </w:rPr>
        <w:t>Opravy infrastrukturního majetku</w:t>
      </w:r>
      <w:r w:rsidRPr="00C62639">
        <w:rPr>
          <w:rFonts w:asciiTheme="minorHAnsi" w:hAnsiTheme="minorHAnsi"/>
          <w:noProof/>
          <w:sz w:val="18"/>
        </w:rPr>
        <w:t xml:space="preserve"> jsou započtené do prostředků na obnovu v celé výši a to z důvodu, že MZe nemá informaci o výši oprav s charakterem obnovy.</w:t>
      </w:r>
    </w:p>
    <w:p w14:paraId="38DCDD53" w14:textId="77777777" w:rsidR="000B4E2B" w:rsidRPr="00C62639" w:rsidRDefault="000B4E2B" w:rsidP="000B4E2B">
      <w:pPr>
        <w:pStyle w:val="normlntextvodstavcch"/>
        <w:spacing w:before="0" w:after="0"/>
        <w:ind w:left="142" w:hanging="142"/>
        <w:rPr>
          <w:rFonts w:asciiTheme="minorHAnsi" w:hAnsiTheme="minorHAnsi"/>
          <w:noProof/>
          <w:sz w:val="18"/>
        </w:rPr>
      </w:pPr>
      <w:r w:rsidRPr="00C62639">
        <w:rPr>
          <w:rFonts w:asciiTheme="minorHAnsi" w:hAnsiTheme="minorHAnsi"/>
          <w:noProof/>
          <w:sz w:val="18"/>
        </w:rPr>
        <w:t xml:space="preserve">** </w:t>
      </w:r>
      <w:r w:rsidRPr="00C62639">
        <w:rPr>
          <w:rFonts w:asciiTheme="minorHAnsi" w:hAnsiTheme="minorHAnsi"/>
          <w:i/>
          <w:noProof/>
          <w:sz w:val="18"/>
        </w:rPr>
        <w:t>Záporný kalkulační zisk</w:t>
      </w:r>
      <w:r w:rsidRPr="00C62639">
        <w:rPr>
          <w:rFonts w:asciiTheme="minorHAnsi" w:hAnsiTheme="minorHAnsi"/>
          <w:noProof/>
          <w:sz w:val="18"/>
        </w:rPr>
        <w:t xml:space="preserve"> ponižuje výši generovaných prostředků na obnovu. </w:t>
      </w:r>
    </w:p>
    <w:p w14:paraId="0C237C37" w14:textId="77777777" w:rsidR="000B4E2B" w:rsidRPr="00C62639" w:rsidRDefault="000B4E2B" w:rsidP="000B4E2B">
      <w:pPr>
        <w:pStyle w:val="Nadpis2"/>
        <w:rPr>
          <w:rFonts w:asciiTheme="minorHAnsi" w:hAnsiTheme="minorHAnsi"/>
          <w:noProof/>
        </w:rPr>
      </w:pPr>
      <w:bookmarkStart w:id="16" w:name="_Toc502677193"/>
      <w:bookmarkStart w:id="17" w:name="_Toc505684405"/>
      <w:r w:rsidRPr="00C62639">
        <w:rPr>
          <w:rFonts w:asciiTheme="minorHAnsi" w:hAnsiTheme="minorHAnsi"/>
          <w:noProof/>
        </w:rPr>
        <w:lastRenderedPageBreak/>
        <w:t>Problematika vyhodnocování obnovy a řádku 20 - Prostředky obnovy infrastrukturního majetku v Porovnání a další návaznosti na benchmarking vlastnických subjektů a možnosti využití údajů pro sledování obnovy VIM</w:t>
      </w:r>
      <w:bookmarkEnd w:id="16"/>
      <w:bookmarkEnd w:id="17"/>
    </w:p>
    <w:p w14:paraId="48611343" w14:textId="02F03640" w:rsidR="00782E52" w:rsidRDefault="00782E52" w:rsidP="00E141EB">
      <w:pPr>
        <w:pStyle w:val="Normlnzprva"/>
      </w:pPr>
      <w:r w:rsidRPr="00E141EB">
        <w:t>V průběhu přípravy dat pro benchmarking 2016 bylo</w:t>
      </w:r>
      <w:r w:rsidR="00B26631" w:rsidRPr="00E141EB">
        <w:t xml:space="preserve"> </w:t>
      </w:r>
      <w:r w:rsidRPr="00E141EB">
        <w:t>komunikací s vybranými zpracovateli zjištěno, že postupují odlišně při vykazování údajů na řádku č. 20 Porovnání</w:t>
      </w:r>
      <w:r w:rsidR="00B26631" w:rsidRPr="00E141EB">
        <w:t xml:space="preserve"> </w:t>
      </w:r>
      <w:r w:rsidRPr="00E141EB">
        <w:t>Tvorba a čerpání prostředků obnovy infrastrukturního majetku (dále jen řádek 20). Tato skutečnost je způsobena zejména tím, že vyhláška jednoznačně nestanovuje postup zjištění, popř. výpočtu hodnot, které se na řádku 20 mají vykazovat, a přesně nespecifikuje jejich obsahovou náplň. Dochází tak k různým výkladům, různým způsobům výpočtu a k odlišnostem v obsahové náplni těchto údajů. Data se tak stávají neporovnatelnými a není možné je pro potřeby benchmarkingu využít.</w:t>
      </w:r>
    </w:p>
    <w:p w14:paraId="0EF87E17" w14:textId="77777777" w:rsidR="009A3BB2" w:rsidRPr="00E141EB" w:rsidRDefault="009A3BB2" w:rsidP="00E141EB">
      <w:pPr>
        <w:pStyle w:val="Normlnzprva"/>
      </w:pPr>
    </w:p>
    <w:p w14:paraId="4F2CBD8B" w14:textId="6233082C" w:rsidR="00782E52" w:rsidRPr="00E141EB" w:rsidRDefault="00782E52" w:rsidP="00E141EB">
      <w:pPr>
        <w:pStyle w:val="Normlnzprva"/>
      </w:pPr>
      <w:r w:rsidRPr="00E141EB">
        <w:t xml:space="preserve"> Podle informací</w:t>
      </w:r>
      <w:r w:rsidR="00B26631" w:rsidRPr="00E141EB">
        <w:t xml:space="preserve"> </w:t>
      </w:r>
      <w:r w:rsidRPr="00E141EB">
        <w:t>získaných při přípravě dat a jejich následné analýzy je možné definovat následující tři přístupy, které jsou v praxi využívány při vykazování údajů</w:t>
      </w:r>
      <w:r w:rsidR="00B26631" w:rsidRPr="00E141EB">
        <w:t xml:space="preserve"> </w:t>
      </w:r>
      <w:r w:rsidRPr="00E141EB">
        <w:t>řádku 20.</w:t>
      </w:r>
    </w:p>
    <w:p w14:paraId="02704CED" w14:textId="77777777" w:rsidR="00782E52" w:rsidRPr="00E141EB" w:rsidRDefault="00782E52" w:rsidP="00E141EB">
      <w:pPr>
        <w:pStyle w:val="Normlnzprva"/>
      </w:pPr>
      <w:r w:rsidRPr="00E141EB">
        <w:t>a)</w:t>
      </w:r>
      <w:r w:rsidRPr="00E141EB">
        <w:tab/>
        <w:t xml:space="preserve">Hodnoty představují výši peněžních toků, tj. příjmy z vystavených a úhrady přijatých faktur, přijaté dotace, přijaté úvěry atd. </w:t>
      </w:r>
    </w:p>
    <w:p w14:paraId="2943C1E4" w14:textId="77777777" w:rsidR="00782E52" w:rsidRPr="00E141EB" w:rsidRDefault="00782E52" w:rsidP="00E141EB">
      <w:pPr>
        <w:pStyle w:val="Normlnzprva"/>
      </w:pPr>
      <w:r w:rsidRPr="00E141EB">
        <w:t>b)</w:t>
      </w:r>
      <w:r w:rsidRPr="00E141EB">
        <w:tab/>
        <w:t>Hodnoty představují výši pohledávek a závazků plynoucí z vystavených a přijatých faktur bez odhledu na jejich úhradu. Tento přístup více odpovídá procesu plánování a vykazování plnění plánu investic a oprav a je více rozšířen, ale nezohledňuje tvorbu prostředků obnovy z jiných zdrojů než je vodné a stočné.</w:t>
      </w:r>
    </w:p>
    <w:p w14:paraId="27721E99" w14:textId="77777777" w:rsidR="00782E52" w:rsidRDefault="00782E52" w:rsidP="00E141EB">
      <w:pPr>
        <w:pStyle w:val="Normlnzprva"/>
      </w:pPr>
      <w:r w:rsidRPr="00E141EB">
        <w:t>c)</w:t>
      </w:r>
      <w:r w:rsidRPr="00E141EB">
        <w:tab/>
        <w:t>Hodnoty představují obrat bankovního účtu účelově zřízeného pro provoz infrastruktury bez ohledu na to, zda se jedná o obnovu či nikoli (některé subjekty podléhají pravidlům OPŽP).</w:t>
      </w:r>
    </w:p>
    <w:p w14:paraId="6E09E83B" w14:textId="77777777" w:rsidR="009A3BB2" w:rsidRPr="00E141EB" w:rsidRDefault="009A3BB2" w:rsidP="00E141EB">
      <w:pPr>
        <w:pStyle w:val="Normlnzprva"/>
      </w:pPr>
    </w:p>
    <w:p w14:paraId="600CAB19" w14:textId="2E607EEF" w:rsidR="00782E52" w:rsidRPr="00934258" w:rsidRDefault="00782E52" w:rsidP="00E141EB">
      <w:pPr>
        <w:pStyle w:val="Normlnzprva"/>
        <w:rPr>
          <w:noProof/>
        </w:rPr>
      </w:pPr>
      <w:r w:rsidRPr="00E141EB">
        <w:rPr>
          <w:rStyle w:val="NormlnzprvaChar"/>
        </w:rPr>
        <w:t>Mimo uvedené přístupy, kdy je řádek 20 vyplněn, se v souboru analyzovaných dat</w:t>
      </w:r>
      <w:r w:rsidR="00B26631" w:rsidRPr="00E141EB">
        <w:rPr>
          <w:rStyle w:val="NormlnzprvaChar"/>
        </w:rPr>
        <w:t xml:space="preserve"> </w:t>
      </w:r>
      <w:r w:rsidRPr="00E141EB">
        <w:rPr>
          <w:rStyle w:val="NormlnzprvaChar"/>
        </w:rPr>
        <w:t>roku 2016 vyskytovala ve velkém počtu Porovnání, která neměla řádek 20 vyplněn vůbec. Důvodem může být nedostatečná komunikace mezi vlastníky a provozovateli, popř.</w:t>
      </w:r>
      <w:r w:rsidRPr="002E3CB1">
        <w:rPr>
          <w:rStyle w:val="NormlnzprvaChar"/>
        </w:rPr>
        <w:t xml:space="preserve"> nedostatečná komunikace mezi jednotlivými organizačními složkami </w:t>
      </w:r>
      <w:r>
        <w:rPr>
          <w:rStyle w:val="NormlnzprvaChar"/>
        </w:rPr>
        <w:t>v</w:t>
      </w:r>
      <w:r w:rsidRPr="002E3CB1">
        <w:rPr>
          <w:rStyle w:val="NormlnzprvaChar"/>
        </w:rPr>
        <w:t>lastníka v případě smíšeného modelu nebo nejasnost ustanovení Vyhlášky č. 428/2001 Sb., příloha č. 20, upravujících obsah řádku 20. V následujících tabulkách je uveden přehled počtů Porovnání</w:t>
      </w:r>
      <w:r w:rsidRPr="00934258">
        <w:rPr>
          <w:noProof/>
        </w:rPr>
        <w:t xml:space="preserve"> v</w:t>
      </w:r>
      <w:r w:rsidR="00B26631">
        <w:rPr>
          <w:noProof/>
        </w:rPr>
        <w:t xml:space="preserve"> </w:t>
      </w:r>
      <w:r>
        <w:rPr>
          <w:noProof/>
        </w:rPr>
        <w:t>jednotlivých</w:t>
      </w:r>
      <w:r w:rsidRPr="00934258">
        <w:rPr>
          <w:noProof/>
        </w:rPr>
        <w:t xml:space="preserve"> skupinách, která </w:t>
      </w:r>
      <w:r w:rsidRPr="00934258">
        <w:rPr>
          <w:b/>
          <w:noProof/>
        </w:rPr>
        <w:t>neměla řádek 20 vyplněn</w:t>
      </w:r>
      <w:r w:rsidRPr="00934258">
        <w:rPr>
          <w:noProof/>
        </w:rPr>
        <w:t>. Celk</w:t>
      </w:r>
      <w:r>
        <w:rPr>
          <w:noProof/>
        </w:rPr>
        <w:t>em</w:t>
      </w:r>
      <w:r w:rsidRPr="00934258">
        <w:rPr>
          <w:noProof/>
        </w:rPr>
        <w:t xml:space="preserve"> se jedná o 727 Porovnání pro pitnou vodu a 1 002 Porovnání pro odpadní vodu. MZe se bude dále problematikou vyplňování řádku 20 zabývat. </w:t>
      </w:r>
    </w:p>
    <w:p w14:paraId="610CBDEA" w14:textId="77777777" w:rsidR="002A3893" w:rsidRPr="00C62639" w:rsidRDefault="002A3893" w:rsidP="000B4E2B">
      <w:pPr>
        <w:pStyle w:val="normlntextvodstavcch"/>
        <w:rPr>
          <w:rFonts w:asciiTheme="minorHAnsi" w:hAnsiTheme="minorHAnsi"/>
          <w:noProof/>
        </w:rPr>
      </w:pPr>
    </w:p>
    <w:p w14:paraId="7E721D82" w14:textId="77777777" w:rsidR="009A3BB2" w:rsidRDefault="009A3BB2">
      <w:pPr>
        <w:spacing w:before="0" w:after="0"/>
        <w:contextualSpacing w:val="0"/>
        <w:jc w:val="left"/>
        <w:rPr>
          <w:rFonts w:asciiTheme="minorHAnsi" w:hAnsiTheme="minorHAnsi"/>
          <w:noProof/>
          <w:szCs w:val="20"/>
        </w:rPr>
      </w:pPr>
      <w:r>
        <w:rPr>
          <w:rFonts w:asciiTheme="minorHAnsi" w:hAnsiTheme="minorHAnsi"/>
          <w:noProof/>
        </w:rPr>
        <w:br w:type="page"/>
      </w:r>
    </w:p>
    <w:p w14:paraId="40DEA00F" w14:textId="0D1F2243" w:rsidR="000B4E2B" w:rsidRPr="00C62639" w:rsidRDefault="000B4E2B" w:rsidP="000B4E2B">
      <w:pPr>
        <w:pStyle w:val="normlntextvodstavcch"/>
        <w:rPr>
          <w:rFonts w:asciiTheme="minorHAnsi" w:hAnsiTheme="minorHAnsi"/>
          <w:noProof/>
        </w:rPr>
      </w:pPr>
      <w:r w:rsidRPr="00C62639">
        <w:rPr>
          <w:rFonts w:asciiTheme="minorHAnsi" w:hAnsiTheme="minorHAnsi"/>
          <w:noProof/>
        </w:rPr>
        <w:lastRenderedPageBreak/>
        <w:t>Vodovod:</w:t>
      </w:r>
    </w:p>
    <w:tbl>
      <w:tblPr>
        <w:tblW w:w="8761" w:type="dxa"/>
        <w:jc w:val="center"/>
        <w:tblCellMar>
          <w:left w:w="57" w:type="dxa"/>
          <w:right w:w="57" w:type="dxa"/>
        </w:tblCellMar>
        <w:tblLook w:val="04A0" w:firstRow="1" w:lastRow="0" w:firstColumn="1" w:lastColumn="0" w:noHBand="0" w:noVBand="1"/>
      </w:tblPr>
      <w:tblGrid>
        <w:gridCol w:w="2694"/>
        <w:gridCol w:w="1531"/>
        <w:gridCol w:w="2693"/>
        <w:gridCol w:w="1843"/>
      </w:tblGrid>
      <w:tr w:rsidR="000B4E2B" w:rsidRPr="00C62639" w14:paraId="73A3219C" w14:textId="77777777" w:rsidTr="002A3893">
        <w:trPr>
          <w:trHeight w:val="20"/>
          <w:tblHeader/>
          <w:jc w:val="center"/>
        </w:trPr>
        <w:tc>
          <w:tcPr>
            <w:tcW w:w="2694" w:type="dxa"/>
            <w:tcBorders>
              <w:top w:val="nil"/>
              <w:left w:val="nil"/>
              <w:bottom w:val="single" w:sz="12" w:space="0" w:color="FFFFFF"/>
              <w:right w:val="single" w:sz="4" w:space="0" w:color="FFFFFF"/>
            </w:tcBorders>
            <w:shd w:val="clear" w:color="5B9BD5" w:fill="5B9BD5"/>
            <w:vAlign w:val="center"/>
            <w:hideMark/>
          </w:tcPr>
          <w:p w14:paraId="37AF486D" w14:textId="77777777"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SKUPINA POROVNÁNÍ</w:t>
            </w:r>
          </w:p>
          <w:p w14:paraId="5A7A436E" w14:textId="77777777" w:rsidR="000B4E2B" w:rsidRPr="00C62639" w:rsidRDefault="000B4E2B" w:rsidP="000B4E2B">
            <w:pPr>
              <w:spacing w:before="0" w:after="0"/>
              <w:ind w:hanging="212"/>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(dle součtové hodnoty majetku za vyúčtování dle VÚME)</w:t>
            </w:r>
          </w:p>
        </w:tc>
        <w:tc>
          <w:tcPr>
            <w:tcW w:w="1531" w:type="dxa"/>
            <w:tcBorders>
              <w:top w:val="nil"/>
              <w:left w:val="single" w:sz="4" w:space="0" w:color="FFFFFF"/>
              <w:bottom w:val="single" w:sz="12" w:space="0" w:color="FFFFFF"/>
              <w:right w:val="single" w:sz="4" w:space="0" w:color="FFFFFF"/>
            </w:tcBorders>
            <w:shd w:val="clear" w:color="5B9BD5" w:fill="5B9BD5"/>
            <w:vAlign w:val="center"/>
            <w:hideMark/>
          </w:tcPr>
          <w:p w14:paraId="1F79B7E4" w14:textId="77777777"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Počet Porovnání s nepoužitým řádkem č. 20</w:t>
            </w:r>
          </w:p>
        </w:tc>
        <w:tc>
          <w:tcPr>
            <w:tcW w:w="2693" w:type="dxa"/>
            <w:tcBorders>
              <w:top w:val="nil"/>
              <w:left w:val="single" w:sz="4" w:space="0" w:color="FFFFFF"/>
              <w:bottom w:val="single" w:sz="12" w:space="0" w:color="FFFFFF"/>
              <w:right w:val="single" w:sz="4" w:space="0" w:color="FFFFFF"/>
            </w:tcBorders>
            <w:shd w:val="clear" w:color="5B9BD5" w:fill="5B9BD5"/>
            <w:vAlign w:val="center"/>
            <w:hideMark/>
          </w:tcPr>
          <w:p w14:paraId="1B907302" w14:textId="77777777"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Pořizovací cena objektů vodovodu + ÚV podle orientačních ukazatelů (tis. Kč)</w:t>
            </w:r>
          </w:p>
        </w:tc>
        <w:tc>
          <w:tcPr>
            <w:tcW w:w="1843" w:type="dxa"/>
            <w:tcBorders>
              <w:top w:val="nil"/>
              <w:left w:val="single" w:sz="4" w:space="0" w:color="FFFFFF"/>
              <w:bottom w:val="single" w:sz="12" w:space="0" w:color="FFFFFF"/>
              <w:right w:val="nil"/>
            </w:tcBorders>
            <w:shd w:val="clear" w:color="5B9BD5" w:fill="5B9BD5"/>
            <w:vAlign w:val="center"/>
            <w:hideMark/>
          </w:tcPr>
          <w:p w14:paraId="0F98CAA7" w14:textId="7267555E"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Voda fakturovaná pitná celkem (tis. </w:t>
            </w:r>
            <w:r w:rsidR="00E27252">
              <w:rPr>
                <w:rFonts w:asciiTheme="minorHAnsi" w:eastAsia="Times New Roman" w:hAnsiTheme="minorHAnsi"/>
                <w:b/>
                <w:bCs/>
                <w:noProof/>
                <w:color w:val="FFFFFF"/>
                <w:sz w:val="20"/>
                <w:szCs w:val="20"/>
                <w:lang w:eastAsia="cs-CZ"/>
              </w:rPr>
              <w:t xml:space="preserve"> m</w:t>
            </w:r>
            <w:r w:rsidR="00E27252" w:rsidRPr="00E27252">
              <w:rPr>
                <w:rFonts w:asciiTheme="minorHAnsi" w:eastAsia="Times New Roman" w:hAnsiTheme="minorHAnsi"/>
                <w:b/>
                <w:bCs/>
                <w:noProof/>
                <w:color w:val="FFFFFF"/>
                <w:sz w:val="20"/>
                <w:szCs w:val="20"/>
                <w:vertAlign w:val="superscript"/>
                <w:lang w:eastAsia="cs-CZ"/>
              </w:rPr>
              <w:t>3</w:t>
            </w:r>
            <w:r w:rsidRPr="00C62639">
              <w:rPr>
                <w:rFonts w:asciiTheme="minorHAnsi" w:eastAsia="Times New Roman" w:hAnsiTheme="minorHAnsi"/>
                <w:b/>
                <w:bCs/>
                <w:noProof/>
                <w:color w:val="FFFFFF"/>
                <w:sz w:val="20"/>
                <w:szCs w:val="20"/>
                <w:lang w:eastAsia="cs-CZ"/>
              </w:rPr>
              <w:t>)</w:t>
            </w:r>
          </w:p>
        </w:tc>
      </w:tr>
      <w:tr w:rsidR="000B4E2B" w:rsidRPr="00C62639" w14:paraId="62A393A1" w14:textId="77777777" w:rsidTr="002A3893">
        <w:trPr>
          <w:trHeight w:val="20"/>
          <w:jc w:val="center"/>
        </w:trPr>
        <w:tc>
          <w:tcPr>
            <w:tcW w:w="2694" w:type="dxa"/>
            <w:tcBorders>
              <w:top w:val="single" w:sz="4" w:space="0" w:color="FFFFFF"/>
              <w:left w:val="nil"/>
              <w:bottom w:val="single" w:sz="4" w:space="0" w:color="FFFFFF"/>
              <w:right w:val="single" w:sz="4" w:space="0" w:color="FFFFFF"/>
            </w:tcBorders>
            <w:shd w:val="clear" w:color="BDD7EE" w:fill="BDD7EE"/>
            <w:vAlign w:val="center"/>
            <w:hideMark/>
          </w:tcPr>
          <w:p w14:paraId="544D5FAC"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II.skupina (&gt;1 000 mil. Kč)</w:t>
            </w:r>
          </w:p>
        </w:tc>
        <w:tc>
          <w:tcPr>
            <w:tcW w:w="1531"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375C2905"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8</w:t>
            </w:r>
          </w:p>
        </w:tc>
        <w:tc>
          <w:tcPr>
            <w:tcW w:w="2693"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659E6EFE"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89 469,65</w:t>
            </w:r>
          </w:p>
        </w:tc>
        <w:tc>
          <w:tcPr>
            <w:tcW w:w="1843" w:type="dxa"/>
            <w:tcBorders>
              <w:top w:val="single" w:sz="4" w:space="0" w:color="FFFFFF"/>
              <w:left w:val="single" w:sz="4" w:space="0" w:color="FFFFFF"/>
              <w:bottom w:val="single" w:sz="4" w:space="0" w:color="FFFFFF"/>
              <w:right w:val="nil"/>
            </w:tcBorders>
            <w:shd w:val="clear" w:color="BDD7EE" w:fill="BDD7EE"/>
            <w:vAlign w:val="center"/>
            <w:hideMark/>
          </w:tcPr>
          <w:p w14:paraId="0A14FFBC"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111,78</w:t>
            </w:r>
          </w:p>
        </w:tc>
      </w:tr>
      <w:tr w:rsidR="000B4E2B" w:rsidRPr="00C62639" w14:paraId="0D3A3C43" w14:textId="77777777" w:rsidTr="002A3893">
        <w:trPr>
          <w:trHeight w:val="20"/>
          <w:jc w:val="center"/>
        </w:trPr>
        <w:tc>
          <w:tcPr>
            <w:tcW w:w="2694" w:type="dxa"/>
            <w:tcBorders>
              <w:top w:val="single" w:sz="4" w:space="0" w:color="FFFFFF"/>
              <w:left w:val="nil"/>
              <w:bottom w:val="single" w:sz="4" w:space="0" w:color="FFFFFF"/>
              <w:right w:val="single" w:sz="4" w:space="0" w:color="FFFFFF"/>
            </w:tcBorders>
            <w:shd w:val="clear" w:color="DDEBF7" w:fill="DDEBF7"/>
            <w:vAlign w:val="center"/>
            <w:hideMark/>
          </w:tcPr>
          <w:p w14:paraId="38637A81"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III.skupina (&gt;100 mil. Kč)</w:t>
            </w:r>
          </w:p>
        </w:tc>
        <w:tc>
          <w:tcPr>
            <w:tcW w:w="1531"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5B5F79BC"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29</w:t>
            </w:r>
          </w:p>
        </w:tc>
        <w:tc>
          <w:tcPr>
            <w:tcW w:w="2693"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78CDF716"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9 469 640,59</w:t>
            </w:r>
          </w:p>
        </w:tc>
        <w:tc>
          <w:tcPr>
            <w:tcW w:w="1843" w:type="dxa"/>
            <w:tcBorders>
              <w:top w:val="single" w:sz="4" w:space="0" w:color="FFFFFF"/>
              <w:left w:val="single" w:sz="4" w:space="0" w:color="FFFFFF"/>
              <w:bottom w:val="single" w:sz="4" w:space="0" w:color="FFFFFF"/>
              <w:right w:val="nil"/>
            </w:tcBorders>
            <w:shd w:val="clear" w:color="DDEBF7" w:fill="DDEBF7"/>
            <w:vAlign w:val="center"/>
            <w:hideMark/>
          </w:tcPr>
          <w:p w14:paraId="108D0660"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24 199,84</w:t>
            </w:r>
          </w:p>
        </w:tc>
      </w:tr>
      <w:tr w:rsidR="000B4E2B" w:rsidRPr="00C62639" w14:paraId="2A871A6E" w14:textId="77777777" w:rsidTr="002A3893">
        <w:trPr>
          <w:trHeight w:val="20"/>
          <w:jc w:val="center"/>
        </w:trPr>
        <w:tc>
          <w:tcPr>
            <w:tcW w:w="2694" w:type="dxa"/>
            <w:tcBorders>
              <w:top w:val="single" w:sz="4" w:space="0" w:color="FFFFFF"/>
              <w:left w:val="nil"/>
              <w:bottom w:val="single" w:sz="4" w:space="0" w:color="FFFFFF"/>
              <w:right w:val="single" w:sz="4" w:space="0" w:color="FFFFFF"/>
            </w:tcBorders>
            <w:shd w:val="clear" w:color="BDD7EE" w:fill="BDD7EE"/>
            <w:vAlign w:val="center"/>
            <w:hideMark/>
          </w:tcPr>
          <w:p w14:paraId="0E269056"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IV.skupina (&gt;10 mil. Kč)</w:t>
            </w:r>
          </w:p>
        </w:tc>
        <w:tc>
          <w:tcPr>
            <w:tcW w:w="1531"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787BFD58"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373</w:t>
            </w:r>
          </w:p>
        </w:tc>
        <w:tc>
          <w:tcPr>
            <w:tcW w:w="2693"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47B30B76"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20 910 783,64</w:t>
            </w:r>
          </w:p>
        </w:tc>
        <w:tc>
          <w:tcPr>
            <w:tcW w:w="1843" w:type="dxa"/>
            <w:tcBorders>
              <w:top w:val="single" w:sz="4" w:space="0" w:color="FFFFFF"/>
              <w:left w:val="single" w:sz="4" w:space="0" w:color="FFFFFF"/>
              <w:bottom w:val="single" w:sz="4" w:space="0" w:color="FFFFFF"/>
              <w:right w:val="nil"/>
            </w:tcBorders>
            <w:shd w:val="clear" w:color="BDD7EE" w:fill="BDD7EE"/>
            <w:vAlign w:val="center"/>
            <w:hideMark/>
          </w:tcPr>
          <w:p w14:paraId="3ACB7653"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31 577,38</w:t>
            </w:r>
          </w:p>
        </w:tc>
      </w:tr>
      <w:tr w:rsidR="000B4E2B" w:rsidRPr="00C62639" w14:paraId="7A313516" w14:textId="77777777" w:rsidTr="002A3893">
        <w:trPr>
          <w:trHeight w:val="20"/>
          <w:jc w:val="center"/>
        </w:trPr>
        <w:tc>
          <w:tcPr>
            <w:tcW w:w="2694" w:type="dxa"/>
            <w:tcBorders>
              <w:top w:val="single" w:sz="4" w:space="0" w:color="FFFFFF"/>
              <w:left w:val="nil"/>
              <w:bottom w:val="single" w:sz="4" w:space="0" w:color="FFFFFF"/>
              <w:right w:val="single" w:sz="4" w:space="0" w:color="FFFFFF"/>
            </w:tcBorders>
            <w:shd w:val="clear" w:color="DDEBF7" w:fill="DDEBF7"/>
            <w:vAlign w:val="center"/>
            <w:hideMark/>
          </w:tcPr>
          <w:p w14:paraId="1C0DC45B"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V.skupina (&gt;1 mil. Kč)</w:t>
            </w:r>
          </w:p>
        </w:tc>
        <w:tc>
          <w:tcPr>
            <w:tcW w:w="1531"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57329B18"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297</w:t>
            </w:r>
          </w:p>
        </w:tc>
        <w:tc>
          <w:tcPr>
            <w:tcW w:w="2693"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4B74BEDC"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29 922 417,35</w:t>
            </w:r>
          </w:p>
        </w:tc>
        <w:tc>
          <w:tcPr>
            <w:tcW w:w="1843" w:type="dxa"/>
            <w:tcBorders>
              <w:top w:val="single" w:sz="4" w:space="0" w:color="FFFFFF"/>
              <w:left w:val="single" w:sz="4" w:space="0" w:color="FFFFFF"/>
              <w:bottom w:val="single" w:sz="4" w:space="0" w:color="FFFFFF"/>
              <w:right w:val="nil"/>
            </w:tcBorders>
            <w:shd w:val="clear" w:color="DDEBF7" w:fill="DDEBF7"/>
            <w:vAlign w:val="center"/>
            <w:hideMark/>
          </w:tcPr>
          <w:p w14:paraId="58CAE147"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40 797,23</w:t>
            </w:r>
          </w:p>
        </w:tc>
      </w:tr>
      <w:tr w:rsidR="000B4E2B" w:rsidRPr="00C62639" w14:paraId="328ADDE8" w14:textId="77777777" w:rsidTr="002A3893">
        <w:trPr>
          <w:trHeight w:val="20"/>
          <w:jc w:val="center"/>
        </w:trPr>
        <w:tc>
          <w:tcPr>
            <w:tcW w:w="2694" w:type="dxa"/>
            <w:tcBorders>
              <w:top w:val="single" w:sz="4" w:space="0" w:color="FFFFFF"/>
              <w:left w:val="nil"/>
              <w:bottom w:val="single" w:sz="4" w:space="0" w:color="FFFFFF"/>
              <w:right w:val="single" w:sz="4" w:space="0" w:color="FFFFFF"/>
            </w:tcBorders>
            <w:shd w:val="clear" w:color="BDD7EE" w:fill="BDD7EE"/>
            <w:vAlign w:val="center"/>
            <w:hideMark/>
          </w:tcPr>
          <w:p w14:paraId="4CCE7418"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VI.skupina (&lt;1 mil. Kč)</w:t>
            </w:r>
          </w:p>
        </w:tc>
        <w:tc>
          <w:tcPr>
            <w:tcW w:w="1531"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7489429"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20</w:t>
            </w:r>
          </w:p>
        </w:tc>
        <w:tc>
          <w:tcPr>
            <w:tcW w:w="2693"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668C1C3"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461 574,72</w:t>
            </w:r>
          </w:p>
        </w:tc>
        <w:tc>
          <w:tcPr>
            <w:tcW w:w="1843" w:type="dxa"/>
            <w:tcBorders>
              <w:top w:val="single" w:sz="4" w:space="0" w:color="FFFFFF"/>
              <w:left w:val="single" w:sz="4" w:space="0" w:color="FFFFFF"/>
              <w:bottom w:val="single" w:sz="4" w:space="0" w:color="FFFFFF"/>
              <w:right w:val="nil"/>
            </w:tcBorders>
            <w:shd w:val="clear" w:color="BDD7EE" w:fill="BDD7EE"/>
            <w:vAlign w:val="center"/>
            <w:hideMark/>
          </w:tcPr>
          <w:p w14:paraId="1BDE19A7"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611,94</w:t>
            </w:r>
          </w:p>
        </w:tc>
      </w:tr>
      <w:tr w:rsidR="000B4E2B" w:rsidRPr="00C62639" w14:paraId="7ED462D3" w14:textId="77777777" w:rsidTr="002A3893">
        <w:trPr>
          <w:trHeight w:val="20"/>
          <w:jc w:val="center"/>
        </w:trPr>
        <w:tc>
          <w:tcPr>
            <w:tcW w:w="2694" w:type="dxa"/>
            <w:tcBorders>
              <w:top w:val="single" w:sz="4" w:space="0" w:color="FFFFFF"/>
              <w:left w:val="nil"/>
              <w:bottom w:val="nil"/>
              <w:right w:val="single" w:sz="4" w:space="0" w:color="FFFFFF"/>
            </w:tcBorders>
            <w:shd w:val="clear" w:color="DDEBF7" w:fill="DDEBF7"/>
            <w:vAlign w:val="center"/>
            <w:hideMark/>
          </w:tcPr>
          <w:p w14:paraId="146FD6A4" w14:textId="77777777" w:rsidR="000B4E2B" w:rsidRPr="00C62639" w:rsidRDefault="000B4E2B" w:rsidP="000B4E2B">
            <w:pPr>
              <w:spacing w:before="0" w:after="0"/>
              <w:contextualSpacing w:val="0"/>
              <w:jc w:val="left"/>
              <w:rPr>
                <w:rFonts w:asciiTheme="minorHAnsi" w:eastAsia="Times New Roman" w:hAnsiTheme="minorHAnsi"/>
                <w:b/>
                <w:bCs/>
                <w:noProof/>
                <w:color w:val="000000"/>
                <w:sz w:val="20"/>
                <w:szCs w:val="20"/>
                <w:lang w:eastAsia="cs-CZ"/>
              </w:rPr>
            </w:pPr>
            <w:r w:rsidRPr="00C62639">
              <w:rPr>
                <w:rFonts w:asciiTheme="minorHAnsi" w:eastAsia="Times New Roman" w:hAnsiTheme="minorHAnsi"/>
                <w:b/>
                <w:bCs/>
                <w:noProof/>
                <w:color w:val="000000"/>
                <w:sz w:val="20"/>
                <w:szCs w:val="20"/>
                <w:lang w:eastAsia="cs-CZ"/>
              </w:rPr>
              <w:t xml:space="preserve">Celkem </w:t>
            </w:r>
          </w:p>
        </w:tc>
        <w:tc>
          <w:tcPr>
            <w:tcW w:w="1531" w:type="dxa"/>
            <w:tcBorders>
              <w:top w:val="single" w:sz="4" w:space="0" w:color="FFFFFF"/>
              <w:left w:val="single" w:sz="4" w:space="0" w:color="FFFFFF"/>
              <w:bottom w:val="nil"/>
              <w:right w:val="single" w:sz="4" w:space="0" w:color="FFFFFF"/>
            </w:tcBorders>
            <w:shd w:val="clear" w:color="DDEBF7" w:fill="DDEBF7"/>
            <w:vAlign w:val="center"/>
            <w:hideMark/>
          </w:tcPr>
          <w:p w14:paraId="2189FE63" w14:textId="77777777" w:rsidR="000B4E2B" w:rsidRPr="00C62639" w:rsidRDefault="000B4E2B" w:rsidP="000B4E2B">
            <w:pPr>
              <w:spacing w:before="0" w:after="0"/>
              <w:contextualSpacing w:val="0"/>
              <w:jc w:val="right"/>
              <w:rPr>
                <w:rFonts w:asciiTheme="minorHAnsi" w:eastAsia="Times New Roman" w:hAnsiTheme="minorHAnsi"/>
                <w:b/>
                <w:bCs/>
                <w:noProof/>
                <w:color w:val="000000"/>
                <w:sz w:val="20"/>
                <w:szCs w:val="20"/>
                <w:lang w:eastAsia="cs-CZ"/>
              </w:rPr>
            </w:pPr>
            <w:r w:rsidRPr="00C62639">
              <w:rPr>
                <w:rFonts w:asciiTheme="minorHAnsi" w:eastAsia="Times New Roman" w:hAnsiTheme="minorHAnsi"/>
                <w:b/>
                <w:bCs/>
                <w:noProof/>
                <w:color w:val="000000"/>
                <w:sz w:val="20"/>
                <w:szCs w:val="20"/>
                <w:lang w:eastAsia="cs-CZ"/>
              </w:rPr>
              <w:t>727</w:t>
            </w:r>
          </w:p>
        </w:tc>
        <w:tc>
          <w:tcPr>
            <w:tcW w:w="2693" w:type="dxa"/>
            <w:tcBorders>
              <w:top w:val="single" w:sz="4" w:space="0" w:color="FFFFFF"/>
              <w:left w:val="single" w:sz="4" w:space="0" w:color="FFFFFF"/>
              <w:bottom w:val="nil"/>
              <w:right w:val="single" w:sz="4" w:space="0" w:color="FFFFFF"/>
            </w:tcBorders>
            <w:shd w:val="clear" w:color="DDEBF7" w:fill="DDEBF7"/>
            <w:vAlign w:val="center"/>
            <w:hideMark/>
          </w:tcPr>
          <w:p w14:paraId="45F0E745" w14:textId="77777777" w:rsidR="000B4E2B" w:rsidRPr="00C62639" w:rsidRDefault="000B4E2B" w:rsidP="000B4E2B">
            <w:pPr>
              <w:spacing w:before="0" w:after="0"/>
              <w:contextualSpacing w:val="0"/>
              <w:jc w:val="right"/>
              <w:rPr>
                <w:rFonts w:asciiTheme="minorHAnsi" w:eastAsia="Times New Roman" w:hAnsiTheme="minorHAnsi"/>
                <w:b/>
                <w:bCs/>
                <w:noProof/>
                <w:color w:val="000000"/>
                <w:sz w:val="20"/>
                <w:szCs w:val="20"/>
                <w:lang w:eastAsia="cs-CZ"/>
              </w:rPr>
            </w:pPr>
            <w:r w:rsidRPr="00C62639">
              <w:rPr>
                <w:rFonts w:asciiTheme="minorHAnsi" w:eastAsia="Times New Roman" w:hAnsiTheme="minorHAnsi"/>
                <w:b/>
                <w:bCs/>
                <w:noProof/>
                <w:color w:val="000000"/>
                <w:sz w:val="20"/>
                <w:szCs w:val="20"/>
                <w:lang w:eastAsia="cs-CZ"/>
              </w:rPr>
              <w:t>60 853</w:t>
            </w:r>
            <w:r w:rsidRPr="00C62639">
              <w:rPr>
                <w:rFonts w:asciiTheme="minorHAnsi" w:hAnsiTheme="minorHAnsi"/>
                <w:noProof/>
              </w:rPr>
              <w:t xml:space="preserve"> </w:t>
            </w:r>
            <w:r w:rsidRPr="00C62639">
              <w:rPr>
                <w:rFonts w:asciiTheme="minorHAnsi" w:eastAsia="Times New Roman" w:hAnsiTheme="minorHAnsi"/>
                <w:b/>
                <w:bCs/>
                <w:noProof/>
                <w:color w:val="000000"/>
                <w:sz w:val="20"/>
                <w:szCs w:val="20"/>
                <w:lang w:eastAsia="cs-CZ"/>
              </w:rPr>
              <w:t>885,95</w:t>
            </w:r>
          </w:p>
        </w:tc>
        <w:tc>
          <w:tcPr>
            <w:tcW w:w="1843" w:type="dxa"/>
            <w:tcBorders>
              <w:top w:val="single" w:sz="4" w:space="0" w:color="FFFFFF"/>
              <w:left w:val="single" w:sz="4" w:space="0" w:color="FFFFFF"/>
              <w:bottom w:val="nil"/>
              <w:right w:val="nil"/>
            </w:tcBorders>
            <w:shd w:val="clear" w:color="DDEBF7" w:fill="DDEBF7"/>
            <w:vAlign w:val="center"/>
            <w:hideMark/>
          </w:tcPr>
          <w:p w14:paraId="45E50A99" w14:textId="77777777" w:rsidR="000B4E2B" w:rsidRPr="00C62639" w:rsidRDefault="000B4E2B" w:rsidP="000B4E2B">
            <w:pPr>
              <w:spacing w:before="0" w:after="0"/>
              <w:contextualSpacing w:val="0"/>
              <w:jc w:val="right"/>
              <w:rPr>
                <w:rFonts w:asciiTheme="minorHAnsi" w:eastAsia="Times New Roman" w:hAnsiTheme="minorHAnsi"/>
                <w:b/>
                <w:bCs/>
                <w:noProof/>
                <w:color w:val="000000"/>
                <w:sz w:val="20"/>
                <w:szCs w:val="20"/>
                <w:lang w:eastAsia="cs-CZ"/>
              </w:rPr>
            </w:pPr>
            <w:r w:rsidRPr="00C62639">
              <w:rPr>
                <w:rFonts w:asciiTheme="minorHAnsi" w:eastAsia="Times New Roman" w:hAnsiTheme="minorHAnsi"/>
                <w:b/>
                <w:bCs/>
                <w:noProof/>
                <w:color w:val="000000"/>
                <w:sz w:val="20"/>
                <w:szCs w:val="20"/>
                <w:lang w:eastAsia="cs-CZ"/>
              </w:rPr>
              <w:t>97 298,17</w:t>
            </w:r>
          </w:p>
        </w:tc>
      </w:tr>
    </w:tbl>
    <w:p w14:paraId="34E0314A" w14:textId="77777777" w:rsidR="002A3893" w:rsidRPr="00C62639" w:rsidRDefault="002A3893" w:rsidP="000B4E2B">
      <w:pPr>
        <w:pStyle w:val="normlntextvodstavcch"/>
        <w:rPr>
          <w:rFonts w:asciiTheme="minorHAnsi" w:hAnsiTheme="minorHAnsi"/>
          <w:noProof/>
        </w:rPr>
      </w:pPr>
    </w:p>
    <w:p w14:paraId="17CFA872" w14:textId="77777777" w:rsidR="000B4E2B" w:rsidRPr="00C62639" w:rsidRDefault="000B4E2B" w:rsidP="000B4E2B">
      <w:pPr>
        <w:pStyle w:val="normlntextvodstavcch"/>
        <w:rPr>
          <w:rFonts w:asciiTheme="minorHAnsi" w:hAnsiTheme="minorHAnsi"/>
          <w:noProof/>
        </w:rPr>
      </w:pPr>
      <w:r w:rsidRPr="00C62639">
        <w:rPr>
          <w:rFonts w:asciiTheme="minorHAnsi" w:hAnsiTheme="minorHAnsi"/>
          <w:noProof/>
        </w:rPr>
        <w:t xml:space="preserve">Kanalizace: </w:t>
      </w:r>
    </w:p>
    <w:tbl>
      <w:tblPr>
        <w:tblW w:w="9120" w:type="dxa"/>
        <w:jc w:val="center"/>
        <w:tblCellMar>
          <w:left w:w="57" w:type="dxa"/>
          <w:right w:w="57" w:type="dxa"/>
        </w:tblCellMar>
        <w:tblLook w:val="04A0" w:firstRow="1" w:lastRow="0" w:firstColumn="1" w:lastColumn="0" w:noHBand="0" w:noVBand="1"/>
      </w:tblPr>
      <w:tblGrid>
        <w:gridCol w:w="2891"/>
        <w:gridCol w:w="1645"/>
        <w:gridCol w:w="2665"/>
        <w:gridCol w:w="1919"/>
      </w:tblGrid>
      <w:tr w:rsidR="000B4E2B" w:rsidRPr="00C62639" w14:paraId="3B5D9351" w14:textId="77777777" w:rsidTr="002A3893">
        <w:trPr>
          <w:trHeight w:val="20"/>
          <w:jc w:val="center"/>
        </w:trPr>
        <w:tc>
          <w:tcPr>
            <w:tcW w:w="2891" w:type="dxa"/>
            <w:tcBorders>
              <w:top w:val="nil"/>
              <w:left w:val="nil"/>
              <w:bottom w:val="single" w:sz="12" w:space="0" w:color="FFFFFF"/>
              <w:right w:val="single" w:sz="4" w:space="0" w:color="FFFFFF"/>
            </w:tcBorders>
            <w:shd w:val="clear" w:color="ED7D31" w:fill="ED7D31"/>
            <w:vAlign w:val="center"/>
            <w:hideMark/>
          </w:tcPr>
          <w:p w14:paraId="147DD89C" w14:textId="77777777" w:rsidR="000B4E2B" w:rsidRPr="00C62639" w:rsidRDefault="000B4E2B" w:rsidP="000B4E2B">
            <w:pPr>
              <w:spacing w:before="0" w:after="0"/>
              <w:ind w:firstLine="214"/>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SKUPINA POROVNÁNÍ</w:t>
            </w:r>
          </w:p>
          <w:p w14:paraId="3AEB9F2E" w14:textId="77777777" w:rsidR="000B4E2B" w:rsidRPr="00C62639" w:rsidRDefault="000B4E2B" w:rsidP="000B4E2B">
            <w:pPr>
              <w:spacing w:before="0" w:after="0"/>
              <w:ind w:firstLine="214"/>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(dle součtové hodnoty majetku za vyúčtování dle VÚME)</w:t>
            </w:r>
          </w:p>
        </w:tc>
        <w:tc>
          <w:tcPr>
            <w:tcW w:w="1645" w:type="dxa"/>
            <w:tcBorders>
              <w:top w:val="nil"/>
              <w:left w:val="single" w:sz="4" w:space="0" w:color="FFFFFF"/>
              <w:bottom w:val="single" w:sz="12" w:space="0" w:color="FFFFFF"/>
              <w:right w:val="single" w:sz="4" w:space="0" w:color="FFFFFF"/>
            </w:tcBorders>
            <w:shd w:val="clear" w:color="ED7D31" w:fill="ED7D31"/>
            <w:vAlign w:val="center"/>
            <w:hideMark/>
          </w:tcPr>
          <w:p w14:paraId="7C467EA0" w14:textId="77777777"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Počet Porovnání s nepoužitým řádkem č. 20</w:t>
            </w:r>
          </w:p>
        </w:tc>
        <w:tc>
          <w:tcPr>
            <w:tcW w:w="2665" w:type="dxa"/>
            <w:tcBorders>
              <w:top w:val="nil"/>
              <w:left w:val="single" w:sz="4" w:space="0" w:color="FFFFFF"/>
              <w:bottom w:val="single" w:sz="12" w:space="0" w:color="FFFFFF"/>
              <w:right w:val="single" w:sz="4" w:space="0" w:color="FFFFFF"/>
            </w:tcBorders>
            <w:shd w:val="clear" w:color="ED7D31" w:fill="ED7D31"/>
            <w:vAlign w:val="center"/>
          </w:tcPr>
          <w:p w14:paraId="3774B4F0" w14:textId="77777777"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Pořizovací cena objektů kanalizace a ČOV podle orientačních ukazatelů (tis. Kč)</w:t>
            </w:r>
          </w:p>
        </w:tc>
        <w:tc>
          <w:tcPr>
            <w:tcW w:w="1919" w:type="dxa"/>
            <w:tcBorders>
              <w:top w:val="nil"/>
              <w:left w:val="single" w:sz="4" w:space="0" w:color="FFFFFF"/>
              <w:bottom w:val="single" w:sz="12" w:space="0" w:color="FFFFFF"/>
              <w:right w:val="single" w:sz="4" w:space="0" w:color="FFFFFF"/>
            </w:tcBorders>
            <w:shd w:val="clear" w:color="ED7D31" w:fill="ED7D31"/>
            <w:vAlign w:val="center"/>
          </w:tcPr>
          <w:p w14:paraId="134E3BEC" w14:textId="7D3B35ED"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Množství fakturované odpadní vody včetně vod srážkových (tis. </w:t>
            </w:r>
            <w:r w:rsidR="00E27252">
              <w:rPr>
                <w:rFonts w:asciiTheme="minorHAnsi" w:eastAsia="Times New Roman" w:hAnsiTheme="minorHAnsi"/>
                <w:b/>
                <w:bCs/>
                <w:noProof/>
                <w:color w:val="FFFFFF"/>
                <w:sz w:val="20"/>
                <w:szCs w:val="20"/>
                <w:lang w:eastAsia="cs-CZ"/>
              </w:rPr>
              <w:t xml:space="preserve"> m</w:t>
            </w:r>
            <w:r w:rsidR="00E27252" w:rsidRPr="00E27252">
              <w:rPr>
                <w:rFonts w:asciiTheme="minorHAnsi" w:eastAsia="Times New Roman" w:hAnsiTheme="minorHAnsi"/>
                <w:b/>
                <w:bCs/>
                <w:noProof/>
                <w:color w:val="FFFFFF"/>
                <w:sz w:val="20"/>
                <w:szCs w:val="20"/>
                <w:vertAlign w:val="superscript"/>
                <w:lang w:eastAsia="cs-CZ"/>
              </w:rPr>
              <w:t>3</w:t>
            </w:r>
            <w:r w:rsidRPr="00C62639">
              <w:rPr>
                <w:rFonts w:asciiTheme="minorHAnsi" w:eastAsia="Times New Roman" w:hAnsiTheme="minorHAnsi"/>
                <w:b/>
                <w:bCs/>
                <w:noProof/>
                <w:color w:val="FFFFFF"/>
                <w:sz w:val="20"/>
                <w:szCs w:val="20"/>
                <w:lang w:eastAsia="cs-CZ"/>
              </w:rPr>
              <w:t>)</w:t>
            </w:r>
          </w:p>
        </w:tc>
      </w:tr>
      <w:tr w:rsidR="000B4E2B" w:rsidRPr="00C62639" w14:paraId="75A3F423" w14:textId="77777777" w:rsidTr="002A3893">
        <w:trPr>
          <w:trHeight w:val="20"/>
          <w:jc w:val="center"/>
        </w:trPr>
        <w:tc>
          <w:tcPr>
            <w:tcW w:w="2891" w:type="dxa"/>
            <w:tcBorders>
              <w:top w:val="single" w:sz="4" w:space="0" w:color="FFFFFF"/>
              <w:left w:val="nil"/>
              <w:bottom w:val="single" w:sz="4" w:space="0" w:color="FFFFFF"/>
              <w:right w:val="single" w:sz="4" w:space="0" w:color="FFFFFF"/>
            </w:tcBorders>
            <w:shd w:val="clear" w:color="F8CBAD" w:fill="F8CBAD"/>
            <w:noWrap/>
            <w:vAlign w:val="center"/>
            <w:hideMark/>
          </w:tcPr>
          <w:p w14:paraId="0FE96850"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II.skupina (&gt;1 000 mil. Kč)</w:t>
            </w:r>
          </w:p>
        </w:tc>
        <w:tc>
          <w:tcPr>
            <w:tcW w:w="164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08538F65"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8</w:t>
            </w:r>
          </w:p>
        </w:tc>
        <w:tc>
          <w:tcPr>
            <w:tcW w:w="2665"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08B0D05D"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28 904 150,87</w:t>
            </w:r>
          </w:p>
        </w:tc>
        <w:tc>
          <w:tcPr>
            <w:tcW w:w="1919"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02363BE2"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35 071,95</w:t>
            </w:r>
          </w:p>
        </w:tc>
      </w:tr>
      <w:tr w:rsidR="000B4E2B" w:rsidRPr="00C62639" w14:paraId="34B64A01" w14:textId="77777777" w:rsidTr="002A3893">
        <w:trPr>
          <w:trHeight w:val="20"/>
          <w:jc w:val="center"/>
        </w:trPr>
        <w:tc>
          <w:tcPr>
            <w:tcW w:w="2891" w:type="dxa"/>
            <w:tcBorders>
              <w:top w:val="single" w:sz="4" w:space="0" w:color="FFFFFF"/>
              <w:left w:val="nil"/>
              <w:bottom w:val="single" w:sz="4" w:space="0" w:color="FFFFFF"/>
              <w:right w:val="single" w:sz="4" w:space="0" w:color="FFFFFF"/>
            </w:tcBorders>
            <w:shd w:val="clear" w:color="FCE4D6" w:fill="FCE4D6"/>
            <w:noWrap/>
            <w:vAlign w:val="center"/>
            <w:hideMark/>
          </w:tcPr>
          <w:p w14:paraId="2DD9D4E9"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III.skupina (&gt;100 mil. Kč)</w:t>
            </w:r>
          </w:p>
        </w:tc>
        <w:tc>
          <w:tcPr>
            <w:tcW w:w="164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18C9B24F"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92</w:t>
            </w:r>
          </w:p>
        </w:tc>
        <w:tc>
          <w:tcPr>
            <w:tcW w:w="2665" w:type="dxa"/>
            <w:tcBorders>
              <w:top w:val="single" w:sz="4" w:space="0" w:color="FFFFFF"/>
              <w:left w:val="single" w:sz="4" w:space="0" w:color="FFFFFF"/>
              <w:bottom w:val="single" w:sz="4" w:space="0" w:color="FFFFFF"/>
              <w:right w:val="single" w:sz="4" w:space="0" w:color="FFFFFF"/>
            </w:tcBorders>
            <w:shd w:val="clear" w:color="FCE4D6" w:fill="FCE4D6"/>
            <w:vAlign w:val="center"/>
          </w:tcPr>
          <w:p w14:paraId="0CCA3501"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20 295 643,27</w:t>
            </w:r>
          </w:p>
        </w:tc>
        <w:tc>
          <w:tcPr>
            <w:tcW w:w="1919" w:type="dxa"/>
            <w:tcBorders>
              <w:top w:val="single" w:sz="4" w:space="0" w:color="FFFFFF"/>
              <w:left w:val="single" w:sz="4" w:space="0" w:color="FFFFFF"/>
              <w:bottom w:val="single" w:sz="4" w:space="0" w:color="FFFFFF"/>
              <w:right w:val="single" w:sz="4" w:space="0" w:color="FFFFFF"/>
            </w:tcBorders>
            <w:shd w:val="clear" w:color="FCE4D6" w:fill="FCE4D6"/>
            <w:vAlign w:val="center"/>
          </w:tcPr>
          <w:p w14:paraId="44601299"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17 836,93</w:t>
            </w:r>
          </w:p>
        </w:tc>
      </w:tr>
      <w:tr w:rsidR="000B4E2B" w:rsidRPr="00C62639" w14:paraId="51CCC640" w14:textId="77777777" w:rsidTr="002A3893">
        <w:trPr>
          <w:trHeight w:val="20"/>
          <w:jc w:val="center"/>
        </w:trPr>
        <w:tc>
          <w:tcPr>
            <w:tcW w:w="2891" w:type="dxa"/>
            <w:tcBorders>
              <w:top w:val="single" w:sz="4" w:space="0" w:color="FFFFFF"/>
              <w:left w:val="nil"/>
              <w:bottom w:val="single" w:sz="4" w:space="0" w:color="FFFFFF"/>
              <w:right w:val="single" w:sz="4" w:space="0" w:color="FFFFFF"/>
            </w:tcBorders>
            <w:shd w:val="clear" w:color="F8CBAD" w:fill="F8CBAD"/>
            <w:noWrap/>
            <w:vAlign w:val="center"/>
            <w:hideMark/>
          </w:tcPr>
          <w:p w14:paraId="5041DAB5"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IV.skupina (&gt;10 mil. Kč)</w:t>
            </w:r>
          </w:p>
        </w:tc>
        <w:tc>
          <w:tcPr>
            <w:tcW w:w="164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09704380"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675</w:t>
            </w:r>
          </w:p>
        </w:tc>
        <w:tc>
          <w:tcPr>
            <w:tcW w:w="2665"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32DA2EA3"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22 665 833,27</w:t>
            </w:r>
          </w:p>
        </w:tc>
        <w:tc>
          <w:tcPr>
            <w:tcW w:w="1919"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773BF256"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15 469,48</w:t>
            </w:r>
          </w:p>
        </w:tc>
      </w:tr>
      <w:tr w:rsidR="000B4E2B" w:rsidRPr="00C62639" w14:paraId="749C7FC3" w14:textId="77777777" w:rsidTr="002A3893">
        <w:trPr>
          <w:trHeight w:val="20"/>
          <w:jc w:val="center"/>
        </w:trPr>
        <w:tc>
          <w:tcPr>
            <w:tcW w:w="2891" w:type="dxa"/>
            <w:tcBorders>
              <w:top w:val="single" w:sz="4" w:space="0" w:color="FFFFFF"/>
              <w:left w:val="nil"/>
              <w:bottom w:val="single" w:sz="4" w:space="0" w:color="FFFFFF"/>
              <w:right w:val="single" w:sz="4" w:space="0" w:color="FFFFFF"/>
            </w:tcBorders>
            <w:shd w:val="clear" w:color="FCE4D6" w:fill="FCE4D6"/>
            <w:noWrap/>
            <w:vAlign w:val="center"/>
            <w:hideMark/>
          </w:tcPr>
          <w:p w14:paraId="37DE6C94"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V.skupina (&gt;1 mil. Kč)</w:t>
            </w:r>
          </w:p>
        </w:tc>
        <w:tc>
          <w:tcPr>
            <w:tcW w:w="164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6AF82FBF"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214</w:t>
            </w:r>
          </w:p>
        </w:tc>
        <w:tc>
          <w:tcPr>
            <w:tcW w:w="2665" w:type="dxa"/>
            <w:tcBorders>
              <w:top w:val="single" w:sz="4" w:space="0" w:color="FFFFFF"/>
              <w:left w:val="single" w:sz="4" w:space="0" w:color="FFFFFF"/>
              <w:bottom w:val="single" w:sz="4" w:space="0" w:color="FFFFFF"/>
              <w:right w:val="single" w:sz="4" w:space="0" w:color="FFFFFF"/>
            </w:tcBorders>
            <w:shd w:val="clear" w:color="FCE4D6" w:fill="FCE4D6"/>
            <w:vAlign w:val="center"/>
          </w:tcPr>
          <w:p w14:paraId="4E4CA540"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1 218 045,29</w:t>
            </w:r>
          </w:p>
        </w:tc>
        <w:tc>
          <w:tcPr>
            <w:tcW w:w="1919" w:type="dxa"/>
            <w:tcBorders>
              <w:top w:val="single" w:sz="4" w:space="0" w:color="FFFFFF"/>
              <w:left w:val="single" w:sz="4" w:space="0" w:color="FFFFFF"/>
              <w:bottom w:val="single" w:sz="4" w:space="0" w:color="FFFFFF"/>
              <w:right w:val="single" w:sz="4" w:space="0" w:color="FFFFFF"/>
            </w:tcBorders>
            <w:shd w:val="clear" w:color="FCE4D6" w:fill="FCE4D6"/>
            <w:vAlign w:val="center"/>
          </w:tcPr>
          <w:p w14:paraId="6D6C739F"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1 618,08</w:t>
            </w:r>
          </w:p>
        </w:tc>
      </w:tr>
      <w:tr w:rsidR="000B4E2B" w:rsidRPr="00C62639" w14:paraId="395240D7" w14:textId="77777777" w:rsidTr="002A3893">
        <w:trPr>
          <w:trHeight w:val="20"/>
          <w:jc w:val="center"/>
        </w:trPr>
        <w:tc>
          <w:tcPr>
            <w:tcW w:w="2891" w:type="dxa"/>
            <w:tcBorders>
              <w:top w:val="single" w:sz="4" w:space="0" w:color="FFFFFF"/>
              <w:left w:val="nil"/>
              <w:bottom w:val="single" w:sz="4" w:space="0" w:color="FFFFFF"/>
              <w:right w:val="single" w:sz="4" w:space="0" w:color="FFFFFF"/>
            </w:tcBorders>
            <w:shd w:val="clear" w:color="F8CBAD" w:fill="F8CBAD"/>
            <w:noWrap/>
            <w:vAlign w:val="center"/>
            <w:hideMark/>
          </w:tcPr>
          <w:p w14:paraId="32DE5659" w14:textId="77777777" w:rsidR="000B4E2B" w:rsidRPr="00C62639" w:rsidRDefault="000B4E2B" w:rsidP="000B4E2B">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VI.skupina (&lt;1 mil. Kč)</w:t>
            </w:r>
          </w:p>
        </w:tc>
        <w:tc>
          <w:tcPr>
            <w:tcW w:w="164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16A36D93"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13</w:t>
            </w:r>
          </w:p>
        </w:tc>
        <w:tc>
          <w:tcPr>
            <w:tcW w:w="2665"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16AF60B2"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9 606,75</w:t>
            </w:r>
          </w:p>
        </w:tc>
        <w:tc>
          <w:tcPr>
            <w:tcW w:w="1919"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611D3A4B" w14:textId="77777777" w:rsidR="000B4E2B" w:rsidRPr="00C62639" w:rsidRDefault="000B4E2B" w:rsidP="000B4E2B">
            <w:pPr>
              <w:spacing w:before="0" w:after="0"/>
              <w:contextualSpacing w:val="0"/>
              <w:jc w:val="righ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61,09</w:t>
            </w:r>
          </w:p>
        </w:tc>
      </w:tr>
      <w:tr w:rsidR="000B4E2B" w:rsidRPr="00C62639" w14:paraId="6E2CFFB6" w14:textId="77777777" w:rsidTr="002A3893">
        <w:trPr>
          <w:trHeight w:val="20"/>
          <w:jc w:val="center"/>
        </w:trPr>
        <w:tc>
          <w:tcPr>
            <w:tcW w:w="2891" w:type="dxa"/>
            <w:tcBorders>
              <w:top w:val="single" w:sz="4" w:space="0" w:color="FFFFFF"/>
              <w:left w:val="nil"/>
              <w:bottom w:val="nil"/>
              <w:right w:val="single" w:sz="4" w:space="0" w:color="FFFFFF"/>
            </w:tcBorders>
            <w:shd w:val="clear" w:color="FCE4D6" w:fill="FCE4D6"/>
            <w:noWrap/>
            <w:vAlign w:val="center"/>
            <w:hideMark/>
          </w:tcPr>
          <w:p w14:paraId="238E39AB" w14:textId="77777777" w:rsidR="000B4E2B" w:rsidRPr="00C62639" w:rsidRDefault="000B4E2B" w:rsidP="000B4E2B">
            <w:pPr>
              <w:spacing w:before="0" w:after="0"/>
              <w:contextualSpacing w:val="0"/>
              <w:jc w:val="left"/>
              <w:rPr>
                <w:rFonts w:asciiTheme="minorHAnsi" w:eastAsia="Times New Roman" w:hAnsiTheme="minorHAnsi"/>
                <w:b/>
                <w:noProof/>
                <w:color w:val="000000"/>
                <w:sz w:val="20"/>
                <w:szCs w:val="20"/>
                <w:lang w:eastAsia="cs-CZ"/>
              </w:rPr>
            </w:pPr>
            <w:r w:rsidRPr="00C62639">
              <w:rPr>
                <w:rFonts w:asciiTheme="minorHAnsi" w:eastAsia="Times New Roman" w:hAnsiTheme="minorHAnsi"/>
                <w:b/>
                <w:noProof/>
                <w:color w:val="000000"/>
                <w:sz w:val="20"/>
                <w:szCs w:val="20"/>
                <w:lang w:eastAsia="cs-CZ"/>
              </w:rPr>
              <w:t>Celkem</w:t>
            </w:r>
          </w:p>
        </w:tc>
        <w:tc>
          <w:tcPr>
            <w:tcW w:w="1645" w:type="dxa"/>
            <w:tcBorders>
              <w:top w:val="single" w:sz="4" w:space="0" w:color="FFFFFF"/>
              <w:left w:val="single" w:sz="4" w:space="0" w:color="FFFFFF"/>
              <w:bottom w:val="nil"/>
              <w:right w:val="single" w:sz="4" w:space="0" w:color="FFFFFF"/>
            </w:tcBorders>
            <w:shd w:val="clear" w:color="FCE4D6" w:fill="FCE4D6"/>
            <w:noWrap/>
            <w:vAlign w:val="center"/>
            <w:hideMark/>
          </w:tcPr>
          <w:p w14:paraId="22472C7D" w14:textId="77777777" w:rsidR="000B4E2B" w:rsidRPr="00C62639" w:rsidRDefault="000B4E2B" w:rsidP="000B4E2B">
            <w:pPr>
              <w:spacing w:before="0" w:after="0"/>
              <w:contextualSpacing w:val="0"/>
              <w:jc w:val="right"/>
              <w:rPr>
                <w:rFonts w:asciiTheme="minorHAnsi" w:eastAsia="Times New Roman" w:hAnsiTheme="minorHAnsi"/>
                <w:b/>
                <w:noProof/>
                <w:color w:val="000000"/>
                <w:sz w:val="20"/>
                <w:szCs w:val="20"/>
                <w:lang w:eastAsia="cs-CZ"/>
              </w:rPr>
            </w:pPr>
            <w:r w:rsidRPr="00C62639">
              <w:rPr>
                <w:rFonts w:asciiTheme="minorHAnsi" w:eastAsia="Times New Roman" w:hAnsiTheme="minorHAnsi"/>
                <w:b/>
                <w:noProof/>
                <w:color w:val="000000"/>
                <w:sz w:val="20"/>
                <w:szCs w:val="20"/>
                <w:lang w:eastAsia="cs-CZ"/>
              </w:rPr>
              <w:t>1 002</w:t>
            </w:r>
          </w:p>
        </w:tc>
        <w:tc>
          <w:tcPr>
            <w:tcW w:w="2665" w:type="dxa"/>
            <w:tcBorders>
              <w:top w:val="single" w:sz="4" w:space="0" w:color="FFFFFF"/>
              <w:left w:val="single" w:sz="4" w:space="0" w:color="FFFFFF"/>
              <w:bottom w:val="nil"/>
              <w:right w:val="single" w:sz="4" w:space="0" w:color="FFFFFF"/>
            </w:tcBorders>
            <w:shd w:val="clear" w:color="FCE4D6" w:fill="FCE4D6"/>
            <w:vAlign w:val="center"/>
          </w:tcPr>
          <w:p w14:paraId="1F82894F" w14:textId="77777777" w:rsidR="000B4E2B" w:rsidRPr="00C62639" w:rsidRDefault="000B4E2B" w:rsidP="000B4E2B">
            <w:pPr>
              <w:spacing w:before="0" w:after="0"/>
              <w:contextualSpacing w:val="0"/>
              <w:jc w:val="right"/>
              <w:rPr>
                <w:rFonts w:asciiTheme="minorHAnsi" w:eastAsia="Times New Roman" w:hAnsiTheme="minorHAnsi"/>
                <w:b/>
                <w:noProof/>
                <w:color w:val="000000"/>
                <w:sz w:val="20"/>
                <w:szCs w:val="20"/>
                <w:lang w:eastAsia="cs-CZ"/>
              </w:rPr>
            </w:pPr>
            <w:r w:rsidRPr="00C62639">
              <w:rPr>
                <w:rFonts w:asciiTheme="minorHAnsi" w:eastAsia="Times New Roman" w:hAnsiTheme="minorHAnsi"/>
                <w:b/>
                <w:noProof/>
                <w:color w:val="000000"/>
                <w:sz w:val="20"/>
                <w:szCs w:val="20"/>
                <w:lang w:eastAsia="cs-CZ"/>
              </w:rPr>
              <w:t>73 093 279,46</w:t>
            </w:r>
          </w:p>
        </w:tc>
        <w:tc>
          <w:tcPr>
            <w:tcW w:w="1919" w:type="dxa"/>
            <w:tcBorders>
              <w:top w:val="single" w:sz="4" w:space="0" w:color="FFFFFF"/>
              <w:left w:val="single" w:sz="4" w:space="0" w:color="FFFFFF"/>
              <w:bottom w:val="nil"/>
              <w:right w:val="single" w:sz="4" w:space="0" w:color="FFFFFF"/>
            </w:tcBorders>
            <w:shd w:val="clear" w:color="FCE4D6" w:fill="FCE4D6"/>
            <w:vAlign w:val="center"/>
          </w:tcPr>
          <w:p w14:paraId="6DDA63A1" w14:textId="77777777" w:rsidR="000B4E2B" w:rsidRPr="00C62639" w:rsidRDefault="000B4E2B" w:rsidP="000B4E2B">
            <w:pPr>
              <w:spacing w:before="0" w:after="0"/>
              <w:contextualSpacing w:val="0"/>
              <w:jc w:val="right"/>
              <w:rPr>
                <w:rFonts w:asciiTheme="minorHAnsi" w:eastAsia="Times New Roman" w:hAnsiTheme="minorHAnsi"/>
                <w:b/>
                <w:noProof/>
                <w:color w:val="000000"/>
                <w:sz w:val="20"/>
                <w:szCs w:val="20"/>
                <w:lang w:eastAsia="cs-CZ"/>
              </w:rPr>
            </w:pPr>
            <w:r w:rsidRPr="00C62639">
              <w:rPr>
                <w:rFonts w:asciiTheme="minorHAnsi" w:eastAsia="Times New Roman" w:hAnsiTheme="minorHAnsi"/>
                <w:b/>
                <w:noProof/>
                <w:color w:val="000000"/>
                <w:sz w:val="20"/>
                <w:szCs w:val="20"/>
                <w:lang w:eastAsia="cs-CZ"/>
              </w:rPr>
              <w:t>70 057,53</w:t>
            </w:r>
          </w:p>
        </w:tc>
      </w:tr>
    </w:tbl>
    <w:p w14:paraId="4F5ADC6E" w14:textId="77777777" w:rsidR="00235587" w:rsidRPr="00C62639" w:rsidRDefault="00235587" w:rsidP="000B4E2B">
      <w:pPr>
        <w:pStyle w:val="normlntextvodstavcch"/>
        <w:rPr>
          <w:rFonts w:asciiTheme="minorHAnsi" w:hAnsiTheme="minorHAnsi"/>
          <w:noProof/>
        </w:rPr>
      </w:pPr>
    </w:p>
    <w:p w14:paraId="6BC756C7" w14:textId="6671A9E3" w:rsidR="00782E52" w:rsidRPr="00E141EB" w:rsidRDefault="00782E52" w:rsidP="00E141EB">
      <w:pPr>
        <w:pStyle w:val="Normlnzprva"/>
      </w:pPr>
      <w:r w:rsidRPr="00E141EB">
        <w:t>Vzhledem k výše popsaným problémům spojeným s užíváním řádku 20 a vysokému počtu Porovnání s tímto řádkem nevyplněným, byly údaje</w:t>
      </w:r>
      <w:r w:rsidR="00B26631" w:rsidRPr="00E141EB">
        <w:t xml:space="preserve"> </w:t>
      </w:r>
      <w:r w:rsidRPr="00E141EB">
        <w:t>řádku 20 komentovány pouze sumárně a k hlubší analýze ukazatelů, které jej ve své konstrukci využívají, nebylo přistoupeno.</w:t>
      </w:r>
    </w:p>
    <w:p w14:paraId="595902EF" w14:textId="77777777" w:rsidR="004142CF" w:rsidRPr="00C62639" w:rsidRDefault="00DF5417" w:rsidP="00DF5417">
      <w:pPr>
        <w:pStyle w:val="Nadpis2"/>
        <w:rPr>
          <w:rFonts w:asciiTheme="minorHAnsi" w:hAnsiTheme="minorHAnsi"/>
          <w:noProof/>
        </w:rPr>
      </w:pPr>
      <w:r w:rsidRPr="00C62639">
        <w:rPr>
          <w:rFonts w:asciiTheme="minorHAnsi" w:hAnsiTheme="minorHAnsi"/>
          <w:noProof/>
        </w:rPr>
        <w:t xml:space="preserve"> </w:t>
      </w:r>
      <w:bookmarkStart w:id="18" w:name="_Toc505684406"/>
      <w:r w:rsidR="004142CF" w:rsidRPr="00C62639">
        <w:rPr>
          <w:rFonts w:asciiTheme="minorHAnsi" w:hAnsiTheme="minorHAnsi"/>
          <w:noProof/>
        </w:rPr>
        <w:t>Úprava konstrukce ukazatele OKF – operační koeficient</w:t>
      </w:r>
      <w:bookmarkEnd w:id="18"/>
      <w:r w:rsidR="004142CF" w:rsidRPr="00C62639">
        <w:rPr>
          <w:rFonts w:asciiTheme="minorHAnsi" w:hAnsiTheme="minorHAnsi"/>
          <w:noProof/>
        </w:rPr>
        <w:t xml:space="preserve"> </w:t>
      </w:r>
    </w:p>
    <w:p w14:paraId="46D2615E" w14:textId="318F60AD" w:rsidR="00782E52" w:rsidRPr="00E141EB" w:rsidRDefault="00782E52" w:rsidP="00E141EB">
      <w:pPr>
        <w:pStyle w:val="Normlnzprva"/>
      </w:pPr>
      <w:r w:rsidRPr="00E141EB">
        <w:t>V roce 2015 konstrukce ukazatele OKF nepostihovala skutečnost, zda subjekty tvoří dostatečné množství prostředků na obnovu v ceně pro vodné a stočné.</w:t>
      </w:r>
      <w:r w:rsidR="00B26631" w:rsidRPr="00E141EB">
        <w:t xml:space="preserve"> </w:t>
      </w:r>
      <w:r w:rsidRPr="00E141EB">
        <w:t>Došlo k úpravě, která tuto skutečnost reflektuje. Nová konstrukce ukazatele OKF</w:t>
      </w:r>
      <w:r w:rsidR="00B26631" w:rsidRPr="00E141EB">
        <w:t xml:space="preserve"> </w:t>
      </w:r>
      <w:r w:rsidRPr="00E141EB">
        <w:t>zahrnuje do nákladů chybějící prostředky na obnovu VIM vypočítané podle postupu uvedeného ve zprávě Benchmarking vlastnických subjektů za rok 2016 pro každé analyzované Porovnání.</w:t>
      </w:r>
    </w:p>
    <w:p w14:paraId="0FEE2520" w14:textId="77777777" w:rsidR="004142CF" w:rsidRPr="00C62639" w:rsidRDefault="00DF5417" w:rsidP="00DF5417">
      <w:pPr>
        <w:pStyle w:val="Nadpis2"/>
        <w:rPr>
          <w:rFonts w:asciiTheme="minorHAnsi" w:hAnsiTheme="minorHAnsi"/>
          <w:noProof/>
        </w:rPr>
      </w:pPr>
      <w:r w:rsidRPr="00C62639">
        <w:rPr>
          <w:rFonts w:asciiTheme="minorHAnsi" w:hAnsiTheme="minorHAnsi"/>
          <w:noProof/>
        </w:rPr>
        <w:t xml:space="preserve"> </w:t>
      </w:r>
      <w:bookmarkStart w:id="19" w:name="_Toc505684407"/>
      <w:r w:rsidRPr="00C62639">
        <w:rPr>
          <w:rFonts w:asciiTheme="minorHAnsi" w:hAnsiTheme="minorHAnsi"/>
          <w:noProof/>
        </w:rPr>
        <w:t>Postup</w:t>
      </w:r>
      <w:r w:rsidR="004142CF" w:rsidRPr="00C62639">
        <w:rPr>
          <w:rFonts w:asciiTheme="minorHAnsi" w:hAnsiTheme="minorHAnsi"/>
          <w:noProof/>
        </w:rPr>
        <w:t xml:space="preserve"> stanovení optimálního provozovatelského subjektu</w:t>
      </w:r>
      <w:bookmarkEnd w:id="19"/>
    </w:p>
    <w:p w14:paraId="3E12E529" w14:textId="647CA64F" w:rsidR="00782E52" w:rsidRPr="00E141EB" w:rsidRDefault="00782E52" w:rsidP="00E141EB">
      <w:pPr>
        <w:pStyle w:val="Normlnzprva"/>
      </w:pPr>
      <w:r w:rsidRPr="00E141EB">
        <w:t>Vzhledem k nedokonalostem postupu uplatněného v roce 2015 pro výběr optimálního provozovatelského subjektu, resp. Porovnání v jednotlivých skupinách, který se nevyhnul určitému subjektivnímu pohledu, byl změněn způsob stanovení optimálních hodnot jednotlivých kritérií pro optimálního provozovatele ve skupině. Tato změna spočívá v tom, že pokud stanoveným kritériím odpovídá více provozovatelských subjektů, resp. Porovnání, jsou hodnoty vybraných ukazatelů vyjádřeny jako průměr hodnot dosažený těmito subjekty.</w:t>
      </w:r>
    </w:p>
    <w:p w14:paraId="75EE39FF" w14:textId="77777777" w:rsidR="00782E52" w:rsidRPr="00E141EB" w:rsidRDefault="00782E52" w:rsidP="00E141EB">
      <w:pPr>
        <w:pStyle w:val="Normlnzprva"/>
      </w:pPr>
    </w:p>
    <w:p w14:paraId="4F33DF40" w14:textId="77777777" w:rsidR="00782E52" w:rsidRPr="00E141EB" w:rsidRDefault="00782E52" w:rsidP="00E141EB">
      <w:pPr>
        <w:pStyle w:val="Normlnzprva"/>
      </w:pPr>
      <w:r w:rsidRPr="00E141EB">
        <w:lastRenderedPageBreak/>
        <w:t>Kritéria pro výběr optimálního subjektu sledují naplnění hlavních záměrů regulace. Jedním z nejdůležitějších je dosažení samofinancovatelnosti provozování VIM tam, kde je to možné, za přiměřenou cenu a v odpovídající kvalitě poskytovaných služeb. Tuto skutečnost vyjadřuje hodnota operačního koeficientu OKF, výše ceny a ztráty vody, popř. podíl čištěných odpadních vod. Z tohoto důvodu byla specifikována níže uvedená kritéria a postup výběru optimálního provozovatelského subjektu, resp. Porovnání.</w:t>
      </w:r>
    </w:p>
    <w:p w14:paraId="14087E95" w14:textId="77777777" w:rsidR="00782E52" w:rsidRPr="00934258" w:rsidRDefault="00782E52" w:rsidP="00782E52">
      <w:pPr>
        <w:rPr>
          <w:noProof/>
        </w:rPr>
      </w:pPr>
    </w:p>
    <w:p w14:paraId="24ECD5EC" w14:textId="77777777" w:rsidR="00782E52" w:rsidRPr="00934258" w:rsidRDefault="00782E52" w:rsidP="00782E52">
      <w:pPr>
        <w:numPr>
          <w:ilvl w:val="0"/>
          <w:numId w:val="12"/>
        </w:numPr>
        <w:spacing w:before="0" w:after="0"/>
        <w:contextualSpacing w:val="0"/>
        <w:rPr>
          <w:noProof/>
        </w:rPr>
      </w:pPr>
      <w:r w:rsidRPr="00934258">
        <w:rPr>
          <w:b/>
          <w:noProof/>
        </w:rPr>
        <w:t>1 ≤ OKF &lt; 1,5</w:t>
      </w:r>
      <w:r w:rsidRPr="00934258">
        <w:rPr>
          <w:noProof/>
        </w:rPr>
        <w:t xml:space="preserve"> </w:t>
      </w:r>
    </w:p>
    <w:p w14:paraId="2CD796A0" w14:textId="69ED1221" w:rsidR="00782E52" w:rsidRPr="00934258" w:rsidRDefault="00782E52" w:rsidP="00782E52">
      <w:pPr>
        <w:spacing w:before="0" w:after="0"/>
        <w:ind w:left="720"/>
        <w:contextualSpacing w:val="0"/>
        <w:rPr>
          <w:noProof/>
        </w:rPr>
      </w:pPr>
      <w:r w:rsidRPr="00934258">
        <w:rPr>
          <w:noProof/>
        </w:rPr>
        <w:t>Obecně se OKF počítá jako podíl tržeb a nákladů. Pro potřeby benchmarkingu a z důvodu nutnosti zohlednění tvorby prostředků obnovy VIM z vodného a stočného byla úroveň nákladů upravena tak, aby OKF zohledňoval skutečnost, zda subjekty tvoří dostatečné množství prostředků na obnovu VIM.</w:t>
      </w:r>
      <w:r w:rsidR="00B26631">
        <w:rPr>
          <w:noProof/>
        </w:rPr>
        <w:t xml:space="preserve"> </w:t>
      </w:r>
      <w:r w:rsidRPr="00934258">
        <w:rPr>
          <w:noProof/>
        </w:rPr>
        <w:t>Princip úpravy jmenovatele tkví v tom, že se celkové UVN z Porovnání upraví o kladný rozdíl mezi požadovanými minimálními prostředky obnovy a skutečně vykázanými prostředky obnovy.</w:t>
      </w:r>
      <w:r w:rsidR="00B26631">
        <w:rPr>
          <w:noProof/>
        </w:rPr>
        <w:t xml:space="preserve"> </w:t>
      </w:r>
      <w:r w:rsidRPr="00934258">
        <w:rPr>
          <w:noProof/>
        </w:rPr>
        <w:t>Ve výsledku tato úprava znamená, že subjektům, které netvoří dostatek prostředků na obnovu z vybraného vodného nebo stočného, jsou navýšeny náklady a OKF se sníží.</w:t>
      </w:r>
    </w:p>
    <w:p w14:paraId="65BA546F" w14:textId="77777777" w:rsidR="00782E52" w:rsidRPr="00934258" w:rsidRDefault="00782E52" w:rsidP="00782E52">
      <w:pPr>
        <w:ind w:left="720"/>
        <w:rPr>
          <w:noProof/>
        </w:rPr>
      </w:pPr>
    </w:p>
    <w:p w14:paraId="38461E23" w14:textId="38402900" w:rsidR="00782E52" w:rsidRPr="00934258" w:rsidRDefault="00782E52" w:rsidP="00782E52">
      <w:pPr>
        <w:ind w:left="720"/>
        <w:rPr>
          <w:noProof/>
        </w:rPr>
      </w:pPr>
      <w:r w:rsidRPr="00934258">
        <w:rPr>
          <w:noProof/>
        </w:rPr>
        <w:t>POZN.:</w:t>
      </w:r>
      <w:r w:rsidR="00B26631">
        <w:rPr>
          <w:noProof/>
        </w:rPr>
        <w:t xml:space="preserve"> </w:t>
      </w:r>
      <w:r w:rsidRPr="00934258">
        <w:rPr>
          <w:noProof/>
        </w:rPr>
        <w:t xml:space="preserve">V případě, že podmínce OKF nevyhoví žádný ze subjektů v dané skupině, je vybírán ten subjekt, který se podmínce OKF nejvíce blíží. </w:t>
      </w:r>
    </w:p>
    <w:p w14:paraId="74FEE932" w14:textId="77777777" w:rsidR="00782E52" w:rsidRPr="00934258" w:rsidRDefault="00782E52" w:rsidP="00782E52">
      <w:pPr>
        <w:rPr>
          <w:noProof/>
        </w:rPr>
      </w:pPr>
    </w:p>
    <w:p w14:paraId="7245241D" w14:textId="77E6A1F0" w:rsidR="00782E52" w:rsidRPr="00934258" w:rsidRDefault="00782E52" w:rsidP="00782E52">
      <w:pPr>
        <w:numPr>
          <w:ilvl w:val="0"/>
          <w:numId w:val="12"/>
        </w:numPr>
        <w:spacing w:before="0" w:after="0"/>
        <w:contextualSpacing w:val="0"/>
        <w:rPr>
          <w:b/>
          <w:noProof/>
        </w:rPr>
      </w:pPr>
      <w:r w:rsidRPr="00934258">
        <w:rPr>
          <w:noProof/>
        </w:rPr>
        <w:t xml:space="preserve">Ze skupiny subjektů splňujících první kritérium jsou vybrány ty, u kterých </w:t>
      </w:r>
      <w:r w:rsidRPr="00934258">
        <w:rPr>
          <w:b/>
          <w:noProof/>
        </w:rPr>
        <w:t>cena pro vodné nebo stočné dosahuje hodnot z intervalu stanoveného mediánem</w:t>
      </w:r>
      <w:r w:rsidR="00B26631">
        <w:rPr>
          <w:b/>
          <w:noProof/>
        </w:rPr>
        <w:t xml:space="preserve"> </w:t>
      </w:r>
      <w:r w:rsidRPr="00934258">
        <w:rPr>
          <w:b/>
          <w:noProof/>
        </w:rPr>
        <w:t>ceny pro vodné a stočné subjektů splňujících podmínku č. 1 +/- 10%</w:t>
      </w:r>
      <w:r w:rsidRPr="00934258">
        <w:rPr>
          <w:noProof/>
        </w:rPr>
        <w:t>. Protože soubor analyzovaných dat vykazuje extrémní hodnoty cen pro vodné a stočné, byl použit pro stanovení střední hodnoty ceny medián.</w:t>
      </w:r>
    </w:p>
    <w:p w14:paraId="61875D9A" w14:textId="77777777" w:rsidR="00782E52" w:rsidRPr="00934258" w:rsidRDefault="00782E52" w:rsidP="00782E52">
      <w:pPr>
        <w:spacing w:before="0" w:after="0"/>
        <w:ind w:left="720"/>
        <w:contextualSpacing w:val="0"/>
        <w:rPr>
          <w:b/>
          <w:noProof/>
        </w:rPr>
      </w:pPr>
    </w:p>
    <w:p w14:paraId="211EBA88" w14:textId="44A31009" w:rsidR="00782E52" w:rsidRPr="00934258" w:rsidRDefault="00782E52" w:rsidP="00782E52">
      <w:pPr>
        <w:numPr>
          <w:ilvl w:val="0"/>
          <w:numId w:val="12"/>
        </w:numPr>
        <w:spacing w:before="0" w:after="0"/>
        <w:contextualSpacing w:val="0"/>
        <w:rPr>
          <w:noProof/>
        </w:rPr>
      </w:pPr>
      <w:r w:rsidRPr="00934258">
        <w:rPr>
          <w:noProof/>
        </w:rPr>
        <w:t xml:space="preserve">Ze skupiny subjektů, které splňují podmínky stanovené kritériem č. 1 a 2 jsou dále vybrány ty, u kterých vykazované </w:t>
      </w:r>
      <w:r w:rsidRPr="00934258">
        <w:rPr>
          <w:b/>
          <w:noProof/>
        </w:rPr>
        <w:t>ztráty vody v </w:t>
      </w:r>
      <w:r w:rsidR="00E27252">
        <w:rPr>
          <w:b/>
          <w:noProof/>
        </w:rPr>
        <w:t xml:space="preserve"> m</w:t>
      </w:r>
      <w:r w:rsidR="00E27252" w:rsidRPr="00E27252">
        <w:rPr>
          <w:b/>
          <w:noProof/>
          <w:vertAlign w:val="superscript"/>
        </w:rPr>
        <w:t>3</w:t>
      </w:r>
      <w:r w:rsidRPr="00934258">
        <w:rPr>
          <w:b/>
          <w:noProof/>
        </w:rPr>
        <w:t xml:space="preserve"> na km přepočtené délky za den jsou rovny nebo jsou menší než průměr tohoto ukazatele vypočteného za skupinu, </w:t>
      </w:r>
      <w:r w:rsidRPr="00934258">
        <w:rPr>
          <w:noProof/>
        </w:rPr>
        <w:t xml:space="preserve">nebo u kterých je vykazovaný </w:t>
      </w:r>
      <w:r w:rsidRPr="00934258">
        <w:rPr>
          <w:b/>
          <w:noProof/>
        </w:rPr>
        <w:t>podíl čištěných odpadních vod roven nebo je větší než průměr tohoto ukazatele</w:t>
      </w:r>
      <w:r w:rsidRPr="00934258">
        <w:rPr>
          <w:noProof/>
        </w:rPr>
        <w:t xml:space="preserve"> </w:t>
      </w:r>
      <w:r w:rsidRPr="00934258">
        <w:rPr>
          <w:b/>
          <w:noProof/>
        </w:rPr>
        <w:t xml:space="preserve">vypočteného za skupinu. </w:t>
      </w:r>
    </w:p>
    <w:p w14:paraId="32E6C83A" w14:textId="77777777" w:rsidR="00782E52" w:rsidRPr="00934258" w:rsidRDefault="00782E52" w:rsidP="00782E52">
      <w:pPr>
        <w:spacing w:before="0" w:after="0"/>
        <w:ind w:left="720"/>
        <w:contextualSpacing w:val="0"/>
        <w:rPr>
          <w:noProof/>
        </w:rPr>
      </w:pPr>
    </w:p>
    <w:p w14:paraId="5A9C2439" w14:textId="77777777" w:rsidR="00782E52" w:rsidRPr="00934258" w:rsidRDefault="00782E52" w:rsidP="00782E52">
      <w:pPr>
        <w:spacing w:before="0" w:after="0"/>
        <w:ind w:left="720"/>
        <w:contextualSpacing w:val="0"/>
        <w:rPr>
          <w:noProof/>
        </w:rPr>
      </w:pPr>
      <w:r w:rsidRPr="00934258">
        <w:rPr>
          <w:noProof/>
        </w:rPr>
        <w:t xml:space="preserve">Seznam Porovnání včetně provozovatelských subjektů, která vyhověla výše uvedeným kritériím, je uveden za skupinu v kapitole Optimální provozovatelský subjekt. Ve skupinách s méně než čtyřmi Porovnáními nebyl Optimální subjekt určován. </w:t>
      </w:r>
    </w:p>
    <w:p w14:paraId="33267FAA" w14:textId="77777777" w:rsidR="00782E52" w:rsidRPr="00934258" w:rsidRDefault="00782E52" w:rsidP="00782E52">
      <w:pPr>
        <w:ind w:left="360"/>
        <w:rPr>
          <w:b/>
          <w:noProof/>
        </w:rPr>
      </w:pPr>
    </w:p>
    <w:p w14:paraId="66FC783E" w14:textId="77777777" w:rsidR="00782E52" w:rsidRPr="00E141EB" w:rsidRDefault="00782E52" w:rsidP="00E141EB">
      <w:pPr>
        <w:pStyle w:val="Normlnzprva"/>
      </w:pPr>
      <w:r w:rsidRPr="00E141EB">
        <w:t xml:space="preserve">Hodnoty ukazatelů, které jsou dále sledovány u optimálního provozovatele, byly spočteny jako průměr hodnot subjektů, resp. Porovnání splňujících kritéria jedna až tři. Tyto ukazatele pro pitnou vodu jsou podíl generovaných prostředků na obnovu a rozvoj k hodnotě VIM a počet zásobených obyvatel na jednoho pracovníka subjektu. Pro odpadní vodu to jsou ukazatele podíl generovaných prostředků na obnovu a rozvoj k hodnotě VIM </w:t>
      </w:r>
      <w:r w:rsidRPr="00E141EB">
        <w:br/>
        <w:t>a množství čištěných odpadních vod na jednoho pracovníka subjektu.</w:t>
      </w:r>
    </w:p>
    <w:p w14:paraId="7E9DDA68" w14:textId="1D052042" w:rsidR="00795F51" w:rsidRPr="00E141EB" w:rsidRDefault="00782E52" w:rsidP="00E141EB">
      <w:pPr>
        <w:pStyle w:val="Normlnzprva"/>
      </w:pPr>
      <w:r w:rsidRPr="00E141EB">
        <w:lastRenderedPageBreak/>
        <w:t>Optimální hodnoty provozovatelského subjektu jsou následně graficky znázorněny za pomoci glyfu včetně hodnot mediánu a minimálních hodnot sledovaných ukazatelů pro danou skupinu tam, kde to počet analyzovaných Porovnání umožňuje.</w:t>
      </w:r>
    </w:p>
    <w:p w14:paraId="4A6CF920" w14:textId="77777777" w:rsidR="00D70B87" w:rsidRPr="00C62639" w:rsidRDefault="00D70B87" w:rsidP="00D70B87">
      <w:pPr>
        <w:pStyle w:val="Nadpis1"/>
        <w:rPr>
          <w:rFonts w:asciiTheme="minorHAnsi" w:eastAsia="Calibri" w:hAnsiTheme="minorHAnsi"/>
          <w:noProof/>
        </w:rPr>
      </w:pPr>
      <w:bookmarkStart w:id="20" w:name="_Toc505684408"/>
      <w:r w:rsidRPr="00C62639">
        <w:rPr>
          <w:rFonts w:asciiTheme="minorHAnsi" w:eastAsia="Calibri" w:hAnsiTheme="minorHAnsi"/>
          <w:noProof/>
        </w:rPr>
        <w:t xml:space="preserve">Proces vypracování </w:t>
      </w:r>
      <w:r w:rsidR="00EF7CEE" w:rsidRPr="00C62639">
        <w:rPr>
          <w:rFonts w:asciiTheme="minorHAnsi" w:eastAsia="Calibri" w:hAnsiTheme="minorHAnsi"/>
          <w:noProof/>
        </w:rPr>
        <w:t xml:space="preserve">zpráv z </w:t>
      </w:r>
      <w:r w:rsidRPr="00C62639">
        <w:rPr>
          <w:rFonts w:asciiTheme="minorHAnsi" w:eastAsia="Calibri" w:hAnsiTheme="minorHAnsi"/>
          <w:noProof/>
        </w:rPr>
        <w:t xml:space="preserve">benchmarkingových </w:t>
      </w:r>
      <w:r w:rsidR="00EF7CEE" w:rsidRPr="00C62639">
        <w:rPr>
          <w:rFonts w:asciiTheme="minorHAnsi" w:eastAsia="Calibri" w:hAnsiTheme="minorHAnsi"/>
          <w:noProof/>
        </w:rPr>
        <w:t xml:space="preserve">projektů </w:t>
      </w:r>
      <w:r w:rsidRPr="00C62639">
        <w:rPr>
          <w:rFonts w:asciiTheme="minorHAnsi" w:eastAsia="Calibri" w:hAnsiTheme="minorHAnsi"/>
          <w:noProof/>
        </w:rPr>
        <w:t>- řešení problematiky propojení dat</w:t>
      </w:r>
      <w:bookmarkEnd w:id="20"/>
    </w:p>
    <w:p w14:paraId="519E1299" w14:textId="77777777" w:rsidR="00782E52" w:rsidRPr="00E141EB" w:rsidRDefault="00782E52" w:rsidP="00E141EB">
      <w:pPr>
        <w:pStyle w:val="Normlnzprva"/>
      </w:pPr>
      <w:r w:rsidRPr="00E141EB">
        <w:t xml:space="preserve">V souladu s platnou Metodikou benchmarkingu byly realizovány dva samostatné projekty: </w:t>
      </w:r>
    </w:p>
    <w:p w14:paraId="383C467B" w14:textId="77777777" w:rsidR="00782E52" w:rsidRPr="00E141EB" w:rsidRDefault="00782E52" w:rsidP="00E141EB">
      <w:pPr>
        <w:pStyle w:val="Normlnzprva"/>
      </w:pPr>
      <w:r w:rsidRPr="00E141EB">
        <w:t>Benchmarking provozovatelských subjektů 2016</w:t>
      </w:r>
    </w:p>
    <w:p w14:paraId="7B68C0C9" w14:textId="77777777" w:rsidR="00782E52" w:rsidRPr="00E141EB" w:rsidRDefault="00782E52" w:rsidP="00E141EB">
      <w:pPr>
        <w:pStyle w:val="Normlnzprva"/>
      </w:pPr>
      <w:r w:rsidRPr="00E141EB">
        <w:t>Benchmarking vlastnických subjektů 2016</w:t>
      </w:r>
    </w:p>
    <w:p w14:paraId="7CB8D2A1" w14:textId="77777777" w:rsidR="00782E52" w:rsidRPr="00E141EB" w:rsidRDefault="00782E52" w:rsidP="00E141EB">
      <w:pPr>
        <w:pStyle w:val="Normlnzprva"/>
      </w:pPr>
      <w:r w:rsidRPr="00E141EB">
        <w:t>Cílem bylo pokusit se identifikovat anomálie zejména u konkrétních subjektů, resp. Porovnání, a zmapovat stav sektoru vodovodů a kanalizací ve vztahu k plnění stanovených záměrů regulace.</w:t>
      </w:r>
    </w:p>
    <w:p w14:paraId="5975752E" w14:textId="77777777" w:rsidR="00782E52" w:rsidRPr="00E141EB" w:rsidRDefault="00782E52" w:rsidP="00E141EB">
      <w:pPr>
        <w:pStyle w:val="Normlnzprva"/>
      </w:pPr>
      <w:r w:rsidRPr="00E141EB">
        <w:t xml:space="preserve">Pro realizaci benchmarkingových projektů byla použita data roku 2016. V případě, že se stejný údaj vyskytoval ve dvou databázích, pro účely analýz byly přednostně použity údaje z Porovnání. </w:t>
      </w:r>
    </w:p>
    <w:p w14:paraId="0A1D47F2" w14:textId="3152CFB7" w:rsidR="00782E52" w:rsidRPr="00E141EB" w:rsidRDefault="00782E52" w:rsidP="00E141EB">
      <w:pPr>
        <w:pStyle w:val="Normlnzprva"/>
      </w:pPr>
      <w:r w:rsidRPr="00E141EB">
        <w:t>Princip pro</w:t>
      </w:r>
      <w:r w:rsidR="00E141EB" w:rsidRPr="00E141EB">
        <w:t>p</w:t>
      </w:r>
      <w:r w:rsidRPr="00E141EB">
        <w:t xml:space="preserve">ojení </w:t>
      </w:r>
      <w:r w:rsidR="00A43376" w:rsidRPr="00E141EB">
        <w:t>dat z databází</w:t>
      </w:r>
      <w:r w:rsidRPr="00E141EB">
        <w:t xml:space="preserve"> VSVaK (Porovnání)</w:t>
      </w:r>
      <w:r w:rsidR="00E141EB">
        <w:t>, VÚME a VÚPE byl</w:t>
      </w:r>
      <w:r w:rsidRPr="00E141EB">
        <w:t xml:space="preserve"> stejný</w:t>
      </w:r>
      <w:r w:rsidR="00E141EB">
        <w:t xml:space="preserve"> </w:t>
      </w:r>
      <w:r w:rsidRPr="00E141EB">
        <w:t>jako princip použitý pro benchmarking</w:t>
      </w:r>
      <w:r w:rsidR="00B26631" w:rsidRPr="00E141EB">
        <w:t xml:space="preserve"> </w:t>
      </w:r>
      <w:r w:rsidRPr="00E141EB">
        <w:t>za rok 2015. Sběr dat byl</w:t>
      </w:r>
      <w:r w:rsidR="00B26631" w:rsidRPr="00E141EB">
        <w:t xml:space="preserve"> </w:t>
      </w:r>
      <w:r w:rsidRPr="00E141EB">
        <w:t>zabezpečen v rámci příslušných ustanovení § 5 a § 36 ZVK. Problematická byla jejich verifikace, příprava pro analýzu i jejich vyhodnocení. Do projektů byla zařazena Porovnání, u kterých bylo možné jednoznačně identifikovat a propojit údaje z VÚME, VÚPE a Porovnání, tzn., že došlo k propojení ekonomických informací týkajících se nákladů, výnosů a ceny s informacemi o konkrétním majetku, ke kterému se náklady a výnosy vztahovaly a o jeho využití v daném roce.</w:t>
      </w:r>
    </w:p>
    <w:p w14:paraId="205DC76A" w14:textId="77777777" w:rsidR="00782E52" w:rsidRDefault="00782E52" w:rsidP="00E141EB">
      <w:pPr>
        <w:pStyle w:val="Normlnzprva"/>
        <w:rPr>
          <w:rFonts w:cs="Calibri"/>
          <w:noProof/>
          <w:lang w:val="sk-SK"/>
        </w:rPr>
      </w:pPr>
    </w:p>
    <w:p w14:paraId="48B7DF56" w14:textId="77777777" w:rsidR="00C96E2F" w:rsidRPr="00C62639" w:rsidRDefault="004D5780" w:rsidP="00782E52">
      <w:pPr>
        <w:pStyle w:val="normlntextvodstavcch"/>
        <w:ind w:firstLine="0"/>
        <w:rPr>
          <w:rFonts w:asciiTheme="minorHAnsi" w:hAnsiTheme="minorHAnsi" w:cs="Calibri"/>
          <w:noProof/>
        </w:rPr>
      </w:pPr>
      <w:r w:rsidRPr="00C62639">
        <w:rPr>
          <w:rFonts w:asciiTheme="minorHAnsi" w:hAnsiTheme="minorHAnsi" w:cs="Calibri"/>
          <w:noProof/>
          <w:lang w:eastAsia="cs-CZ"/>
        </w:rPr>
        <w:drawing>
          <wp:inline distT="0" distB="0" distL="0" distR="0" wp14:anchorId="2BE3E165" wp14:editId="604AB7BB">
            <wp:extent cx="5605780" cy="2966085"/>
            <wp:effectExtent l="0" t="0" r="0" b="0"/>
            <wp:docPr id="78"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605780" cy="2966085"/>
                    </a:xfrm>
                    <a:prstGeom prst="rect">
                      <a:avLst/>
                    </a:prstGeom>
                    <a:noFill/>
                    <a:ln>
                      <a:noFill/>
                    </a:ln>
                  </pic:spPr>
                </pic:pic>
              </a:graphicData>
            </a:graphic>
          </wp:inline>
        </w:drawing>
      </w:r>
    </w:p>
    <w:p w14:paraId="50FFB810" w14:textId="163E4518" w:rsidR="00EF7CEE" w:rsidRPr="00C62639" w:rsidRDefault="00782E52" w:rsidP="00AB6F0F">
      <w:pPr>
        <w:pStyle w:val="Normlnzprva"/>
        <w:rPr>
          <w:rFonts w:asciiTheme="minorHAnsi" w:hAnsiTheme="minorHAnsi"/>
          <w:noProof/>
        </w:rPr>
      </w:pPr>
      <w:r w:rsidRPr="00934258">
        <w:rPr>
          <w:noProof/>
        </w:rPr>
        <w:lastRenderedPageBreak/>
        <w:t>Ve snaze zvýšit vypovídací schopnost závěrů benchmarkingových projektů kontaktovalo MZe zpracovatele hlášení, které upozornilo na nedostatky bránící propojení informací z</w:t>
      </w:r>
      <w:r>
        <w:rPr>
          <w:noProof/>
        </w:rPr>
        <w:t> </w:t>
      </w:r>
      <w:r w:rsidRPr="00934258">
        <w:rPr>
          <w:noProof/>
        </w:rPr>
        <w:t>databází</w:t>
      </w:r>
      <w:r>
        <w:rPr>
          <w:noProof/>
        </w:rPr>
        <w:t xml:space="preserve"> a požadovalo nápravu</w:t>
      </w:r>
      <w:r w:rsidRPr="00934258">
        <w:rPr>
          <w:noProof/>
        </w:rPr>
        <w:t>.</w:t>
      </w:r>
      <w:r>
        <w:rPr>
          <w:noProof/>
        </w:rPr>
        <w:t xml:space="preserve"> Osloveni byli zpracovatelé celkem </w:t>
      </w:r>
      <w:r w:rsidRPr="00934258">
        <w:rPr>
          <w:noProof/>
        </w:rPr>
        <w:t>440</w:t>
      </w:r>
      <w:r w:rsidR="00B26631">
        <w:rPr>
          <w:noProof/>
        </w:rPr>
        <w:t xml:space="preserve"> </w:t>
      </w:r>
      <w:r w:rsidRPr="00934258">
        <w:rPr>
          <w:noProof/>
        </w:rPr>
        <w:t>Porovnání. MZe</w:t>
      </w:r>
      <w:r>
        <w:rPr>
          <w:noProof/>
        </w:rPr>
        <w:t xml:space="preserve"> se v této fázi přípravy dat</w:t>
      </w:r>
      <w:r w:rsidR="00B26631">
        <w:rPr>
          <w:noProof/>
        </w:rPr>
        <w:t xml:space="preserve"> </w:t>
      </w:r>
      <w:r w:rsidRPr="00934258">
        <w:rPr>
          <w:noProof/>
        </w:rPr>
        <w:t>zaměřilo</w:t>
      </w:r>
      <w:r w:rsidR="00B26631">
        <w:rPr>
          <w:noProof/>
        </w:rPr>
        <w:t xml:space="preserve"> </w:t>
      </w:r>
      <w:r w:rsidRPr="00934258">
        <w:rPr>
          <w:noProof/>
        </w:rPr>
        <w:t>sto největších provozovatelů (stanoven</w:t>
      </w:r>
      <w:r>
        <w:rPr>
          <w:noProof/>
        </w:rPr>
        <w:t>o</w:t>
      </w:r>
      <w:r w:rsidRPr="00934258">
        <w:rPr>
          <w:noProof/>
        </w:rPr>
        <w:t xml:space="preserve"> podle objemu fakturované vody) tak, aby </w:t>
      </w:r>
      <w:r>
        <w:rPr>
          <w:noProof/>
        </w:rPr>
        <w:t xml:space="preserve">je </w:t>
      </w:r>
      <w:r w:rsidRPr="00934258">
        <w:rPr>
          <w:noProof/>
        </w:rPr>
        <w:t>bylo možné</w:t>
      </w:r>
      <w:r w:rsidR="00B26631">
        <w:rPr>
          <w:noProof/>
        </w:rPr>
        <w:t xml:space="preserve"> </w:t>
      </w:r>
      <w:r w:rsidRPr="00934258">
        <w:rPr>
          <w:noProof/>
        </w:rPr>
        <w:t xml:space="preserve">zařadit do benchmarkingu. Tímto postupem došlo k významnému nárůstu podílu analyzovaného trhu </w:t>
      </w:r>
      <w:r>
        <w:rPr>
          <w:noProof/>
        </w:rPr>
        <w:t>a počtu analyzovaných Porovnání</w:t>
      </w:r>
      <w:r w:rsidR="00917B9F" w:rsidRPr="00C62639">
        <w:rPr>
          <w:rFonts w:asciiTheme="minorHAnsi" w:hAnsiTheme="minorHAnsi"/>
          <w:noProof/>
        </w:rPr>
        <w:t>.</w:t>
      </w:r>
      <w:r w:rsidR="00B26631">
        <w:rPr>
          <w:rFonts w:asciiTheme="minorHAnsi" w:hAnsiTheme="minorHAnsi"/>
          <w:noProof/>
        </w:rPr>
        <w:t xml:space="preserve"> </w:t>
      </w:r>
    </w:p>
    <w:p w14:paraId="7D452523" w14:textId="77777777" w:rsidR="00D70B87" w:rsidRPr="00C62639" w:rsidRDefault="00012F8C" w:rsidP="00D70B87">
      <w:pPr>
        <w:pStyle w:val="Nadpis2"/>
        <w:rPr>
          <w:rFonts w:asciiTheme="minorHAnsi" w:eastAsia="Calibri" w:hAnsiTheme="minorHAnsi"/>
          <w:noProof/>
        </w:rPr>
      </w:pPr>
      <w:r w:rsidRPr="00C62639">
        <w:rPr>
          <w:rFonts w:asciiTheme="minorHAnsi" w:eastAsia="Calibri" w:hAnsiTheme="minorHAnsi"/>
          <w:noProof/>
        </w:rPr>
        <w:t xml:space="preserve"> </w:t>
      </w:r>
      <w:bookmarkStart w:id="21" w:name="_Toc505684409"/>
      <w:r w:rsidR="00D70B87" w:rsidRPr="00C62639">
        <w:rPr>
          <w:rFonts w:asciiTheme="minorHAnsi" w:eastAsia="Calibri" w:hAnsiTheme="minorHAnsi"/>
          <w:noProof/>
        </w:rPr>
        <w:t>Přehled počtu očištěných dat</w:t>
      </w:r>
      <w:bookmarkEnd w:id="21"/>
    </w:p>
    <w:p w14:paraId="25A5DE77" w14:textId="7AE2F4C4" w:rsidR="00782E52" w:rsidRPr="00934258" w:rsidRDefault="00782E52" w:rsidP="00AB6F0F">
      <w:pPr>
        <w:pStyle w:val="Normlnzprva"/>
        <w:rPr>
          <w:noProof/>
        </w:rPr>
      </w:pPr>
      <w:r w:rsidRPr="00934258">
        <w:rPr>
          <w:noProof/>
        </w:rPr>
        <w:t xml:space="preserve">Do projektu byla zařazena odběratelská Porovnání, u kterých bylo možné jednoznačně identifikovat a propojit údaje z VÚME, VÚPE a Porovnání. Vzhledem k neúplnosti nebo chybovosti dat na odevzdaných </w:t>
      </w:r>
      <w:r>
        <w:rPr>
          <w:noProof/>
        </w:rPr>
        <w:t>P</w:t>
      </w:r>
      <w:r w:rsidRPr="00934258">
        <w:rPr>
          <w:noProof/>
        </w:rPr>
        <w:t>orovnáních nebylo možné do projektu zařadit všechna Porovnání zaslaná na MZe. Seznam těch, která nebyla do benchmarkingu zařazena, je uveden na konci zprávy v samostatné kapitole spolu s identifikací příčiny, která byla důvodem pro vyřazení.</w:t>
      </w:r>
    </w:p>
    <w:p w14:paraId="67544E19" w14:textId="73F9C921" w:rsidR="00782E52" w:rsidRPr="00934258" w:rsidRDefault="00782E52" w:rsidP="00AB6F0F">
      <w:pPr>
        <w:pStyle w:val="Normlnzprva"/>
        <w:rPr>
          <w:noProof/>
        </w:rPr>
      </w:pPr>
      <w:r w:rsidRPr="00934258">
        <w:rPr>
          <w:noProof/>
        </w:rPr>
        <w:t xml:space="preserve">Do obou projektů, benchmarkingu vlastnických subjektů a benchmarkingu provozovatelských subjektů za rok 2016, bylo pro pitnou vodu zařazeno 1582 ks Porovnání, tj. </w:t>
      </w:r>
      <w:r w:rsidR="00FC4DF6">
        <w:rPr>
          <w:noProof/>
        </w:rPr>
        <w:t>86,92</w:t>
      </w:r>
      <w:r w:rsidR="00C14269">
        <w:rPr>
          <w:noProof/>
        </w:rPr>
        <w:t xml:space="preserve"> </w:t>
      </w:r>
      <w:r w:rsidRPr="00934258">
        <w:rPr>
          <w:noProof/>
        </w:rPr>
        <w:t xml:space="preserve"> % z celkového počtu </w:t>
      </w:r>
      <w:r w:rsidR="00FC4DF6">
        <w:rPr>
          <w:noProof/>
        </w:rPr>
        <w:t>1</w:t>
      </w:r>
      <w:r w:rsidR="00C14269">
        <w:rPr>
          <w:noProof/>
        </w:rPr>
        <w:t xml:space="preserve"> 8</w:t>
      </w:r>
      <w:r w:rsidR="00FC4DF6">
        <w:rPr>
          <w:noProof/>
        </w:rPr>
        <w:t>20</w:t>
      </w:r>
      <w:r w:rsidRPr="00934258">
        <w:rPr>
          <w:noProof/>
        </w:rPr>
        <w:t xml:space="preserve"> ks, která byla na MZe doručena. V případě kanalizace bylo hodnoceno 1857 ks, tj. 90,54 % z celkového počtu 2051 ks doručených Porovnání. </w:t>
      </w:r>
    </w:p>
    <w:p w14:paraId="7CB32A2C" w14:textId="6FD4FCCF" w:rsidR="00162138" w:rsidRPr="00C62639" w:rsidRDefault="00782E52" w:rsidP="009A3BB2">
      <w:pPr>
        <w:pStyle w:val="Normlnzprva"/>
        <w:rPr>
          <w:rFonts w:asciiTheme="minorHAnsi" w:hAnsiTheme="minorHAnsi"/>
          <w:noProof/>
        </w:rPr>
      </w:pPr>
      <w:r w:rsidRPr="00934258">
        <w:rPr>
          <w:noProof/>
        </w:rPr>
        <w:t xml:space="preserve">Z hlediska </w:t>
      </w:r>
      <w:r w:rsidRPr="00934258">
        <w:rPr>
          <w:b/>
          <w:noProof/>
        </w:rPr>
        <w:t>podílu na trhu podle objemu fakturované vody</w:t>
      </w:r>
      <w:r w:rsidRPr="00934258">
        <w:rPr>
          <w:noProof/>
        </w:rPr>
        <w:t xml:space="preserve"> bylo analyzováno pro </w:t>
      </w:r>
      <w:r w:rsidRPr="00934258">
        <w:rPr>
          <w:b/>
          <w:noProof/>
        </w:rPr>
        <w:t xml:space="preserve">pitnou vodu 95,23 % trhu </w:t>
      </w:r>
      <w:r w:rsidRPr="00934258">
        <w:rPr>
          <w:noProof/>
        </w:rPr>
        <w:t xml:space="preserve">a pro </w:t>
      </w:r>
      <w:r w:rsidRPr="00934258">
        <w:rPr>
          <w:b/>
          <w:noProof/>
        </w:rPr>
        <w:t>vodu odpadní 92,59 % trhu</w:t>
      </w:r>
      <w:r w:rsidRPr="00934258">
        <w:rPr>
          <w:noProof/>
        </w:rPr>
        <w:t xml:space="preserve"> (viz níže uvedená tabulka).</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47"/>
        <w:gridCol w:w="1523"/>
        <w:gridCol w:w="2175"/>
        <w:gridCol w:w="1928"/>
        <w:gridCol w:w="1531"/>
        <w:gridCol w:w="2090"/>
      </w:tblGrid>
      <w:tr w:rsidR="00162138" w:rsidRPr="00C62639" w14:paraId="66DDB016" w14:textId="77777777" w:rsidTr="00277924">
        <w:trPr>
          <w:jc w:val="center"/>
        </w:trPr>
        <w:tc>
          <w:tcPr>
            <w:tcW w:w="1247" w:type="dxa"/>
            <w:shd w:val="clear" w:color="auto" w:fill="C6D9F1"/>
            <w:vAlign w:val="center"/>
          </w:tcPr>
          <w:p w14:paraId="0065D219" w14:textId="77777777" w:rsidR="00996006" w:rsidRPr="00C62639" w:rsidRDefault="00996006" w:rsidP="00762B0A">
            <w:pPr>
              <w:jc w:val="left"/>
              <w:rPr>
                <w:rFonts w:asciiTheme="minorHAnsi" w:hAnsiTheme="minorHAnsi"/>
                <w:b/>
                <w:noProof/>
                <w:sz w:val="20"/>
                <w:szCs w:val="20"/>
                <w:lang w:eastAsia="cs-CZ"/>
              </w:rPr>
            </w:pPr>
            <w:r w:rsidRPr="00C62639">
              <w:rPr>
                <w:rFonts w:asciiTheme="minorHAnsi" w:hAnsiTheme="minorHAnsi"/>
                <w:b/>
                <w:noProof/>
                <w:sz w:val="20"/>
                <w:szCs w:val="20"/>
                <w:lang w:eastAsia="cs-CZ"/>
              </w:rPr>
              <w:t xml:space="preserve">PITNÁ VODA </w:t>
            </w:r>
          </w:p>
        </w:tc>
        <w:tc>
          <w:tcPr>
            <w:tcW w:w="1523" w:type="dxa"/>
            <w:shd w:val="clear" w:color="auto" w:fill="C6D9F1"/>
            <w:vAlign w:val="center"/>
          </w:tcPr>
          <w:p w14:paraId="5D39C326" w14:textId="0E09417E" w:rsidR="00996006" w:rsidRPr="00C62639" w:rsidRDefault="00996006" w:rsidP="00FC4DF6">
            <w:pPr>
              <w:rPr>
                <w:rFonts w:asciiTheme="minorHAnsi" w:hAnsiTheme="minorHAnsi"/>
                <w:noProof/>
                <w:sz w:val="20"/>
                <w:szCs w:val="20"/>
                <w:lang w:eastAsia="cs-CZ"/>
              </w:rPr>
            </w:pPr>
            <w:r w:rsidRPr="00C62639">
              <w:rPr>
                <w:rFonts w:asciiTheme="minorHAnsi" w:hAnsiTheme="minorHAnsi"/>
                <w:b/>
                <w:noProof/>
                <w:sz w:val="20"/>
                <w:szCs w:val="20"/>
                <w:lang w:eastAsia="cs-CZ"/>
              </w:rPr>
              <w:t>Celkově</w:t>
            </w:r>
            <w:r w:rsidRPr="00C62639">
              <w:rPr>
                <w:rFonts w:asciiTheme="minorHAnsi" w:hAnsiTheme="minorHAnsi"/>
                <w:noProof/>
                <w:sz w:val="20"/>
                <w:szCs w:val="20"/>
                <w:lang w:eastAsia="cs-CZ"/>
              </w:rPr>
              <w:t xml:space="preserve"> </w:t>
            </w:r>
            <w:r w:rsidR="00FC4DF6">
              <w:rPr>
                <w:rFonts w:asciiTheme="minorHAnsi" w:hAnsiTheme="minorHAnsi"/>
                <w:b/>
                <w:noProof/>
                <w:sz w:val="20"/>
                <w:szCs w:val="20"/>
                <w:lang w:eastAsia="cs-CZ"/>
              </w:rPr>
              <w:t>1 820</w:t>
            </w:r>
            <w:r w:rsidRPr="00C62639">
              <w:rPr>
                <w:rFonts w:asciiTheme="minorHAnsi" w:hAnsiTheme="minorHAnsi"/>
                <w:b/>
                <w:noProof/>
                <w:sz w:val="20"/>
                <w:szCs w:val="20"/>
                <w:lang w:eastAsia="cs-CZ"/>
              </w:rPr>
              <w:t> ks</w:t>
            </w:r>
            <w:r w:rsidRPr="00C62639">
              <w:rPr>
                <w:rFonts w:asciiTheme="minorHAnsi" w:hAnsiTheme="minorHAnsi"/>
                <w:noProof/>
                <w:sz w:val="20"/>
                <w:szCs w:val="20"/>
                <w:lang w:eastAsia="cs-CZ"/>
              </w:rPr>
              <w:t xml:space="preserve"> odběratelských porovnání</w:t>
            </w:r>
          </w:p>
        </w:tc>
        <w:tc>
          <w:tcPr>
            <w:tcW w:w="2175" w:type="dxa"/>
            <w:shd w:val="clear" w:color="auto" w:fill="C6D9F1"/>
            <w:vAlign w:val="center"/>
          </w:tcPr>
          <w:p w14:paraId="0C00803F" w14:textId="76B3CE70" w:rsidR="00996006" w:rsidRPr="00C62639" w:rsidRDefault="00996006" w:rsidP="00762B0A">
            <w:pPr>
              <w:jc w:val="left"/>
              <w:rPr>
                <w:rFonts w:asciiTheme="minorHAnsi" w:hAnsiTheme="minorHAnsi"/>
                <w:noProof/>
                <w:sz w:val="20"/>
                <w:szCs w:val="20"/>
                <w:lang w:eastAsia="cs-CZ"/>
              </w:rPr>
            </w:pPr>
            <w:r w:rsidRPr="00C62639">
              <w:rPr>
                <w:rFonts w:asciiTheme="minorHAnsi" w:hAnsiTheme="minorHAnsi"/>
                <w:b/>
                <w:noProof/>
                <w:sz w:val="20"/>
                <w:szCs w:val="20"/>
                <w:lang w:eastAsia="cs-CZ"/>
              </w:rPr>
              <w:t>Zařazeno</w:t>
            </w:r>
            <w:r w:rsidRPr="00C62639">
              <w:rPr>
                <w:rFonts w:asciiTheme="minorHAnsi" w:hAnsiTheme="minorHAnsi"/>
                <w:noProof/>
                <w:sz w:val="20"/>
                <w:szCs w:val="20"/>
                <w:lang w:eastAsia="cs-CZ"/>
              </w:rPr>
              <w:t xml:space="preserve"> do projektu </w:t>
            </w:r>
            <w:r w:rsidR="00277924">
              <w:rPr>
                <w:rFonts w:asciiTheme="minorHAnsi" w:hAnsiTheme="minorHAnsi"/>
                <w:noProof/>
                <w:sz w:val="20"/>
                <w:szCs w:val="20"/>
                <w:lang w:eastAsia="cs-CZ"/>
              </w:rPr>
              <w:br/>
            </w:r>
            <w:r w:rsidRPr="00C62639">
              <w:rPr>
                <w:rFonts w:asciiTheme="minorHAnsi" w:hAnsiTheme="minorHAnsi"/>
                <w:b/>
                <w:noProof/>
                <w:sz w:val="20"/>
                <w:szCs w:val="20"/>
                <w:lang w:eastAsia="cs-CZ"/>
              </w:rPr>
              <w:t>1</w:t>
            </w:r>
            <w:r w:rsidR="00277924">
              <w:rPr>
                <w:rFonts w:asciiTheme="minorHAnsi" w:hAnsiTheme="minorHAnsi"/>
                <w:b/>
                <w:noProof/>
                <w:sz w:val="20"/>
                <w:szCs w:val="20"/>
                <w:lang w:eastAsia="cs-CZ"/>
              </w:rPr>
              <w:t xml:space="preserve"> </w:t>
            </w:r>
            <w:r w:rsidRPr="00C62639">
              <w:rPr>
                <w:rFonts w:asciiTheme="minorHAnsi" w:hAnsiTheme="minorHAnsi"/>
                <w:b/>
                <w:noProof/>
                <w:sz w:val="20"/>
                <w:szCs w:val="20"/>
                <w:lang w:eastAsia="cs-CZ"/>
              </w:rPr>
              <w:t>582 ks</w:t>
            </w:r>
            <w:r w:rsidRPr="00C62639">
              <w:rPr>
                <w:rFonts w:asciiTheme="minorHAnsi" w:hAnsiTheme="minorHAnsi"/>
                <w:noProof/>
                <w:sz w:val="20"/>
                <w:szCs w:val="20"/>
                <w:lang w:eastAsia="cs-CZ"/>
              </w:rPr>
              <w:t xml:space="preserve"> odběratelských Porovnání</w:t>
            </w:r>
          </w:p>
        </w:tc>
        <w:tc>
          <w:tcPr>
            <w:tcW w:w="1928" w:type="dxa"/>
            <w:shd w:val="clear" w:color="auto" w:fill="FBD4B4"/>
            <w:vAlign w:val="center"/>
          </w:tcPr>
          <w:p w14:paraId="0A44A0EB" w14:textId="77777777" w:rsidR="00996006" w:rsidRPr="00C62639" w:rsidRDefault="00996006" w:rsidP="00762B0A">
            <w:pPr>
              <w:jc w:val="left"/>
              <w:rPr>
                <w:rFonts w:asciiTheme="minorHAnsi" w:hAnsiTheme="minorHAnsi"/>
                <w:b/>
                <w:noProof/>
                <w:sz w:val="20"/>
                <w:szCs w:val="20"/>
                <w:lang w:eastAsia="cs-CZ"/>
              </w:rPr>
            </w:pPr>
            <w:r w:rsidRPr="00C62639">
              <w:rPr>
                <w:rFonts w:asciiTheme="minorHAnsi" w:hAnsiTheme="minorHAnsi"/>
                <w:b/>
                <w:noProof/>
                <w:sz w:val="20"/>
                <w:szCs w:val="20"/>
                <w:lang w:eastAsia="cs-CZ"/>
              </w:rPr>
              <w:t>ODPADNÍ VODA</w:t>
            </w:r>
          </w:p>
        </w:tc>
        <w:tc>
          <w:tcPr>
            <w:tcW w:w="1531" w:type="dxa"/>
            <w:shd w:val="clear" w:color="auto" w:fill="FBD4B4"/>
            <w:vAlign w:val="center"/>
          </w:tcPr>
          <w:p w14:paraId="05DE1B69" w14:textId="6B039599" w:rsidR="00996006" w:rsidRPr="00C62639" w:rsidRDefault="00996006" w:rsidP="00762B0A">
            <w:pPr>
              <w:jc w:val="left"/>
              <w:rPr>
                <w:rFonts w:asciiTheme="minorHAnsi" w:hAnsiTheme="minorHAnsi"/>
                <w:noProof/>
                <w:sz w:val="20"/>
                <w:szCs w:val="20"/>
                <w:lang w:eastAsia="cs-CZ"/>
              </w:rPr>
            </w:pPr>
            <w:r w:rsidRPr="00C62639">
              <w:rPr>
                <w:rFonts w:asciiTheme="minorHAnsi" w:hAnsiTheme="minorHAnsi"/>
                <w:b/>
                <w:noProof/>
                <w:sz w:val="20"/>
                <w:szCs w:val="20"/>
                <w:lang w:eastAsia="cs-CZ"/>
              </w:rPr>
              <w:t>Celkově 2</w:t>
            </w:r>
            <w:r w:rsidR="00277924">
              <w:rPr>
                <w:rFonts w:asciiTheme="minorHAnsi" w:hAnsiTheme="minorHAnsi"/>
                <w:b/>
                <w:noProof/>
                <w:sz w:val="20"/>
                <w:szCs w:val="20"/>
                <w:lang w:eastAsia="cs-CZ"/>
              </w:rPr>
              <w:t xml:space="preserve"> </w:t>
            </w:r>
            <w:r w:rsidRPr="00C62639">
              <w:rPr>
                <w:rFonts w:asciiTheme="minorHAnsi" w:hAnsiTheme="minorHAnsi"/>
                <w:b/>
                <w:noProof/>
                <w:sz w:val="20"/>
                <w:szCs w:val="20"/>
                <w:lang w:eastAsia="cs-CZ"/>
              </w:rPr>
              <w:t>051 ks</w:t>
            </w:r>
            <w:r w:rsidRPr="00C62639">
              <w:rPr>
                <w:rFonts w:asciiTheme="minorHAnsi" w:hAnsiTheme="minorHAnsi"/>
                <w:noProof/>
                <w:sz w:val="20"/>
                <w:szCs w:val="20"/>
                <w:lang w:eastAsia="cs-CZ"/>
              </w:rPr>
              <w:t xml:space="preserve"> odběratelských Porovnání</w:t>
            </w:r>
          </w:p>
        </w:tc>
        <w:tc>
          <w:tcPr>
            <w:tcW w:w="2090" w:type="dxa"/>
            <w:shd w:val="clear" w:color="auto" w:fill="FBD4B4"/>
            <w:vAlign w:val="center"/>
          </w:tcPr>
          <w:p w14:paraId="34CE3BED" w14:textId="1DFE3765" w:rsidR="00996006" w:rsidRPr="00C62639" w:rsidRDefault="00996006" w:rsidP="00762B0A">
            <w:pPr>
              <w:jc w:val="left"/>
              <w:rPr>
                <w:rFonts w:asciiTheme="minorHAnsi" w:hAnsiTheme="minorHAnsi"/>
                <w:noProof/>
                <w:sz w:val="20"/>
                <w:szCs w:val="20"/>
                <w:lang w:eastAsia="cs-CZ"/>
              </w:rPr>
            </w:pPr>
            <w:r w:rsidRPr="00C62639">
              <w:rPr>
                <w:rFonts w:asciiTheme="minorHAnsi" w:hAnsiTheme="minorHAnsi"/>
                <w:b/>
                <w:noProof/>
                <w:sz w:val="20"/>
                <w:szCs w:val="20"/>
                <w:lang w:eastAsia="cs-CZ"/>
              </w:rPr>
              <w:t>Zařazeno</w:t>
            </w:r>
            <w:r w:rsidRPr="00C62639">
              <w:rPr>
                <w:rFonts w:asciiTheme="minorHAnsi" w:hAnsiTheme="minorHAnsi"/>
                <w:noProof/>
                <w:sz w:val="20"/>
                <w:szCs w:val="20"/>
                <w:lang w:eastAsia="cs-CZ"/>
              </w:rPr>
              <w:t xml:space="preserve"> do projektu </w:t>
            </w:r>
            <w:r w:rsidR="00277924">
              <w:rPr>
                <w:rFonts w:asciiTheme="minorHAnsi" w:hAnsiTheme="minorHAnsi"/>
                <w:noProof/>
                <w:sz w:val="20"/>
                <w:szCs w:val="20"/>
                <w:lang w:eastAsia="cs-CZ"/>
              </w:rPr>
              <w:br/>
            </w:r>
            <w:r w:rsidRPr="00C62639">
              <w:rPr>
                <w:rFonts w:asciiTheme="minorHAnsi" w:hAnsiTheme="minorHAnsi"/>
                <w:b/>
                <w:noProof/>
                <w:sz w:val="20"/>
                <w:szCs w:val="20"/>
                <w:lang w:eastAsia="cs-CZ"/>
              </w:rPr>
              <w:t>1</w:t>
            </w:r>
            <w:r w:rsidR="00277924">
              <w:rPr>
                <w:rFonts w:asciiTheme="minorHAnsi" w:hAnsiTheme="minorHAnsi"/>
                <w:b/>
                <w:noProof/>
                <w:sz w:val="20"/>
                <w:szCs w:val="20"/>
                <w:lang w:eastAsia="cs-CZ"/>
              </w:rPr>
              <w:t xml:space="preserve"> </w:t>
            </w:r>
            <w:r w:rsidRPr="00C62639">
              <w:rPr>
                <w:rFonts w:asciiTheme="minorHAnsi" w:hAnsiTheme="minorHAnsi"/>
                <w:b/>
                <w:noProof/>
                <w:sz w:val="20"/>
                <w:szCs w:val="20"/>
                <w:lang w:eastAsia="cs-CZ"/>
              </w:rPr>
              <w:t>857 ks</w:t>
            </w:r>
            <w:r w:rsidRPr="00C62639">
              <w:rPr>
                <w:rFonts w:asciiTheme="minorHAnsi" w:hAnsiTheme="minorHAnsi"/>
                <w:noProof/>
                <w:sz w:val="20"/>
                <w:szCs w:val="20"/>
                <w:lang w:eastAsia="cs-CZ"/>
              </w:rPr>
              <w:t xml:space="preserve"> odběratelských Porovnání</w:t>
            </w:r>
          </w:p>
        </w:tc>
      </w:tr>
      <w:tr w:rsidR="00162138" w:rsidRPr="00C62639" w14:paraId="41CFDD92" w14:textId="77777777" w:rsidTr="00277924">
        <w:trPr>
          <w:jc w:val="center"/>
        </w:trPr>
        <w:tc>
          <w:tcPr>
            <w:tcW w:w="1247" w:type="dxa"/>
            <w:tcBorders>
              <w:bottom w:val="single" w:sz="4" w:space="0" w:color="auto"/>
            </w:tcBorders>
            <w:shd w:val="clear" w:color="auto" w:fill="C6D9F1"/>
            <w:vAlign w:val="center"/>
          </w:tcPr>
          <w:p w14:paraId="61B936A6" w14:textId="48D72B65" w:rsidR="00996006" w:rsidRPr="00C62639" w:rsidRDefault="00996006" w:rsidP="00762B0A">
            <w:pPr>
              <w:jc w:val="left"/>
              <w:rPr>
                <w:rFonts w:asciiTheme="minorHAnsi" w:hAnsiTheme="minorHAnsi"/>
                <w:b/>
                <w:noProof/>
                <w:sz w:val="20"/>
                <w:szCs w:val="20"/>
                <w:lang w:eastAsia="cs-CZ"/>
              </w:rPr>
            </w:pPr>
            <w:r w:rsidRPr="00C62639">
              <w:rPr>
                <w:rFonts w:asciiTheme="minorHAnsi" w:hAnsiTheme="minorHAnsi"/>
                <w:b/>
                <w:noProof/>
                <w:sz w:val="20"/>
                <w:szCs w:val="20"/>
                <w:lang w:eastAsia="cs-CZ"/>
              </w:rPr>
              <w:t>Voda pitná fakturovaná v </w:t>
            </w:r>
            <w:r w:rsidR="00E27252">
              <w:rPr>
                <w:rFonts w:asciiTheme="minorHAnsi" w:hAnsiTheme="minorHAnsi"/>
                <w:b/>
                <w:noProof/>
                <w:sz w:val="20"/>
                <w:szCs w:val="20"/>
                <w:lang w:eastAsia="cs-CZ"/>
              </w:rPr>
              <w:t>mil. m</w:t>
            </w:r>
            <w:r w:rsidR="00E27252" w:rsidRPr="00E27252">
              <w:rPr>
                <w:rFonts w:asciiTheme="minorHAnsi" w:hAnsiTheme="minorHAnsi"/>
                <w:b/>
                <w:noProof/>
                <w:sz w:val="20"/>
                <w:szCs w:val="20"/>
                <w:vertAlign w:val="superscript"/>
                <w:lang w:eastAsia="cs-CZ"/>
              </w:rPr>
              <w:t>3</w:t>
            </w:r>
          </w:p>
        </w:tc>
        <w:tc>
          <w:tcPr>
            <w:tcW w:w="1523" w:type="dxa"/>
            <w:tcBorders>
              <w:bottom w:val="single" w:sz="4" w:space="0" w:color="auto"/>
            </w:tcBorders>
            <w:shd w:val="clear" w:color="auto" w:fill="C6D9F1"/>
            <w:vAlign w:val="center"/>
          </w:tcPr>
          <w:p w14:paraId="19726569" w14:textId="77777777" w:rsidR="00996006" w:rsidRPr="00C62639" w:rsidRDefault="00996006" w:rsidP="00762B0A">
            <w:pPr>
              <w:jc w:val="center"/>
              <w:rPr>
                <w:rFonts w:asciiTheme="minorHAnsi" w:hAnsiTheme="minorHAnsi"/>
                <w:noProof/>
                <w:sz w:val="20"/>
                <w:szCs w:val="20"/>
                <w:lang w:eastAsia="cs-CZ"/>
              </w:rPr>
            </w:pPr>
            <w:r w:rsidRPr="00C62639">
              <w:rPr>
                <w:rFonts w:asciiTheme="minorHAnsi" w:hAnsiTheme="minorHAnsi"/>
                <w:noProof/>
                <w:sz w:val="20"/>
                <w:szCs w:val="20"/>
                <w:lang w:eastAsia="cs-CZ"/>
              </w:rPr>
              <w:t>469,48</w:t>
            </w:r>
          </w:p>
        </w:tc>
        <w:tc>
          <w:tcPr>
            <w:tcW w:w="2175" w:type="dxa"/>
            <w:tcBorders>
              <w:bottom w:val="single" w:sz="4" w:space="0" w:color="auto"/>
            </w:tcBorders>
            <w:shd w:val="clear" w:color="auto" w:fill="C6D9F1"/>
            <w:vAlign w:val="center"/>
          </w:tcPr>
          <w:p w14:paraId="54A91E39" w14:textId="77777777" w:rsidR="00996006" w:rsidRPr="00C62639" w:rsidRDefault="00996006" w:rsidP="00762B0A">
            <w:pPr>
              <w:jc w:val="center"/>
              <w:rPr>
                <w:rFonts w:asciiTheme="minorHAnsi" w:hAnsiTheme="minorHAnsi"/>
                <w:noProof/>
                <w:sz w:val="20"/>
                <w:szCs w:val="20"/>
                <w:lang w:eastAsia="cs-CZ"/>
              </w:rPr>
            </w:pPr>
            <w:r w:rsidRPr="00C62639">
              <w:rPr>
                <w:rFonts w:asciiTheme="minorHAnsi" w:hAnsiTheme="minorHAnsi"/>
                <w:noProof/>
                <w:sz w:val="20"/>
                <w:szCs w:val="20"/>
                <w:lang w:eastAsia="cs-CZ"/>
              </w:rPr>
              <w:t>447,1</w:t>
            </w:r>
          </w:p>
        </w:tc>
        <w:tc>
          <w:tcPr>
            <w:tcW w:w="1928" w:type="dxa"/>
            <w:shd w:val="clear" w:color="auto" w:fill="FBD4B4"/>
            <w:vAlign w:val="center"/>
          </w:tcPr>
          <w:p w14:paraId="76F94992" w14:textId="3F298223" w:rsidR="00996006" w:rsidRPr="00C62639" w:rsidRDefault="00996006" w:rsidP="00762B0A">
            <w:pPr>
              <w:jc w:val="left"/>
              <w:rPr>
                <w:rFonts w:asciiTheme="minorHAnsi" w:hAnsiTheme="minorHAnsi"/>
                <w:b/>
                <w:noProof/>
                <w:sz w:val="20"/>
                <w:szCs w:val="20"/>
                <w:lang w:eastAsia="cs-CZ"/>
              </w:rPr>
            </w:pPr>
            <w:r w:rsidRPr="00C62639">
              <w:rPr>
                <w:rFonts w:asciiTheme="minorHAnsi" w:hAnsiTheme="minorHAnsi"/>
                <w:b/>
                <w:noProof/>
                <w:sz w:val="20"/>
                <w:szCs w:val="20"/>
                <w:lang w:eastAsia="cs-CZ"/>
              </w:rPr>
              <w:t xml:space="preserve">Vypouštěné odpadní vody do stokové sítě </w:t>
            </w:r>
            <w:r w:rsidR="006905E2" w:rsidRPr="00C62639">
              <w:rPr>
                <w:rFonts w:asciiTheme="minorHAnsi" w:hAnsiTheme="minorHAnsi"/>
                <w:b/>
                <w:noProof/>
                <w:sz w:val="20"/>
                <w:szCs w:val="20"/>
                <w:lang w:eastAsia="cs-CZ"/>
              </w:rPr>
              <w:t>–</w:t>
            </w:r>
            <w:r w:rsidRPr="00C62639">
              <w:rPr>
                <w:rFonts w:asciiTheme="minorHAnsi" w:hAnsiTheme="minorHAnsi"/>
                <w:b/>
                <w:noProof/>
                <w:sz w:val="20"/>
                <w:szCs w:val="20"/>
                <w:lang w:eastAsia="cs-CZ"/>
              </w:rPr>
              <w:t xml:space="preserve"> </w:t>
            </w:r>
            <w:r w:rsidR="006905E2" w:rsidRPr="00C62639">
              <w:rPr>
                <w:rFonts w:asciiTheme="minorHAnsi" w:hAnsiTheme="minorHAnsi"/>
                <w:b/>
                <w:noProof/>
                <w:sz w:val="20"/>
                <w:szCs w:val="20"/>
                <w:lang w:eastAsia="cs-CZ"/>
              </w:rPr>
              <w:t>včetně vod</w:t>
            </w:r>
            <w:r w:rsidRPr="00C62639">
              <w:rPr>
                <w:rFonts w:asciiTheme="minorHAnsi" w:hAnsiTheme="minorHAnsi"/>
                <w:b/>
                <w:noProof/>
                <w:sz w:val="20"/>
                <w:szCs w:val="20"/>
                <w:lang w:eastAsia="cs-CZ"/>
              </w:rPr>
              <w:t xml:space="preserve"> srážkových v </w:t>
            </w:r>
            <w:r w:rsidR="00E27252">
              <w:rPr>
                <w:rFonts w:asciiTheme="minorHAnsi" w:hAnsiTheme="minorHAnsi"/>
                <w:b/>
                <w:noProof/>
                <w:sz w:val="20"/>
                <w:szCs w:val="20"/>
                <w:lang w:eastAsia="cs-CZ"/>
              </w:rPr>
              <w:t>mil. m</w:t>
            </w:r>
            <w:r w:rsidR="00E27252" w:rsidRPr="00E27252">
              <w:rPr>
                <w:rFonts w:asciiTheme="minorHAnsi" w:hAnsiTheme="minorHAnsi"/>
                <w:b/>
                <w:noProof/>
                <w:sz w:val="20"/>
                <w:szCs w:val="20"/>
                <w:vertAlign w:val="superscript"/>
                <w:lang w:eastAsia="cs-CZ"/>
              </w:rPr>
              <w:t>3</w:t>
            </w:r>
          </w:p>
        </w:tc>
        <w:tc>
          <w:tcPr>
            <w:tcW w:w="1531" w:type="dxa"/>
            <w:shd w:val="clear" w:color="auto" w:fill="FBD4B4"/>
            <w:vAlign w:val="center"/>
          </w:tcPr>
          <w:p w14:paraId="54885036" w14:textId="77777777" w:rsidR="00996006" w:rsidRPr="00C62639" w:rsidRDefault="00996006" w:rsidP="00762B0A">
            <w:pPr>
              <w:jc w:val="center"/>
              <w:rPr>
                <w:rFonts w:asciiTheme="minorHAnsi" w:hAnsiTheme="minorHAnsi"/>
                <w:noProof/>
                <w:sz w:val="20"/>
                <w:szCs w:val="20"/>
                <w:lang w:eastAsia="cs-CZ"/>
              </w:rPr>
            </w:pPr>
            <w:r w:rsidRPr="00C62639">
              <w:rPr>
                <w:rFonts w:asciiTheme="minorHAnsi" w:hAnsiTheme="minorHAnsi"/>
                <w:noProof/>
                <w:sz w:val="20"/>
                <w:szCs w:val="20"/>
                <w:lang w:eastAsia="cs-CZ"/>
              </w:rPr>
              <w:t>499,86</w:t>
            </w:r>
          </w:p>
        </w:tc>
        <w:tc>
          <w:tcPr>
            <w:tcW w:w="2090" w:type="dxa"/>
            <w:shd w:val="clear" w:color="auto" w:fill="FBD4B4"/>
            <w:vAlign w:val="center"/>
          </w:tcPr>
          <w:p w14:paraId="0C7A104C" w14:textId="77777777" w:rsidR="00996006" w:rsidRPr="00C62639" w:rsidRDefault="00996006" w:rsidP="00762B0A">
            <w:pPr>
              <w:jc w:val="center"/>
              <w:rPr>
                <w:rFonts w:asciiTheme="minorHAnsi" w:hAnsiTheme="minorHAnsi"/>
                <w:noProof/>
                <w:sz w:val="20"/>
                <w:szCs w:val="20"/>
                <w:lang w:eastAsia="cs-CZ"/>
              </w:rPr>
            </w:pPr>
            <w:r w:rsidRPr="00C62639">
              <w:rPr>
                <w:rFonts w:asciiTheme="minorHAnsi" w:hAnsiTheme="minorHAnsi"/>
                <w:noProof/>
                <w:sz w:val="20"/>
                <w:szCs w:val="20"/>
                <w:lang w:eastAsia="cs-CZ"/>
              </w:rPr>
              <w:t>462,85</w:t>
            </w:r>
          </w:p>
        </w:tc>
      </w:tr>
    </w:tbl>
    <w:p w14:paraId="5E73F916" w14:textId="77777777" w:rsidR="00235587" w:rsidRPr="00C62639" w:rsidRDefault="00235587" w:rsidP="00551596">
      <w:pPr>
        <w:pStyle w:val="normlntextvodstavcch"/>
        <w:rPr>
          <w:rFonts w:asciiTheme="minorHAnsi" w:hAnsiTheme="minorHAnsi"/>
          <w:noProof/>
        </w:rPr>
      </w:pPr>
    </w:p>
    <w:p w14:paraId="2227B309" w14:textId="77777777" w:rsidR="00551596" w:rsidRPr="00C62639" w:rsidRDefault="00782E52" w:rsidP="00AB6F0F">
      <w:pPr>
        <w:pStyle w:val="Normlnzprva"/>
        <w:rPr>
          <w:rFonts w:asciiTheme="minorHAnsi" w:hAnsiTheme="minorHAnsi"/>
          <w:noProof/>
        </w:rPr>
      </w:pPr>
      <w:r w:rsidRPr="00934258">
        <w:rPr>
          <w:noProof/>
        </w:rPr>
        <w:t>Jak vyplývá z porovnání o počtu zařazených Porovnání do benchmarkingu uvedeném v následujících tabulkách, v porovnání s benchmarkingem realizovaným pro rok 2015, došlo k výraznému nárůstu počtu Porovnání vhodných pro další analýzu.</w:t>
      </w:r>
      <w:r w:rsidR="00551596" w:rsidRPr="00C62639">
        <w:rPr>
          <w:rFonts w:asciiTheme="minorHAnsi" w:hAnsiTheme="minorHAnsi"/>
          <w:noProof/>
        </w:rPr>
        <w:t xml:space="preserve"> </w:t>
      </w:r>
    </w:p>
    <w:p w14:paraId="680C2547" w14:textId="77777777" w:rsidR="00235587" w:rsidRPr="00C62639" w:rsidRDefault="00235587" w:rsidP="00551596">
      <w:pPr>
        <w:pStyle w:val="normlntextvodstavcch"/>
        <w:rPr>
          <w:rFonts w:asciiTheme="minorHAnsi" w:hAnsiTheme="minorHAnsi"/>
          <w:noProof/>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20" w:firstRow="1" w:lastRow="0" w:firstColumn="0" w:lastColumn="0" w:noHBand="0" w:noVBand="1"/>
      </w:tblPr>
      <w:tblGrid>
        <w:gridCol w:w="1543"/>
        <w:gridCol w:w="1834"/>
        <w:gridCol w:w="2435"/>
        <w:gridCol w:w="1624"/>
        <w:gridCol w:w="1624"/>
      </w:tblGrid>
      <w:tr w:rsidR="00D77ACF" w:rsidRPr="00C62639" w14:paraId="1C3ECA0B" w14:textId="77777777" w:rsidTr="00762B0A">
        <w:trPr>
          <w:trHeight w:val="20"/>
        </w:trPr>
        <w:tc>
          <w:tcPr>
            <w:tcW w:w="852" w:type="pct"/>
            <w:tcBorders>
              <w:top w:val="single" w:sz="4" w:space="0" w:color="FFFFFF"/>
              <w:left w:val="single" w:sz="4" w:space="0" w:color="FFFFFF"/>
              <w:right w:val="nil"/>
            </w:tcBorders>
            <w:shd w:val="clear" w:color="auto" w:fill="4F81BD"/>
            <w:vAlign w:val="center"/>
            <w:hideMark/>
          </w:tcPr>
          <w:p w14:paraId="34FEF9CC" w14:textId="77777777" w:rsidR="00D77ACF" w:rsidRPr="00C62639" w:rsidRDefault="00F416DF" w:rsidP="00762B0A">
            <w:pPr>
              <w:jc w:val="center"/>
              <w:rPr>
                <w:rFonts w:asciiTheme="minorHAnsi" w:hAnsiTheme="minorHAnsi"/>
                <w:b/>
                <w:bCs/>
                <w:noProof/>
                <w:color w:val="FFFFFF"/>
                <w:sz w:val="20"/>
              </w:rPr>
            </w:pPr>
            <w:bookmarkStart w:id="22" w:name="OLE_LINK1"/>
            <w:r w:rsidRPr="00C62639">
              <w:rPr>
                <w:rFonts w:asciiTheme="minorHAnsi" w:hAnsiTheme="minorHAnsi"/>
                <w:b/>
                <w:bCs/>
                <w:noProof/>
                <w:color w:val="FFFFFF"/>
                <w:sz w:val="20"/>
              </w:rPr>
              <w:t>PITNÁ VODA</w:t>
            </w:r>
          </w:p>
        </w:tc>
        <w:tc>
          <w:tcPr>
            <w:tcW w:w="1012" w:type="pct"/>
            <w:tcBorders>
              <w:top w:val="single" w:sz="4" w:space="0" w:color="FFFFFF"/>
              <w:left w:val="nil"/>
              <w:right w:val="nil"/>
            </w:tcBorders>
            <w:shd w:val="clear" w:color="auto" w:fill="4F81BD"/>
            <w:hideMark/>
          </w:tcPr>
          <w:p w14:paraId="34C1DB41"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zaslaná na MZe (ks)</w:t>
            </w:r>
          </w:p>
        </w:tc>
        <w:tc>
          <w:tcPr>
            <w:tcW w:w="1344" w:type="pct"/>
            <w:tcBorders>
              <w:top w:val="single" w:sz="4" w:space="0" w:color="FFFFFF"/>
              <w:left w:val="nil"/>
              <w:right w:val="nil"/>
            </w:tcBorders>
            <w:shd w:val="clear" w:color="auto" w:fill="4F81BD"/>
            <w:hideMark/>
          </w:tcPr>
          <w:p w14:paraId="0C0525C8"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zařazená do benchmarkingu (ks)</w:t>
            </w:r>
          </w:p>
        </w:tc>
        <w:tc>
          <w:tcPr>
            <w:tcW w:w="896" w:type="pct"/>
            <w:tcBorders>
              <w:top w:val="single" w:sz="4" w:space="0" w:color="FFFFFF"/>
              <w:left w:val="nil"/>
              <w:right w:val="nil"/>
            </w:tcBorders>
            <w:shd w:val="clear" w:color="auto" w:fill="4F81BD"/>
            <w:hideMark/>
          </w:tcPr>
          <w:p w14:paraId="3C8722FA"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 xml:space="preserve">Nepoužitá </w:t>
            </w:r>
            <w:r w:rsidR="00F416DF" w:rsidRPr="00C62639">
              <w:rPr>
                <w:rFonts w:asciiTheme="minorHAnsi" w:hAnsiTheme="minorHAnsi"/>
                <w:b/>
                <w:bCs/>
                <w:noProof/>
                <w:color w:val="FFFFFF"/>
                <w:sz w:val="20"/>
              </w:rPr>
              <w:t>Porovnání (ks</w:t>
            </w:r>
            <w:r w:rsidRPr="00C62639">
              <w:rPr>
                <w:rFonts w:asciiTheme="minorHAnsi" w:hAnsiTheme="minorHAnsi"/>
                <w:b/>
                <w:bCs/>
                <w:noProof/>
                <w:color w:val="FFFFFF"/>
                <w:sz w:val="20"/>
              </w:rPr>
              <w:t>)</w:t>
            </w:r>
          </w:p>
        </w:tc>
        <w:tc>
          <w:tcPr>
            <w:tcW w:w="896" w:type="pct"/>
            <w:tcBorders>
              <w:top w:val="single" w:sz="4" w:space="0" w:color="FFFFFF"/>
              <w:left w:val="nil"/>
              <w:right w:val="single" w:sz="4" w:space="0" w:color="FFFFFF"/>
            </w:tcBorders>
            <w:shd w:val="clear" w:color="auto" w:fill="4F81BD"/>
            <w:vAlign w:val="center"/>
          </w:tcPr>
          <w:p w14:paraId="2755A8F0"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 xml:space="preserve">Podíl na trhu </w:t>
            </w:r>
          </w:p>
        </w:tc>
      </w:tr>
      <w:tr w:rsidR="00D77ACF" w:rsidRPr="00C62639" w14:paraId="2AB8CB0A" w14:textId="77777777" w:rsidTr="00762B0A">
        <w:trPr>
          <w:trHeight w:val="20"/>
        </w:trPr>
        <w:tc>
          <w:tcPr>
            <w:tcW w:w="852" w:type="pct"/>
            <w:shd w:val="clear" w:color="auto" w:fill="B8CCE4"/>
            <w:hideMark/>
          </w:tcPr>
          <w:p w14:paraId="2FD9CD15" w14:textId="77777777" w:rsidR="00D77ACF" w:rsidRPr="00C62639" w:rsidRDefault="00D77ACF" w:rsidP="00762B0A">
            <w:pPr>
              <w:jc w:val="center"/>
              <w:rPr>
                <w:rFonts w:asciiTheme="minorHAnsi" w:hAnsiTheme="minorHAnsi"/>
                <w:noProof/>
                <w:sz w:val="20"/>
              </w:rPr>
            </w:pPr>
            <w:r w:rsidRPr="00C62639">
              <w:rPr>
                <w:rFonts w:asciiTheme="minorHAnsi" w:hAnsiTheme="minorHAnsi"/>
                <w:b/>
                <w:bCs/>
                <w:noProof/>
                <w:sz w:val="20"/>
              </w:rPr>
              <w:t>2016</w:t>
            </w:r>
          </w:p>
        </w:tc>
        <w:tc>
          <w:tcPr>
            <w:tcW w:w="1012" w:type="pct"/>
            <w:shd w:val="clear" w:color="auto" w:fill="B8CCE4"/>
            <w:hideMark/>
          </w:tcPr>
          <w:p w14:paraId="519D643D" w14:textId="564CE018" w:rsidR="00D77ACF" w:rsidRPr="00C62639" w:rsidRDefault="00FC4DF6" w:rsidP="00762B0A">
            <w:pPr>
              <w:jc w:val="center"/>
              <w:rPr>
                <w:rFonts w:asciiTheme="minorHAnsi" w:hAnsiTheme="minorHAnsi"/>
                <w:noProof/>
                <w:sz w:val="20"/>
              </w:rPr>
            </w:pPr>
            <w:r>
              <w:rPr>
                <w:rFonts w:asciiTheme="minorHAnsi" w:hAnsiTheme="minorHAnsi"/>
                <w:noProof/>
                <w:sz w:val="20"/>
              </w:rPr>
              <w:t>1 820</w:t>
            </w:r>
          </w:p>
        </w:tc>
        <w:tc>
          <w:tcPr>
            <w:tcW w:w="1344" w:type="pct"/>
            <w:shd w:val="clear" w:color="auto" w:fill="B8CCE4"/>
            <w:hideMark/>
          </w:tcPr>
          <w:p w14:paraId="1E1B4830" w14:textId="73C23D41" w:rsidR="00D77ACF" w:rsidRPr="00C62639" w:rsidRDefault="00D77ACF" w:rsidP="00762B0A">
            <w:pPr>
              <w:jc w:val="center"/>
              <w:rPr>
                <w:rFonts w:asciiTheme="minorHAnsi" w:hAnsiTheme="minorHAnsi"/>
                <w:b/>
                <w:noProof/>
                <w:sz w:val="20"/>
              </w:rPr>
            </w:pPr>
            <w:r w:rsidRPr="00C62639">
              <w:rPr>
                <w:rFonts w:asciiTheme="minorHAnsi" w:hAnsiTheme="minorHAnsi"/>
                <w:b/>
                <w:noProof/>
                <w:sz w:val="20"/>
              </w:rPr>
              <w:t>1</w:t>
            </w:r>
            <w:r w:rsidR="00277924">
              <w:rPr>
                <w:rFonts w:asciiTheme="minorHAnsi" w:hAnsiTheme="minorHAnsi"/>
                <w:b/>
                <w:noProof/>
                <w:sz w:val="20"/>
              </w:rPr>
              <w:t xml:space="preserve"> </w:t>
            </w:r>
            <w:r w:rsidRPr="00C62639">
              <w:rPr>
                <w:rFonts w:asciiTheme="minorHAnsi" w:hAnsiTheme="minorHAnsi"/>
                <w:b/>
                <w:noProof/>
                <w:sz w:val="20"/>
              </w:rPr>
              <w:t>582</w:t>
            </w:r>
          </w:p>
        </w:tc>
        <w:tc>
          <w:tcPr>
            <w:tcW w:w="896" w:type="pct"/>
            <w:shd w:val="clear" w:color="auto" w:fill="B8CCE4"/>
            <w:hideMark/>
          </w:tcPr>
          <w:p w14:paraId="17AD0C9E" w14:textId="00EE3BE8" w:rsidR="00D77ACF" w:rsidRPr="00C62639" w:rsidRDefault="00FC4DF6" w:rsidP="00762B0A">
            <w:pPr>
              <w:jc w:val="center"/>
              <w:rPr>
                <w:rFonts w:asciiTheme="minorHAnsi" w:hAnsiTheme="minorHAnsi"/>
                <w:noProof/>
                <w:sz w:val="20"/>
              </w:rPr>
            </w:pPr>
            <w:r>
              <w:rPr>
                <w:rFonts w:asciiTheme="minorHAnsi" w:hAnsiTheme="minorHAnsi"/>
                <w:noProof/>
                <w:sz w:val="20"/>
              </w:rPr>
              <w:t>238</w:t>
            </w:r>
          </w:p>
        </w:tc>
        <w:tc>
          <w:tcPr>
            <w:tcW w:w="896" w:type="pct"/>
            <w:shd w:val="clear" w:color="auto" w:fill="B8CCE4"/>
          </w:tcPr>
          <w:p w14:paraId="64C9BF32" w14:textId="03C0D544" w:rsidR="00D77ACF" w:rsidRPr="00C62639" w:rsidRDefault="00FC4DF6" w:rsidP="00762B0A">
            <w:pPr>
              <w:jc w:val="center"/>
              <w:rPr>
                <w:rFonts w:asciiTheme="minorHAnsi" w:hAnsiTheme="minorHAnsi"/>
                <w:b/>
                <w:noProof/>
                <w:sz w:val="20"/>
              </w:rPr>
            </w:pPr>
            <w:r>
              <w:rPr>
                <w:rFonts w:asciiTheme="minorHAnsi" w:hAnsiTheme="minorHAnsi"/>
                <w:b/>
                <w:noProof/>
                <w:sz w:val="20"/>
              </w:rPr>
              <w:t xml:space="preserve">95,23 </w:t>
            </w:r>
            <w:r w:rsidR="00D77ACF" w:rsidRPr="00C62639">
              <w:rPr>
                <w:rFonts w:asciiTheme="minorHAnsi" w:hAnsiTheme="minorHAnsi"/>
                <w:b/>
                <w:noProof/>
                <w:sz w:val="20"/>
              </w:rPr>
              <w:t>%</w:t>
            </w:r>
          </w:p>
        </w:tc>
      </w:tr>
      <w:tr w:rsidR="00D77ACF" w:rsidRPr="00C62639" w14:paraId="233B700D" w14:textId="77777777" w:rsidTr="00762B0A">
        <w:trPr>
          <w:trHeight w:val="20"/>
        </w:trPr>
        <w:tc>
          <w:tcPr>
            <w:tcW w:w="852" w:type="pct"/>
            <w:shd w:val="clear" w:color="auto" w:fill="DBE5F1"/>
            <w:hideMark/>
          </w:tcPr>
          <w:p w14:paraId="0E520B5D" w14:textId="77777777" w:rsidR="00D77ACF" w:rsidRPr="00C62639" w:rsidRDefault="00D77ACF" w:rsidP="00762B0A">
            <w:pPr>
              <w:jc w:val="center"/>
              <w:rPr>
                <w:rFonts w:asciiTheme="minorHAnsi" w:hAnsiTheme="minorHAnsi"/>
                <w:noProof/>
                <w:sz w:val="20"/>
              </w:rPr>
            </w:pPr>
            <w:r w:rsidRPr="00C62639">
              <w:rPr>
                <w:rFonts w:asciiTheme="minorHAnsi" w:hAnsiTheme="minorHAnsi"/>
                <w:b/>
                <w:bCs/>
                <w:noProof/>
                <w:sz w:val="20"/>
              </w:rPr>
              <w:t>2015</w:t>
            </w:r>
          </w:p>
        </w:tc>
        <w:tc>
          <w:tcPr>
            <w:tcW w:w="1012" w:type="pct"/>
            <w:shd w:val="clear" w:color="auto" w:fill="DBE5F1"/>
            <w:hideMark/>
          </w:tcPr>
          <w:p w14:paraId="7C8AA242" w14:textId="5D612B2D"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1</w:t>
            </w:r>
            <w:r w:rsidR="00277924">
              <w:rPr>
                <w:rFonts w:asciiTheme="minorHAnsi" w:hAnsiTheme="minorHAnsi"/>
                <w:noProof/>
                <w:sz w:val="20"/>
              </w:rPr>
              <w:t xml:space="preserve"> </w:t>
            </w:r>
            <w:r w:rsidRPr="00C62639">
              <w:rPr>
                <w:rFonts w:asciiTheme="minorHAnsi" w:hAnsiTheme="minorHAnsi"/>
                <w:noProof/>
                <w:sz w:val="20"/>
              </w:rPr>
              <w:t>818</w:t>
            </w:r>
          </w:p>
        </w:tc>
        <w:tc>
          <w:tcPr>
            <w:tcW w:w="1344" w:type="pct"/>
            <w:shd w:val="clear" w:color="auto" w:fill="DBE5F1"/>
            <w:hideMark/>
          </w:tcPr>
          <w:p w14:paraId="6D7FB602" w14:textId="7DB4D3A1" w:rsidR="00D77ACF" w:rsidRPr="00C62639" w:rsidRDefault="00D77ACF" w:rsidP="00762B0A">
            <w:pPr>
              <w:jc w:val="center"/>
              <w:rPr>
                <w:rFonts w:asciiTheme="minorHAnsi" w:hAnsiTheme="minorHAnsi"/>
                <w:b/>
                <w:noProof/>
                <w:sz w:val="20"/>
              </w:rPr>
            </w:pPr>
            <w:r w:rsidRPr="00C62639">
              <w:rPr>
                <w:rFonts w:asciiTheme="minorHAnsi" w:hAnsiTheme="minorHAnsi"/>
                <w:b/>
                <w:noProof/>
                <w:sz w:val="20"/>
              </w:rPr>
              <w:t>1</w:t>
            </w:r>
            <w:r w:rsidR="00277924">
              <w:rPr>
                <w:rFonts w:asciiTheme="minorHAnsi" w:hAnsiTheme="minorHAnsi"/>
                <w:b/>
                <w:noProof/>
                <w:sz w:val="20"/>
              </w:rPr>
              <w:t xml:space="preserve"> </w:t>
            </w:r>
            <w:r w:rsidRPr="00C62639">
              <w:rPr>
                <w:rFonts w:asciiTheme="minorHAnsi" w:hAnsiTheme="minorHAnsi"/>
                <w:b/>
                <w:noProof/>
                <w:sz w:val="20"/>
              </w:rPr>
              <w:t>371</w:t>
            </w:r>
          </w:p>
        </w:tc>
        <w:tc>
          <w:tcPr>
            <w:tcW w:w="896" w:type="pct"/>
            <w:shd w:val="clear" w:color="auto" w:fill="DBE5F1"/>
            <w:hideMark/>
          </w:tcPr>
          <w:p w14:paraId="57766AA1" w14:textId="77777777"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447</w:t>
            </w:r>
          </w:p>
        </w:tc>
        <w:tc>
          <w:tcPr>
            <w:tcW w:w="896" w:type="pct"/>
            <w:shd w:val="clear" w:color="auto" w:fill="DBE5F1"/>
          </w:tcPr>
          <w:p w14:paraId="74E57EB9" w14:textId="77777777"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33,39 %</w:t>
            </w:r>
          </w:p>
        </w:tc>
      </w:tr>
      <w:bookmarkEnd w:id="22"/>
    </w:tbl>
    <w:p w14:paraId="3A466B7B" w14:textId="77777777" w:rsidR="00D77ACF" w:rsidRPr="00C62639" w:rsidRDefault="00D77ACF" w:rsidP="00551596">
      <w:pPr>
        <w:pStyle w:val="normlntextvodstavcch"/>
        <w:rPr>
          <w:rFonts w:asciiTheme="minorHAnsi" w:hAnsiTheme="minorHAnsi"/>
          <w:noProof/>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20" w:firstRow="1" w:lastRow="0" w:firstColumn="0" w:lastColumn="0" w:noHBand="0" w:noVBand="1"/>
      </w:tblPr>
      <w:tblGrid>
        <w:gridCol w:w="1482"/>
        <w:gridCol w:w="1895"/>
        <w:gridCol w:w="2435"/>
        <w:gridCol w:w="1624"/>
        <w:gridCol w:w="1624"/>
      </w:tblGrid>
      <w:tr w:rsidR="00D77ACF" w:rsidRPr="00C62639" w14:paraId="7A3F0F17" w14:textId="77777777" w:rsidTr="00762B0A">
        <w:trPr>
          <w:trHeight w:val="20"/>
        </w:trPr>
        <w:tc>
          <w:tcPr>
            <w:tcW w:w="818" w:type="pct"/>
            <w:tcBorders>
              <w:top w:val="single" w:sz="4" w:space="0" w:color="FFFFFF"/>
              <w:left w:val="single" w:sz="4" w:space="0" w:color="FFFFFF"/>
              <w:right w:val="nil"/>
            </w:tcBorders>
            <w:shd w:val="clear" w:color="auto" w:fill="F79646"/>
            <w:vAlign w:val="center"/>
            <w:hideMark/>
          </w:tcPr>
          <w:p w14:paraId="3A960F79" w14:textId="77777777" w:rsidR="00D77ACF" w:rsidRPr="00C62639" w:rsidRDefault="00F416D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ODPADNÍ VODA</w:t>
            </w:r>
          </w:p>
        </w:tc>
        <w:tc>
          <w:tcPr>
            <w:tcW w:w="1046" w:type="pct"/>
            <w:tcBorders>
              <w:top w:val="single" w:sz="4" w:space="0" w:color="FFFFFF"/>
              <w:left w:val="nil"/>
              <w:right w:val="nil"/>
            </w:tcBorders>
            <w:shd w:val="clear" w:color="auto" w:fill="F79646"/>
            <w:vAlign w:val="center"/>
            <w:hideMark/>
          </w:tcPr>
          <w:p w14:paraId="29DC5ADE"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zaslaná na MZe (ks)</w:t>
            </w:r>
          </w:p>
        </w:tc>
        <w:tc>
          <w:tcPr>
            <w:tcW w:w="1344" w:type="pct"/>
            <w:tcBorders>
              <w:top w:val="single" w:sz="4" w:space="0" w:color="FFFFFF"/>
              <w:left w:val="nil"/>
              <w:right w:val="nil"/>
            </w:tcBorders>
            <w:shd w:val="clear" w:color="auto" w:fill="F79646"/>
            <w:vAlign w:val="center"/>
            <w:hideMark/>
          </w:tcPr>
          <w:p w14:paraId="0596BC30"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zařazená do benchmarkingu (ks)</w:t>
            </w:r>
          </w:p>
        </w:tc>
        <w:tc>
          <w:tcPr>
            <w:tcW w:w="896" w:type="pct"/>
            <w:tcBorders>
              <w:top w:val="single" w:sz="4" w:space="0" w:color="FFFFFF"/>
              <w:left w:val="nil"/>
              <w:right w:val="nil"/>
            </w:tcBorders>
            <w:shd w:val="clear" w:color="auto" w:fill="F79646"/>
            <w:vAlign w:val="center"/>
            <w:hideMark/>
          </w:tcPr>
          <w:p w14:paraId="02BE2022"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Nepoužitá Porovnání (ks)</w:t>
            </w:r>
          </w:p>
        </w:tc>
        <w:tc>
          <w:tcPr>
            <w:tcW w:w="896" w:type="pct"/>
            <w:tcBorders>
              <w:top w:val="single" w:sz="4" w:space="0" w:color="FFFFFF"/>
              <w:left w:val="nil"/>
              <w:right w:val="single" w:sz="4" w:space="0" w:color="FFFFFF"/>
            </w:tcBorders>
            <w:shd w:val="clear" w:color="auto" w:fill="F79646"/>
            <w:vAlign w:val="center"/>
          </w:tcPr>
          <w:p w14:paraId="52E36FA6"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 xml:space="preserve">Podíl na trhu </w:t>
            </w:r>
          </w:p>
        </w:tc>
      </w:tr>
      <w:tr w:rsidR="00D77ACF" w:rsidRPr="00C62639" w14:paraId="0040F886" w14:textId="77777777" w:rsidTr="00762B0A">
        <w:trPr>
          <w:trHeight w:val="20"/>
        </w:trPr>
        <w:tc>
          <w:tcPr>
            <w:tcW w:w="818" w:type="pct"/>
            <w:shd w:val="clear" w:color="auto" w:fill="FBD4B4"/>
            <w:hideMark/>
          </w:tcPr>
          <w:p w14:paraId="6032E9C1" w14:textId="77777777" w:rsidR="00D77ACF" w:rsidRPr="00C62639" w:rsidRDefault="00D77ACF" w:rsidP="00762B0A">
            <w:pPr>
              <w:jc w:val="center"/>
              <w:rPr>
                <w:rFonts w:asciiTheme="minorHAnsi" w:hAnsiTheme="minorHAnsi"/>
                <w:b/>
                <w:noProof/>
                <w:sz w:val="20"/>
              </w:rPr>
            </w:pPr>
            <w:r w:rsidRPr="00C62639">
              <w:rPr>
                <w:rFonts w:asciiTheme="minorHAnsi" w:hAnsiTheme="minorHAnsi"/>
                <w:b/>
                <w:bCs/>
                <w:noProof/>
                <w:sz w:val="20"/>
              </w:rPr>
              <w:t>2016</w:t>
            </w:r>
          </w:p>
        </w:tc>
        <w:tc>
          <w:tcPr>
            <w:tcW w:w="1046" w:type="pct"/>
            <w:shd w:val="clear" w:color="auto" w:fill="FBD4B4"/>
            <w:hideMark/>
          </w:tcPr>
          <w:p w14:paraId="1C3E6975" w14:textId="1D27D2C8"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2</w:t>
            </w:r>
            <w:r w:rsidR="00277924">
              <w:rPr>
                <w:rFonts w:asciiTheme="minorHAnsi" w:hAnsiTheme="minorHAnsi"/>
                <w:noProof/>
                <w:sz w:val="20"/>
              </w:rPr>
              <w:t xml:space="preserve"> </w:t>
            </w:r>
            <w:r w:rsidRPr="00C62639">
              <w:rPr>
                <w:rFonts w:asciiTheme="minorHAnsi" w:hAnsiTheme="minorHAnsi"/>
                <w:noProof/>
                <w:sz w:val="20"/>
              </w:rPr>
              <w:t>051</w:t>
            </w:r>
          </w:p>
        </w:tc>
        <w:tc>
          <w:tcPr>
            <w:tcW w:w="1344" w:type="pct"/>
            <w:shd w:val="clear" w:color="auto" w:fill="FBD4B4"/>
            <w:hideMark/>
          </w:tcPr>
          <w:p w14:paraId="216066E7" w14:textId="4B451B89" w:rsidR="00D77ACF" w:rsidRPr="00C62639" w:rsidRDefault="00D77ACF" w:rsidP="00762B0A">
            <w:pPr>
              <w:jc w:val="center"/>
              <w:rPr>
                <w:rFonts w:asciiTheme="minorHAnsi" w:hAnsiTheme="minorHAnsi"/>
                <w:b/>
                <w:noProof/>
                <w:sz w:val="20"/>
              </w:rPr>
            </w:pPr>
            <w:r w:rsidRPr="00C62639">
              <w:rPr>
                <w:rFonts w:asciiTheme="minorHAnsi" w:hAnsiTheme="minorHAnsi"/>
                <w:b/>
                <w:noProof/>
                <w:sz w:val="20"/>
              </w:rPr>
              <w:t>1</w:t>
            </w:r>
            <w:r w:rsidR="00277924">
              <w:rPr>
                <w:rFonts w:asciiTheme="minorHAnsi" w:hAnsiTheme="minorHAnsi"/>
                <w:b/>
                <w:noProof/>
                <w:sz w:val="20"/>
              </w:rPr>
              <w:t xml:space="preserve"> </w:t>
            </w:r>
            <w:r w:rsidRPr="00C62639">
              <w:rPr>
                <w:rFonts w:asciiTheme="minorHAnsi" w:hAnsiTheme="minorHAnsi"/>
                <w:b/>
                <w:noProof/>
                <w:sz w:val="20"/>
              </w:rPr>
              <w:t>857</w:t>
            </w:r>
          </w:p>
        </w:tc>
        <w:tc>
          <w:tcPr>
            <w:tcW w:w="896" w:type="pct"/>
            <w:shd w:val="clear" w:color="auto" w:fill="FBD4B4"/>
            <w:hideMark/>
          </w:tcPr>
          <w:p w14:paraId="0A5864A4" w14:textId="77777777"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194</w:t>
            </w:r>
          </w:p>
        </w:tc>
        <w:tc>
          <w:tcPr>
            <w:tcW w:w="896" w:type="pct"/>
            <w:shd w:val="clear" w:color="auto" w:fill="FBD4B4"/>
          </w:tcPr>
          <w:p w14:paraId="7C19AE4F" w14:textId="77777777" w:rsidR="00D77ACF" w:rsidRPr="00C62639" w:rsidRDefault="00D77ACF" w:rsidP="00762B0A">
            <w:pPr>
              <w:jc w:val="center"/>
              <w:rPr>
                <w:rFonts w:asciiTheme="minorHAnsi" w:hAnsiTheme="minorHAnsi"/>
                <w:b/>
                <w:noProof/>
                <w:sz w:val="20"/>
              </w:rPr>
            </w:pPr>
            <w:r w:rsidRPr="00C62639">
              <w:rPr>
                <w:rFonts w:asciiTheme="minorHAnsi" w:hAnsiTheme="minorHAnsi"/>
                <w:b/>
                <w:noProof/>
                <w:sz w:val="20"/>
              </w:rPr>
              <w:t>92,59 %</w:t>
            </w:r>
          </w:p>
        </w:tc>
      </w:tr>
      <w:tr w:rsidR="00D77ACF" w:rsidRPr="00C62639" w14:paraId="50423AA1" w14:textId="77777777" w:rsidTr="00762B0A">
        <w:trPr>
          <w:trHeight w:val="20"/>
        </w:trPr>
        <w:tc>
          <w:tcPr>
            <w:tcW w:w="818" w:type="pct"/>
            <w:shd w:val="clear" w:color="auto" w:fill="FDE9D9"/>
            <w:hideMark/>
          </w:tcPr>
          <w:p w14:paraId="578AEED7" w14:textId="77777777" w:rsidR="00D77ACF" w:rsidRPr="00C62639" w:rsidRDefault="00D77ACF" w:rsidP="00762B0A">
            <w:pPr>
              <w:jc w:val="center"/>
              <w:rPr>
                <w:rFonts w:asciiTheme="minorHAnsi" w:hAnsiTheme="minorHAnsi"/>
                <w:b/>
                <w:noProof/>
                <w:sz w:val="20"/>
              </w:rPr>
            </w:pPr>
            <w:r w:rsidRPr="00C62639">
              <w:rPr>
                <w:rFonts w:asciiTheme="minorHAnsi" w:hAnsiTheme="minorHAnsi"/>
                <w:b/>
                <w:bCs/>
                <w:noProof/>
                <w:sz w:val="20"/>
              </w:rPr>
              <w:t>2015</w:t>
            </w:r>
          </w:p>
        </w:tc>
        <w:tc>
          <w:tcPr>
            <w:tcW w:w="1046" w:type="pct"/>
            <w:shd w:val="clear" w:color="auto" w:fill="FDE9D9"/>
            <w:hideMark/>
          </w:tcPr>
          <w:p w14:paraId="07F996DC" w14:textId="1BCE0FE9"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1</w:t>
            </w:r>
            <w:r w:rsidR="00277924">
              <w:rPr>
                <w:rFonts w:asciiTheme="minorHAnsi" w:hAnsiTheme="minorHAnsi"/>
                <w:noProof/>
                <w:sz w:val="20"/>
              </w:rPr>
              <w:t xml:space="preserve"> </w:t>
            </w:r>
            <w:r w:rsidRPr="00C62639">
              <w:rPr>
                <w:rFonts w:asciiTheme="minorHAnsi" w:hAnsiTheme="minorHAnsi"/>
                <w:noProof/>
                <w:sz w:val="20"/>
              </w:rPr>
              <w:t>936</w:t>
            </w:r>
          </w:p>
        </w:tc>
        <w:tc>
          <w:tcPr>
            <w:tcW w:w="1344" w:type="pct"/>
            <w:shd w:val="clear" w:color="auto" w:fill="FDE9D9"/>
            <w:hideMark/>
          </w:tcPr>
          <w:p w14:paraId="0D1D353D" w14:textId="353E31F5" w:rsidR="00D77ACF" w:rsidRPr="00C62639" w:rsidRDefault="00D77ACF" w:rsidP="00762B0A">
            <w:pPr>
              <w:jc w:val="center"/>
              <w:rPr>
                <w:rFonts w:asciiTheme="minorHAnsi" w:hAnsiTheme="minorHAnsi"/>
                <w:b/>
                <w:noProof/>
                <w:sz w:val="20"/>
              </w:rPr>
            </w:pPr>
            <w:r w:rsidRPr="00C62639">
              <w:rPr>
                <w:rFonts w:asciiTheme="minorHAnsi" w:hAnsiTheme="minorHAnsi"/>
                <w:b/>
                <w:noProof/>
                <w:sz w:val="20"/>
              </w:rPr>
              <w:t>1</w:t>
            </w:r>
            <w:r w:rsidR="00277924">
              <w:rPr>
                <w:rFonts w:asciiTheme="minorHAnsi" w:hAnsiTheme="minorHAnsi"/>
                <w:b/>
                <w:noProof/>
                <w:sz w:val="20"/>
              </w:rPr>
              <w:t xml:space="preserve"> </w:t>
            </w:r>
            <w:r w:rsidRPr="00C62639">
              <w:rPr>
                <w:rFonts w:asciiTheme="minorHAnsi" w:hAnsiTheme="minorHAnsi"/>
                <w:b/>
                <w:noProof/>
                <w:sz w:val="20"/>
              </w:rPr>
              <w:t>437</w:t>
            </w:r>
          </w:p>
        </w:tc>
        <w:tc>
          <w:tcPr>
            <w:tcW w:w="896" w:type="pct"/>
            <w:shd w:val="clear" w:color="auto" w:fill="FDE9D9"/>
            <w:hideMark/>
          </w:tcPr>
          <w:p w14:paraId="34902B4B" w14:textId="77777777"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499</w:t>
            </w:r>
          </w:p>
        </w:tc>
        <w:tc>
          <w:tcPr>
            <w:tcW w:w="896" w:type="pct"/>
            <w:shd w:val="clear" w:color="auto" w:fill="FDE9D9"/>
          </w:tcPr>
          <w:p w14:paraId="19D9B6B0" w14:textId="77777777" w:rsidR="00D77ACF" w:rsidRPr="00C62639" w:rsidRDefault="00D77ACF" w:rsidP="00762B0A">
            <w:pPr>
              <w:jc w:val="center"/>
              <w:rPr>
                <w:rFonts w:asciiTheme="minorHAnsi" w:hAnsiTheme="minorHAnsi"/>
                <w:noProof/>
                <w:sz w:val="20"/>
              </w:rPr>
            </w:pPr>
            <w:r w:rsidRPr="00C62639">
              <w:rPr>
                <w:rFonts w:asciiTheme="minorHAnsi" w:hAnsiTheme="minorHAnsi"/>
                <w:noProof/>
                <w:sz w:val="20"/>
              </w:rPr>
              <w:t>33,69 %</w:t>
            </w:r>
          </w:p>
        </w:tc>
      </w:tr>
    </w:tbl>
    <w:p w14:paraId="24337BA7" w14:textId="77777777" w:rsidR="00D70B87" w:rsidRPr="00C62639" w:rsidRDefault="00C1539B" w:rsidP="00692CE6">
      <w:pPr>
        <w:pStyle w:val="Nadpis2"/>
        <w:rPr>
          <w:rFonts w:asciiTheme="minorHAnsi" w:eastAsia="Calibri" w:hAnsiTheme="minorHAnsi"/>
          <w:noProof/>
        </w:rPr>
      </w:pPr>
      <w:bookmarkStart w:id="23" w:name="_Toc505684410"/>
      <w:r w:rsidRPr="00C62639">
        <w:rPr>
          <w:rFonts w:asciiTheme="minorHAnsi" w:eastAsia="Calibri" w:hAnsiTheme="minorHAnsi"/>
          <w:noProof/>
        </w:rPr>
        <w:lastRenderedPageBreak/>
        <w:t>Důvody</w:t>
      </w:r>
      <w:r w:rsidR="00692CE6" w:rsidRPr="00C62639">
        <w:rPr>
          <w:rFonts w:asciiTheme="minorHAnsi" w:eastAsia="Calibri" w:hAnsiTheme="minorHAnsi"/>
          <w:noProof/>
        </w:rPr>
        <w:t xml:space="preserve">, které </w:t>
      </w:r>
      <w:r w:rsidR="003A6341">
        <w:rPr>
          <w:rFonts w:asciiTheme="minorHAnsi" w:eastAsia="Calibri" w:hAnsiTheme="minorHAnsi"/>
          <w:noProof/>
        </w:rPr>
        <w:t>znemožňují</w:t>
      </w:r>
      <w:r w:rsidR="00692CE6" w:rsidRPr="00C62639">
        <w:rPr>
          <w:rFonts w:asciiTheme="minorHAnsi" w:eastAsia="Calibri" w:hAnsiTheme="minorHAnsi"/>
          <w:noProof/>
        </w:rPr>
        <w:t xml:space="preserve"> použití </w:t>
      </w:r>
      <w:r w:rsidRPr="00C62639">
        <w:rPr>
          <w:rFonts w:asciiTheme="minorHAnsi" w:eastAsia="Calibri" w:hAnsiTheme="minorHAnsi"/>
          <w:noProof/>
        </w:rPr>
        <w:t xml:space="preserve">dat </w:t>
      </w:r>
      <w:r w:rsidR="00692CE6" w:rsidRPr="00C62639">
        <w:rPr>
          <w:rFonts w:asciiTheme="minorHAnsi" w:eastAsia="Calibri" w:hAnsiTheme="minorHAnsi"/>
          <w:noProof/>
        </w:rPr>
        <w:t>pro benchmarking</w:t>
      </w:r>
      <w:bookmarkEnd w:id="23"/>
    </w:p>
    <w:p w14:paraId="661B8B9C" w14:textId="48985C41" w:rsidR="00012F8C" w:rsidRPr="00C62639" w:rsidRDefault="00012F8C" w:rsidP="00AB6F0F">
      <w:pPr>
        <w:pStyle w:val="Normlnzprva"/>
        <w:rPr>
          <w:noProof/>
        </w:rPr>
      </w:pPr>
      <w:r w:rsidRPr="00C62639">
        <w:rPr>
          <w:noProof/>
        </w:rPr>
        <w:t xml:space="preserve">Při </w:t>
      </w:r>
      <w:r w:rsidR="006905E2" w:rsidRPr="00C62639">
        <w:rPr>
          <w:noProof/>
        </w:rPr>
        <w:t xml:space="preserve">propojování </w:t>
      </w:r>
      <w:r w:rsidRPr="00C62639">
        <w:rPr>
          <w:noProof/>
        </w:rPr>
        <w:t xml:space="preserve">informací z databází (Porovnání, Vybranými údaji majetkové a provozní evidence) bylo specifikováno deset nedostatků, které </w:t>
      </w:r>
      <w:r w:rsidR="003A6341">
        <w:rPr>
          <w:noProof/>
        </w:rPr>
        <w:t>znemožňují</w:t>
      </w:r>
      <w:r w:rsidR="0070653F" w:rsidRPr="00C62639">
        <w:rPr>
          <w:noProof/>
        </w:rPr>
        <w:t xml:space="preserve"> </w:t>
      </w:r>
      <w:r w:rsidR="00AB6F0F">
        <w:rPr>
          <w:noProof/>
        </w:rPr>
        <w:t>pro</w:t>
      </w:r>
      <w:r w:rsidRPr="00C62639">
        <w:rPr>
          <w:noProof/>
        </w:rPr>
        <w:t>pojení dat podle výše uvedeného postupu (viz schéma - bod 4.).</w:t>
      </w:r>
      <w:r w:rsidR="00B26631">
        <w:rPr>
          <w:noProof/>
        </w:rPr>
        <w:t xml:space="preserve"> </w:t>
      </w:r>
      <w:r w:rsidRPr="00C62639">
        <w:rPr>
          <w:noProof/>
        </w:rPr>
        <w:t>V</w:t>
      </w:r>
      <w:r w:rsidR="00692CE6" w:rsidRPr="00C62639">
        <w:rPr>
          <w:noProof/>
        </w:rPr>
        <w:t xml:space="preserve">ýčet těchto chyb </w:t>
      </w:r>
      <w:r w:rsidRPr="00C62639">
        <w:rPr>
          <w:noProof/>
        </w:rPr>
        <w:t xml:space="preserve">je uveden v následující tabulce. </w:t>
      </w:r>
    </w:p>
    <w:p w14:paraId="49C7C6A0" w14:textId="77777777" w:rsidR="00DC5472" w:rsidRPr="00C62639" w:rsidRDefault="00DC5472" w:rsidP="00012F8C">
      <w:pPr>
        <w:pStyle w:val="normlntextvodstavcch"/>
        <w:rPr>
          <w:rFonts w:asciiTheme="minorHAnsi" w:hAnsiTheme="minorHAnsi" w:cs="Calibri"/>
          <w:noProof/>
          <w:highlight w:val="yellow"/>
        </w:rPr>
      </w:pPr>
    </w:p>
    <w:tbl>
      <w:tblPr>
        <w:tblW w:w="5095" w:type="pct"/>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420" w:firstRow="1" w:lastRow="0" w:firstColumn="0" w:lastColumn="0" w:noHBand="0" w:noVBand="1"/>
      </w:tblPr>
      <w:tblGrid>
        <w:gridCol w:w="460"/>
        <w:gridCol w:w="6436"/>
        <w:gridCol w:w="2336"/>
      </w:tblGrid>
      <w:tr w:rsidR="00012F8C" w:rsidRPr="00C62639" w14:paraId="79D9B138" w14:textId="77777777" w:rsidTr="007A1FD9">
        <w:trPr>
          <w:trHeight w:val="14"/>
          <w:tblHeader/>
        </w:trPr>
        <w:tc>
          <w:tcPr>
            <w:tcW w:w="243" w:type="pct"/>
            <w:tcBorders>
              <w:top w:val="single" w:sz="4" w:space="0" w:color="8064A2"/>
              <w:left w:val="single" w:sz="4" w:space="0" w:color="8064A2"/>
              <w:bottom w:val="single" w:sz="4" w:space="0" w:color="8064A2"/>
              <w:right w:val="nil"/>
            </w:tcBorders>
            <w:shd w:val="clear" w:color="auto" w:fill="8064A2"/>
            <w:vAlign w:val="center"/>
          </w:tcPr>
          <w:p w14:paraId="101BB1A2" w14:textId="77777777" w:rsidR="00012F8C" w:rsidRPr="00C62639" w:rsidRDefault="00012F8C" w:rsidP="003C548E">
            <w:pPr>
              <w:spacing w:before="0" w:after="0" w:line="240" w:lineRule="atLeast"/>
              <w:jc w:val="center"/>
              <w:rPr>
                <w:rFonts w:asciiTheme="minorHAnsi" w:hAnsiTheme="minorHAnsi"/>
                <w:b/>
                <w:noProof/>
                <w:color w:val="FFFFFF"/>
              </w:rPr>
            </w:pPr>
          </w:p>
        </w:tc>
        <w:tc>
          <w:tcPr>
            <w:tcW w:w="3489" w:type="pct"/>
            <w:tcBorders>
              <w:top w:val="single" w:sz="4" w:space="0" w:color="8064A2"/>
              <w:left w:val="nil"/>
              <w:bottom w:val="single" w:sz="4" w:space="0" w:color="8064A2"/>
              <w:right w:val="nil"/>
            </w:tcBorders>
            <w:shd w:val="clear" w:color="auto" w:fill="8064A2"/>
            <w:vAlign w:val="center"/>
            <w:hideMark/>
          </w:tcPr>
          <w:p w14:paraId="117A4E99" w14:textId="77777777" w:rsidR="00012F8C" w:rsidRPr="00C62639" w:rsidRDefault="00012F8C" w:rsidP="003C548E">
            <w:pPr>
              <w:spacing w:before="0" w:after="0" w:line="240" w:lineRule="atLeast"/>
              <w:jc w:val="center"/>
              <w:rPr>
                <w:rFonts w:asciiTheme="minorHAnsi" w:hAnsiTheme="minorHAnsi"/>
                <w:b/>
                <w:bCs/>
                <w:noProof/>
                <w:color w:val="FFFFFF"/>
              </w:rPr>
            </w:pPr>
            <w:r w:rsidRPr="00C62639">
              <w:rPr>
                <w:rFonts w:asciiTheme="minorHAnsi" w:hAnsiTheme="minorHAnsi"/>
                <w:b/>
                <w:bCs/>
                <w:noProof/>
                <w:color w:val="FFFFFF"/>
              </w:rPr>
              <w:t>DŮVOD VYŘAZENÍ</w:t>
            </w:r>
          </w:p>
        </w:tc>
        <w:tc>
          <w:tcPr>
            <w:tcW w:w="1268" w:type="pct"/>
            <w:tcBorders>
              <w:top w:val="single" w:sz="4" w:space="0" w:color="8064A2"/>
              <w:left w:val="nil"/>
              <w:bottom w:val="single" w:sz="4" w:space="0" w:color="8064A2"/>
              <w:right w:val="single" w:sz="4" w:space="0" w:color="8064A2"/>
            </w:tcBorders>
            <w:shd w:val="clear" w:color="auto" w:fill="8064A2"/>
            <w:vAlign w:val="center"/>
          </w:tcPr>
          <w:p w14:paraId="1C2606A5" w14:textId="77777777" w:rsidR="00012F8C" w:rsidRPr="00C62639" w:rsidRDefault="00012F8C" w:rsidP="003C548E">
            <w:pPr>
              <w:spacing w:before="0" w:after="0" w:line="240" w:lineRule="atLeast"/>
              <w:jc w:val="center"/>
              <w:rPr>
                <w:rFonts w:asciiTheme="minorHAnsi" w:hAnsiTheme="minorHAnsi"/>
                <w:b/>
                <w:noProof/>
                <w:color w:val="FFFFFF"/>
              </w:rPr>
            </w:pPr>
            <w:r w:rsidRPr="00C62639">
              <w:rPr>
                <w:rFonts w:asciiTheme="minorHAnsi" w:hAnsiTheme="minorHAnsi"/>
                <w:b/>
                <w:noProof/>
                <w:color w:val="FFFFFF"/>
              </w:rPr>
              <w:t>POZNÁMKA</w:t>
            </w:r>
          </w:p>
        </w:tc>
      </w:tr>
      <w:tr w:rsidR="00012F8C" w:rsidRPr="00C62639" w14:paraId="4A7F7852" w14:textId="77777777" w:rsidTr="007A1FD9">
        <w:trPr>
          <w:trHeight w:val="14"/>
        </w:trPr>
        <w:tc>
          <w:tcPr>
            <w:tcW w:w="243" w:type="pct"/>
            <w:shd w:val="clear" w:color="auto" w:fill="E5DFEC"/>
            <w:vAlign w:val="center"/>
          </w:tcPr>
          <w:p w14:paraId="2F70A3E9"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1</w:t>
            </w:r>
          </w:p>
        </w:tc>
        <w:tc>
          <w:tcPr>
            <w:tcW w:w="3489" w:type="pct"/>
            <w:shd w:val="clear" w:color="auto" w:fill="E5DFEC"/>
            <w:vAlign w:val="center"/>
            <w:hideMark/>
          </w:tcPr>
          <w:p w14:paraId="0F4CF126" w14:textId="77777777" w:rsidR="00012F8C" w:rsidRPr="00C62639" w:rsidRDefault="003A6341" w:rsidP="003C548E">
            <w:pPr>
              <w:spacing w:before="0" w:after="0" w:line="240" w:lineRule="atLeast"/>
              <w:rPr>
                <w:rFonts w:asciiTheme="minorHAnsi" w:hAnsiTheme="minorHAnsi"/>
                <w:noProof/>
              </w:rPr>
            </w:pPr>
            <w:r>
              <w:rPr>
                <w:rFonts w:asciiTheme="minorHAnsi" w:hAnsiTheme="minorHAnsi"/>
                <w:noProof/>
              </w:rPr>
              <w:t>Některá IČPE uvedená na P</w:t>
            </w:r>
            <w:r w:rsidR="00012F8C" w:rsidRPr="00C62639">
              <w:rPr>
                <w:rFonts w:asciiTheme="minorHAnsi" w:hAnsiTheme="minorHAnsi"/>
                <w:noProof/>
              </w:rPr>
              <w:t>orovnání nejsou ve VÚPE</w:t>
            </w:r>
          </w:p>
        </w:tc>
        <w:tc>
          <w:tcPr>
            <w:tcW w:w="1268" w:type="pct"/>
            <w:shd w:val="clear" w:color="auto" w:fill="E5DFEC"/>
            <w:vAlign w:val="center"/>
          </w:tcPr>
          <w:p w14:paraId="15CBE792" w14:textId="77777777" w:rsidR="00012F8C" w:rsidRPr="00C62639" w:rsidRDefault="00012F8C" w:rsidP="003C548E">
            <w:pPr>
              <w:spacing w:before="0" w:after="0" w:line="240" w:lineRule="atLeast"/>
              <w:rPr>
                <w:rFonts w:asciiTheme="minorHAnsi" w:hAnsiTheme="minorHAnsi"/>
                <w:noProof/>
              </w:rPr>
            </w:pPr>
          </w:p>
        </w:tc>
      </w:tr>
      <w:tr w:rsidR="00012F8C" w:rsidRPr="00C62639" w14:paraId="54E8C20A" w14:textId="77777777" w:rsidTr="007A1FD9">
        <w:trPr>
          <w:trHeight w:val="14"/>
        </w:trPr>
        <w:tc>
          <w:tcPr>
            <w:tcW w:w="243" w:type="pct"/>
            <w:shd w:val="clear" w:color="auto" w:fill="auto"/>
            <w:vAlign w:val="center"/>
          </w:tcPr>
          <w:p w14:paraId="1737C90B"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2</w:t>
            </w:r>
          </w:p>
        </w:tc>
        <w:tc>
          <w:tcPr>
            <w:tcW w:w="3489" w:type="pct"/>
            <w:shd w:val="clear" w:color="auto" w:fill="auto"/>
            <w:vAlign w:val="center"/>
            <w:hideMark/>
          </w:tcPr>
          <w:p w14:paraId="52286A03" w14:textId="77777777" w:rsidR="00012F8C" w:rsidRPr="00C62639" w:rsidRDefault="00012F8C" w:rsidP="003C548E">
            <w:pPr>
              <w:spacing w:before="0" w:after="0" w:line="240" w:lineRule="atLeast"/>
              <w:rPr>
                <w:rFonts w:asciiTheme="minorHAnsi" w:hAnsiTheme="minorHAnsi"/>
                <w:noProof/>
              </w:rPr>
            </w:pPr>
            <w:r w:rsidRPr="00C62639">
              <w:rPr>
                <w:rFonts w:asciiTheme="minorHAnsi" w:hAnsiTheme="minorHAnsi"/>
                <w:noProof/>
              </w:rPr>
              <w:t>Nejasné vazby mezi VÚPE a VÚME</w:t>
            </w:r>
          </w:p>
        </w:tc>
        <w:tc>
          <w:tcPr>
            <w:tcW w:w="1268" w:type="pct"/>
            <w:shd w:val="clear" w:color="auto" w:fill="auto"/>
            <w:vAlign w:val="center"/>
          </w:tcPr>
          <w:p w14:paraId="7377C5B6" w14:textId="77777777" w:rsidR="00012F8C" w:rsidRPr="00C62639" w:rsidRDefault="00012F8C" w:rsidP="003C548E">
            <w:pPr>
              <w:spacing w:before="0" w:after="0" w:line="240" w:lineRule="atLeast"/>
              <w:rPr>
                <w:rFonts w:asciiTheme="minorHAnsi" w:hAnsiTheme="minorHAnsi"/>
                <w:noProof/>
              </w:rPr>
            </w:pPr>
          </w:p>
        </w:tc>
      </w:tr>
      <w:tr w:rsidR="00012F8C" w:rsidRPr="00C62639" w14:paraId="0D2B8871" w14:textId="77777777" w:rsidTr="007A1FD9">
        <w:trPr>
          <w:trHeight w:val="14"/>
        </w:trPr>
        <w:tc>
          <w:tcPr>
            <w:tcW w:w="243" w:type="pct"/>
            <w:shd w:val="clear" w:color="auto" w:fill="E5DFEC"/>
            <w:vAlign w:val="center"/>
          </w:tcPr>
          <w:p w14:paraId="0068DB45"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3</w:t>
            </w:r>
          </w:p>
        </w:tc>
        <w:tc>
          <w:tcPr>
            <w:tcW w:w="3489" w:type="pct"/>
            <w:shd w:val="clear" w:color="auto" w:fill="E5DFEC"/>
            <w:vAlign w:val="center"/>
            <w:hideMark/>
          </w:tcPr>
          <w:p w14:paraId="51B08D2E" w14:textId="77777777" w:rsidR="00012F8C" w:rsidRPr="00C62639" w:rsidRDefault="00012F8C" w:rsidP="003C548E">
            <w:pPr>
              <w:spacing w:before="0" w:after="0" w:line="240" w:lineRule="atLeast"/>
              <w:rPr>
                <w:rFonts w:asciiTheme="minorHAnsi" w:hAnsiTheme="minorHAnsi"/>
                <w:noProof/>
              </w:rPr>
            </w:pPr>
            <w:r w:rsidRPr="00C62639">
              <w:rPr>
                <w:rFonts w:asciiTheme="minorHAnsi" w:hAnsiTheme="minorHAnsi"/>
                <w:noProof/>
              </w:rPr>
              <w:t>Někt</w:t>
            </w:r>
            <w:r w:rsidR="003A6341">
              <w:rPr>
                <w:rFonts w:asciiTheme="minorHAnsi" w:hAnsiTheme="minorHAnsi"/>
                <w:noProof/>
              </w:rPr>
              <w:t>erá IČPE ve VÚPE související s P</w:t>
            </w:r>
            <w:r w:rsidRPr="00C62639">
              <w:rPr>
                <w:rFonts w:asciiTheme="minorHAnsi" w:hAnsiTheme="minorHAnsi"/>
                <w:noProof/>
              </w:rPr>
              <w:t>orovnáním obsahují IČME, které není ve VÚME</w:t>
            </w:r>
          </w:p>
        </w:tc>
        <w:tc>
          <w:tcPr>
            <w:tcW w:w="1268" w:type="pct"/>
            <w:shd w:val="clear" w:color="auto" w:fill="E5DFEC"/>
            <w:vAlign w:val="center"/>
          </w:tcPr>
          <w:p w14:paraId="7D24F081" w14:textId="77777777" w:rsidR="00012F8C" w:rsidRPr="00C62639" w:rsidRDefault="00012F8C" w:rsidP="003C548E">
            <w:pPr>
              <w:spacing w:before="0" w:after="0" w:line="240" w:lineRule="atLeast"/>
              <w:rPr>
                <w:rFonts w:asciiTheme="minorHAnsi" w:hAnsiTheme="minorHAnsi"/>
                <w:noProof/>
              </w:rPr>
            </w:pPr>
          </w:p>
        </w:tc>
      </w:tr>
      <w:tr w:rsidR="00012F8C" w:rsidRPr="00C62639" w14:paraId="504BA42E" w14:textId="77777777" w:rsidTr="007A1FD9">
        <w:trPr>
          <w:trHeight w:val="14"/>
        </w:trPr>
        <w:tc>
          <w:tcPr>
            <w:tcW w:w="243" w:type="pct"/>
            <w:shd w:val="clear" w:color="auto" w:fill="auto"/>
            <w:vAlign w:val="center"/>
          </w:tcPr>
          <w:p w14:paraId="5A1E0907"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4</w:t>
            </w:r>
          </w:p>
        </w:tc>
        <w:tc>
          <w:tcPr>
            <w:tcW w:w="3489" w:type="pct"/>
            <w:shd w:val="clear" w:color="auto" w:fill="auto"/>
            <w:vAlign w:val="center"/>
            <w:hideMark/>
          </w:tcPr>
          <w:p w14:paraId="4D4D314D" w14:textId="77777777" w:rsidR="00012F8C" w:rsidRPr="00C62639" w:rsidRDefault="00012F8C" w:rsidP="003C548E">
            <w:pPr>
              <w:spacing w:before="0" w:after="0" w:line="240" w:lineRule="atLeast"/>
              <w:rPr>
                <w:rFonts w:asciiTheme="minorHAnsi" w:hAnsiTheme="minorHAnsi"/>
                <w:noProof/>
              </w:rPr>
            </w:pPr>
            <w:r w:rsidRPr="00C62639">
              <w:rPr>
                <w:rFonts w:asciiTheme="minorHAnsi" w:hAnsiTheme="minorHAnsi"/>
                <w:noProof/>
              </w:rPr>
              <w:t>Na</w:t>
            </w:r>
            <w:r w:rsidR="003A6341">
              <w:rPr>
                <w:rFonts w:asciiTheme="minorHAnsi" w:hAnsiTheme="minorHAnsi"/>
                <w:noProof/>
              </w:rPr>
              <w:t xml:space="preserve"> P</w:t>
            </w:r>
            <w:r w:rsidRPr="00C62639">
              <w:rPr>
                <w:rFonts w:asciiTheme="minorHAnsi" w:hAnsiTheme="minorHAnsi"/>
                <w:noProof/>
              </w:rPr>
              <w:t>orovnání nebylo vyplněno žádné IČPE</w:t>
            </w:r>
          </w:p>
        </w:tc>
        <w:tc>
          <w:tcPr>
            <w:tcW w:w="1268" w:type="pct"/>
            <w:shd w:val="clear" w:color="auto" w:fill="auto"/>
            <w:vAlign w:val="center"/>
          </w:tcPr>
          <w:p w14:paraId="2569360F" w14:textId="77777777" w:rsidR="00012F8C" w:rsidRPr="00C62639" w:rsidRDefault="00012F8C" w:rsidP="003C548E">
            <w:pPr>
              <w:spacing w:before="0" w:after="0" w:line="240" w:lineRule="atLeast"/>
              <w:rPr>
                <w:rFonts w:asciiTheme="minorHAnsi" w:hAnsiTheme="minorHAnsi"/>
                <w:noProof/>
              </w:rPr>
            </w:pPr>
          </w:p>
        </w:tc>
      </w:tr>
      <w:tr w:rsidR="00012F8C" w:rsidRPr="00C62639" w14:paraId="08ED3C86" w14:textId="77777777" w:rsidTr="007A1FD9">
        <w:trPr>
          <w:trHeight w:val="14"/>
        </w:trPr>
        <w:tc>
          <w:tcPr>
            <w:tcW w:w="243" w:type="pct"/>
            <w:shd w:val="clear" w:color="auto" w:fill="E5DFEC"/>
            <w:vAlign w:val="center"/>
          </w:tcPr>
          <w:p w14:paraId="00E66489"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5</w:t>
            </w:r>
          </w:p>
        </w:tc>
        <w:tc>
          <w:tcPr>
            <w:tcW w:w="3489" w:type="pct"/>
            <w:shd w:val="clear" w:color="auto" w:fill="E5DFEC"/>
            <w:vAlign w:val="center"/>
            <w:hideMark/>
          </w:tcPr>
          <w:p w14:paraId="21AB9DDC" w14:textId="77777777" w:rsidR="00012F8C" w:rsidRPr="00C62639" w:rsidRDefault="003A6341" w:rsidP="003C548E">
            <w:pPr>
              <w:spacing w:before="0" w:after="0" w:line="240" w:lineRule="atLeast"/>
              <w:rPr>
                <w:rFonts w:asciiTheme="minorHAnsi" w:hAnsiTheme="minorHAnsi"/>
                <w:noProof/>
              </w:rPr>
            </w:pPr>
            <w:r>
              <w:rPr>
                <w:rFonts w:asciiTheme="minorHAnsi" w:hAnsiTheme="minorHAnsi"/>
                <w:noProof/>
              </w:rPr>
              <w:t>Na P</w:t>
            </w:r>
            <w:r w:rsidR="00012F8C" w:rsidRPr="00C62639">
              <w:rPr>
                <w:rFonts w:asciiTheme="minorHAnsi" w:hAnsiTheme="minorHAnsi"/>
                <w:noProof/>
              </w:rPr>
              <w:t>orovnání nebyl vyplněn žádný vlastník</w:t>
            </w:r>
          </w:p>
        </w:tc>
        <w:tc>
          <w:tcPr>
            <w:tcW w:w="1268" w:type="pct"/>
            <w:shd w:val="clear" w:color="auto" w:fill="E5DFEC"/>
            <w:vAlign w:val="center"/>
          </w:tcPr>
          <w:p w14:paraId="4FD3BC57" w14:textId="77777777" w:rsidR="00012F8C" w:rsidRPr="00C62639" w:rsidRDefault="00012F8C" w:rsidP="003C548E">
            <w:pPr>
              <w:spacing w:before="0" w:after="0" w:line="240" w:lineRule="atLeast"/>
              <w:rPr>
                <w:rFonts w:asciiTheme="minorHAnsi" w:hAnsiTheme="minorHAnsi"/>
                <w:noProof/>
              </w:rPr>
            </w:pPr>
          </w:p>
        </w:tc>
      </w:tr>
      <w:tr w:rsidR="00012F8C" w:rsidRPr="00C62639" w14:paraId="724B8E8E" w14:textId="77777777" w:rsidTr="007A1FD9">
        <w:trPr>
          <w:trHeight w:val="14"/>
        </w:trPr>
        <w:tc>
          <w:tcPr>
            <w:tcW w:w="243" w:type="pct"/>
            <w:shd w:val="clear" w:color="auto" w:fill="auto"/>
            <w:vAlign w:val="center"/>
          </w:tcPr>
          <w:p w14:paraId="1037937C"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6</w:t>
            </w:r>
          </w:p>
        </w:tc>
        <w:tc>
          <w:tcPr>
            <w:tcW w:w="3489" w:type="pct"/>
            <w:shd w:val="clear" w:color="auto" w:fill="auto"/>
            <w:vAlign w:val="center"/>
            <w:hideMark/>
          </w:tcPr>
          <w:p w14:paraId="3F21B55E" w14:textId="77777777" w:rsidR="00012F8C" w:rsidRPr="00C62639" w:rsidRDefault="00012F8C" w:rsidP="003C548E">
            <w:pPr>
              <w:spacing w:before="0" w:after="0" w:line="240" w:lineRule="atLeast"/>
              <w:rPr>
                <w:rFonts w:asciiTheme="minorHAnsi" w:hAnsiTheme="minorHAnsi"/>
                <w:noProof/>
              </w:rPr>
            </w:pPr>
            <w:r w:rsidRPr="00C62639">
              <w:rPr>
                <w:rFonts w:asciiTheme="minorHAnsi" w:hAnsiTheme="minorHAnsi"/>
                <w:noProof/>
              </w:rPr>
              <w:t>Ve VÚME nebyl vyplněn počet připojených obyvatel</w:t>
            </w:r>
          </w:p>
        </w:tc>
        <w:tc>
          <w:tcPr>
            <w:tcW w:w="1268" w:type="pct"/>
            <w:shd w:val="clear" w:color="auto" w:fill="auto"/>
            <w:vAlign w:val="center"/>
          </w:tcPr>
          <w:p w14:paraId="0B37AF45" w14:textId="77777777" w:rsidR="00012F8C" w:rsidRPr="00C62639" w:rsidRDefault="00012F8C" w:rsidP="003C548E">
            <w:pPr>
              <w:spacing w:before="0" w:after="0" w:line="240" w:lineRule="atLeast"/>
              <w:rPr>
                <w:rFonts w:asciiTheme="minorHAnsi" w:hAnsiTheme="minorHAnsi"/>
                <w:noProof/>
              </w:rPr>
            </w:pPr>
          </w:p>
        </w:tc>
      </w:tr>
      <w:tr w:rsidR="00012F8C" w:rsidRPr="00C62639" w14:paraId="0A376C2A" w14:textId="77777777" w:rsidTr="007A1FD9">
        <w:trPr>
          <w:trHeight w:val="14"/>
        </w:trPr>
        <w:tc>
          <w:tcPr>
            <w:tcW w:w="243" w:type="pct"/>
            <w:shd w:val="clear" w:color="auto" w:fill="E5DFEC"/>
            <w:vAlign w:val="center"/>
          </w:tcPr>
          <w:p w14:paraId="57A8C908"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7</w:t>
            </w:r>
          </w:p>
        </w:tc>
        <w:tc>
          <w:tcPr>
            <w:tcW w:w="3489" w:type="pct"/>
            <w:shd w:val="clear" w:color="auto" w:fill="E5DFEC"/>
            <w:vAlign w:val="center"/>
            <w:hideMark/>
          </w:tcPr>
          <w:p w14:paraId="01352408" w14:textId="77777777" w:rsidR="00012F8C" w:rsidRPr="00C62639" w:rsidRDefault="003A6341" w:rsidP="003C548E">
            <w:pPr>
              <w:spacing w:before="0" w:after="0" w:line="240" w:lineRule="atLeast"/>
              <w:rPr>
                <w:rFonts w:asciiTheme="minorHAnsi" w:hAnsiTheme="minorHAnsi"/>
                <w:noProof/>
              </w:rPr>
            </w:pPr>
            <w:r>
              <w:rPr>
                <w:rFonts w:asciiTheme="minorHAnsi" w:hAnsiTheme="minorHAnsi"/>
                <w:noProof/>
              </w:rPr>
              <w:t>Na P</w:t>
            </w:r>
            <w:r w:rsidR="00012F8C" w:rsidRPr="00C62639">
              <w:rPr>
                <w:rFonts w:asciiTheme="minorHAnsi" w:hAnsiTheme="minorHAnsi"/>
                <w:noProof/>
              </w:rPr>
              <w:t>orovnání je uvedeno pouze jedno IČPE, což neodpovídá velikosti porovnání</w:t>
            </w:r>
          </w:p>
        </w:tc>
        <w:tc>
          <w:tcPr>
            <w:tcW w:w="1268" w:type="pct"/>
            <w:shd w:val="clear" w:color="auto" w:fill="E5DFEC"/>
            <w:vAlign w:val="center"/>
          </w:tcPr>
          <w:p w14:paraId="6EB3FE80" w14:textId="77777777" w:rsidR="00012F8C" w:rsidRPr="00C62639" w:rsidRDefault="00012F8C" w:rsidP="003C548E">
            <w:pPr>
              <w:spacing w:before="0" w:after="0" w:line="240" w:lineRule="atLeast"/>
              <w:rPr>
                <w:rFonts w:asciiTheme="minorHAnsi" w:hAnsiTheme="minorHAnsi"/>
                <w:noProof/>
              </w:rPr>
            </w:pPr>
          </w:p>
        </w:tc>
      </w:tr>
      <w:tr w:rsidR="00012F8C" w:rsidRPr="00C62639" w14:paraId="23A3A904" w14:textId="77777777" w:rsidTr="007A1FD9">
        <w:trPr>
          <w:trHeight w:val="14"/>
        </w:trPr>
        <w:tc>
          <w:tcPr>
            <w:tcW w:w="243" w:type="pct"/>
            <w:shd w:val="clear" w:color="auto" w:fill="auto"/>
            <w:vAlign w:val="center"/>
          </w:tcPr>
          <w:p w14:paraId="0B3D496C"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8</w:t>
            </w:r>
          </w:p>
        </w:tc>
        <w:tc>
          <w:tcPr>
            <w:tcW w:w="3489" w:type="pct"/>
            <w:shd w:val="clear" w:color="auto" w:fill="auto"/>
            <w:vAlign w:val="center"/>
            <w:hideMark/>
          </w:tcPr>
          <w:p w14:paraId="4936769F" w14:textId="77777777" w:rsidR="00012F8C" w:rsidRPr="00C62639" w:rsidRDefault="003A6341" w:rsidP="003C548E">
            <w:pPr>
              <w:spacing w:before="0" w:after="0" w:line="240" w:lineRule="atLeast"/>
              <w:rPr>
                <w:rFonts w:asciiTheme="minorHAnsi" w:hAnsiTheme="minorHAnsi"/>
                <w:noProof/>
              </w:rPr>
            </w:pPr>
            <w:r>
              <w:rPr>
                <w:rFonts w:asciiTheme="minorHAnsi" w:hAnsiTheme="minorHAnsi"/>
                <w:noProof/>
              </w:rPr>
              <w:t>Na P</w:t>
            </w:r>
            <w:r w:rsidR="00012F8C" w:rsidRPr="00C62639">
              <w:rPr>
                <w:rFonts w:asciiTheme="minorHAnsi" w:hAnsiTheme="minorHAnsi"/>
                <w:noProof/>
              </w:rPr>
              <w:t>orovnání pro pitnou vodu nebylo vyplněno IČPE žádného vodovodu</w:t>
            </w:r>
          </w:p>
        </w:tc>
        <w:tc>
          <w:tcPr>
            <w:tcW w:w="1268" w:type="pct"/>
            <w:shd w:val="clear" w:color="auto" w:fill="auto"/>
            <w:vAlign w:val="center"/>
          </w:tcPr>
          <w:p w14:paraId="4971890E" w14:textId="77777777" w:rsidR="00012F8C" w:rsidRPr="00C62639" w:rsidRDefault="00012F8C" w:rsidP="003C548E">
            <w:pPr>
              <w:spacing w:before="0" w:after="0" w:line="240" w:lineRule="atLeast"/>
              <w:rPr>
                <w:rFonts w:asciiTheme="minorHAnsi" w:hAnsiTheme="minorHAnsi"/>
                <w:i/>
                <w:noProof/>
              </w:rPr>
            </w:pPr>
            <w:r w:rsidRPr="00C62639">
              <w:rPr>
                <w:rFonts w:asciiTheme="minorHAnsi" w:hAnsiTheme="minorHAnsi"/>
                <w:i/>
                <w:noProof/>
              </w:rPr>
              <w:t>Pouze pro pitnou vodu</w:t>
            </w:r>
          </w:p>
        </w:tc>
      </w:tr>
      <w:tr w:rsidR="00012F8C" w:rsidRPr="00C62639" w14:paraId="1D1667C2" w14:textId="77777777" w:rsidTr="007A1FD9">
        <w:trPr>
          <w:trHeight w:val="14"/>
        </w:trPr>
        <w:tc>
          <w:tcPr>
            <w:tcW w:w="243" w:type="pct"/>
            <w:shd w:val="clear" w:color="auto" w:fill="E5DFEC"/>
            <w:vAlign w:val="center"/>
          </w:tcPr>
          <w:p w14:paraId="5897CA81"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9</w:t>
            </w:r>
          </w:p>
        </w:tc>
        <w:tc>
          <w:tcPr>
            <w:tcW w:w="3489" w:type="pct"/>
            <w:shd w:val="clear" w:color="auto" w:fill="E5DFEC"/>
            <w:vAlign w:val="center"/>
            <w:hideMark/>
          </w:tcPr>
          <w:p w14:paraId="52409EB7" w14:textId="77777777" w:rsidR="00012F8C" w:rsidRPr="00C62639" w:rsidRDefault="00012F8C" w:rsidP="003C548E">
            <w:pPr>
              <w:spacing w:before="0" w:after="0" w:line="240" w:lineRule="atLeast"/>
              <w:rPr>
                <w:rFonts w:asciiTheme="minorHAnsi" w:hAnsiTheme="minorHAnsi"/>
                <w:noProof/>
              </w:rPr>
            </w:pPr>
            <w:r w:rsidRPr="00C62639">
              <w:rPr>
                <w:rFonts w:asciiTheme="minorHAnsi" w:hAnsiTheme="minorHAnsi"/>
                <w:noProof/>
              </w:rPr>
              <w:t>Náklady na surovou vodu uvedené v porovnání jsou nenulové, ale ve VÚPE není uvedeno IČPE pro stavby pro úpravu vody</w:t>
            </w:r>
          </w:p>
        </w:tc>
        <w:tc>
          <w:tcPr>
            <w:tcW w:w="1268" w:type="pct"/>
            <w:shd w:val="clear" w:color="auto" w:fill="E5DFEC"/>
            <w:vAlign w:val="center"/>
          </w:tcPr>
          <w:p w14:paraId="1415A2E2" w14:textId="77777777" w:rsidR="00012F8C" w:rsidRPr="00C62639" w:rsidRDefault="00012F8C" w:rsidP="003C548E">
            <w:pPr>
              <w:spacing w:before="0" w:after="0" w:line="240" w:lineRule="atLeast"/>
              <w:rPr>
                <w:rFonts w:asciiTheme="minorHAnsi" w:hAnsiTheme="minorHAnsi"/>
                <w:i/>
                <w:noProof/>
              </w:rPr>
            </w:pPr>
            <w:r w:rsidRPr="00C62639">
              <w:rPr>
                <w:rFonts w:asciiTheme="minorHAnsi" w:hAnsiTheme="minorHAnsi"/>
                <w:i/>
                <w:noProof/>
              </w:rPr>
              <w:t>Pouze pro pitnou vodu</w:t>
            </w:r>
          </w:p>
        </w:tc>
      </w:tr>
      <w:tr w:rsidR="00012F8C" w:rsidRPr="00C62639" w14:paraId="2F658673" w14:textId="77777777" w:rsidTr="007A1FD9">
        <w:trPr>
          <w:trHeight w:val="14"/>
        </w:trPr>
        <w:tc>
          <w:tcPr>
            <w:tcW w:w="243" w:type="pct"/>
            <w:shd w:val="clear" w:color="auto" w:fill="auto"/>
            <w:vAlign w:val="center"/>
          </w:tcPr>
          <w:p w14:paraId="7F974508" w14:textId="77777777" w:rsidR="00012F8C" w:rsidRPr="00C62639" w:rsidRDefault="00012F8C" w:rsidP="003C548E">
            <w:pPr>
              <w:spacing w:before="0" w:after="0" w:line="240" w:lineRule="atLeast"/>
              <w:jc w:val="center"/>
              <w:rPr>
                <w:rFonts w:asciiTheme="minorHAnsi" w:hAnsiTheme="minorHAnsi"/>
                <w:noProof/>
              </w:rPr>
            </w:pPr>
            <w:r w:rsidRPr="00C62639">
              <w:rPr>
                <w:rFonts w:asciiTheme="minorHAnsi" w:hAnsiTheme="minorHAnsi"/>
                <w:noProof/>
              </w:rPr>
              <w:t>10</w:t>
            </w:r>
          </w:p>
        </w:tc>
        <w:tc>
          <w:tcPr>
            <w:tcW w:w="3489" w:type="pct"/>
            <w:shd w:val="clear" w:color="auto" w:fill="auto"/>
            <w:vAlign w:val="center"/>
            <w:hideMark/>
          </w:tcPr>
          <w:p w14:paraId="69402FA7" w14:textId="77777777" w:rsidR="00012F8C" w:rsidRPr="00C62639" w:rsidRDefault="003A6341" w:rsidP="003C548E">
            <w:pPr>
              <w:spacing w:before="0" w:after="0" w:line="240" w:lineRule="atLeast"/>
              <w:rPr>
                <w:rFonts w:asciiTheme="minorHAnsi" w:hAnsiTheme="minorHAnsi"/>
                <w:noProof/>
              </w:rPr>
            </w:pPr>
            <w:r>
              <w:rPr>
                <w:rFonts w:asciiTheme="minorHAnsi" w:hAnsiTheme="minorHAnsi"/>
                <w:noProof/>
              </w:rPr>
              <w:t>Na P</w:t>
            </w:r>
            <w:r w:rsidR="00012F8C" w:rsidRPr="00C62639">
              <w:rPr>
                <w:rFonts w:asciiTheme="minorHAnsi" w:hAnsiTheme="minorHAnsi"/>
                <w:noProof/>
              </w:rPr>
              <w:t>orovnání nebylo pro odpadní vodu vyplněno IČPE žádné kanalizace</w:t>
            </w:r>
          </w:p>
        </w:tc>
        <w:tc>
          <w:tcPr>
            <w:tcW w:w="1268" w:type="pct"/>
            <w:shd w:val="clear" w:color="auto" w:fill="auto"/>
            <w:vAlign w:val="center"/>
          </w:tcPr>
          <w:p w14:paraId="5E70FB4C" w14:textId="77777777" w:rsidR="00012F8C" w:rsidRPr="00C62639" w:rsidRDefault="00012F8C" w:rsidP="003C548E">
            <w:pPr>
              <w:spacing w:before="0" w:after="0" w:line="240" w:lineRule="atLeast"/>
              <w:rPr>
                <w:rFonts w:asciiTheme="minorHAnsi" w:hAnsiTheme="minorHAnsi"/>
                <w:i/>
                <w:noProof/>
              </w:rPr>
            </w:pPr>
            <w:r w:rsidRPr="00C62639">
              <w:rPr>
                <w:rFonts w:asciiTheme="minorHAnsi" w:hAnsiTheme="minorHAnsi"/>
                <w:i/>
                <w:noProof/>
              </w:rPr>
              <w:t>Pouze pro odpadní vodu</w:t>
            </w:r>
          </w:p>
        </w:tc>
      </w:tr>
    </w:tbl>
    <w:p w14:paraId="654E9698" w14:textId="77777777" w:rsidR="00B67FFD" w:rsidRDefault="00B67FFD" w:rsidP="00AB6F0F">
      <w:pPr>
        <w:pStyle w:val="Normlnzprva"/>
        <w:rPr>
          <w:noProof/>
        </w:rPr>
      </w:pPr>
    </w:p>
    <w:p w14:paraId="57084A3D" w14:textId="77777777" w:rsidR="00D34DCA" w:rsidRDefault="00D34DCA" w:rsidP="00AB6F0F">
      <w:pPr>
        <w:pStyle w:val="Normlnzprva"/>
        <w:rPr>
          <w:noProof/>
        </w:rPr>
      </w:pPr>
    </w:p>
    <w:p w14:paraId="64E3BC92" w14:textId="001C06E6" w:rsidR="00692CE6" w:rsidRPr="00C62639" w:rsidRDefault="007A1FD9" w:rsidP="00AB6F0F">
      <w:pPr>
        <w:pStyle w:val="Normlnzprva"/>
        <w:rPr>
          <w:rFonts w:asciiTheme="minorHAnsi" w:hAnsiTheme="minorHAnsi" w:cs="Calibri"/>
          <w:noProof/>
        </w:rPr>
      </w:pPr>
      <w:r w:rsidRPr="00934258">
        <w:rPr>
          <w:noProof/>
        </w:rPr>
        <w:t xml:space="preserve">Jednotlivé důvody </w:t>
      </w:r>
      <w:r>
        <w:rPr>
          <w:noProof/>
        </w:rPr>
        <w:t>byly</w:t>
      </w:r>
      <w:r w:rsidRPr="00934258">
        <w:rPr>
          <w:noProof/>
        </w:rPr>
        <w:t xml:space="preserve"> pro zjednodušení </w:t>
      </w:r>
      <w:r>
        <w:rPr>
          <w:noProof/>
        </w:rPr>
        <w:t>zařazeny</w:t>
      </w:r>
      <w:r w:rsidRPr="00934258">
        <w:rPr>
          <w:noProof/>
        </w:rPr>
        <w:t xml:space="preserve"> do pěti </w:t>
      </w:r>
      <w:r>
        <w:rPr>
          <w:noProof/>
        </w:rPr>
        <w:t>kategorií</w:t>
      </w:r>
      <w:r w:rsidRPr="00934258">
        <w:rPr>
          <w:noProof/>
        </w:rPr>
        <w:t xml:space="preserve"> a jejich kvantitativní vyjádření výsk</w:t>
      </w:r>
      <w:r w:rsidR="00AB6F0F">
        <w:rPr>
          <w:noProof/>
        </w:rPr>
        <w:t>ytu je uvedeno dále zvlášť pro „</w:t>
      </w:r>
      <w:r w:rsidRPr="00934258">
        <w:rPr>
          <w:noProof/>
        </w:rPr>
        <w:t>Vodovod“ a „Kanalizaci“.</w:t>
      </w:r>
    </w:p>
    <w:p w14:paraId="0FC6223B" w14:textId="77777777" w:rsidR="00692CE6" w:rsidRDefault="007A1FD9" w:rsidP="00AB6F0F">
      <w:pPr>
        <w:pStyle w:val="Normlnzprva"/>
        <w:rPr>
          <w:rFonts w:asciiTheme="minorHAnsi" w:hAnsiTheme="minorHAnsi" w:cs="Calibri"/>
          <w:noProof/>
        </w:rPr>
      </w:pPr>
      <w:r>
        <w:rPr>
          <w:noProof/>
          <w:lang w:val="sk-SK"/>
        </w:rPr>
        <w:t xml:space="preserve">Nejvíce </w:t>
      </w:r>
      <w:r>
        <w:rPr>
          <w:noProof/>
        </w:rPr>
        <w:t xml:space="preserve">Porovnání </w:t>
      </w:r>
      <w:r>
        <w:rPr>
          <w:noProof/>
          <w:lang w:val="sk-SK"/>
        </w:rPr>
        <w:t xml:space="preserve">bylo </w:t>
      </w:r>
      <w:r>
        <w:rPr>
          <w:noProof/>
        </w:rPr>
        <w:t xml:space="preserve">vyřazeno z </w:t>
      </w:r>
      <w:r w:rsidRPr="00934258">
        <w:rPr>
          <w:noProof/>
        </w:rPr>
        <w:t>důvodů, které byly spojeny s IČPE</w:t>
      </w:r>
      <w:r w:rsidR="00C1539B" w:rsidRPr="00C62639">
        <w:rPr>
          <w:rFonts w:asciiTheme="minorHAnsi" w:hAnsiTheme="minorHAnsi" w:cs="Calibri"/>
          <w:noProof/>
        </w:rPr>
        <w:t>.</w:t>
      </w:r>
      <w:r w:rsidRPr="00934258">
        <w:rPr>
          <w:noProof/>
        </w:rPr>
        <w:t xml:space="preserve"> </w:t>
      </w:r>
      <w:r>
        <w:rPr>
          <w:noProof/>
        </w:rPr>
        <w:t xml:space="preserve">Buď k IČPE ve VÚPE chybělo související IČME ve VÚME, nebo k IČPE uvedenému na Porovnání </w:t>
      </w:r>
      <w:r>
        <w:rPr>
          <w:noProof/>
          <w:lang w:val="sk-SK"/>
        </w:rPr>
        <w:t>c</w:t>
      </w:r>
      <w:r>
        <w:rPr>
          <w:noProof/>
        </w:rPr>
        <w:t>hybělo IČPE ve VÚPE</w:t>
      </w:r>
      <w:r w:rsidR="00692CE6" w:rsidRPr="00C62639">
        <w:rPr>
          <w:rFonts w:asciiTheme="minorHAnsi" w:hAnsiTheme="minorHAnsi" w:cs="Calibri"/>
          <w:noProof/>
        </w:rPr>
        <w:t>, což znemožnilo napojení informací z VÚPE a VÚME k danému takovému Porovnání.</w:t>
      </w:r>
    </w:p>
    <w:p w14:paraId="3F1BE835" w14:textId="77777777" w:rsidR="00692CE6" w:rsidRDefault="00692CE6" w:rsidP="00AB6F0F">
      <w:pPr>
        <w:pStyle w:val="Normlnzprva"/>
        <w:rPr>
          <w:rFonts w:asciiTheme="minorHAnsi" w:hAnsiTheme="minorHAnsi" w:cs="Calibri"/>
          <w:noProof/>
        </w:rPr>
      </w:pPr>
      <w:r w:rsidRPr="00C62639">
        <w:rPr>
          <w:rFonts w:asciiTheme="minorHAnsi" w:hAnsiTheme="minorHAnsi" w:cs="Calibri"/>
          <w:noProof/>
        </w:rPr>
        <w:t xml:space="preserve">Oba benchmarkingové projekty (vlastnický i provozovatelský) obsahují na závěr výčet konkrétních Porovnání s identifikací </w:t>
      </w:r>
      <w:r w:rsidR="00C1539B" w:rsidRPr="00C62639">
        <w:rPr>
          <w:rFonts w:asciiTheme="minorHAnsi" w:hAnsiTheme="minorHAnsi" w:cs="Calibri"/>
          <w:noProof/>
        </w:rPr>
        <w:t>důvodu, který byl</w:t>
      </w:r>
      <w:r w:rsidRPr="00C62639">
        <w:rPr>
          <w:rFonts w:asciiTheme="minorHAnsi" w:hAnsiTheme="minorHAnsi" w:cs="Calibri"/>
          <w:noProof/>
        </w:rPr>
        <w:t xml:space="preserve"> příčinou jejich vyřazení </w:t>
      </w:r>
      <w:r w:rsidR="007049F3" w:rsidRPr="00C62639">
        <w:rPr>
          <w:rFonts w:asciiTheme="minorHAnsi" w:hAnsiTheme="minorHAnsi" w:cs="Calibri"/>
          <w:noProof/>
        </w:rPr>
        <w:br/>
      </w:r>
      <w:r w:rsidRPr="00C62639">
        <w:rPr>
          <w:rFonts w:asciiTheme="minorHAnsi" w:hAnsiTheme="minorHAnsi" w:cs="Calibri"/>
          <w:noProof/>
        </w:rPr>
        <w:t>z benchmarkingu.</w:t>
      </w:r>
      <w:r w:rsidR="00EB23E5" w:rsidRPr="00C62639">
        <w:rPr>
          <w:rFonts w:asciiTheme="minorHAnsi" w:hAnsiTheme="minorHAnsi" w:cs="Calibri"/>
          <w:noProof/>
        </w:rPr>
        <w:t xml:space="preserve"> </w:t>
      </w:r>
    </w:p>
    <w:p w14:paraId="11FE7B1A" w14:textId="77777777" w:rsidR="009A3BB2" w:rsidRDefault="009A3BB2">
      <w:pPr>
        <w:spacing w:before="0" w:after="0"/>
        <w:contextualSpacing w:val="0"/>
        <w:jc w:val="left"/>
        <w:rPr>
          <w:rFonts w:asciiTheme="minorHAnsi" w:eastAsia="Times New Roman" w:hAnsiTheme="minorHAnsi"/>
          <w:noProof/>
          <w:color w:val="243F60"/>
          <w:szCs w:val="24"/>
        </w:rPr>
      </w:pPr>
      <w:bookmarkStart w:id="24" w:name="_Toc505684411"/>
      <w:r>
        <w:rPr>
          <w:rFonts w:asciiTheme="minorHAnsi" w:hAnsiTheme="minorHAnsi"/>
          <w:noProof/>
        </w:rPr>
        <w:br w:type="page"/>
      </w:r>
    </w:p>
    <w:p w14:paraId="2CA80AA1" w14:textId="58F389E8" w:rsidR="00692CE6" w:rsidRPr="00C62639" w:rsidRDefault="00692CE6" w:rsidP="00692CE6">
      <w:pPr>
        <w:pStyle w:val="Nadpis3"/>
        <w:rPr>
          <w:rFonts w:asciiTheme="minorHAnsi" w:hAnsiTheme="minorHAnsi"/>
          <w:noProof/>
        </w:rPr>
      </w:pPr>
      <w:r w:rsidRPr="00C62639">
        <w:rPr>
          <w:rFonts w:asciiTheme="minorHAnsi" w:hAnsiTheme="minorHAnsi"/>
          <w:noProof/>
        </w:rPr>
        <w:lastRenderedPageBreak/>
        <w:t>Vodovod</w:t>
      </w:r>
      <w:bookmarkEnd w:id="24"/>
    </w:p>
    <w:p w14:paraId="45AC8001" w14:textId="5609CB69" w:rsidR="007049F3" w:rsidRDefault="007A1FD9" w:rsidP="00AB6F0F">
      <w:pPr>
        <w:pStyle w:val="Normlnzprva"/>
        <w:rPr>
          <w:noProof/>
        </w:rPr>
      </w:pPr>
      <w:r w:rsidRPr="00934258">
        <w:rPr>
          <w:noProof/>
        </w:rPr>
        <w:t xml:space="preserve">Z celkového počtu 1820 Porovnání bylo vyřazeno 238 Porovnání. Nejčastějším důvodem (81,9 %) bylo, že </w:t>
      </w:r>
      <w:r>
        <w:rPr>
          <w:noProof/>
        </w:rPr>
        <w:t>k některému</w:t>
      </w:r>
      <w:r w:rsidRPr="00934258">
        <w:rPr>
          <w:noProof/>
        </w:rPr>
        <w:t xml:space="preserve"> IČPE uveden</w:t>
      </w:r>
      <w:r>
        <w:rPr>
          <w:noProof/>
        </w:rPr>
        <w:t>ému</w:t>
      </w:r>
      <w:r w:rsidRPr="00934258">
        <w:rPr>
          <w:noProof/>
        </w:rPr>
        <w:t xml:space="preserve"> na Porovnání </w:t>
      </w:r>
      <w:r>
        <w:rPr>
          <w:noProof/>
        </w:rPr>
        <w:t>nebylo</w:t>
      </w:r>
      <w:r w:rsidRPr="00934258">
        <w:rPr>
          <w:noProof/>
        </w:rPr>
        <w:t xml:space="preserve"> </w:t>
      </w:r>
      <w:r>
        <w:rPr>
          <w:noProof/>
        </w:rPr>
        <w:t>zasláno hlášení</w:t>
      </w:r>
      <w:r w:rsidR="00B26631">
        <w:rPr>
          <w:noProof/>
        </w:rPr>
        <w:t xml:space="preserve"> </w:t>
      </w:r>
      <w:r w:rsidRPr="00934258">
        <w:rPr>
          <w:noProof/>
        </w:rPr>
        <w:t>VÚPE.</w:t>
      </w:r>
    </w:p>
    <w:p w14:paraId="075C18B4" w14:textId="77777777" w:rsidR="00F666F7" w:rsidRPr="00C62639" w:rsidRDefault="00F666F7" w:rsidP="00AB6F0F">
      <w:pPr>
        <w:pStyle w:val="Normlnzprva"/>
        <w:rPr>
          <w:rFonts w:asciiTheme="minorHAnsi" w:hAnsiTheme="minorHAnsi" w:cs="Calibri"/>
          <w:noProof/>
        </w:rPr>
      </w:pPr>
    </w:p>
    <w:tbl>
      <w:tblPr>
        <w:tblW w:w="3812"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20" w:firstRow="1" w:lastRow="0" w:firstColumn="0" w:lastColumn="0" w:noHBand="0" w:noVBand="1"/>
      </w:tblPr>
      <w:tblGrid>
        <w:gridCol w:w="3641"/>
        <w:gridCol w:w="3266"/>
      </w:tblGrid>
      <w:tr w:rsidR="00C96E2F" w:rsidRPr="00C62639" w14:paraId="773B7C98" w14:textId="77777777" w:rsidTr="00762B0A">
        <w:trPr>
          <w:trHeight w:val="472"/>
          <w:jc w:val="center"/>
        </w:trPr>
        <w:tc>
          <w:tcPr>
            <w:tcW w:w="2636" w:type="pct"/>
            <w:tcBorders>
              <w:top w:val="single" w:sz="4" w:space="0" w:color="FFFFFF"/>
              <w:left w:val="single" w:sz="4" w:space="0" w:color="FFFFFF"/>
              <w:right w:val="nil"/>
            </w:tcBorders>
            <w:shd w:val="clear" w:color="auto" w:fill="4F81BD"/>
            <w:hideMark/>
          </w:tcPr>
          <w:p w14:paraId="05B78514" w14:textId="77777777" w:rsidR="00C96E2F" w:rsidRPr="00C62639" w:rsidRDefault="00C96E2F" w:rsidP="00762B0A">
            <w:pPr>
              <w:pStyle w:val="normlntextvodstavcch"/>
              <w:spacing w:before="0" w:after="0"/>
              <w:ind w:firstLine="0"/>
              <w:jc w:val="left"/>
              <w:rPr>
                <w:rFonts w:asciiTheme="minorHAnsi" w:hAnsiTheme="minorHAnsi"/>
                <w:b/>
                <w:bCs/>
                <w:noProof/>
                <w:color w:val="FFFFFF"/>
                <w:szCs w:val="22"/>
              </w:rPr>
            </w:pPr>
            <w:r w:rsidRPr="00C62639">
              <w:rPr>
                <w:rFonts w:asciiTheme="minorHAnsi" w:hAnsiTheme="minorHAnsi"/>
                <w:b/>
                <w:bCs/>
                <w:noProof/>
                <w:color w:val="FFFFFF"/>
                <w:szCs w:val="22"/>
              </w:rPr>
              <w:t>Důvod vyřazení Porovnání - VODOVOD</w:t>
            </w:r>
          </w:p>
        </w:tc>
        <w:tc>
          <w:tcPr>
            <w:tcW w:w="2364" w:type="pct"/>
            <w:tcBorders>
              <w:top w:val="single" w:sz="4" w:space="0" w:color="FFFFFF"/>
              <w:left w:val="nil"/>
              <w:right w:val="single" w:sz="4" w:space="0" w:color="FFFFFF"/>
            </w:tcBorders>
            <w:shd w:val="clear" w:color="auto" w:fill="4F81BD"/>
            <w:hideMark/>
          </w:tcPr>
          <w:p w14:paraId="6C78F427" w14:textId="77777777" w:rsidR="00C96E2F" w:rsidRPr="00C62639" w:rsidRDefault="00C96E2F" w:rsidP="00762B0A">
            <w:pPr>
              <w:pStyle w:val="normlntextvodstavcch"/>
              <w:spacing w:before="0" w:after="0"/>
              <w:ind w:firstLine="0"/>
              <w:jc w:val="center"/>
              <w:rPr>
                <w:rFonts w:asciiTheme="minorHAnsi" w:hAnsiTheme="minorHAnsi"/>
                <w:b/>
                <w:bCs/>
                <w:noProof/>
                <w:color w:val="FFFFFF"/>
                <w:szCs w:val="22"/>
              </w:rPr>
            </w:pPr>
            <w:r w:rsidRPr="00C62639">
              <w:rPr>
                <w:rFonts w:asciiTheme="minorHAnsi" w:hAnsiTheme="minorHAnsi"/>
                <w:b/>
                <w:bCs/>
                <w:noProof/>
                <w:color w:val="FFFFFF"/>
                <w:szCs w:val="22"/>
              </w:rPr>
              <w:t>Počet vyřazených Porovnání z benchmarkingu 2016 (ks)</w:t>
            </w:r>
          </w:p>
        </w:tc>
      </w:tr>
      <w:tr w:rsidR="00C96E2F" w:rsidRPr="00C62639" w14:paraId="004285B8" w14:textId="77777777" w:rsidTr="00762B0A">
        <w:trPr>
          <w:trHeight w:val="285"/>
          <w:jc w:val="center"/>
        </w:trPr>
        <w:tc>
          <w:tcPr>
            <w:tcW w:w="2636" w:type="pct"/>
            <w:shd w:val="clear" w:color="auto" w:fill="B8CCE4"/>
            <w:hideMark/>
          </w:tcPr>
          <w:p w14:paraId="4027B9F2" w14:textId="77777777" w:rsidR="00C96E2F" w:rsidRPr="00C62639" w:rsidRDefault="00C96E2F" w:rsidP="00762B0A">
            <w:pPr>
              <w:pStyle w:val="normlntextvodstavcch"/>
              <w:spacing w:before="0" w:after="0"/>
              <w:ind w:firstLine="0"/>
              <w:rPr>
                <w:rFonts w:asciiTheme="minorHAnsi" w:hAnsiTheme="minorHAnsi"/>
                <w:noProof/>
                <w:szCs w:val="22"/>
              </w:rPr>
            </w:pPr>
            <w:r w:rsidRPr="00C62639">
              <w:rPr>
                <w:rFonts w:asciiTheme="minorHAnsi" w:hAnsiTheme="minorHAnsi"/>
                <w:noProof/>
                <w:szCs w:val="22"/>
              </w:rPr>
              <w:t xml:space="preserve">Problémy mezi </w:t>
            </w:r>
            <w:r w:rsidR="006D6490" w:rsidRPr="00C62639">
              <w:rPr>
                <w:rFonts w:asciiTheme="minorHAnsi" w:hAnsiTheme="minorHAnsi"/>
                <w:noProof/>
                <w:szCs w:val="22"/>
              </w:rPr>
              <w:t>VÚME</w:t>
            </w:r>
            <w:r w:rsidRPr="00C62639">
              <w:rPr>
                <w:rFonts w:asciiTheme="minorHAnsi" w:hAnsiTheme="minorHAnsi"/>
                <w:noProof/>
                <w:szCs w:val="22"/>
              </w:rPr>
              <w:t xml:space="preserve"> a </w:t>
            </w:r>
            <w:r w:rsidR="006D6490" w:rsidRPr="00C62639">
              <w:rPr>
                <w:rFonts w:asciiTheme="minorHAnsi" w:hAnsiTheme="minorHAnsi"/>
                <w:noProof/>
                <w:szCs w:val="22"/>
              </w:rPr>
              <w:t>VÚPE</w:t>
            </w:r>
          </w:p>
        </w:tc>
        <w:tc>
          <w:tcPr>
            <w:tcW w:w="2364" w:type="pct"/>
            <w:shd w:val="clear" w:color="auto" w:fill="B8CCE4"/>
            <w:hideMark/>
          </w:tcPr>
          <w:p w14:paraId="4F1553F4" w14:textId="77777777" w:rsidR="00C96E2F" w:rsidRPr="00C62639" w:rsidRDefault="00C96E2F" w:rsidP="00762B0A">
            <w:pPr>
              <w:pStyle w:val="normlntextvodstavcch"/>
              <w:spacing w:before="0" w:after="0"/>
              <w:ind w:firstLine="0"/>
              <w:jc w:val="center"/>
              <w:rPr>
                <w:rFonts w:asciiTheme="minorHAnsi" w:hAnsiTheme="minorHAnsi"/>
                <w:noProof/>
                <w:szCs w:val="22"/>
              </w:rPr>
            </w:pPr>
            <w:r w:rsidRPr="00C62639">
              <w:rPr>
                <w:rFonts w:asciiTheme="minorHAnsi" w:hAnsiTheme="minorHAnsi"/>
                <w:noProof/>
                <w:szCs w:val="22"/>
              </w:rPr>
              <w:t>3</w:t>
            </w:r>
          </w:p>
        </w:tc>
      </w:tr>
      <w:tr w:rsidR="00C96E2F" w:rsidRPr="00C62639" w14:paraId="7FB60988" w14:textId="77777777" w:rsidTr="00762B0A">
        <w:trPr>
          <w:trHeight w:val="201"/>
          <w:jc w:val="center"/>
        </w:trPr>
        <w:tc>
          <w:tcPr>
            <w:tcW w:w="2636" w:type="pct"/>
            <w:shd w:val="clear" w:color="auto" w:fill="DBE5F1"/>
            <w:hideMark/>
          </w:tcPr>
          <w:p w14:paraId="1310A1AA" w14:textId="6F0027B3" w:rsidR="00C96E2F" w:rsidRPr="00C62639" w:rsidRDefault="00C96E2F" w:rsidP="00762B0A">
            <w:pPr>
              <w:pStyle w:val="normlntextvodstavcch"/>
              <w:spacing w:before="0" w:after="0"/>
              <w:ind w:firstLine="0"/>
              <w:rPr>
                <w:rFonts w:asciiTheme="minorHAnsi" w:hAnsiTheme="minorHAnsi"/>
                <w:noProof/>
                <w:szCs w:val="22"/>
              </w:rPr>
            </w:pPr>
            <w:r w:rsidRPr="00C62639">
              <w:rPr>
                <w:rFonts w:asciiTheme="minorHAnsi" w:hAnsiTheme="minorHAnsi"/>
                <w:noProof/>
                <w:szCs w:val="22"/>
              </w:rPr>
              <w:t xml:space="preserve">Problémy mezi </w:t>
            </w:r>
            <w:r w:rsidR="006D6490" w:rsidRPr="00C62639">
              <w:rPr>
                <w:rFonts w:asciiTheme="minorHAnsi" w:hAnsiTheme="minorHAnsi"/>
                <w:noProof/>
                <w:szCs w:val="22"/>
              </w:rPr>
              <w:t>Porovnáním</w:t>
            </w:r>
            <w:r w:rsidR="00B26631">
              <w:rPr>
                <w:rFonts w:asciiTheme="minorHAnsi" w:hAnsiTheme="minorHAnsi"/>
                <w:noProof/>
                <w:szCs w:val="22"/>
              </w:rPr>
              <w:t xml:space="preserve"> </w:t>
            </w:r>
            <w:r w:rsidRPr="00C62639">
              <w:rPr>
                <w:rFonts w:asciiTheme="minorHAnsi" w:hAnsiTheme="minorHAnsi"/>
                <w:noProof/>
                <w:szCs w:val="22"/>
              </w:rPr>
              <w:t xml:space="preserve">a </w:t>
            </w:r>
            <w:r w:rsidR="006D6490" w:rsidRPr="00C62639">
              <w:rPr>
                <w:rFonts w:asciiTheme="minorHAnsi" w:hAnsiTheme="minorHAnsi"/>
                <w:noProof/>
                <w:szCs w:val="22"/>
              </w:rPr>
              <w:t>VÚPE</w:t>
            </w:r>
          </w:p>
        </w:tc>
        <w:tc>
          <w:tcPr>
            <w:tcW w:w="2364" w:type="pct"/>
            <w:shd w:val="clear" w:color="auto" w:fill="DBE5F1"/>
            <w:hideMark/>
          </w:tcPr>
          <w:p w14:paraId="0016A49F" w14:textId="77777777" w:rsidR="00C96E2F" w:rsidRPr="00C62639" w:rsidRDefault="00C96E2F" w:rsidP="00762B0A">
            <w:pPr>
              <w:pStyle w:val="normlntextvodstavcch"/>
              <w:spacing w:before="0" w:after="0"/>
              <w:ind w:firstLine="0"/>
              <w:jc w:val="center"/>
              <w:rPr>
                <w:rFonts w:asciiTheme="minorHAnsi" w:hAnsiTheme="minorHAnsi"/>
                <w:noProof/>
                <w:szCs w:val="22"/>
              </w:rPr>
            </w:pPr>
            <w:r w:rsidRPr="00C62639">
              <w:rPr>
                <w:rFonts w:asciiTheme="minorHAnsi" w:hAnsiTheme="minorHAnsi"/>
                <w:noProof/>
                <w:szCs w:val="22"/>
              </w:rPr>
              <w:t>195</w:t>
            </w:r>
          </w:p>
        </w:tc>
      </w:tr>
      <w:tr w:rsidR="00C96E2F" w:rsidRPr="00C62639" w14:paraId="40294852" w14:textId="77777777" w:rsidTr="00762B0A">
        <w:trPr>
          <w:trHeight w:val="281"/>
          <w:jc w:val="center"/>
        </w:trPr>
        <w:tc>
          <w:tcPr>
            <w:tcW w:w="2636" w:type="pct"/>
            <w:shd w:val="clear" w:color="auto" w:fill="B8CCE4"/>
            <w:hideMark/>
          </w:tcPr>
          <w:p w14:paraId="0598AB64" w14:textId="77777777" w:rsidR="00C96E2F" w:rsidRPr="00C62639" w:rsidRDefault="00C96E2F" w:rsidP="00762B0A">
            <w:pPr>
              <w:pStyle w:val="normlntextvodstavcch"/>
              <w:spacing w:before="0" w:after="0"/>
              <w:ind w:firstLine="0"/>
              <w:rPr>
                <w:rFonts w:asciiTheme="minorHAnsi" w:hAnsiTheme="minorHAnsi"/>
                <w:noProof/>
                <w:szCs w:val="22"/>
              </w:rPr>
            </w:pPr>
            <w:r w:rsidRPr="00C62639">
              <w:rPr>
                <w:rFonts w:asciiTheme="minorHAnsi" w:hAnsiTheme="minorHAnsi"/>
                <w:noProof/>
                <w:szCs w:val="22"/>
              </w:rPr>
              <w:t>Není žádné IČPE</w:t>
            </w:r>
          </w:p>
        </w:tc>
        <w:tc>
          <w:tcPr>
            <w:tcW w:w="2364" w:type="pct"/>
            <w:shd w:val="clear" w:color="auto" w:fill="B8CCE4"/>
            <w:hideMark/>
          </w:tcPr>
          <w:p w14:paraId="4CF3CDC1" w14:textId="77777777" w:rsidR="00C96E2F" w:rsidRPr="00C62639" w:rsidRDefault="00C96E2F" w:rsidP="00762B0A">
            <w:pPr>
              <w:pStyle w:val="normlntextvodstavcch"/>
              <w:spacing w:before="0" w:after="0"/>
              <w:ind w:firstLine="0"/>
              <w:jc w:val="center"/>
              <w:rPr>
                <w:rFonts w:asciiTheme="minorHAnsi" w:hAnsiTheme="minorHAnsi"/>
                <w:noProof/>
                <w:szCs w:val="22"/>
              </w:rPr>
            </w:pPr>
            <w:r w:rsidRPr="00C62639">
              <w:rPr>
                <w:rFonts w:asciiTheme="minorHAnsi" w:hAnsiTheme="minorHAnsi"/>
                <w:noProof/>
                <w:szCs w:val="22"/>
              </w:rPr>
              <w:t>20</w:t>
            </w:r>
          </w:p>
        </w:tc>
      </w:tr>
      <w:tr w:rsidR="00C96E2F" w:rsidRPr="00C62639" w14:paraId="3F893FB6" w14:textId="77777777" w:rsidTr="00762B0A">
        <w:trPr>
          <w:trHeight w:val="271"/>
          <w:jc w:val="center"/>
        </w:trPr>
        <w:tc>
          <w:tcPr>
            <w:tcW w:w="2636" w:type="pct"/>
            <w:shd w:val="clear" w:color="auto" w:fill="DBE5F1"/>
            <w:hideMark/>
          </w:tcPr>
          <w:p w14:paraId="0AC83826" w14:textId="76B0B68A" w:rsidR="00C96E2F" w:rsidRPr="00C62639" w:rsidRDefault="00C96E2F" w:rsidP="00762B0A">
            <w:pPr>
              <w:pStyle w:val="normlntextvodstavcch"/>
              <w:spacing w:before="0" w:after="0"/>
              <w:ind w:firstLine="0"/>
              <w:rPr>
                <w:rFonts w:asciiTheme="minorHAnsi" w:hAnsiTheme="minorHAnsi"/>
                <w:noProof/>
                <w:szCs w:val="22"/>
              </w:rPr>
            </w:pPr>
            <w:r w:rsidRPr="00C62639">
              <w:rPr>
                <w:rFonts w:asciiTheme="minorHAnsi" w:hAnsiTheme="minorHAnsi"/>
                <w:noProof/>
                <w:szCs w:val="22"/>
              </w:rPr>
              <w:t>Není</w:t>
            </w:r>
            <w:r w:rsidR="00B26631">
              <w:rPr>
                <w:rFonts w:asciiTheme="minorHAnsi" w:hAnsiTheme="minorHAnsi"/>
                <w:noProof/>
                <w:szCs w:val="22"/>
              </w:rPr>
              <w:t xml:space="preserve"> </w:t>
            </w:r>
            <w:r w:rsidRPr="00C62639">
              <w:rPr>
                <w:rFonts w:asciiTheme="minorHAnsi" w:hAnsiTheme="minorHAnsi"/>
                <w:noProof/>
                <w:szCs w:val="22"/>
              </w:rPr>
              <w:t>IČPE</w:t>
            </w:r>
            <w:r w:rsidR="00B26631">
              <w:rPr>
                <w:rFonts w:asciiTheme="minorHAnsi" w:hAnsiTheme="minorHAnsi"/>
                <w:noProof/>
                <w:szCs w:val="22"/>
              </w:rPr>
              <w:t xml:space="preserve"> </w:t>
            </w:r>
            <w:r w:rsidRPr="00C62639">
              <w:rPr>
                <w:rFonts w:asciiTheme="minorHAnsi" w:hAnsiTheme="minorHAnsi"/>
                <w:noProof/>
                <w:szCs w:val="22"/>
              </w:rPr>
              <w:t>vodovodu</w:t>
            </w:r>
          </w:p>
        </w:tc>
        <w:tc>
          <w:tcPr>
            <w:tcW w:w="2364" w:type="pct"/>
            <w:shd w:val="clear" w:color="auto" w:fill="DBE5F1"/>
            <w:hideMark/>
          </w:tcPr>
          <w:p w14:paraId="3E1ED2C9" w14:textId="77777777" w:rsidR="00C96E2F" w:rsidRPr="00C62639" w:rsidRDefault="00C96E2F" w:rsidP="00762B0A">
            <w:pPr>
              <w:pStyle w:val="normlntextvodstavcch"/>
              <w:spacing w:before="0" w:after="0"/>
              <w:ind w:firstLine="0"/>
              <w:jc w:val="center"/>
              <w:rPr>
                <w:rFonts w:asciiTheme="minorHAnsi" w:hAnsiTheme="minorHAnsi"/>
                <w:noProof/>
                <w:szCs w:val="22"/>
              </w:rPr>
            </w:pPr>
            <w:r w:rsidRPr="00C62639">
              <w:rPr>
                <w:rFonts w:asciiTheme="minorHAnsi" w:hAnsiTheme="minorHAnsi"/>
                <w:noProof/>
                <w:szCs w:val="22"/>
              </w:rPr>
              <w:t>12</w:t>
            </w:r>
          </w:p>
        </w:tc>
      </w:tr>
      <w:tr w:rsidR="00C96E2F" w:rsidRPr="00C62639" w14:paraId="30E64162" w14:textId="77777777" w:rsidTr="00762B0A">
        <w:trPr>
          <w:trHeight w:val="246"/>
          <w:jc w:val="center"/>
        </w:trPr>
        <w:tc>
          <w:tcPr>
            <w:tcW w:w="2636" w:type="pct"/>
            <w:shd w:val="clear" w:color="auto" w:fill="B8CCE4"/>
            <w:hideMark/>
          </w:tcPr>
          <w:p w14:paraId="0F5E0907" w14:textId="77777777" w:rsidR="00C96E2F" w:rsidRPr="00C62639" w:rsidRDefault="00C96E2F" w:rsidP="00762B0A">
            <w:pPr>
              <w:pStyle w:val="normlntextvodstavcch"/>
              <w:spacing w:before="0" w:after="0"/>
              <w:ind w:firstLine="0"/>
              <w:rPr>
                <w:rFonts w:asciiTheme="minorHAnsi" w:hAnsiTheme="minorHAnsi"/>
                <w:noProof/>
                <w:szCs w:val="22"/>
              </w:rPr>
            </w:pPr>
            <w:r w:rsidRPr="00C62639">
              <w:rPr>
                <w:rFonts w:asciiTheme="minorHAnsi" w:hAnsiTheme="minorHAnsi"/>
                <w:noProof/>
                <w:szCs w:val="22"/>
              </w:rPr>
              <w:t>„</w:t>
            </w:r>
            <w:r w:rsidR="00AE02CA" w:rsidRPr="00C62639">
              <w:rPr>
                <w:rFonts w:asciiTheme="minorHAnsi" w:hAnsiTheme="minorHAnsi"/>
                <w:noProof/>
                <w:szCs w:val="22"/>
              </w:rPr>
              <w:t>nelogická</w:t>
            </w:r>
            <w:r w:rsidRPr="00C62639">
              <w:rPr>
                <w:rFonts w:asciiTheme="minorHAnsi" w:hAnsiTheme="minorHAnsi"/>
                <w:noProof/>
                <w:szCs w:val="22"/>
              </w:rPr>
              <w:t>“ data</w:t>
            </w:r>
          </w:p>
        </w:tc>
        <w:tc>
          <w:tcPr>
            <w:tcW w:w="2364" w:type="pct"/>
            <w:shd w:val="clear" w:color="auto" w:fill="B8CCE4"/>
            <w:hideMark/>
          </w:tcPr>
          <w:p w14:paraId="258D1834" w14:textId="77777777" w:rsidR="00C96E2F" w:rsidRPr="00C62639" w:rsidRDefault="00C96E2F" w:rsidP="00762B0A">
            <w:pPr>
              <w:pStyle w:val="normlntextvodstavcch"/>
              <w:spacing w:before="0" w:after="0"/>
              <w:ind w:firstLine="0"/>
              <w:jc w:val="center"/>
              <w:rPr>
                <w:rFonts w:asciiTheme="minorHAnsi" w:hAnsiTheme="minorHAnsi"/>
                <w:noProof/>
                <w:szCs w:val="22"/>
              </w:rPr>
            </w:pPr>
            <w:r w:rsidRPr="00C62639">
              <w:rPr>
                <w:rFonts w:asciiTheme="minorHAnsi" w:hAnsiTheme="minorHAnsi"/>
                <w:noProof/>
                <w:szCs w:val="22"/>
              </w:rPr>
              <w:t>8</w:t>
            </w:r>
          </w:p>
        </w:tc>
      </w:tr>
      <w:tr w:rsidR="00C96E2F" w:rsidRPr="00C62639" w14:paraId="4171C93E" w14:textId="77777777" w:rsidTr="00762B0A">
        <w:trPr>
          <w:trHeight w:val="177"/>
          <w:jc w:val="center"/>
        </w:trPr>
        <w:tc>
          <w:tcPr>
            <w:tcW w:w="2636" w:type="pct"/>
            <w:shd w:val="clear" w:color="auto" w:fill="DBE5F1"/>
            <w:hideMark/>
          </w:tcPr>
          <w:p w14:paraId="0C6712D0" w14:textId="77777777" w:rsidR="00C96E2F" w:rsidRPr="00C62639" w:rsidRDefault="00C96E2F" w:rsidP="00762B0A">
            <w:pPr>
              <w:pStyle w:val="normlntextvodstavcch"/>
              <w:spacing w:before="0" w:after="0"/>
              <w:ind w:firstLine="0"/>
              <w:jc w:val="right"/>
              <w:rPr>
                <w:rFonts w:asciiTheme="minorHAnsi" w:hAnsiTheme="minorHAnsi"/>
                <w:noProof/>
                <w:szCs w:val="22"/>
              </w:rPr>
            </w:pPr>
            <w:r w:rsidRPr="00C62639">
              <w:rPr>
                <w:rFonts w:asciiTheme="minorHAnsi" w:hAnsiTheme="minorHAnsi"/>
                <w:b/>
                <w:bCs/>
                <w:noProof/>
                <w:szCs w:val="22"/>
              </w:rPr>
              <w:t>celkem</w:t>
            </w:r>
          </w:p>
        </w:tc>
        <w:tc>
          <w:tcPr>
            <w:tcW w:w="2364" w:type="pct"/>
            <w:shd w:val="clear" w:color="auto" w:fill="DBE5F1"/>
            <w:hideMark/>
          </w:tcPr>
          <w:p w14:paraId="6949709B" w14:textId="77777777" w:rsidR="00C96E2F" w:rsidRPr="00C62639" w:rsidRDefault="00C96E2F" w:rsidP="00762B0A">
            <w:pPr>
              <w:pStyle w:val="normlntextvodstavcch"/>
              <w:spacing w:before="0" w:after="0"/>
              <w:ind w:firstLine="0"/>
              <w:jc w:val="center"/>
              <w:rPr>
                <w:rFonts w:asciiTheme="minorHAnsi" w:hAnsiTheme="minorHAnsi"/>
                <w:noProof/>
                <w:szCs w:val="22"/>
              </w:rPr>
            </w:pPr>
            <w:r w:rsidRPr="00C62639">
              <w:rPr>
                <w:rFonts w:asciiTheme="minorHAnsi" w:hAnsiTheme="minorHAnsi"/>
                <w:b/>
                <w:bCs/>
                <w:noProof/>
                <w:szCs w:val="22"/>
              </w:rPr>
              <w:t>238</w:t>
            </w:r>
          </w:p>
        </w:tc>
      </w:tr>
    </w:tbl>
    <w:p w14:paraId="45422EAF" w14:textId="77777777" w:rsidR="000E38AE" w:rsidRPr="00C62639" w:rsidRDefault="00493C25" w:rsidP="00EB23E5">
      <w:pPr>
        <w:pStyle w:val="Nadpis3"/>
        <w:rPr>
          <w:rFonts w:asciiTheme="minorHAnsi" w:hAnsiTheme="minorHAnsi"/>
          <w:noProof/>
        </w:rPr>
      </w:pPr>
      <w:bookmarkStart w:id="25" w:name="_Toc505684412"/>
      <w:r w:rsidRPr="00C62639">
        <w:rPr>
          <w:rFonts w:asciiTheme="minorHAnsi" w:hAnsiTheme="minorHAnsi"/>
          <w:noProof/>
        </w:rPr>
        <w:t>Kanalizace</w:t>
      </w:r>
      <w:bookmarkEnd w:id="25"/>
    </w:p>
    <w:p w14:paraId="1705BD47" w14:textId="77777777" w:rsidR="00B87BD4" w:rsidRDefault="00493C25" w:rsidP="000937F8">
      <w:pPr>
        <w:pStyle w:val="Normlnzprva"/>
        <w:rPr>
          <w:noProof/>
        </w:rPr>
      </w:pPr>
      <w:r w:rsidRPr="00C62639">
        <w:rPr>
          <w:noProof/>
        </w:rPr>
        <w:t xml:space="preserve">V případě kanalizace bylo z celkového počtu </w:t>
      </w:r>
      <w:r w:rsidR="00F02313" w:rsidRPr="00C62639">
        <w:rPr>
          <w:noProof/>
        </w:rPr>
        <w:t>2051</w:t>
      </w:r>
      <w:r w:rsidRPr="00C62639">
        <w:rPr>
          <w:noProof/>
        </w:rPr>
        <w:t xml:space="preserve"> ks Porovnání </w:t>
      </w:r>
      <w:r w:rsidR="00F02313" w:rsidRPr="00C62639">
        <w:rPr>
          <w:noProof/>
        </w:rPr>
        <w:t>vyřazeno 194</w:t>
      </w:r>
      <w:r w:rsidRPr="00C62639">
        <w:rPr>
          <w:noProof/>
        </w:rPr>
        <w:t xml:space="preserve"> ks. Opět nejčastěji se vyskytujícím nedostatkem (</w:t>
      </w:r>
      <w:r w:rsidR="00F02313" w:rsidRPr="00C62639">
        <w:rPr>
          <w:noProof/>
        </w:rPr>
        <w:t>62,8</w:t>
      </w:r>
      <w:r w:rsidRPr="00C62639">
        <w:rPr>
          <w:noProof/>
        </w:rPr>
        <w:t xml:space="preserve"> %) byl odlišný počet IČPE uvedených </w:t>
      </w:r>
      <w:r w:rsidR="007049F3" w:rsidRPr="00C62639">
        <w:rPr>
          <w:noProof/>
        </w:rPr>
        <w:br/>
      </w:r>
      <w:r w:rsidRPr="00C62639">
        <w:rPr>
          <w:noProof/>
        </w:rPr>
        <w:t>na Porovnáních a počet IČPE daného provozovatele odevzdaných v rámci VÚPE.</w:t>
      </w:r>
    </w:p>
    <w:p w14:paraId="471EB8DA" w14:textId="77777777" w:rsidR="00F666F7" w:rsidRDefault="00F666F7" w:rsidP="000937F8">
      <w:pPr>
        <w:pStyle w:val="Normlnzprva"/>
        <w:rPr>
          <w:noProof/>
        </w:rPr>
      </w:pPr>
    </w:p>
    <w:tbl>
      <w:tblPr>
        <w:tblStyle w:val="Tmavtabulkasmkou5zvraznn61"/>
        <w:tblW w:w="3863" w:type="pct"/>
        <w:jc w:val="center"/>
        <w:tblLook w:val="0420" w:firstRow="1" w:lastRow="0" w:firstColumn="0" w:lastColumn="0" w:noHBand="0" w:noVBand="1"/>
      </w:tblPr>
      <w:tblGrid>
        <w:gridCol w:w="4119"/>
        <w:gridCol w:w="2881"/>
      </w:tblGrid>
      <w:tr w:rsidR="00C96E2F" w:rsidRPr="00C62639" w14:paraId="32B839D3" w14:textId="77777777" w:rsidTr="000A159C">
        <w:trPr>
          <w:cnfStyle w:val="100000000000" w:firstRow="1" w:lastRow="0" w:firstColumn="0" w:lastColumn="0" w:oddVBand="0" w:evenVBand="0" w:oddHBand="0" w:evenHBand="0" w:firstRowFirstColumn="0" w:firstRowLastColumn="0" w:lastRowFirstColumn="0" w:lastRowLastColumn="0"/>
          <w:trHeight w:val="468"/>
          <w:jc w:val="center"/>
        </w:trPr>
        <w:tc>
          <w:tcPr>
            <w:tcW w:w="2942" w:type="pct"/>
            <w:vAlign w:val="center"/>
            <w:hideMark/>
          </w:tcPr>
          <w:p w14:paraId="523B0E21" w14:textId="77777777" w:rsidR="00C96E2F" w:rsidRPr="00C62639" w:rsidRDefault="00C96E2F" w:rsidP="00F02313">
            <w:pPr>
              <w:pStyle w:val="Normlnzprva"/>
              <w:spacing w:after="0" w:line="0" w:lineRule="atLeast"/>
              <w:ind w:firstLine="0"/>
              <w:jc w:val="center"/>
              <w:rPr>
                <w:rFonts w:asciiTheme="minorHAnsi" w:hAnsiTheme="minorHAnsi"/>
                <w:noProof/>
              </w:rPr>
            </w:pPr>
            <w:r w:rsidRPr="00C62639">
              <w:rPr>
                <w:rFonts w:asciiTheme="minorHAnsi" w:hAnsiTheme="minorHAnsi"/>
                <w:b w:val="0"/>
                <w:bCs w:val="0"/>
                <w:noProof/>
              </w:rPr>
              <w:t>Důvod vyřazení Porovnání - KANALIZACE</w:t>
            </w:r>
          </w:p>
        </w:tc>
        <w:tc>
          <w:tcPr>
            <w:tcW w:w="2058" w:type="pct"/>
            <w:vAlign w:val="center"/>
            <w:hideMark/>
          </w:tcPr>
          <w:p w14:paraId="3E99F0D0" w14:textId="77777777" w:rsidR="00C96E2F" w:rsidRPr="00C62639" w:rsidRDefault="00C96E2F" w:rsidP="00F02313">
            <w:pPr>
              <w:pStyle w:val="Normlnzprva"/>
              <w:spacing w:after="0" w:line="0" w:lineRule="atLeast"/>
              <w:ind w:firstLine="0"/>
              <w:jc w:val="center"/>
              <w:rPr>
                <w:rFonts w:asciiTheme="minorHAnsi" w:hAnsiTheme="minorHAnsi"/>
                <w:noProof/>
              </w:rPr>
            </w:pPr>
            <w:r w:rsidRPr="00C62639">
              <w:rPr>
                <w:rFonts w:asciiTheme="minorHAnsi" w:hAnsiTheme="minorHAnsi"/>
                <w:b w:val="0"/>
                <w:bCs w:val="0"/>
                <w:noProof/>
              </w:rPr>
              <w:t>Počet vyřazených Porovnání z benchmarkingu 2016 (ks)</w:t>
            </w:r>
          </w:p>
        </w:tc>
      </w:tr>
      <w:tr w:rsidR="00C96E2F" w:rsidRPr="00C62639" w14:paraId="57FA3A93" w14:textId="77777777" w:rsidTr="000A159C">
        <w:trPr>
          <w:cnfStyle w:val="000000100000" w:firstRow="0" w:lastRow="0" w:firstColumn="0" w:lastColumn="0" w:oddVBand="0" w:evenVBand="0" w:oddHBand="1" w:evenHBand="0" w:firstRowFirstColumn="0" w:firstRowLastColumn="0" w:lastRowFirstColumn="0" w:lastRowLastColumn="0"/>
          <w:trHeight w:val="20"/>
          <w:jc w:val="center"/>
        </w:trPr>
        <w:tc>
          <w:tcPr>
            <w:tcW w:w="2942" w:type="pct"/>
            <w:vAlign w:val="center"/>
            <w:hideMark/>
          </w:tcPr>
          <w:p w14:paraId="608F1A75" w14:textId="77777777" w:rsidR="00C96E2F" w:rsidRPr="00C62639" w:rsidRDefault="00C96E2F" w:rsidP="00F02313">
            <w:pPr>
              <w:pStyle w:val="Normlnzprva"/>
              <w:spacing w:after="0" w:line="0" w:lineRule="atLeast"/>
              <w:rPr>
                <w:rFonts w:asciiTheme="minorHAnsi" w:hAnsiTheme="minorHAnsi"/>
                <w:noProof/>
              </w:rPr>
            </w:pPr>
            <w:r w:rsidRPr="00C62639">
              <w:rPr>
                <w:rFonts w:asciiTheme="minorHAnsi" w:hAnsiTheme="minorHAnsi"/>
                <w:noProof/>
              </w:rPr>
              <w:t xml:space="preserve">Problémy mezi </w:t>
            </w:r>
            <w:r w:rsidR="006D6490" w:rsidRPr="00C62639">
              <w:rPr>
                <w:rFonts w:asciiTheme="minorHAnsi" w:hAnsiTheme="minorHAnsi"/>
                <w:noProof/>
              </w:rPr>
              <w:t xml:space="preserve">VÚME </w:t>
            </w:r>
            <w:r w:rsidRPr="00C62639">
              <w:rPr>
                <w:rFonts w:asciiTheme="minorHAnsi" w:hAnsiTheme="minorHAnsi"/>
                <w:noProof/>
              </w:rPr>
              <w:t xml:space="preserve">a </w:t>
            </w:r>
            <w:r w:rsidR="006D6490" w:rsidRPr="00C62639">
              <w:rPr>
                <w:rFonts w:asciiTheme="minorHAnsi" w:hAnsiTheme="minorHAnsi"/>
                <w:noProof/>
              </w:rPr>
              <w:t>VÚPE</w:t>
            </w:r>
          </w:p>
        </w:tc>
        <w:tc>
          <w:tcPr>
            <w:tcW w:w="2058" w:type="pct"/>
            <w:vAlign w:val="center"/>
            <w:hideMark/>
          </w:tcPr>
          <w:p w14:paraId="6CF6ED4B" w14:textId="0E454B4D" w:rsidR="00C96E2F" w:rsidRPr="00C62639" w:rsidRDefault="00B26631" w:rsidP="00F02313">
            <w:pPr>
              <w:pStyle w:val="Normlnzprva"/>
              <w:spacing w:after="0" w:line="0" w:lineRule="atLeast"/>
              <w:ind w:firstLine="0"/>
              <w:jc w:val="center"/>
              <w:rPr>
                <w:rFonts w:asciiTheme="minorHAnsi" w:hAnsiTheme="minorHAnsi"/>
                <w:noProof/>
              </w:rPr>
            </w:pPr>
            <w:r>
              <w:rPr>
                <w:rFonts w:asciiTheme="minorHAnsi" w:hAnsiTheme="minorHAnsi"/>
                <w:noProof/>
              </w:rPr>
              <w:t xml:space="preserve">  </w:t>
            </w:r>
            <w:r w:rsidR="00C96E2F" w:rsidRPr="00C62639">
              <w:rPr>
                <w:rFonts w:asciiTheme="minorHAnsi" w:hAnsiTheme="minorHAnsi"/>
                <w:noProof/>
              </w:rPr>
              <w:t>8</w:t>
            </w:r>
          </w:p>
        </w:tc>
      </w:tr>
      <w:tr w:rsidR="00C96E2F" w:rsidRPr="00C62639" w14:paraId="69C5A24E" w14:textId="77777777" w:rsidTr="000A159C">
        <w:trPr>
          <w:trHeight w:val="20"/>
          <w:jc w:val="center"/>
        </w:trPr>
        <w:tc>
          <w:tcPr>
            <w:tcW w:w="2942" w:type="pct"/>
            <w:vAlign w:val="center"/>
            <w:hideMark/>
          </w:tcPr>
          <w:p w14:paraId="35A5FBA2" w14:textId="60C93688" w:rsidR="00C96E2F" w:rsidRPr="00C62639" w:rsidRDefault="00C96E2F" w:rsidP="00F02313">
            <w:pPr>
              <w:pStyle w:val="Normlnzprva"/>
              <w:spacing w:after="0" w:line="0" w:lineRule="atLeast"/>
              <w:rPr>
                <w:rFonts w:asciiTheme="minorHAnsi" w:hAnsiTheme="minorHAnsi"/>
                <w:noProof/>
              </w:rPr>
            </w:pPr>
            <w:r w:rsidRPr="00C62639">
              <w:rPr>
                <w:rFonts w:asciiTheme="minorHAnsi" w:hAnsiTheme="minorHAnsi"/>
                <w:noProof/>
              </w:rPr>
              <w:t xml:space="preserve">Problémy mezi </w:t>
            </w:r>
            <w:r w:rsidR="006D6490" w:rsidRPr="00C62639">
              <w:rPr>
                <w:rFonts w:asciiTheme="minorHAnsi" w:hAnsiTheme="minorHAnsi"/>
                <w:noProof/>
              </w:rPr>
              <w:t>Porovnáním</w:t>
            </w:r>
            <w:r w:rsidR="00B26631">
              <w:rPr>
                <w:rFonts w:asciiTheme="minorHAnsi" w:hAnsiTheme="minorHAnsi"/>
                <w:noProof/>
              </w:rPr>
              <w:t xml:space="preserve"> </w:t>
            </w:r>
            <w:r w:rsidRPr="00C62639">
              <w:rPr>
                <w:rFonts w:asciiTheme="minorHAnsi" w:hAnsiTheme="minorHAnsi"/>
                <w:noProof/>
              </w:rPr>
              <w:t xml:space="preserve">a </w:t>
            </w:r>
            <w:r w:rsidR="006D6490" w:rsidRPr="00C62639">
              <w:rPr>
                <w:rFonts w:asciiTheme="minorHAnsi" w:hAnsiTheme="minorHAnsi"/>
                <w:noProof/>
              </w:rPr>
              <w:t>VÚPE</w:t>
            </w:r>
          </w:p>
        </w:tc>
        <w:tc>
          <w:tcPr>
            <w:tcW w:w="2058" w:type="pct"/>
            <w:vAlign w:val="center"/>
            <w:hideMark/>
          </w:tcPr>
          <w:p w14:paraId="3BB354B6" w14:textId="77777777" w:rsidR="00C96E2F" w:rsidRPr="00C62639" w:rsidRDefault="00C96E2F" w:rsidP="00F02313">
            <w:pPr>
              <w:pStyle w:val="Normlnzprva"/>
              <w:spacing w:after="0" w:line="0" w:lineRule="atLeast"/>
              <w:jc w:val="center"/>
              <w:rPr>
                <w:rFonts w:asciiTheme="minorHAnsi" w:hAnsiTheme="minorHAnsi"/>
                <w:noProof/>
              </w:rPr>
            </w:pPr>
            <w:r w:rsidRPr="00C62639">
              <w:rPr>
                <w:rFonts w:asciiTheme="minorHAnsi" w:hAnsiTheme="minorHAnsi"/>
                <w:noProof/>
              </w:rPr>
              <w:t>122</w:t>
            </w:r>
          </w:p>
        </w:tc>
      </w:tr>
      <w:tr w:rsidR="00C96E2F" w:rsidRPr="00C62639" w14:paraId="2580F2ED" w14:textId="77777777" w:rsidTr="000A159C">
        <w:trPr>
          <w:cnfStyle w:val="000000100000" w:firstRow="0" w:lastRow="0" w:firstColumn="0" w:lastColumn="0" w:oddVBand="0" w:evenVBand="0" w:oddHBand="1" w:evenHBand="0" w:firstRowFirstColumn="0" w:firstRowLastColumn="0" w:lastRowFirstColumn="0" w:lastRowLastColumn="0"/>
          <w:trHeight w:val="20"/>
          <w:jc w:val="center"/>
        </w:trPr>
        <w:tc>
          <w:tcPr>
            <w:tcW w:w="2942" w:type="pct"/>
            <w:vAlign w:val="center"/>
            <w:hideMark/>
          </w:tcPr>
          <w:p w14:paraId="5DF08285" w14:textId="77777777" w:rsidR="00C96E2F" w:rsidRPr="00C62639" w:rsidRDefault="00C96E2F" w:rsidP="00F02313">
            <w:pPr>
              <w:pStyle w:val="Normlnzprva"/>
              <w:spacing w:after="0" w:line="0" w:lineRule="atLeast"/>
              <w:rPr>
                <w:rFonts w:asciiTheme="minorHAnsi" w:hAnsiTheme="minorHAnsi"/>
                <w:noProof/>
              </w:rPr>
            </w:pPr>
            <w:r w:rsidRPr="00C62639">
              <w:rPr>
                <w:rFonts w:asciiTheme="minorHAnsi" w:hAnsiTheme="minorHAnsi"/>
                <w:noProof/>
              </w:rPr>
              <w:t>Není žádné IČPE</w:t>
            </w:r>
          </w:p>
        </w:tc>
        <w:tc>
          <w:tcPr>
            <w:tcW w:w="2058" w:type="pct"/>
            <w:vAlign w:val="center"/>
            <w:hideMark/>
          </w:tcPr>
          <w:p w14:paraId="6ECC0FA4" w14:textId="77777777" w:rsidR="00C96E2F" w:rsidRPr="00C62639" w:rsidRDefault="00C96E2F" w:rsidP="00F02313">
            <w:pPr>
              <w:pStyle w:val="Normlnzprva"/>
              <w:spacing w:after="0" w:line="0" w:lineRule="atLeast"/>
              <w:jc w:val="center"/>
              <w:rPr>
                <w:rFonts w:asciiTheme="minorHAnsi" w:hAnsiTheme="minorHAnsi"/>
                <w:noProof/>
              </w:rPr>
            </w:pPr>
            <w:r w:rsidRPr="00C62639">
              <w:rPr>
                <w:rFonts w:asciiTheme="minorHAnsi" w:hAnsiTheme="minorHAnsi"/>
                <w:noProof/>
              </w:rPr>
              <w:t>25</w:t>
            </w:r>
          </w:p>
        </w:tc>
      </w:tr>
      <w:tr w:rsidR="00C96E2F" w:rsidRPr="00C62639" w14:paraId="48646B8E" w14:textId="77777777" w:rsidTr="000A159C">
        <w:trPr>
          <w:trHeight w:val="20"/>
          <w:jc w:val="center"/>
        </w:trPr>
        <w:tc>
          <w:tcPr>
            <w:tcW w:w="2942" w:type="pct"/>
            <w:vAlign w:val="center"/>
            <w:hideMark/>
          </w:tcPr>
          <w:p w14:paraId="5EF43ABF" w14:textId="5A906310" w:rsidR="00C96E2F" w:rsidRPr="00C62639" w:rsidRDefault="00C96E2F" w:rsidP="0071058D">
            <w:pPr>
              <w:pStyle w:val="Normlnzprva"/>
              <w:spacing w:after="0" w:line="0" w:lineRule="atLeast"/>
              <w:rPr>
                <w:rFonts w:asciiTheme="minorHAnsi" w:hAnsiTheme="minorHAnsi"/>
                <w:noProof/>
              </w:rPr>
            </w:pPr>
            <w:r w:rsidRPr="00C62639">
              <w:rPr>
                <w:rFonts w:asciiTheme="minorHAnsi" w:hAnsiTheme="minorHAnsi"/>
                <w:noProof/>
              </w:rPr>
              <w:t>Není</w:t>
            </w:r>
            <w:r w:rsidR="00B26631">
              <w:rPr>
                <w:rFonts w:asciiTheme="minorHAnsi" w:hAnsiTheme="minorHAnsi"/>
                <w:noProof/>
              </w:rPr>
              <w:t xml:space="preserve"> </w:t>
            </w:r>
            <w:r w:rsidRPr="00C62639">
              <w:rPr>
                <w:rFonts w:asciiTheme="minorHAnsi" w:hAnsiTheme="minorHAnsi"/>
                <w:noProof/>
              </w:rPr>
              <w:t>IČPE</w:t>
            </w:r>
            <w:r w:rsidR="00B26631">
              <w:rPr>
                <w:rFonts w:asciiTheme="minorHAnsi" w:hAnsiTheme="minorHAnsi"/>
                <w:noProof/>
              </w:rPr>
              <w:t xml:space="preserve"> </w:t>
            </w:r>
            <w:r w:rsidR="0071058D">
              <w:rPr>
                <w:rFonts w:asciiTheme="minorHAnsi" w:hAnsiTheme="minorHAnsi"/>
                <w:noProof/>
              </w:rPr>
              <w:t>kanalizace</w:t>
            </w:r>
          </w:p>
        </w:tc>
        <w:tc>
          <w:tcPr>
            <w:tcW w:w="2058" w:type="pct"/>
            <w:vAlign w:val="center"/>
            <w:hideMark/>
          </w:tcPr>
          <w:p w14:paraId="5A7EAA9F" w14:textId="77777777" w:rsidR="00C96E2F" w:rsidRPr="00C62639" w:rsidRDefault="00C96E2F" w:rsidP="00F02313">
            <w:pPr>
              <w:pStyle w:val="Normlnzprva"/>
              <w:spacing w:after="0" w:line="0" w:lineRule="atLeast"/>
              <w:jc w:val="center"/>
              <w:rPr>
                <w:rFonts w:asciiTheme="minorHAnsi" w:hAnsiTheme="minorHAnsi"/>
                <w:noProof/>
              </w:rPr>
            </w:pPr>
            <w:r w:rsidRPr="00C62639">
              <w:rPr>
                <w:rFonts w:asciiTheme="minorHAnsi" w:hAnsiTheme="minorHAnsi"/>
                <w:noProof/>
              </w:rPr>
              <w:t>39</w:t>
            </w:r>
          </w:p>
        </w:tc>
      </w:tr>
      <w:tr w:rsidR="00C96E2F" w:rsidRPr="00C62639" w14:paraId="3928CEA9" w14:textId="77777777" w:rsidTr="000A159C">
        <w:trPr>
          <w:cnfStyle w:val="000000100000" w:firstRow="0" w:lastRow="0" w:firstColumn="0" w:lastColumn="0" w:oddVBand="0" w:evenVBand="0" w:oddHBand="1" w:evenHBand="0" w:firstRowFirstColumn="0" w:firstRowLastColumn="0" w:lastRowFirstColumn="0" w:lastRowLastColumn="0"/>
          <w:trHeight w:val="20"/>
          <w:jc w:val="center"/>
        </w:trPr>
        <w:tc>
          <w:tcPr>
            <w:tcW w:w="2942" w:type="pct"/>
            <w:vAlign w:val="center"/>
            <w:hideMark/>
          </w:tcPr>
          <w:p w14:paraId="4F7EFF9A" w14:textId="77777777" w:rsidR="00C96E2F" w:rsidRPr="00C62639" w:rsidRDefault="00C96E2F" w:rsidP="002A3893">
            <w:pPr>
              <w:pStyle w:val="Normlnzprva"/>
              <w:spacing w:after="0" w:line="0" w:lineRule="atLeast"/>
              <w:jc w:val="right"/>
              <w:rPr>
                <w:rFonts w:asciiTheme="minorHAnsi" w:hAnsiTheme="minorHAnsi"/>
                <w:noProof/>
              </w:rPr>
            </w:pPr>
            <w:r w:rsidRPr="00C62639">
              <w:rPr>
                <w:rFonts w:asciiTheme="minorHAnsi" w:hAnsiTheme="minorHAnsi"/>
                <w:b/>
                <w:bCs/>
                <w:noProof/>
              </w:rPr>
              <w:t>celkem</w:t>
            </w:r>
          </w:p>
        </w:tc>
        <w:tc>
          <w:tcPr>
            <w:tcW w:w="2058" w:type="pct"/>
            <w:vAlign w:val="center"/>
            <w:hideMark/>
          </w:tcPr>
          <w:p w14:paraId="562088B1" w14:textId="77777777" w:rsidR="00C96E2F" w:rsidRPr="00C62639" w:rsidRDefault="00C96E2F" w:rsidP="00F02313">
            <w:pPr>
              <w:pStyle w:val="Normlnzprva"/>
              <w:spacing w:after="0" w:line="0" w:lineRule="atLeast"/>
              <w:jc w:val="center"/>
              <w:rPr>
                <w:rFonts w:asciiTheme="minorHAnsi" w:hAnsiTheme="minorHAnsi"/>
                <w:noProof/>
              </w:rPr>
            </w:pPr>
            <w:r w:rsidRPr="00C62639">
              <w:rPr>
                <w:rFonts w:asciiTheme="minorHAnsi" w:hAnsiTheme="minorHAnsi"/>
                <w:b/>
                <w:bCs/>
                <w:noProof/>
              </w:rPr>
              <w:t>194</w:t>
            </w:r>
          </w:p>
        </w:tc>
      </w:tr>
    </w:tbl>
    <w:p w14:paraId="3FEE3124" w14:textId="77777777" w:rsidR="00F666F7" w:rsidRDefault="00F02313" w:rsidP="0026569A">
      <w:pPr>
        <w:pStyle w:val="Normlnzprva"/>
        <w:rPr>
          <w:noProof/>
        </w:rPr>
      </w:pPr>
      <w:r w:rsidRPr="00C62639">
        <w:rPr>
          <w:noProof/>
        </w:rPr>
        <w:t xml:space="preserve"> </w:t>
      </w:r>
    </w:p>
    <w:p w14:paraId="40A64E82" w14:textId="77777777" w:rsidR="00F666F7" w:rsidRDefault="00F666F7" w:rsidP="0026569A">
      <w:pPr>
        <w:pStyle w:val="Normlnzprva"/>
        <w:rPr>
          <w:noProof/>
        </w:rPr>
      </w:pPr>
    </w:p>
    <w:p w14:paraId="6D8CF37F" w14:textId="2FE0082C" w:rsidR="00493C25" w:rsidRPr="00C62639" w:rsidRDefault="00E9122F" w:rsidP="00F7523D">
      <w:pPr>
        <w:pStyle w:val="Nadpis2"/>
        <w:rPr>
          <w:rFonts w:asciiTheme="minorHAnsi" w:hAnsiTheme="minorHAnsi"/>
          <w:noProof/>
        </w:rPr>
      </w:pPr>
      <w:bookmarkStart w:id="26" w:name="_Toc505684413"/>
      <w:r w:rsidRPr="00C62639">
        <w:rPr>
          <w:rFonts w:asciiTheme="minorHAnsi" w:hAnsiTheme="minorHAnsi"/>
          <w:noProof/>
        </w:rPr>
        <w:t xml:space="preserve">Rozdělení Porovnání do </w:t>
      </w:r>
      <w:r w:rsidR="00C1539B" w:rsidRPr="00C62639">
        <w:rPr>
          <w:rFonts w:asciiTheme="minorHAnsi" w:hAnsiTheme="minorHAnsi"/>
          <w:noProof/>
        </w:rPr>
        <w:t xml:space="preserve">vlastnických </w:t>
      </w:r>
      <w:r w:rsidRPr="00C62639">
        <w:rPr>
          <w:rFonts w:asciiTheme="minorHAnsi" w:hAnsiTheme="minorHAnsi"/>
          <w:noProof/>
        </w:rPr>
        <w:t xml:space="preserve">a </w:t>
      </w:r>
      <w:r w:rsidR="00C1539B" w:rsidRPr="00C62639">
        <w:rPr>
          <w:rFonts w:asciiTheme="minorHAnsi" w:hAnsiTheme="minorHAnsi"/>
          <w:noProof/>
        </w:rPr>
        <w:t xml:space="preserve">provozovatelských </w:t>
      </w:r>
      <w:r w:rsidRPr="00C62639">
        <w:rPr>
          <w:rFonts w:asciiTheme="minorHAnsi" w:hAnsiTheme="minorHAnsi"/>
          <w:noProof/>
        </w:rPr>
        <w:t>skupin</w:t>
      </w:r>
      <w:bookmarkEnd w:id="26"/>
    </w:p>
    <w:p w14:paraId="536641A0" w14:textId="1D15C8EF" w:rsidR="00692CE6" w:rsidRDefault="00F73F99" w:rsidP="000937F8">
      <w:pPr>
        <w:pStyle w:val="Normlnzprva"/>
        <w:rPr>
          <w:rFonts w:asciiTheme="minorHAnsi" w:hAnsiTheme="minorHAnsi" w:cs="Calibri"/>
          <w:noProof/>
        </w:rPr>
      </w:pPr>
      <w:r w:rsidRPr="00934258">
        <w:rPr>
          <w:noProof/>
        </w:rPr>
        <w:t>Rozdělení analyzovaných Porovnání</w:t>
      </w:r>
      <w:r>
        <w:rPr>
          <w:noProof/>
        </w:rPr>
        <w:t xml:space="preserve"> do skupin </w:t>
      </w:r>
      <w:r w:rsidRPr="00934258">
        <w:rPr>
          <w:noProof/>
        </w:rPr>
        <w:t xml:space="preserve">bylo realizováno v souladu se stanoveným postupem v metodice benchmarkingu. </w:t>
      </w:r>
      <w:r>
        <w:rPr>
          <w:noProof/>
        </w:rPr>
        <w:t>Počty Porovnání v</w:t>
      </w:r>
      <w:r w:rsidR="00B26631">
        <w:rPr>
          <w:noProof/>
        </w:rPr>
        <w:t xml:space="preserve"> </w:t>
      </w:r>
      <w:r w:rsidRPr="00934258">
        <w:rPr>
          <w:noProof/>
        </w:rPr>
        <w:t>jednotlivých skupin</w:t>
      </w:r>
      <w:r>
        <w:rPr>
          <w:noProof/>
        </w:rPr>
        <w:t>ách</w:t>
      </w:r>
      <w:r w:rsidRPr="00934258">
        <w:rPr>
          <w:noProof/>
        </w:rPr>
        <w:t xml:space="preserve"> vlast</w:t>
      </w:r>
      <w:r>
        <w:rPr>
          <w:noProof/>
        </w:rPr>
        <w:t>nického a</w:t>
      </w:r>
      <w:r w:rsidR="00B26631">
        <w:rPr>
          <w:noProof/>
        </w:rPr>
        <w:t xml:space="preserve"> </w:t>
      </w:r>
      <w:r w:rsidRPr="00934258">
        <w:rPr>
          <w:noProof/>
        </w:rPr>
        <w:t>a provozovatel</w:t>
      </w:r>
      <w:r>
        <w:rPr>
          <w:noProof/>
        </w:rPr>
        <w:t>ského benchmarkingu</w:t>
      </w:r>
      <w:r w:rsidRPr="00934258">
        <w:rPr>
          <w:noProof/>
        </w:rPr>
        <w:t xml:space="preserve"> je uvedená v následujících tabulkách.</w:t>
      </w:r>
      <w:r w:rsidR="00D7224F" w:rsidRPr="00C62639">
        <w:rPr>
          <w:rFonts w:asciiTheme="minorHAnsi" w:hAnsiTheme="minorHAnsi" w:cs="Calibri"/>
          <w:noProof/>
        </w:rPr>
        <w:t xml:space="preserve"> </w:t>
      </w:r>
    </w:p>
    <w:p w14:paraId="0A7F861B" w14:textId="77777777" w:rsidR="00F666F7" w:rsidRDefault="00F666F7" w:rsidP="000937F8">
      <w:pPr>
        <w:pStyle w:val="Normlnzprva"/>
        <w:rPr>
          <w:rFonts w:asciiTheme="minorHAnsi" w:hAnsiTheme="minorHAnsi" w:cs="Calibri"/>
          <w:noProof/>
        </w:rPr>
      </w:pPr>
    </w:p>
    <w:p w14:paraId="14F085F2" w14:textId="77777777" w:rsidR="00E9122F" w:rsidRPr="00C62639" w:rsidRDefault="00F7523D" w:rsidP="00F7523D">
      <w:pPr>
        <w:pStyle w:val="Nadpis3"/>
        <w:rPr>
          <w:rFonts w:asciiTheme="minorHAnsi" w:eastAsia="Calibri" w:hAnsiTheme="minorHAnsi"/>
          <w:noProof/>
        </w:rPr>
      </w:pPr>
      <w:bookmarkStart w:id="27" w:name="_Toc505684414"/>
      <w:r w:rsidRPr="00C62639">
        <w:rPr>
          <w:rFonts w:asciiTheme="minorHAnsi" w:eastAsia="Calibri" w:hAnsiTheme="minorHAnsi"/>
          <w:noProof/>
        </w:rPr>
        <w:t>Skupiny vlastnického benchmarkingu</w:t>
      </w:r>
      <w:bookmarkEnd w:id="27"/>
    </w:p>
    <w:p w14:paraId="02506B32" w14:textId="2274918B" w:rsidR="00C1539B" w:rsidRDefault="00F73F99" w:rsidP="00F666F7">
      <w:pPr>
        <w:pStyle w:val="Normlnzprva"/>
        <w:rPr>
          <w:noProof/>
        </w:rPr>
      </w:pPr>
      <w:r w:rsidRPr="00934258">
        <w:rPr>
          <w:noProof/>
        </w:rPr>
        <w:t xml:space="preserve">Vlastnický benchmarking dělí Porovnání do skupin podle hodnoty infrastruktury vypočtené použitím metodického pokynu Ministerstva Zemědělství č.j.: 401/2010-15000 – podle </w:t>
      </w:r>
      <w:r w:rsidRPr="00934258">
        <w:rPr>
          <w:noProof/>
        </w:rPr>
        <w:lastRenderedPageBreak/>
        <w:t>číselných řádů.</w:t>
      </w:r>
      <w:r>
        <w:rPr>
          <w:noProof/>
        </w:rPr>
        <w:t xml:space="preserve"> Vlastníci, jejichž majetek je uveden na více Porovnáních, se mohou vyskytnout ve více skupinách.</w:t>
      </w:r>
    </w:p>
    <w:p w14:paraId="6AC5448C" w14:textId="77777777" w:rsidR="009A3BB2" w:rsidRDefault="009A3BB2" w:rsidP="00F666F7">
      <w:pPr>
        <w:pStyle w:val="Normlnzprva"/>
        <w:rPr>
          <w:noProof/>
        </w:rPr>
      </w:pPr>
    </w:p>
    <w:tbl>
      <w:tblPr>
        <w:tblW w:w="5000" w:type="pct"/>
        <w:jc w:val="center"/>
        <w:tblBorders>
          <w:top w:val="single" w:sz="12" w:space="0" w:color="548DD4"/>
          <w:left w:val="single" w:sz="12" w:space="0" w:color="548DD4"/>
          <w:bottom w:val="single" w:sz="12" w:space="0" w:color="548DD4"/>
          <w:right w:val="single" w:sz="12" w:space="0" w:color="548DD4"/>
        </w:tblBorders>
        <w:tblCellMar>
          <w:left w:w="70" w:type="dxa"/>
          <w:right w:w="70" w:type="dxa"/>
        </w:tblCellMar>
        <w:tblLook w:val="04A0" w:firstRow="1" w:lastRow="0" w:firstColumn="1" w:lastColumn="0" w:noHBand="0" w:noVBand="1"/>
      </w:tblPr>
      <w:tblGrid>
        <w:gridCol w:w="2831"/>
        <w:gridCol w:w="1672"/>
        <w:gridCol w:w="918"/>
        <w:gridCol w:w="680"/>
        <w:gridCol w:w="973"/>
        <w:gridCol w:w="1002"/>
        <w:gridCol w:w="964"/>
      </w:tblGrid>
      <w:tr w:rsidR="003445F0" w:rsidRPr="009722AF" w14:paraId="398E63FD" w14:textId="77777777" w:rsidTr="009A3BB2">
        <w:trPr>
          <w:trHeight w:val="613"/>
          <w:jc w:val="center"/>
        </w:trPr>
        <w:tc>
          <w:tcPr>
            <w:tcW w:w="1566" w:type="pct"/>
            <w:tcBorders>
              <w:top w:val="single" w:sz="12" w:space="0" w:color="548DD4"/>
              <w:bottom w:val="nil"/>
              <w:right w:val="single" w:sz="12" w:space="0" w:color="548DD4"/>
            </w:tcBorders>
            <w:shd w:val="clear" w:color="auto" w:fill="auto"/>
            <w:vAlign w:val="bottom"/>
            <w:hideMark/>
          </w:tcPr>
          <w:p w14:paraId="622D2132" w14:textId="77777777" w:rsidR="003445F0" w:rsidRPr="009722AF" w:rsidRDefault="003445F0" w:rsidP="00AC433C">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b/>
                <w:noProof/>
                <w:color w:val="000000"/>
                <w:sz w:val="22"/>
                <w:lang w:eastAsia="cs-CZ"/>
              </w:rPr>
              <w:t>PITNÁ VODA</w:t>
            </w:r>
            <w:r w:rsidRPr="009722AF">
              <w:rPr>
                <w:rFonts w:asciiTheme="majorHAnsi" w:eastAsia="Times New Roman" w:hAnsiTheme="majorHAnsi"/>
                <w:noProof/>
                <w:color w:val="000000"/>
                <w:sz w:val="22"/>
                <w:lang w:eastAsia="cs-CZ"/>
              </w:rPr>
              <w:t xml:space="preserve"> </w:t>
            </w:r>
            <w:r w:rsidRPr="009722AF">
              <w:rPr>
                <w:rFonts w:asciiTheme="majorHAnsi" w:eastAsia="Times New Roman" w:hAnsiTheme="majorHAnsi"/>
                <w:noProof/>
                <w:color w:val="000000"/>
                <w:sz w:val="22"/>
                <w:lang w:eastAsia="cs-CZ"/>
              </w:rPr>
              <w:br/>
              <w:t>Rozdělení Porovnání do skupin</w:t>
            </w:r>
          </w:p>
        </w:tc>
        <w:tc>
          <w:tcPr>
            <w:tcW w:w="925" w:type="pct"/>
            <w:tcBorders>
              <w:left w:val="single" w:sz="12" w:space="0" w:color="548DD4"/>
            </w:tcBorders>
            <w:shd w:val="clear" w:color="auto" w:fill="auto"/>
            <w:noWrap/>
            <w:vAlign w:val="bottom"/>
            <w:hideMark/>
          </w:tcPr>
          <w:p w14:paraId="785F78AB" w14:textId="77777777" w:rsidR="003445F0" w:rsidRPr="009722AF" w:rsidRDefault="003445F0" w:rsidP="00AC433C">
            <w:pPr>
              <w:spacing w:before="0" w:after="0"/>
              <w:contextualSpacing w:val="0"/>
              <w:jc w:val="left"/>
              <w:rPr>
                <w:rFonts w:asciiTheme="majorHAnsi" w:eastAsia="Times New Roman" w:hAnsiTheme="majorHAnsi"/>
                <w:noProof/>
                <w:color w:val="000000"/>
                <w:lang w:eastAsia="cs-CZ"/>
              </w:rPr>
            </w:pPr>
          </w:p>
        </w:tc>
        <w:tc>
          <w:tcPr>
            <w:tcW w:w="508" w:type="pct"/>
            <w:tcBorders>
              <w:bottom w:val="nil"/>
            </w:tcBorders>
          </w:tcPr>
          <w:p w14:paraId="27F79818" w14:textId="77777777" w:rsidR="003445F0" w:rsidRPr="009722AF" w:rsidRDefault="003445F0" w:rsidP="00AC433C">
            <w:pPr>
              <w:spacing w:before="0" w:after="0"/>
              <w:contextualSpacing w:val="0"/>
              <w:jc w:val="center"/>
              <w:rPr>
                <w:rFonts w:asciiTheme="majorHAnsi" w:eastAsia="Times New Roman" w:hAnsiTheme="majorHAnsi"/>
                <w:noProof/>
                <w:color w:val="000000"/>
                <w:sz w:val="22"/>
                <w:lang w:eastAsia="cs-CZ"/>
              </w:rPr>
            </w:pPr>
          </w:p>
        </w:tc>
        <w:tc>
          <w:tcPr>
            <w:tcW w:w="2002" w:type="pct"/>
            <w:gridSpan w:val="4"/>
            <w:tcBorders>
              <w:bottom w:val="nil"/>
            </w:tcBorders>
            <w:shd w:val="clear" w:color="auto" w:fill="auto"/>
            <w:noWrap/>
            <w:vAlign w:val="center"/>
            <w:hideMark/>
          </w:tcPr>
          <w:p w14:paraId="01A5327C" w14:textId="6245B9D9" w:rsidR="003445F0" w:rsidRPr="009722AF" w:rsidRDefault="003445F0" w:rsidP="00AC433C">
            <w:pPr>
              <w:spacing w:before="0" w:after="0"/>
              <w:contextualSpacing w:val="0"/>
              <w:jc w:val="center"/>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 xml:space="preserve">Zastoupení podle modelu provozování </w:t>
            </w:r>
          </w:p>
        </w:tc>
      </w:tr>
      <w:tr w:rsidR="003445F0" w:rsidRPr="009722AF" w14:paraId="00C391A8" w14:textId="77777777" w:rsidTr="009A3BB2">
        <w:trPr>
          <w:trHeight w:val="306"/>
          <w:jc w:val="center"/>
        </w:trPr>
        <w:tc>
          <w:tcPr>
            <w:tcW w:w="1566" w:type="pct"/>
            <w:tcBorders>
              <w:top w:val="nil"/>
              <w:bottom w:val="nil"/>
              <w:right w:val="single" w:sz="12" w:space="0" w:color="548DD4"/>
            </w:tcBorders>
            <w:shd w:val="clear" w:color="5B9BD5" w:fill="5B9BD5"/>
            <w:noWrap/>
            <w:vAlign w:val="center"/>
            <w:hideMark/>
          </w:tcPr>
          <w:p w14:paraId="269EA972" w14:textId="77777777" w:rsidR="003445F0" w:rsidRPr="009722AF" w:rsidRDefault="003445F0" w:rsidP="00AC433C">
            <w:pPr>
              <w:spacing w:before="0" w:after="0"/>
              <w:contextualSpacing w:val="0"/>
              <w:jc w:val="left"/>
              <w:rPr>
                <w:rFonts w:asciiTheme="majorHAnsi" w:eastAsia="Times New Roman" w:hAnsiTheme="majorHAnsi"/>
                <w:b/>
                <w:bCs/>
                <w:noProof/>
                <w:color w:val="FFFFFF"/>
                <w:lang w:eastAsia="cs-CZ"/>
              </w:rPr>
            </w:pPr>
            <w:r w:rsidRPr="009722AF">
              <w:rPr>
                <w:rFonts w:asciiTheme="majorHAnsi" w:eastAsia="Times New Roman" w:hAnsiTheme="majorHAnsi"/>
                <w:b/>
                <w:bCs/>
                <w:noProof/>
                <w:color w:val="FFFFFF"/>
                <w:sz w:val="22"/>
                <w:lang w:eastAsia="cs-CZ"/>
              </w:rPr>
              <w:t xml:space="preserve">Skupina / Model provozování </w:t>
            </w:r>
          </w:p>
        </w:tc>
        <w:tc>
          <w:tcPr>
            <w:tcW w:w="925" w:type="pct"/>
            <w:tcBorders>
              <w:left w:val="single" w:sz="12" w:space="0" w:color="548DD4"/>
              <w:right w:val="single" w:sz="12" w:space="0" w:color="548DD4"/>
            </w:tcBorders>
            <w:shd w:val="clear" w:color="5B9BD5" w:fill="5B9BD5"/>
            <w:noWrap/>
            <w:vAlign w:val="center"/>
            <w:hideMark/>
          </w:tcPr>
          <w:p w14:paraId="2FD732C3" w14:textId="77777777" w:rsidR="003445F0" w:rsidRPr="009722AF" w:rsidRDefault="003445F0" w:rsidP="00AC433C">
            <w:pPr>
              <w:spacing w:before="0" w:after="0"/>
              <w:contextualSpacing w:val="0"/>
              <w:jc w:val="left"/>
              <w:rPr>
                <w:rFonts w:asciiTheme="majorHAnsi" w:eastAsia="Times New Roman" w:hAnsiTheme="majorHAnsi"/>
                <w:b/>
                <w:bCs/>
                <w:noProof/>
                <w:color w:val="FFFFFF"/>
                <w:lang w:eastAsia="cs-CZ"/>
              </w:rPr>
            </w:pPr>
            <w:r w:rsidRPr="009722AF">
              <w:rPr>
                <w:rFonts w:asciiTheme="majorHAnsi" w:eastAsia="Times New Roman" w:hAnsiTheme="majorHAnsi"/>
                <w:b/>
                <w:bCs/>
                <w:noProof/>
                <w:color w:val="FFFFFF"/>
                <w:sz w:val="22"/>
                <w:lang w:eastAsia="cs-CZ"/>
              </w:rPr>
              <w:t xml:space="preserve">Počet Porovnání </w:t>
            </w:r>
          </w:p>
          <w:p w14:paraId="6DC32D17" w14:textId="77777777" w:rsidR="003445F0" w:rsidRPr="009722AF" w:rsidRDefault="003445F0" w:rsidP="00AC433C">
            <w:pPr>
              <w:spacing w:before="0" w:after="0"/>
              <w:contextualSpacing w:val="0"/>
              <w:jc w:val="left"/>
              <w:rPr>
                <w:rFonts w:asciiTheme="majorHAnsi" w:eastAsia="Times New Roman" w:hAnsiTheme="majorHAnsi"/>
                <w:b/>
                <w:bCs/>
                <w:noProof/>
                <w:color w:val="FFFFFF"/>
                <w:lang w:eastAsia="cs-CZ"/>
              </w:rPr>
            </w:pPr>
            <w:r w:rsidRPr="009722AF">
              <w:rPr>
                <w:rFonts w:asciiTheme="majorHAnsi" w:eastAsia="Times New Roman" w:hAnsiTheme="majorHAnsi"/>
                <w:b/>
                <w:bCs/>
                <w:noProof/>
                <w:color w:val="FFFFFF"/>
                <w:sz w:val="22"/>
                <w:lang w:eastAsia="cs-CZ"/>
              </w:rPr>
              <w:t>ve skupině</w:t>
            </w:r>
          </w:p>
        </w:tc>
        <w:tc>
          <w:tcPr>
            <w:tcW w:w="884" w:type="pct"/>
            <w:gridSpan w:val="2"/>
            <w:tcBorders>
              <w:top w:val="nil"/>
              <w:left w:val="single" w:sz="12" w:space="0" w:color="548DD4"/>
              <w:bottom w:val="nil"/>
              <w:right w:val="single" w:sz="6" w:space="0" w:color="FFFFFF" w:themeColor="background1"/>
            </w:tcBorders>
            <w:shd w:val="clear" w:color="5B9BD5" w:fill="5B9BD5"/>
            <w:noWrap/>
            <w:vAlign w:val="center"/>
            <w:hideMark/>
          </w:tcPr>
          <w:p w14:paraId="73A5CBC8"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lang w:eastAsia="cs-CZ"/>
              </w:rPr>
            </w:pPr>
            <w:r w:rsidRPr="009722AF">
              <w:rPr>
                <w:rFonts w:asciiTheme="majorHAnsi" w:eastAsia="Times New Roman" w:hAnsiTheme="majorHAnsi"/>
                <w:b/>
                <w:bCs/>
                <w:noProof/>
                <w:color w:val="FFFFFF"/>
                <w:sz w:val="20"/>
                <w:lang w:eastAsia="cs-CZ"/>
              </w:rPr>
              <w:t>KOMBINOVANÝ</w:t>
            </w:r>
          </w:p>
        </w:tc>
        <w:tc>
          <w:tcPr>
            <w:tcW w:w="538" w:type="pct"/>
            <w:tcBorders>
              <w:top w:val="nil"/>
              <w:left w:val="single" w:sz="6" w:space="0" w:color="FFFFFF" w:themeColor="background1"/>
              <w:bottom w:val="nil"/>
              <w:right w:val="single" w:sz="6" w:space="0" w:color="FFFFFF" w:themeColor="background1"/>
            </w:tcBorders>
            <w:shd w:val="clear" w:color="5B9BD5" w:fill="5B9BD5"/>
            <w:noWrap/>
            <w:vAlign w:val="center"/>
            <w:hideMark/>
          </w:tcPr>
          <w:p w14:paraId="3A879E62"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lang w:eastAsia="cs-CZ"/>
              </w:rPr>
            </w:pPr>
            <w:r w:rsidRPr="009722AF">
              <w:rPr>
                <w:rFonts w:asciiTheme="majorHAnsi" w:eastAsia="Times New Roman" w:hAnsiTheme="majorHAnsi"/>
                <w:b/>
                <w:bCs/>
                <w:noProof/>
                <w:color w:val="FFFFFF"/>
                <w:sz w:val="20"/>
                <w:lang w:eastAsia="cs-CZ"/>
              </w:rPr>
              <w:t>ODDÍLNÝ</w:t>
            </w:r>
          </w:p>
        </w:tc>
        <w:tc>
          <w:tcPr>
            <w:tcW w:w="554" w:type="pct"/>
            <w:tcBorders>
              <w:top w:val="nil"/>
              <w:left w:val="single" w:sz="6" w:space="0" w:color="FFFFFF" w:themeColor="background1"/>
              <w:bottom w:val="nil"/>
              <w:right w:val="single" w:sz="6" w:space="0" w:color="FFFFFF" w:themeColor="background1"/>
            </w:tcBorders>
            <w:shd w:val="clear" w:color="5B9BD5" w:fill="5B9BD5"/>
            <w:vAlign w:val="center"/>
          </w:tcPr>
          <w:p w14:paraId="72CBE278" w14:textId="433856CE" w:rsidR="003445F0" w:rsidRPr="009722AF" w:rsidRDefault="003445F0" w:rsidP="003445F0">
            <w:pPr>
              <w:spacing w:before="0" w:after="0"/>
              <w:contextualSpacing w:val="0"/>
              <w:jc w:val="center"/>
              <w:rPr>
                <w:rFonts w:asciiTheme="majorHAnsi" w:hAnsiTheme="majorHAnsi"/>
                <w:b/>
                <w:bCs/>
                <w:color w:val="FFFFFF"/>
                <w:sz w:val="20"/>
                <w:lang w:eastAsia="cs-CZ"/>
              </w:rPr>
            </w:pPr>
            <w:r w:rsidRPr="009722AF">
              <w:rPr>
                <w:rFonts w:asciiTheme="majorHAnsi" w:hAnsiTheme="majorHAnsi"/>
                <w:b/>
                <w:bCs/>
                <w:color w:val="FFFFFF"/>
                <w:sz w:val="20"/>
              </w:rPr>
              <w:t>ODDÍLNÝ SERVISNÍ SMLOUVA</w:t>
            </w:r>
          </w:p>
        </w:tc>
        <w:tc>
          <w:tcPr>
            <w:tcW w:w="533" w:type="pct"/>
            <w:tcBorders>
              <w:top w:val="nil"/>
              <w:left w:val="single" w:sz="6" w:space="0" w:color="FFFFFF" w:themeColor="background1"/>
              <w:bottom w:val="nil"/>
            </w:tcBorders>
            <w:shd w:val="clear" w:color="5B9BD5" w:fill="5B9BD5"/>
            <w:noWrap/>
            <w:vAlign w:val="center"/>
            <w:hideMark/>
          </w:tcPr>
          <w:p w14:paraId="7FD3F0A3" w14:textId="60929786" w:rsidR="003445F0" w:rsidRPr="009722AF" w:rsidRDefault="003445F0" w:rsidP="003445F0">
            <w:pPr>
              <w:spacing w:before="0" w:after="0"/>
              <w:contextualSpacing w:val="0"/>
              <w:jc w:val="center"/>
              <w:rPr>
                <w:rFonts w:asciiTheme="majorHAnsi" w:eastAsia="Times New Roman" w:hAnsiTheme="majorHAnsi"/>
                <w:b/>
                <w:bCs/>
                <w:noProof/>
                <w:color w:val="FFFFFF"/>
                <w:sz w:val="20"/>
                <w:lang w:eastAsia="cs-CZ"/>
              </w:rPr>
            </w:pPr>
            <w:r w:rsidRPr="009722AF">
              <w:rPr>
                <w:rFonts w:asciiTheme="majorHAnsi" w:eastAsia="Times New Roman" w:hAnsiTheme="majorHAnsi"/>
                <w:b/>
                <w:bCs/>
                <w:noProof/>
                <w:color w:val="FFFFFF"/>
                <w:sz w:val="20"/>
                <w:lang w:eastAsia="cs-CZ"/>
              </w:rPr>
              <w:t>SMÍŠENÝ</w:t>
            </w:r>
          </w:p>
        </w:tc>
      </w:tr>
      <w:tr w:rsidR="003445F0" w:rsidRPr="009722AF" w14:paraId="4919F448" w14:textId="77777777" w:rsidTr="009A3BB2">
        <w:trPr>
          <w:trHeight w:val="306"/>
          <w:jc w:val="center"/>
        </w:trPr>
        <w:tc>
          <w:tcPr>
            <w:tcW w:w="1566" w:type="pct"/>
            <w:tcBorders>
              <w:top w:val="nil"/>
              <w:bottom w:val="nil"/>
              <w:right w:val="single" w:sz="12" w:space="0" w:color="548DD4"/>
            </w:tcBorders>
            <w:shd w:val="clear" w:color="BDD7EE" w:fill="BDD7EE"/>
            <w:noWrap/>
            <w:vAlign w:val="bottom"/>
            <w:hideMark/>
          </w:tcPr>
          <w:p w14:paraId="69B797FF" w14:textId="77777777" w:rsidR="003445F0" w:rsidRPr="009722AF" w:rsidRDefault="003445F0" w:rsidP="003445F0">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I.skupina(&gt;10 000mil.Kč)</w:t>
            </w:r>
          </w:p>
        </w:tc>
        <w:tc>
          <w:tcPr>
            <w:tcW w:w="925" w:type="pct"/>
            <w:tcBorders>
              <w:left w:val="single" w:sz="12" w:space="0" w:color="548DD4"/>
              <w:right w:val="single" w:sz="12" w:space="0" w:color="548DD4"/>
            </w:tcBorders>
            <w:shd w:val="clear" w:color="BDD7EE" w:fill="BDD7EE"/>
            <w:noWrap/>
            <w:vAlign w:val="bottom"/>
            <w:hideMark/>
          </w:tcPr>
          <w:p w14:paraId="434EF3CB" w14:textId="77777777" w:rsidR="003445F0" w:rsidRPr="009722AF" w:rsidRDefault="003445F0" w:rsidP="003445F0">
            <w:pPr>
              <w:spacing w:before="0" w:after="0"/>
              <w:contextualSpacing w:val="0"/>
              <w:jc w:val="center"/>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3</w:t>
            </w:r>
          </w:p>
        </w:tc>
        <w:tc>
          <w:tcPr>
            <w:tcW w:w="884" w:type="pct"/>
            <w:gridSpan w:val="2"/>
            <w:tcBorders>
              <w:top w:val="nil"/>
              <w:left w:val="single" w:sz="12" w:space="0" w:color="548DD4"/>
              <w:bottom w:val="nil"/>
              <w:right w:val="single" w:sz="6" w:space="0" w:color="FFFFFF" w:themeColor="background1"/>
            </w:tcBorders>
            <w:shd w:val="clear" w:color="BDD7EE" w:fill="BDD7EE"/>
            <w:noWrap/>
            <w:hideMark/>
          </w:tcPr>
          <w:p w14:paraId="46EB961A" w14:textId="35E07045"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1</w:t>
            </w:r>
          </w:p>
        </w:tc>
        <w:tc>
          <w:tcPr>
            <w:tcW w:w="538" w:type="pct"/>
            <w:tcBorders>
              <w:top w:val="nil"/>
              <w:left w:val="single" w:sz="6" w:space="0" w:color="FFFFFF" w:themeColor="background1"/>
              <w:bottom w:val="nil"/>
              <w:right w:val="single" w:sz="6" w:space="0" w:color="FFFFFF" w:themeColor="background1"/>
            </w:tcBorders>
            <w:shd w:val="clear" w:color="BDD7EE" w:fill="BDD7EE"/>
            <w:noWrap/>
            <w:hideMark/>
          </w:tcPr>
          <w:p w14:paraId="56EA37BD" w14:textId="70EF351E"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2</w:t>
            </w:r>
          </w:p>
        </w:tc>
        <w:tc>
          <w:tcPr>
            <w:tcW w:w="554" w:type="pct"/>
            <w:tcBorders>
              <w:top w:val="nil"/>
              <w:left w:val="single" w:sz="6" w:space="0" w:color="FFFFFF" w:themeColor="background1"/>
              <w:bottom w:val="nil"/>
              <w:right w:val="single" w:sz="6" w:space="0" w:color="FFFFFF" w:themeColor="background1"/>
            </w:tcBorders>
            <w:shd w:val="clear" w:color="BDD7EE" w:fill="BDD7EE"/>
          </w:tcPr>
          <w:p w14:paraId="506FB4F7" w14:textId="77777777"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p>
        </w:tc>
        <w:tc>
          <w:tcPr>
            <w:tcW w:w="533" w:type="pct"/>
            <w:tcBorders>
              <w:top w:val="nil"/>
              <w:left w:val="single" w:sz="6" w:space="0" w:color="FFFFFF" w:themeColor="background1"/>
              <w:bottom w:val="nil"/>
            </w:tcBorders>
            <w:shd w:val="clear" w:color="BDD7EE" w:fill="BDD7EE"/>
            <w:noWrap/>
            <w:hideMark/>
          </w:tcPr>
          <w:p w14:paraId="726934C2" w14:textId="12BBF9ED"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p>
        </w:tc>
      </w:tr>
      <w:tr w:rsidR="003445F0" w:rsidRPr="009722AF" w14:paraId="1DFDBD47" w14:textId="77777777" w:rsidTr="009A3BB2">
        <w:trPr>
          <w:trHeight w:val="306"/>
          <w:jc w:val="center"/>
        </w:trPr>
        <w:tc>
          <w:tcPr>
            <w:tcW w:w="1566" w:type="pct"/>
            <w:tcBorders>
              <w:top w:val="nil"/>
              <w:bottom w:val="nil"/>
              <w:right w:val="single" w:sz="12" w:space="0" w:color="548DD4"/>
            </w:tcBorders>
            <w:shd w:val="clear" w:color="DDEBF7" w:fill="DDEBF7"/>
            <w:noWrap/>
            <w:vAlign w:val="bottom"/>
            <w:hideMark/>
          </w:tcPr>
          <w:p w14:paraId="03BD471A" w14:textId="77777777" w:rsidR="003445F0" w:rsidRPr="009722AF" w:rsidRDefault="003445F0" w:rsidP="003445F0">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II.skupina(&gt;1 000mil.Kč)</w:t>
            </w:r>
          </w:p>
        </w:tc>
        <w:tc>
          <w:tcPr>
            <w:tcW w:w="925" w:type="pct"/>
            <w:tcBorders>
              <w:left w:val="single" w:sz="12" w:space="0" w:color="548DD4"/>
              <w:right w:val="single" w:sz="12" w:space="0" w:color="548DD4"/>
            </w:tcBorders>
            <w:shd w:val="clear" w:color="DDEBF7" w:fill="DDEBF7"/>
            <w:noWrap/>
            <w:vAlign w:val="bottom"/>
            <w:hideMark/>
          </w:tcPr>
          <w:p w14:paraId="0F5D54DD" w14:textId="77777777" w:rsidR="003445F0" w:rsidRPr="009722AF" w:rsidRDefault="003445F0" w:rsidP="003445F0">
            <w:pPr>
              <w:spacing w:before="0" w:after="0"/>
              <w:contextualSpacing w:val="0"/>
              <w:jc w:val="center"/>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41</w:t>
            </w:r>
          </w:p>
        </w:tc>
        <w:tc>
          <w:tcPr>
            <w:tcW w:w="884" w:type="pct"/>
            <w:gridSpan w:val="2"/>
            <w:tcBorders>
              <w:top w:val="nil"/>
              <w:left w:val="single" w:sz="12" w:space="0" w:color="548DD4"/>
              <w:bottom w:val="nil"/>
              <w:right w:val="single" w:sz="6" w:space="0" w:color="FFFFFF" w:themeColor="background1"/>
            </w:tcBorders>
            <w:shd w:val="clear" w:color="DDEBF7" w:fill="DDEBF7"/>
            <w:noWrap/>
            <w:hideMark/>
          </w:tcPr>
          <w:p w14:paraId="0A8D6068" w14:textId="59853F36"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21</w:t>
            </w:r>
          </w:p>
        </w:tc>
        <w:tc>
          <w:tcPr>
            <w:tcW w:w="538" w:type="pct"/>
            <w:tcBorders>
              <w:top w:val="nil"/>
              <w:left w:val="single" w:sz="6" w:space="0" w:color="FFFFFF" w:themeColor="background1"/>
              <w:bottom w:val="nil"/>
              <w:right w:val="single" w:sz="6" w:space="0" w:color="FFFFFF" w:themeColor="background1"/>
            </w:tcBorders>
            <w:shd w:val="clear" w:color="DDEBF7" w:fill="DDEBF7"/>
            <w:noWrap/>
            <w:hideMark/>
          </w:tcPr>
          <w:p w14:paraId="6CB81925" w14:textId="36A7496E"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20</w:t>
            </w:r>
          </w:p>
        </w:tc>
        <w:tc>
          <w:tcPr>
            <w:tcW w:w="554" w:type="pct"/>
            <w:tcBorders>
              <w:top w:val="nil"/>
              <w:left w:val="single" w:sz="6" w:space="0" w:color="FFFFFF" w:themeColor="background1"/>
              <w:bottom w:val="nil"/>
              <w:right w:val="single" w:sz="6" w:space="0" w:color="FFFFFF" w:themeColor="background1"/>
            </w:tcBorders>
            <w:shd w:val="clear" w:color="DDEBF7" w:fill="DDEBF7"/>
          </w:tcPr>
          <w:p w14:paraId="4F66E70C" w14:textId="77777777"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p>
        </w:tc>
        <w:tc>
          <w:tcPr>
            <w:tcW w:w="533" w:type="pct"/>
            <w:tcBorders>
              <w:top w:val="nil"/>
              <w:left w:val="single" w:sz="6" w:space="0" w:color="FFFFFF" w:themeColor="background1"/>
              <w:bottom w:val="nil"/>
            </w:tcBorders>
            <w:shd w:val="clear" w:color="DDEBF7" w:fill="DDEBF7"/>
            <w:noWrap/>
            <w:hideMark/>
          </w:tcPr>
          <w:p w14:paraId="6DA99673" w14:textId="687E4696"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p>
        </w:tc>
      </w:tr>
      <w:tr w:rsidR="003445F0" w:rsidRPr="009722AF" w14:paraId="54146B75" w14:textId="77777777" w:rsidTr="009A3BB2">
        <w:trPr>
          <w:trHeight w:val="306"/>
          <w:jc w:val="center"/>
        </w:trPr>
        <w:tc>
          <w:tcPr>
            <w:tcW w:w="1566" w:type="pct"/>
            <w:tcBorders>
              <w:top w:val="nil"/>
              <w:bottom w:val="nil"/>
              <w:right w:val="single" w:sz="12" w:space="0" w:color="548DD4"/>
            </w:tcBorders>
            <w:shd w:val="clear" w:color="BDD7EE" w:fill="BDD7EE"/>
            <w:noWrap/>
            <w:vAlign w:val="bottom"/>
            <w:hideMark/>
          </w:tcPr>
          <w:p w14:paraId="2A531E3E" w14:textId="77777777" w:rsidR="003445F0" w:rsidRPr="009722AF" w:rsidRDefault="003445F0" w:rsidP="003445F0">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III.skupina(&gt;100mil.Kč)</w:t>
            </w:r>
          </w:p>
        </w:tc>
        <w:tc>
          <w:tcPr>
            <w:tcW w:w="925" w:type="pct"/>
            <w:tcBorders>
              <w:left w:val="single" w:sz="12" w:space="0" w:color="548DD4"/>
              <w:right w:val="single" w:sz="12" w:space="0" w:color="548DD4"/>
            </w:tcBorders>
            <w:shd w:val="clear" w:color="BDD7EE" w:fill="BDD7EE"/>
            <w:noWrap/>
            <w:vAlign w:val="bottom"/>
            <w:hideMark/>
          </w:tcPr>
          <w:p w14:paraId="51BBF502" w14:textId="77777777" w:rsidR="003445F0" w:rsidRPr="009722AF" w:rsidRDefault="003445F0" w:rsidP="003445F0">
            <w:pPr>
              <w:spacing w:before="0" w:after="0"/>
              <w:contextualSpacing w:val="0"/>
              <w:jc w:val="center"/>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126</w:t>
            </w:r>
          </w:p>
        </w:tc>
        <w:tc>
          <w:tcPr>
            <w:tcW w:w="884" w:type="pct"/>
            <w:gridSpan w:val="2"/>
            <w:tcBorders>
              <w:top w:val="nil"/>
              <w:left w:val="single" w:sz="12" w:space="0" w:color="548DD4"/>
              <w:bottom w:val="nil"/>
              <w:right w:val="single" w:sz="6" w:space="0" w:color="FFFFFF" w:themeColor="background1"/>
            </w:tcBorders>
            <w:shd w:val="clear" w:color="BDD7EE" w:fill="BDD7EE"/>
            <w:noWrap/>
            <w:hideMark/>
          </w:tcPr>
          <w:p w14:paraId="32B32851" w14:textId="2CDA883F"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10</w:t>
            </w:r>
          </w:p>
        </w:tc>
        <w:tc>
          <w:tcPr>
            <w:tcW w:w="538" w:type="pct"/>
            <w:tcBorders>
              <w:top w:val="nil"/>
              <w:left w:val="single" w:sz="6" w:space="0" w:color="FFFFFF" w:themeColor="background1"/>
              <w:bottom w:val="nil"/>
              <w:right w:val="single" w:sz="6" w:space="0" w:color="FFFFFF" w:themeColor="background1"/>
            </w:tcBorders>
            <w:shd w:val="clear" w:color="BDD7EE" w:fill="BDD7EE"/>
            <w:noWrap/>
            <w:hideMark/>
          </w:tcPr>
          <w:p w14:paraId="1E1E760F" w14:textId="4509D476"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91</w:t>
            </w:r>
          </w:p>
        </w:tc>
        <w:tc>
          <w:tcPr>
            <w:tcW w:w="554" w:type="pct"/>
            <w:tcBorders>
              <w:top w:val="nil"/>
              <w:left w:val="single" w:sz="6" w:space="0" w:color="FFFFFF" w:themeColor="background1"/>
              <w:bottom w:val="nil"/>
              <w:right w:val="single" w:sz="6" w:space="0" w:color="FFFFFF" w:themeColor="background1"/>
            </w:tcBorders>
            <w:shd w:val="clear" w:color="BDD7EE" w:fill="BDD7EE"/>
          </w:tcPr>
          <w:p w14:paraId="442D910A" w14:textId="25288A3C"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3</w:t>
            </w:r>
          </w:p>
        </w:tc>
        <w:tc>
          <w:tcPr>
            <w:tcW w:w="533" w:type="pct"/>
            <w:tcBorders>
              <w:top w:val="nil"/>
              <w:left w:val="single" w:sz="6" w:space="0" w:color="FFFFFF" w:themeColor="background1"/>
              <w:bottom w:val="nil"/>
            </w:tcBorders>
            <w:shd w:val="clear" w:color="BDD7EE" w:fill="BDD7EE"/>
            <w:noWrap/>
            <w:hideMark/>
          </w:tcPr>
          <w:p w14:paraId="11A3CDA2" w14:textId="3F840198"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22</w:t>
            </w:r>
          </w:p>
        </w:tc>
      </w:tr>
      <w:tr w:rsidR="003445F0" w:rsidRPr="009722AF" w14:paraId="5EA7BB3B" w14:textId="77777777" w:rsidTr="009A3BB2">
        <w:trPr>
          <w:trHeight w:val="306"/>
          <w:jc w:val="center"/>
        </w:trPr>
        <w:tc>
          <w:tcPr>
            <w:tcW w:w="1566" w:type="pct"/>
            <w:tcBorders>
              <w:top w:val="nil"/>
              <w:bottom w:val="nil"/>
              <w:right w:val="single" w:sz="12" w:space="0" w:color="548DD4"/>
            </w:tcBorders>
            <w:shd w:val="clear" w:color="DDEBF7" w:fill="DDEBF7"/>
            <w:noWrap/>
            <w:vAlign w:val="bottom"/>
            <w:hideMark/>
          </w:tcPr>
          <w:p w14:paraId="2E6B5CC5" w14:textId="77777777" w:rsidR="003445F0" w:rsidRPr="009722AF" w:rsidRDefault="003445F0" w:rsidP="003445F0">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IV.skupina(&gt;10mil.Kč)</w:t>
            </w:r>
          </w:p>
        </w:tc>
        <w:tc>
          <w:tcPr>
            <w:tcW w:w="925" w:type="pct"/>
            <w:tcBorders>
              <w:left w:val="single" w:sz="12" w:space="0" w:color="548DD4"/>
              <w:right w:val="single" w:sz="12" w:space="0" w:color="548DD4"/>
            </w:tcBorders>
            <w:shd w:val="clear" w:color="DDEBF7" w:fill="DDEBF7"/>
            <w:noWrap/>
            <w:vAlign w:val="bottom"/>
            <w:hideMark/>
          </w:tcPr>
          <w:p w14:paraId="67D2AF4E" w14:textId="77777777" w:rsidR="003445F0" w:rsidRPr="009722AF" w:rsidRDefault="003445F0" w:rsidP="003445F0">
            <w:pPr>
              <w:spacing w:before="0" w:after="0"/>
              <w:contextualSpacing w:val="0"/>
              <w:jc w:val="center"/>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866</w:t>
            </w:r>
          </w:p>
        </w:tc>
        <w:tc>
          <w:tcPr>
            <w:tcW w:w="884" w:type="pct"/>
            <w:gridSpan w:val="2"/>
            <w:tcBorders>
              <w:top w:val="nil"/>
              <w:left w:val="single" w:sz="12" w:space="0" w:color="548DD4"/>
              <w:bottom w:val="nil"/>
              <w:right w:val="single" w:sz="6" w:space="0" w:color="FFFFFF" w:themeColor="background1"/>
            </w:tcBorders>
            <w:shd w:val="clear" w:color="DDEBF7" w:fill="DDEBF7"/>
            <w:noWrap/>
            <w:hideMark/>
          </w:tcPr>
          <w:p w14:paraId="189C36F4" w14:textId="55703E4A"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13</w:t>
            </w:r>
          </w:p>
        </w:tc>
        <w:tc>
          <w:tcPr>
            <w:tcW w:w="538" w:type="pct"/>
            <w:tcBorders>
              <w:top w:val="nil"/>
              <w:left w:val="single" w:sz="6" w:space="0" w:color="FFFFFF" w:themeColor="background1"/>
              <w:bottom w:val="nil"/>
              <w:right w:val="single" w:sz="6" w:space="0" w:color="FFFFFF" w:themeColor="background1"/>
            </w:tcBorders>
            <w:shd w:val="clear" w:color="DDEBF7" w:fill="DDEBF7"/>
            <w:noWrap/>
            <w:hideMark/>
          </w:tcPr>
          <w:p w14:paraId="3BF4EC88" w14:textId="377810D3"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464</w:t>
            </w:r>
          </w:p>
        </w:tc>
        <w:tc>
          <w:tcPr>
            <w:tcW w:w="554" w:type="pct"/>
            <w:tcBorders>
              <w:top w:val="nil"/>
              <w:left w:val="single" w:sz="6" w:space="0" w:color="FFFFFF" w:themeColor="background1"/>
              <w:bottom w:val="nil"/>
              <w:right w:val="single" w:sz="6" w:space="0" w:color="FFFFFF" w:themeColor="background1"/>
            </w:tcBorders>
            <w:shd w:val="clear" w:color="DDEBF7" w:fill="DDEBF7"/>
          </w:tcPr>
          <w:p w14:paraId="686563E6" w14:textId="142A48CB"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76</w:t>
            </w:r>
          </w:p>
        </w:tc>
        <w:tc>
          <w:tcPr>
            <w:tcW w:w="533" w:type="pct"/>
            <w:tcBorders>
              <w:top w:val="nil"/>
              <w:left w:val="single" w:sz="6" w:space="0" w:color="FFFFFF" w:themeColor="background1"/>
              <w:bottom w:val="nil"/>
            </w:tcBorders>
            <w:shd w:val="clear" w:color="DDEBF7" w:fill="DDEBF7"/>
            <w:noWrap/>
            <w:hideMark/>
          </w:tcPr>
          <w:p w14:paraId="3E22F898" w14:textId="27A8255E"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313</w:t>
            </w:r>
          </w:p>
        </w:tc>
      </w:tr>
      <w:tr w:rsidR="003445F0" w:rsidRPr="009722AF" w14:paraId="3AB50F31" w14:textId="77777777" w:rsidTr="009A3BB2">
        <w:trPr>
          <w:trHeight w:val="306"/>
          <w:jc w:val="center"/>
        </w:trPr>
        <w:tc>
          <w:tcPr>
            <w:tcW w:w="1566" w:type="pct"/>
            <w:tcBorders>
              <w:top w:val="nil"/>
              <w:bottom w:val="nil"/>
              <w:right w:val="single" w:sz="12" w:space="0" w:color="548DD4"/>
            </w:tcBorders>
            <w:shd w:val="clear" w:color="BDD7EE" w:fill="BDD7EE"/>
            <w:noWrap/>
            <w:vAlign w:val="bottom"/>
            <w:hideMark/>
          </w:tcPr>
          <w:p w14:paraId="63C6A25E" w14:textId="77777777" w:rsidR="003445F0" w:rsidRPr="009722AF" w:rsidRDefault="003445F0" w:rsidP="003445F0">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V.skupina(&gt;1mil.Kč)</w:t>
            </w:r>
          </w:p>
        </w:tc>
        <w:tc>
          <w:tcPr>
            <w:tcW w:w="925" w:type="pct"/>
            <w:tcBorders>
              <w:left w:val="single" w:sz="12" w:space="0" w:color="548DD4"/>
              <w:bottom w:val="nil"/>
              <w:right w:val="single" w:sz="12" w:space="0" w:color="548DD4"/>
            </w:tcBorders>
            <w:shd w:val="clear" w:color="BDD7EE" w:fill="BDD7EE"/>
            <w:noWrap/>
            <w:vAlign w:val="bottom"/>
            <w:hideMark/>
          </w:tcPr>
          <w:p w14:paraId="564FEB7B" w14:textId="77777777" w:rsidR="003445F0" w:rsidRPr="009722AF" w:rsidRDefault="003445F0" w:rsidP="003445F0">
            <w:pPr>
              <w:spacing w:before="0" w:after="0"/>
              <w:contextualSpacing w:val="0"/>
              <w:jc w:val="center"/>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521</w:t>
            </w:r>
          </w:p>
        </w:tc>
        <w:tc>
          <w:tcPr>
            <w:tcW w:w="884" w:type="pct"/>
            <w:gridSpan w:val="2"/>
            <w:tcBorders>
              <w:top w:val="nil"/>
              <w:left w:val="single" w:sz="12" w:space="0" w:color="548DD4"/>
              <w:bottom w:val="nil"/>
              <w:right w:val="single" w:sz="6" w:space="0" w:color="FFFFFF" w:themeColor="background1"/>
            </w:tcBorders>
            <w:shd w:val="clear" w:color="BDD7EE" w:fill="BDD7EE"/>
            <w:noWrap/>
            <w:hideMark/>
          </w:tcPr>
          <w:p w14:paraId="5309A6C6" w14:textId="53478D0A"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5</w:t>
            </w:r>
          </w:p>
        </w:tc>
        <w:tc>
          <w:tcPr>
            <w:tcW w:w="538" w:type="pct"/>
            <w:tcBorders>
              <w:top w:val="nil"/>
              <w:left w:val="single" w:sz="6" w:space="0" w:color="FFFFFF" w:themeColor="background1"/>
              <w:bottom w:val="nil"/>
              <w:right w:val="single" w:sz="6" w:space="0" w:color="FFFFFF" w:themeColor="background1"/>
            </w:tcBorders>
            <w:shd w:val="clear" w:color="BDD7EE" w:fill="BDD7EE"/>
            <w:noWrap/>
            <w:hideMark/>
          </w:tcPr>
          <w:p w14:paraId="344FD2A5" w14:textId="7CA65D09"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166</w:t>
            </w:r>
          </w:p>
        </w:tc>
        <w:tc>
          <w:tcPr>
            <w:tcW w:w="554" w:type="pct"/>
            <w:tcBorders>
              <w:top w:val="nil"/>
              <w:left w:val="single" w:sz="6" w:space="0" w:color="FFFFFF" w:themeColor="background1"/>
              <w:bottom w:val="nil"/>
              <w:right w:val="single" w:sz="6" w:space="0" w:color="FFFFFF" w:themeColor="background1"/>
            </w:tcBorders>
            <w:shd w:val="clear" w:color="BDD7EE" w:fill="BDD7EE"/>
          </w:tcPr>
          <w:p w14:paraId="32A1DE3B" w14:textId="154C1F7A"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79</w:t>
            </w:r>
          </w:p>
        </w:tc>
        <w:tc>
          <w:tcPr>
            <w:tcW w:w="533" w:type="pct"/>
            <w:tcBorders>
              <w:top w:val="nil"/>
              <w:left w:val="single" w:sz="6" w:space="0" w:color="FFFFFF" w:themeColor="background1"/>
              <w:bottom w:val="nil"/>
            </w:tcBorders>
            <w:shd w:val="clear" w:color="BDD7EE" w:fill="BDD7EE"/>
            <w:noWrap/>
            <w:hideMark/>
          </w:tcPr>
          <w:p w14:paraId="7550E02D" w14:textId="1E584720"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271</w:t>
            </w:r>
          </w:p>
        </w:tc>
      </w:tr>
      <w:tr w:rsidR="003445F0" w:rsidRPr="009722AF" w14:paraId="4CC53A3D" w14:textId="77777777" w:rsidTr="009A3BB2">
        <w:trPr>
          <w:trHeight w:val="306"/>
          <w:jc w:val="center"/>
        </w:trPr>
        <w:tc>
          <w:tcPr>
            <w:tcW w:w="1566" w:type="pct"/>
            <w:tcBorders>
              <w:top w:val="nil"/>
              <w:bottom w:val="single" w:sz="8" w:space="0" w:color="548DD4"/>
              <w:right w:val="single" w:sz="12" w:space="0" w:color="548DD4"/>
            </w:tcBorders>
            <w:shd w:val="clear" w:color="DDEBF7" w:fill="DDEBF7"/>
            <w:noWrap/>
            <w:vAlign w:val="bottom"/>
            <w:hideMark/>
          </w:tcPr>
          <w:p w14:paraId="4F14938E" w14:textId="77777777" w:rsidR="003445F0" w:rsidRPr="009722AF" w:rsidRDefault="003445F0" w:rsidP="003445F0">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VI.skupina(&lt;1mil.Kč)</w:t>
            </w:r>
          </w:p>
        </w:tc>
        <w:tc>
          <w:tcPr>
            <w:tcW w:w="925" w:type="pct"/>
            <w:tcBorders>
              <w:top w:val="nil"/>
              <w:left w:val="single" w:sz="12" w:space="0" w:color="548DD4"/>
              <w:bottom w:val="single" w:sz="8" w:space="0" w:color="548DD4"/>
              <w:right w:val="single" w:sz="12" w:space="0" w:color="548DD4"/>
            </w:tcBorders>
            <w:shd w:val="clear" w:color="DDEBF7" w:fill="DDEBF7"/>
            <w:noWrap/>
            <w:vAlign w:val="bottom"/>
            <w:hideMark/>
          </w:tcPr>
          <w:p w14:paraId="636D96BC" w14:textId="77777777" w:rsidR="003445F0" w:rsidRPr="009722AF" w:rsidRDefault="003445F0" w:rsidP="003445F0">
            <w:pPr>
              <w:spacing w:before="0" w:after="0"/>
              <w:contextualSpacing w:val="0"/>
              <w:jc w:val="center"/>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25</w:t>
            </w:r>
          </w:p>
        </w:tc>
        <w:tc>
          <w:tcPr>
            <w:tcW w:w="884" w:type="pct"/>
            <w:gridSpan w:val="2"/>
            <w:tcBorders>
              <w:top w:val="nil"/>
              <w:left w:val="single" w:sz="12" w:space="0" w:color="548DD4"/>
              <w:bottom w:val="single" w:sz="8" w:space="0" w:color="548DD4"/>
              <w:right w:val="single" w:sz="6" w:space="0" w:color="FFFFFF" w:themeColor="background1"/>
            </w:tcBorders>
            <w:shd w:val="clear" w:color="DDEBF7" w:fill="DDEBF7"/>
            <w:noWrap/>
            <w:hideMark/>
          </w:tcPr>
          <w:p w14:paraId="7E3C9691" w14:textId="77777777"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p>
        </w:tc>
        <w:tc>
          <w:tcPr>
            <w:tcW w:w="538" w:type="pct"/>
            <w:tcBorders>
              <w:top w:val="nil"/>
              <w:left w:val="single" w:sz="6" w:space="0" w:color="FFFFFF" w:themeColor="background1"/>
              <w:bottom w:val="single" w:sz="8" w:space="0" w:color="548DD4"/>
              <w:right w:val="single" w:sz="6" w:space="0" w:color="FFFFFF" w:themeColor="background1"/>
            </w:tcBorders>
            <w:shd w:val="clear" w:color="DDEBF7" w:fill="DDEBF7"/>
            <w:noWrap/>
            <w:hideMark/>
          </w:tcPr>
          <w:p w14:paraId="75692492" w14:textId="0325CBEE"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5</w:t>
            </w:r>
          </w:p>
        </w:tc>
        <w:tc>
          <w:tcPr>
            <w:tcW w:w="554" w:type="pct"/>
            <w:tcBorders>
              <w:top w:val="nil"/>
              <w:left w:val="single" w:sz="6" w:space="0" w:color="FFFFFF" w:themeColor="background1"/>
              <w:bottom w:val="single" w:sz="8" w:space="0" w:color="548DD4"/>
              <w:right w:val="single" w:sz="6" w:space="0" w:color="FFFFFF" w:themeColor="background1"/>
            </w:tcBorders>
            <w:shd w:val="clear" w:color="DDEBF7" w:fill="DDEBF7"/>
          </w:tcPr>
          <w:p w14:paraId="0DFF8CD2" w14:textId="5C0D1E22"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4</w:t>
            </w:r>
          </w:p>
        </w:tc>
        <w:tc>
          <w:tcPr>
            <w:tcW w:w="533" w:type="pct"/>
            <w:tcBorders>
              <w:top w:val="nil"/>
              <w:left w:val="single" w:sz="6" w:space="0" w:color="FFFFFF" w:themeColor="background1"/>
              <w:bottom w:val="single" w:sz="8" w:space="0" w:color="548DD4"/>
            </w:tcBorders>
            <w:shd w:val="clear" w:color="DDEBF7" w:fill="DDEBF7"/>
            <w:noWrap/>
            <w:hideMark/>
          </w:tcPr>
          <w:p w14:paraId="5DACE475" w14:textId="75F42A90" w:rsidR="003445F0" w:rsidRPr="009722AF" w:rsidRDefault="003445F0" w:rsidP="003445F0">
            <w:pPr>
              <w:spacing w:before="0" w:after="0"/>
              <w:contextualSpacing w:val="0"/>
              <w:jc w:val="center"/>
              <w:rPr>
                <w:rFonts w:asciiTheme="majorHAnsi" w:eastAsia="Times New Roman" w:hAnsiTheme="majorHAnsi"/>
                <w:noProof/>
                <w:color w:val="000000"/>
                <w:sz w:val="22"/>
                <w:lang w:eastAsia="cs-CZ"/>
              </w:rPr>
            </w:pPr>
            <w:r w:rsidRPr="009722AF">
              <w:rPr>
                <w:rFonts w:asciiTheme="majorHAnsi" w:hAnsiTheme="majorHAnsi"/>
                <w:sz w:val="22"/>
              </w:rPr>
              <w:t>16</w:t>
            </w:r>
          </w:p>
        </w:tc>
      </w:tr>
      <w:tr w:rsidR="003445F0" w:rsidRPr="009722AF" w14:paraId="432EBEBE" w14:textId="77777777" w:rsidTr="009A3BB2">
        <w:trPr>
          <w:trHeight w:val="306"/>
          <w:jc w:val="center"/>
        </w:trPr>
        <w:tc>
          <w:tcPr>
            <w:tcW w:w="1566" w:type="pct"/>
            <w:tcBorders>
              <w:top w:val="single" w:sz="8" w:space="0" w:color="548DD4"/>
              <w:bottom w:val="single" w:sz="12" w:space="0" w:color="548DD4"/>
              <w:right w:val="single" w:sz="12" w:space="0" w:color="548DD4"/>
            </w:tcBorders>
            <w:shd w:val="clear" w:color="BDD7EE" w:fill="BDD7EE"/>
            <w:noWrap/>
            <w:vAlign w:val="bottom"/>
            <w:hideMark/>
          </w:tcPr>
          <w:p w14:paraId="455818EA" w14:textId="77777777" w:rsidR="003445F0" w:rsidRPr="009722AF" w:rsidRDefault="003445F0" w:rsidP="003445F0">
            <w:pPr>
              <w:spacing w:before="0" w:after="0"/>
              <w:contextualSpacing w:val="0"/>
              <w:jc w:val="right"/>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Celkový součet</w:t>
            </w:r>
          </w:p>
        </w:tc>
        <w:tc>
          <w:tcPr>
            <w:tcW w:w="925" w:type="pct"/>
            <w:tcBorders>
              <w:top w:val="single" w:sz="8" w:space="0" w:color="548DD4"/>
              <w:left w:val="single" w:sz="12" w:space="0" w:color="548DD4"/>
              <w:right w:val="single" w:sz="12" w:space="0" w:color="548DD4"/>
            </w:tcBorders>
            <w:shd w:val="clear" w:color="BDD7EE" w:fill="BDD7EE"/>
            <w:noWrap/>
            <w:vAlign w:val="bottom"/>
            <w:hideMark/>
          </w:tcPr>
          <w:p w14:paraId="5FC0B248" w14:textId="40E8B2F4" w:rsidR="003445F0" w:rsidRPr="009722AF" w:rsidRDefault="003445F0" w:rsidP="003445F0">
            <w:pPr>
              <w:spacing w:before="0" w:after="0"/>
              <w:contextualSpacing w:val="0"/>
              <w:jc w:val="center"/>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1</w:t>
            </w:r>
            <w:r w:rsidR="0052462F">
              <w:rPr>
                <w:rFonts w:asciiTheme="majorHAnsi" w:eastAsia="Times New Roman" w:hAnsiTheme="majorHAnsi"/>
                <w:b/>
                <w:noProof/>
                <w:color w:val="000000"/>
                <w:sz w:val="22"/>
                <w:lang w:eastAsia="cs-CZ"/>
              </w:rPr>
              <w:t xml:space="preserve"> </w:t>
            </w:r>
            <w:r w:rsidRPr="009722AF">
              <w:rPr>
                <w:rFonts w:asciiTheme="majorHAnsi" w:eastAsia="Times New Roman" w:hAnsiTheme="majorHAnsi"/>
                <w:b/>
                <w:noProof/>
                <w:color w:val="000000"/>
                <w:sz w:val="22"/>
                <w:lang w:eastAsia="cs-CZ"/>
              </w:rPr>
              <w:t>582</w:t>
            </w:r>
          </w:p>
        </w:tc>
        <w:tc>
          <w:tcPr>
            <w:tcW w:w="884" w:type="pct"/>
            <w:gridSpan w:val="2"/>
            <w:tcBorders>
              <w:top w:val="single" w:sz="8" w:space="0" w:color="548DD4"/>
              <w:left w:val="single" w:sz="12" w:space="0" w:color="548DD4"/>
              <w:bottom w:val="single" w:sz="12" w:space="0" w:color="548DD4"/>
              <w:right w:val="single" w:sz="6" w:space="0" w:color="FFFFFF" w:themeColor="background1"/>
            </w:tcBorders>
            <w:shd w:val="clear" w:color="BDD7EE" w:fill="BDD7EE"/>
            <w:noWrap/>
            <w:hideMark/>
          </w:tcPr>
          <w:p w14:paraId="7E8455DC" w14:textId="4C2BF10C" w:rsidR="003445F0" w:rsidRPr="009722AF" w:rsidRDefault="003445F0" w:rsidP="003445F0">
            <w:pPr>
              <w:spacing w:before="0" w:after="0"/>
              <w:contextualSpacing w:val="0"/>
              <w:jc w:val="center"/>
              <w:rPr>
                <w:rFonts w:asciiTheme="majorHAnsi" w:eastAsia="Times New Roman" w:hAnsiTheme="majorHAnsi"/>
                <w:b/>
                <w:noProof/>
                <w:color w:val="000000"/>
                <w:sz w:val="22"/>
                <w:lang w:eastAsia="cs-CZ"/>
              </w:rPr>
            </w:pPr>
            <w:r w:rsidRPr="009722AF">
              <w:rPr>
                <w:rFonts w:asciiTheme="majorHAnsi" w:hAnsiTheme="majorHAnsi"/>
                <w:sz w:val="22"/>
              </w:rPr>
              <w:t>50</w:t>
            </w:r>
          </w:p>
        </w:tc>
        <w:tc>
          <w:tcPr>
            <w:tcW w:w="538" w:type="pct"/>
            <w:tcBorders>
              <w:top w:val="single" w:sz="8" w:space="0" w:color="548DD4"/>
              <w:left w:val="single" w:sz="6" w:space="0" w:color="FFFFFF" w:themeColor="background1"/>
              <w:bottom w:val="single" w:sz="12" w:space="0" w:color="548DD4"/>
              <w:right w:val="single" w:sz="6" w:space="0" w:color="FFFFFF" w:themeColor="background1"/>
            </w:tcBorders>
            <w:shd w:val="clear" w:color="BDD7EE" w:fill="BDD7EE"/>
            <w:noWrap/>
            <w:hideMark/>
          </w:tcPr>
          <w:p w14:paraId="35DED3BB" w14:textId="2BC28E54" w:rsidR="003445F0" w:rsidRPr="009722AF" w:rsidRDefault="003445F0" w:rsidP="003445F0">
            <w:pPr>
              <w:spacing w:before="0" w:after="0"/>
              <w:contextualSpacing w:val="0"/>
              <w:jc w:val="center"/>
              <w:rPr>
                <w:rFonts w:asciiTheme="majorHAnsi" w:eastAsia="Times New Roman" w:hAnsiTheme="majorHAnsi"/>
                <w:b/>
                <w:noProof/>
                <w:color w:val="000000"/>
                <w:sz w:val="22"/>
                <w:lang w:eastAsia="cs-CZ"/>
              </w:rPr>
            </w:pPr>
            <w:r w:rsidRPr="009722AF">
              <w:rPr>
                <w:rFonts w:asciiTheme="majorHAnsi" w:hAnsiTheme="majorHAnsi"/>
                <w:sz w:val="22"/>
              </w:rPr>
              <w:t>748</w:t>
            </w:r>
          </w:p>
        </w:tc>
        <w:tc>
          <w:tcPr>
            <w:tcW w:w="554" w:type="pct"/>
            <w:tcBorders>
              <w:top w:val="single" w:sz="8" w:space="0" w:color="548DD4"/>
              <w:left w:val="single" w:sz="6" w:space="0" w:color="FFFFFF" w:themeColor="background1"/>
              <w:bottom w:val="single" w:sz="12" w:space="0" w:color="548DD4"/>
              <w:right w:val="single" w:sz="6" w:space="0" w:color="FFFFFF" w:themeColor="background1"/>
            </w:tcBorders>
            <w:shd w:val="clear" w:color="BDD7EE" w:fill="BDD7EE"/>
          </w:tcPr>
          <w:p w14:paraId="26000BB6" w14:textId="61DAF857" w:rsidR="003445F0" w:rsidRPr="009722AF" w:rsidRDefault="003445F0" w:rsidP="003445F0">
            <w:pPr>
              <w:spacing w:before="0" w:after="0"/>
              <w:contextualSpacing w:val="0"/>
              <w:jc w:val="center"/>
              <w:rPr>
                <w:rFonts w:asciiTheme="majorHAnsi" w:eastAsia="Times New Roman" w:hAnsiTheme="majorHAnsi"/>
                <w:b/>
                <w:noProof/>
                <w:color w:val="000000"/>
                <w:sz w:val="22"/>
                <w:lang w:eastAsia="cs-CZ"/>
              </w:rPr>
            </w:pPr>
            <w:r w:rsidRPr="009722AF">
              <w:rPr>
                <w:rFonts w:asciiTheme="majorHAnsi" w:hAnsiTheme="majorHAnsi"/>
                <w:sz w:val="22"/>
              </w:rPr>
              <w:t>162</w:t>
            </w:r>
          </w:p>
        </w:tc>
        <w:tc>
          <w:tcPr>
            <w:tcW w:w="533" w:type="pct"/>
            <w:tcBorders>
              <w:top w:val="single" w:sz="8" w:space="0" w:color="548DD4"/>
              <w:left w:val="single" w:sz="6" w:space="0" w:color="FFFFFF" w:themeColor="background1"/>
              <w:bottom w:val="single" w:sz="12" w:space="0" w:color="548DD4"/>
            </w:tcBorders>
            <w:shd w:val="clear" w:color="BDD7EE" w:fill="BDD7EE"/>
            <w:noWrap/>
            <w:hideMark/>
          </w:tcPr>
          <w:p w14:paraId="406D7BAF" w14:textId="55F35FC5" w:rsidR="003445F0" w:rsidRPr="009722AF" w:rsidRDefault="003445F0" w:rsidP="003445F0">
            <w:pPr>
              <w:spacing w:before="0" w:after="0"/>
              <w:contextualSpacing w:val="0"/>
              <w:jc w:val="center"/>
              <w:rPr>
                <w:rFonts w:asciiTheme="majorHAnsi" w:eastAsia="Times New Roman" w:hAnsiTheme="majorHAnsi"/>
                <w:b/>
                <w:noProof/>
                <w:color w:val="000000"/>
                <w:sz w:val="22"/>
                <w:lang w:eastAsia="cs-CZ"/>
              </w:rPr>
            </w:pPr>
            <w:r w:rsidRPr="009722AF">
              <w:rPr>
                <w:rFonts w:asciiTheme="majorHAnsi" w:hAnsiTheme="majorHAnsi"/>
                <w:sz w:val="22"/>
              </w:rPr>
              <w:t>622</w:t>
            </w:r>
          </w:p>
        </w:tc>
      </w:tr>
    </w:tbl>
    <w:p w14:paraId="73585484" w14:textId="77777777" w:rsidR="00AC433C" w:rsidRDefault="00AC433C" w:rsidP="00C1539B">
      <w:pPr>
        <w:pStyle w:val="Normlnzprva"/>
        <w:rPr>
          <w:rFonts w:asciiTheme="minorHAnsi" w:hAnsiTheme="minorHAnsi"/>
          <w:noProof/>
        </w:rPr>
      </w:pPr>
    </w:p>
    <w:p w14:paraId="0D995158" w14:textId="77777777" w:rsidR="00D34DCA" w:rsidRPr="00C62639" w:rsidRDefault="00D34DCA" w:rsidP="00C1539B">
      <w:pPr>
        <w:pStyle w:val="Normlnzprva"/>
        <w:rPr>
          <w:rFonts w:asciiTheme="minorHAnsi" w:hAnsiTheme="minorHAnsi"/>
          <w:noProof/>
        </w:rPr>
      </w:pPr>
    </w:p>
    <w:tbl>
      <w:tblPr>
        <w:tblW w:w="9040" w:type="dxa"/>
        <w:jc w:val="center"/>
        <w:tblBorders>
          <w:top w:val="single" w:sz="12" w:space="0" w:color="F79646"/>
          <w:left w:val="single" w:sz="12" w:space="0" w:color="F79646"/>
          <w:bottom w:val="single" w:sz="12" w:space="0" w:color="F79646"/>
          <w:right w:val="single" w:sz="12" w:space="0" w:color="F79646"/>
        </w:tblBorders>
        <w:tblCellMar>
          <w:left w:w="70" w:type="dxa"/>
          <w:right w:w="70" w:type="dxa"/>
        </w:tblCellMar>
        <w:tblLook w:val="04A0" w:firstRow="1" w:lastRow="0" w:firstColumn="1" w:lastColumn="0" w:noHBand="0" w:noVBand="1"/>
      </w:tblPr>
      <w:tblGrid>
        <w:gridCol w:w="2672"/>
        <w:gridCol w:w="1429"/>
        <w:gridCol w:w="1077"/>
        <w:gridCol w:w="519"/>
        <w:gridCol w:w="1189"/>
        <w:gridCol w:w="1077"/>
        <w:gridCol w:w="1077"/>
      </w:tblGrid>
      <w:tr w:rsidR="003445F0" w:rsidRPr="009722AF" w14:paraId="23735D1B" w14:textId="77777777" w:rsidTr="003445F0">
        <w:trPr>
          <w:trHeight w:val="302"/>
          <w:jc w:val="center"/>
        </w:trPr>
        <w:tc>
          <w:tcPr>
            <w:tcW w:w="2672" w:type="dxa"/>
            <w:tcBorders>
              <w:top w:val="single" w:sz="12" w:space="0" w:color="F79646"/>
              <w:bottom w:val="nil"/>
              <w:right w:val="single" w:sz="12" w:space="0" w:color="F79646"/>
            </w:tcBorders>
            <w:shd w:val="clear" w:color="auto" w:fill="auto"/>
            <w:noWrap/>
            <w:vAlign w:val="center"/>
            <w:hideMark/>
          </w:tcPr>
          <w:p w14:paraId="1EAF2F76" w14:textId="77777777" w:rsidR="003445F0" w:rsidRPr="009722AF" w:rsidRDefault="003445F0" w:rsidP="00AC433C">
            <w:pPr>
              <w:spacing w:before="0" w:after="0"/>
              <w:contextualSpacing w:val="0"/>
              <w:jc w:val="left"/>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KANALIZACE</w:t>
            </w:r>
          </w:p>
          <w:p w14:paraId="41BC7DBC" w14:textId="77777777" w:rsidR="003445F0" w:rsidRPr="009722AF" w:rsidRDefault="003445F0" w:rsidP="00AC433C">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Rozdělení Porovnání do skupin</w:t>
            </w:r>
          </w:p>
        </w:tc>
        <w:tc>
          <w:tcPr>
            <w:tcW w:w="1429" w:type="dxa"/>
            <w:tcBorders>
              <w:left w:val="single" w:sz="12" w:space="0" w:color="F79646"/>
              <w:bottom w:val="nil"/>
            </w:tcBorders>
            <w:shd w:val="clear" w:color="auto" w:fill="auto"/>
            <w:noWrap/>
            <w:vAlign w:val="center"/>
            <w:hideMark/>
          </w:tcPr>
          <w:p w14:paraId="77307427" w14:textId="77777777" w:rsidR="003445F0" w:rsidRPr="009722AF" w:rsidRDefault="003445F0" w:rsidP="00AC433C">
            <w:pPr>
              <w:spacing w:before="0" w:after="0"/>
              <w:contextualSpacing w:val="0"/>
              <w:jc w:val="left"/>
              <w:rPr>
                <w:rFonts w:asciiTheme="majorHAnsi" w:eastAsia="Times New Roman" w:hAnsiTheme="majorHAnsi"/>
                <w:noProof/>
                <w:color w:val="000000"/>
                <w:szCs w:val="20"/>
                <w:lang w:eastAsia="cs-CZ"/>
              </w:rPr>
            </w:pPr>
          </w:p>
        </w:tc>
        <w:tc>
          <w:tcPr>
            <w:tcW w:w="1077" w:type="dxa"/>
            <w:tcBorders>
              <w:bottom w:val="nil"/>
            </w:tcBorders>
          </w:tcPr>
          <w:p w14:paraId="4507901D" w14:textId="77777777" w:rsidR="003445F0" w:rsidRPr="009722AF" w:rsidRDefault="003445F0" w:rsidP="00AC433C">
            <w:pPr>
              <w:spacing w:before="0" w:after="0"/>
              <w:contextualSpacing w:val="0"/>
              <w:jc w:val="center"/>
              <w:rPr>
                <w:rFonts w:asciiTheme="majorHAnsi" w:eastAsia="Times New Roman" w:hAnsiTheme="majorHAnsi"/>
                <w:noProof/>
                <w:color w:val="000000"/>
                <w:sz w:val="22"/>
                <w:szCs w:val="20"/>
                <w:lang w:eastAsia="cs-CZ"/>
              </w:rPr>
            </w:pPr>
          </w:p>
        </w:tc>
        <w:tc>
          <w:tcPr>
            <w:tcW w:w="3862" w:type="dxa"/>
            <w:gridSpan w:val="4"/>
            <w:tcBorders>
              <w:bottom w:val="nil"/>
            </w:tcBorders>
            <w:shd w:val="clear" w:color="auto" w:fill="auto"/>
            <w:noWrap/>
            <w:vAlign w:val="center"/>
            <w:hideMark/>
          </w:tcPr>
          <w:p w14:paraId="18E4FAB9" w14:textId="7DA8851C" w:rsidR="003445F0" w:rsidRPr="009722AF" w:rsidRDefault="003445F0" w:rsidP="00AC433C">
            <w:pPr>
              <w:spacing w:before="0" w:after="0"/>
              <w:contextualSpacing w:val="0"/>
              <w:jc w:val="center"/>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 xml:space="preserve">Zastoupení podle modelu provozování </w:t>
            </w:r>
          </w:p>
        </w:tc>
      </w:tr>
      <w:tr w:rsidR="003445F0" w:rsidRPr="009722AF" w14:paraId="7CD6160B" w14:textId="77777777" w:rsidTr="003445F0">
        <w:trPr>
          <w:trHeight w:val="302"/>
          <w:jc w:val="center"/>
        </w:trPr>
        <w:tc>
          <w:tcPr>
            <w:tcW w:w="2672" w:type="dxa"/>
            <w:tcBorders>
              <w:top w:val="nil"/>
              <w:bottom w:val="nil"/>
              <w:right w:val="single" w:sz="12" w:space="0" w:color="F79646"/>
            </w:tcBorders>
            <w:shd w:val="clear" w:color="ED7D31" w:fill="ED7D31"/>
            <w:noWrap/>
            <w:vAlign w:val="center"/>
            <w:hideMark/>
          </w:tcPr>
          <w:p w14:paraId="1BC79CBE" w14:textId="77777777" w:rsidR="003445F0" w:rsidRPr="009722AF" w:rsidRDefault="003445F0" w:rsidP="00AC433C">
            <w:pPr>
              <w:spacing w:before="0" w:after="0"/>
              <w:contextualSpacing w:val="0"/>
              <w:jc w:val="left"/>
              <w:rPr>
                <w:rFonts w:asciiTheme="majorHAnsi" w:eastAsia="Times New Roman" w:hAnsiTheme="majorHAnsi"/>
                <w:b/>
                <w:bCs/>
                <w:noProof/>
                <w:color w:val="FFFFFF"/>
                <w:szCs w:val="20"/>
                <w:lang w:eastAsia="cs-CZ"/>
              </w:rPr>
            </w:pPr>
            <w:r w:rsidRPr="009722AF">
              <w:rPr>
                <w:rFonts w:asciiTheme="majorHAnsi" w:eastAsia="Times New Roman" w:hAnsiTheme="majorHAnsi"/>
                <w:b/>
                <w:bCs/>
                <w:noProof/>
                <w:color w:val="FFFFFF"/>
                <w:sz w:val="22"/>
                <w:szCs w:val="20"/>
                <w:lang w:eastAsia="cs-CZ"/>
              </w:rPr>
              <w:t xml:space="preserve">Skupina / Model provozování </w:t>
            </w:r>
          </w:p>
        </w:tc>
        <w:tc>
          <w:tcPr>
            <w:tcW w:w="1429" w:type="dxa"/>
            <w:tcBorders>
              <w:top w:val="nil"/>
              <w:left w:val="single" w:sz="12" w:space="0" w:color="F79646"/>
              <w:bottom w:val="nil"/>
              <w:right w:val="single" w:sz="12" w:space="0" w:color="F79646"/>
            </w:tcBorders>
            <w:shd w:val="clear" w:color="ED7D31" w:fill="ED7D31"/>
            <w:noWrap/>
            <w:vAlign w:val="center"/>
            <w:hideMark/>
          </w:tcPr>
          <w:p w14:paraId="53D4E6E2" w14:textId="77777777" w:rsidR="003445F0" w:rsidRPr="009722AF" w:rsidRDefault="003445F0" w:rsidP="00AC433C">
            <w:pPr>
              <w:spacing w:before="0" w:after="0"/>
              <w:contextualSpacing w:val="0"/>
              <w:jc w:val="left"/>
              <w:rPr>
                <w:rFonts w:asciiTheme="majorHAnsi" w:eastAsia="Times New Roman" w:hAnsiTheme="majorHAnsi"/>
                <w:b/>
                <w:bCs/>
                <w:noProof/>
                <w:color w:val="FFFFFF"/>
                <w:szCs w:val="20"/>
                <w:lang w:eastAsia="cs-CZ"/>
              </w:rPr>
            </w:pPr>
            <w:r w:rsidRPr="009722AF">
              <w:rPr>
                <w:rFonts w:asciiTheme="majorHAnsi" w:eastAsia="Times New Roman" w:hAnsiTheme="majorHAnsi"/>
                <w:b/>
                <w:bCs/>
                <w:noProof/>
                <w:color w:val="FFFFFF"/>
                <w:sz w:val="22"/>
                <w:szCs w:val="20"/>
                <w:lang w:eastAsia="cs-CZ"/>
              </w:rPr>
              <w:t>Počet porovnání ve skupině</w:t>
            </w:r>
          </w:p>
        </w:tc>
        <w:tc>
          <w:tcPr>
            <w:tcW w:w="1596" w:type="dxa"/>
            <w:gridSpan w:val="2"/>
            <w:tcBorders>
              <w:top w:val="nil"/>
              <w:left w:val="single" w:sz="12" w:space="0" w:color="F79646"/>
              <w:bottom w:val="nil"/>
              <w:right w:val="single" w:sz="6" w:space="0" w:color="F2F2F2" w:themeColor="background1" w:themeShade="F2"/>
            </w:tcBorders>
            <w:shd w:val="clear" w:color="ED7D31" w:fill="ED7D31"/>
            <w:noWrap/>
            <w:vAlign w:val="center"/>
            <w:hideMark/>
          </w:tcPr>
          <w:p w14:paraId="29AA5F58"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KOMBINOVANÝ</w:t>
            </w:r>
          </w:p>
        </w:tc>
        <w:tc>
          <w:tcPr>
            <w:tcW w:w="1189" w:type="dxa"/>
            <w:tcBorders>
              <w:top w:val="nil"/>
              <w:left w:val="single" w:sz="6" w:space="0" w:color="F2F2F2" w:themeColor="background1" w:themeShade="F2"/>
              <w:bottom w:val="nil"/>
              <w:right w:val="single" w:sz="6" w:space="0" w:color="F2F2F2" w:themeColor="background1" w:themeShade="F2"/>
            </w:tcBorders>
            <w:shd w:val="clear" w:color="ED7D31" w:fill="ED7D31"/>
            <w:noWrap/>
            <w:vAlign w:val="center"/>
            <w:hideMark/>
          </w:tcPr>
          <w:p w14:paraId="08187463"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ODDÍLNÝ</w:t>
            </w:r>
          </w:p>
        </w:tc>
        <w:tc>
          <w:tcPr>
            <w:tcW w:w="1077" w:type="dxa"/>
            <w:tcBorders>
              <w:top w:val="nil"/>
              <w:left w:val="single" w:sz="6" w:space="0" w:color="F2F2F2" w:themeColor="background1" w:themeShade="F2"/>
              <w:bottom w:val="nil"/>
              <w:right w:val="single" w:sz="6" w:space="0" w:color="F2F2F2" w:themeColor="background1" w:themeShade="F2"/>
            </w:tcBorders>
            <w:shd w:val="clear" w:color="ED7D31" w:fill="ED7D31"/>
          </w:tcPr>
          <w:p w14:paraId="341DC489" w14:textId="509754F7"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ODDÍLNÝ SERVISNÍ SMLOUVA</w:t>
            </w:r>
          </w:p>
        </w:tc>
        <w:tc>
          <w:tcPr>
            <w:tcW w:w="1077" w:type="dxa"/>
            <w:tcBorders>
              <w:top w:val="nil"/>
              <w:left w:val="single" w:sz="6" w:space="0" w:color="F2F2F2" w:themeColor="background1" w:themeShade="F2"/>
              <w:bottom w:val="nil"/>
            </w:tcBorders>
            <w:shd w:val="clear" w:color="ED7D31" w:fill="ED7D31"/>
            <w:noWrap/>
            <w:vAlign w:val="center"/>
            <w:hideMark/>
          </w:tcPr>
          <w:p w14:paraId="2D359D08" w14:textId="4E3075A3"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SMÍŠENÝ</w:t>
            </w:r>
          </w:p>
        </w:tc>
      </w:tr>
      <w:tr w:rsidR="003445F0" w:rsidRPr="009722AF" w14:paraId="4838E720" w14:textId="77777777" w:rsidTr="003445F0">
        <w:trPr>
          <w:trHeight w:val="302"/>
          <w:jc w:val="center"/>
        </w:trPr>
        <w:tc>
          <w:tcPr>
            <w:tcW w:w="2672" w:type="dxa"/>
            <w:tcBorders>
              <w:top w:val="nil"/>
              <w:bottom w:val="nil"/>
              <w:right w:val="single" w:sz="12" w:space="0" w:color="F79646"/>
            </w:tcBorders>
            <w:shd w:val="clear" w:color="F8CBAD" w:fill="F8CBAD"/>
            <w:noWrap/>
            <w:vAlign w:val="center"/>
            <w:hideMark/>
          </w:tcPr>
          <w:p w14:paraId="3C18918B" w14:textId="77777777" w:rsidR="003445F0" w:rsidRPr="009722AF" w:rsidRDefault="003445F0" w:rsidP="003445F0">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I.skupina(&gt;10 000mil.Kč)</w:t>
            </w:r>
          </w:p>
        </w:tc>
        <w:tc>
          <w:tcPr>
            <w:tcW w:w="1429" w:type="dxa"/>
            <w:tcBorders>
              <w:top w:val="nil"/>
              <w:left w:val="single" w:sz="12" w:space="0" w:color="F79646"/>
              <w:bottom w:val="nil"/>
              <w:right w:val="single" w:sz="12" w:space="0" w:color="F79646"/>
            </w:tcBorders>
            <w:shd w:val="clear" w:color="F8CBAD" w:fill="F8CBAD"/>
            <w:noWrap/>
            <w:vAlign w:val="center"/>
            <w:hideMark/>
          </w:tcPr>
          <w:p w14:paraId="15944A8E" w14:textId="77777777" w:rsidR="003445F0" w:rsidRPr="009722AF" w:rsidRDefault="003445F0" w:rsidP="003445F0">
            <w:pPr>
              <w:spacing w:before="0" w:after="0"/>
              <w:contextualSpacing w:val="0"/>
              <w:jc w:val="center"/>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5</w:t>
            </w:r>
          </w:p>
        </w:tc>
        <w:tc>
          <w:tcPr>
            <w:tcW w:w="1596" w:type="dxa"/>
            <w:gridSpan w:val="2"/>
            <w:tcBorders>
              <w:top w:val="nil"/>
              <w:left w:val="single" w:sz="12" w:space="0" w:color="F79646"/>
              <w:bottom w:val="nil"/>
              <w:right w:val="single" w:sz="6" w:space="0" w:color="F2F2F2" w:themeColor="background1" w:themeShade="F2"/>
            </w:tcBorders>
            <w:shd w:val="clear" w:color="F8CBAD" w:fill="F8CBAD"/>
            <w:noWrap/>
            <w:hideMark/>
          </w:tcPr>
          <w:p w14:paraId="74FCE0E1" w14:textId="57AE25A3"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2</w:t>
            </w:r>
          </w:p>
        </w:tc>
        <w:tc>
          <w:tcPr>
            <w:tcW w:w="1189" w:type="dxa"/>
            <w:tcBorders>
              <w:top w:val="nil"/>
              <w:left w:val="single" w:sz="6" w:space="0" w:color="F2F2F2" w:themeColor="background1" w:themeShade="F2"/>
              <w:bottom w:val="nil"/>
              <w:right w:val="single" w:sz="6" w:space="0" w:color="F2F2F2" w:themeColor="background1" w:themeShade="F2"/>
            </w:tcBorders>
            <w:shd w:val="clear" w:color="F8CBAD" w:fill="F8CBAD"/>
            <w:noWrap/>
            <w:hideMark/>
          </w:tcPr>
          <w:p w14:paraId="244C19E4" w14:textId="051B7828"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3</w:t>
            </w:r>
          </w:p>
        </w:tc>
        <w:tc>
          <w:tcPr>
            <w:tcW w:w="1077" w:type="dxa"/>
            <w:tcBorders>
              <w:top w:val="nil"/>
              <w:left w:val="single" w:sz="6" w:space="0" w:color="F2F2F2" w:themeColor="background1" w:themeShade="F2"/>
              <w:bottom w:val="nil"/>
              <w:right w:val="single" w:sz="6" w:space="0" w:color="F2F2F2" w:themeColor="background1" w:themeShade="F2"/>
            </w:tcBorders>
            <w:shd w:val="clear" w:color="F8CBAD" w:fill="F8CBAD"/>
          </w:tcPr>
          <w:p w14:paraId="076D8502" w14:textId="77777777"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p>
        </w:tc>
        <w:tc>
          <w:tcPr>
            <w:tcW w:w="1077" w:type="dxa"/>
            <w:tcBorders>
              <w:top w:val="nil"/>
              <w:left w:val="single" w:sz="6" w:space="0" w:color="F2F2F2" w:themeColor="background1" w:themeShade="F2"/>
              <w:bottom w:val="nil"/>
            </w:tcBorders>
            <w:shd w:val="clear" w:color="F8CBAD" w:fill="F8CBAD"/>
            <w:noWrap/>
            <w:hideMark/>
          </w:tcPr>
          <w:p w14:paraId="168A06F0" w14:textId="750978D5"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p>
        </w:tc>
      </w:tr>
      <w:tr w:rsidR="003445F0" w:rsidRPr="009722AF" w14:paraId="3C612EA8" w14:textId="77777777" w:rsidTr="003445F0">
        <w:trPr>
          <w:trHeight w:val="302"/>
          <w:jc w:val="center"/>
        </w:trPr>
        <w:tc>
          <w:tcPr>
            <w:tcW w:w="2672" w:type="dxa"/>
            <w:tcBorders>
              <w:top w:val="nil"/>
              <w:bottom w:val="nil"/>
              <w:right w:val="single" w:sz="12" w:space="0" w:color="F79646"/>
            </w:tcBorders>
            <w:shd w:val="clear" w:color="FCE4D6" w:fill="FCE4D6"/>
            <w:noWrap/>
            <w:vAlign w:val="center"/>
            <w:hideMark/>
          </w:tcPr>
          <w:p w14:paraId="4A078A78" w14:textId="77777777" w:rsidR="003445F0" w:rsidRPr="009722AF" w:rsidRDefault="003445F0" w:rsidP="003445F0">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II.skupina(&gt;1 000mil.Kč)</w:t>
            </w:r>
          </w:p>
        </w:tc>
        <w:tc>
          <w:tcPr>
            <w:tcW w:w="1429" w:type="dxa"/>
            <w:tcBorders>
              <w:top w:val="nil"/>
              <w:left w:val="single" w:sz="12" w:space="0" w:color="F79646"/>
              <w:bottom w:val="nil"/>
              <w:right w:val="single" w:sz="12" w:space="0" w:color="F79646"/>
            </w:tcBorders>
            <w:shd w:val="clear" w:color="FCE4D6" w:fill="FCE4D6"/>
            <w:noWrap/>
            <w:vAlign w:val="center"/>
            <w:hideMark/>
          </w:tcPr>
          <w:p w14:paraId="1E580140" w14:textId="77777777" w:rsidR="003445F0" w:rsidRPr="009722AF" w:rsidRDefault="003445F0" w:rsidP="003445F0">
            <w:pPr>
              <w:spacing w:before="0" w:after="0"/>
              <w:contextualSpacing w:val="0"/>
              <w:jc w:val="center"/>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40</w:t>
            </w:r>
          </w:p>
        </w:tc>
        <w:tc>
          <w:tcPr>
            <w:tcW w:w="1596" w:type="dxa"/>
            <w:gridSpan w:val="2"/>
            <w:tcBorders>
              <w:top w:val="nil"/>
              <w:left w:val="single" w:sz="12" w:space="0" w:color="F79646"/>
              <w:bottom w:val="nil"/>
              <w:right w:val="single" w:sz="6" w:space="0" w:color="F2F2F2" w:themeColor="background1" w:themeShade="F2"/>
            </w:tcBorders>
            <w:shd w:val="clear" w:color="FCE4D6" w:fill="FCE4D6"/>
            <w:noWrap/>
            <w:hideMark/>
          </w:tcPr>
          <w:p w14:paraId="3134BE0E" w14:textId="0A757481"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16</w:t>
            </w:r>
          </w:p>
        </w:tc>
        <w:tc>
          <w:tcPr>
            <w:tcW w:w="1189" w:type="dxa"/>
            <w:tcBorders>
              <w:top w:val="nil"/>
              <w:left w:val="single" w:sz="6" w:space="0" w:color="F2F2F2" w:themeColor="background1" w:themeShade="F2"/>
              <w:bottom w:val="nil"/>
              <w:right w:val="single" w:sz="6" w:space="0" w:color="F2F2F2" w:themeColor="background1" w:themeShade="F2"/>
            </w:tcBorders>
            <w:shd w:val="clear" w:color="FCE4D6" w:fill="FCE4D6"/>
            <w:noWrap/>
            <w:hideMark/>
          </w:tcPr>
          <w:p w14:paraId="4F6BF5B4" w14:textId="3064104C"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22</w:t>
            </w:r>
          </w:p>
        </w:tc>
        <w:tc>
          <w:tcPr>
            <w:tcW w:w="1077" w:type="dxa"/>
            <w:tcBorders>
              <w:top w:val="nil"/>
              <w:left w:val="single" w:sz="6" w:space="0" w:color="F2F2F2" w:themeColor="background1" w:themeShade="F2"/>
              <w:bottom w:val="nil"/>
              <w:right w:val="single" w:sz="6" w:space="0" w:color="F2F2F2" w:themeColor="background1" w:themeShade="F2"/>
            </w:tcBorders>
            <w:shd w:val="clear" w:color="FCE4D6" w:fill="FCE4D6"/>
          </w:tcPr>
          <w:p w14:paraId="49607987" w14:textId="77777777"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p>
        </w:tc>
        <w:tc>
          <w:tcPr>
            <w:tcW w:w="1077" w:type="dxa"/>
            <w:tcBorders>
              <w:top w:val="nil"/>
              <w:left w:val="single" w:sz="6" w:space="0" w:color="F2F2F2" w:themeColor="background1" w:themeShade="F2"/>
              <w:bottom w:val="nil"/>
            </w:tcBorders>
            <w:shd w:val="clear" w:color="FCE4D6" w:fill="FCE4D6"/>
            <w:noWrap/>
            <w:hideMark/>
          </w:tcPr>
          <w:p w14:paraId="7BBDD354" w14:textId="55AEFC3F"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2</w:t>
            </w:r>
          </w:p>
        </w:tc>
      </w:tr>
      <w:tr w:rsidR="003445F0" w:rsidRPr="009722AF" w14:paraId="3829D663" w14:textId="77777777" w:rsidTr="003445F0">
        <w:trPr>
          <w:trHeight w:val="302"/>
          <w:jc w:val="center"/>
        </w:trPr>
        <w:tc>
          <w:tcPr>
            <w:tcW w:w="2672" w:type="dxa"/>
            <w:tcBorders>
              <w:top w:val="nil"/>
              <w:bottom w:val="nil"/>
              <w:right w:val="single" w:sz="12" w:space="0" w:color="F79646"/>
            </w:tcBorders>
            <w:shd w:val="clear" w:color="F8CBAD" w:fill="F8CBAD"/>
            <w:noWrap/>
            <w:vAlign w:val="center"/>
            <w:hideMark/>
          </w:tcPr>
          <w:p w14:paraId="7747C7A8" w14:textId="77777777" w:rsidR="003445F0" w:rsidRPr="009722AF" w:rsidRDefault="003445F0" w:rsidP="003445F0">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III.skupina(&gt;100mil.Kč)</w:t>
            </w:r>
          </w:p>
        </w:tc>
        <w:tc>
          <w:tcPr>
            <w:tcW w:w="1429" w:type="dxa"/>
            <w:tcBorders>
              <w:top w:val="nil"/>
              <w:left w:val="single" w:sz="12" w:space="0" w:color="F79646"/>
              <w:bottom w:val="nil"/>
              <w:right w:val="single" w:sz="12" w:space="0" w:color="F79646"/>
            </w:tcBorders>
            <w:shd w:val="clear" w:color="F8CBAD" w:fill="F8CBAD"/>
            <w:noWrap/>
            <w:vAlign w:val="center"/>
            <w:hideMark/>
          </w:tcPr>
          <w:p w14:paraId="17C37610" w14:textId="77777777" w:rsidR="003445F0" w:rsidRPr="009722AF" w:rsidRDefault="003445F0" w:rsidP="003445F0">
            <w:pPr>
              <w:spacing w:before="0" w:after="0"/>
              <w:contextualSpacing w:val="0"/>
              <w:jc w:val="center"/>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262</w:t>
            </w:r>
          </w:p>
        </w:tc>
        <w:tc>
          <w:tcPr>
            <w:tcW w:w="1596" w:type="dxa"/>
            <w:gridSpan w:val="2"/>
            <w:tcBorders>
              <w:top w:val="nil"/>
              <w:left w:val="single" w:sz="12" w:space="0" w:color="F79646"/>
              <w:bottom w:val="nil"/>
              <w:right w:val="single" w:sz="6" w:space="0" w:color="F2F2F2" w:themeColor="background1" w:themeShade="F2"/>
            </w:tcBorders>
            <w:shd w:val="clear" w:color="F8CBAD" w:fill="F8CBAD"/>
            <w:noWrap/>
            <w:hideMark/>
          </w:tcPr>
          <w:p w14:paraId="40950B5F" w14:textId="3F90027F"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18</w:t>
            </w:r>
          </w:p>
        </w:tc>
        <w:tc>
          <w:tcPr>
            <w:tcW w:w="1189" w:type="dxa"/>
            <w:tcBorders>
              <w:top w:val="nil"/>
              <w:left w:val="single" w:sz="6" w:space="0" w:color="F2F2F2" w:themeColor="background1" w:themeShade="F2"/>
              <w:bottom w:val="nil"/>
              <w:right w:val="single" w:sz="6" w:space="0" w:color="F2F2F2" w:themeColor="background1" w:themeShade="F2"/>
            </w:tcBorders>
            <w:shd w:val="clear" w:color="F8CBAD" w:fill="F8CBAD"/>
            <w:noWrap/>
            <w:hideMark/>
          </w:tcPr>
          <w:p w14:paraId="30E200E6" w14:textId="67B02363"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165</w:t>
            </w:r>
          </w:p>
        </w:tc>
        <w:tc>
          <w:tcPr>
            <w:tcW w:w="1077" w:type="dxa"/>
            <w:tcBorders>
              <w:top w:val="nil"/>
              <w:left w:val="single" w:sz="6" w:space="0" w:color="F2F2F2" w:themeColor="background1" w:themeShade="F2"/>
              <w:bottom w:val="nil"/>
              <w:right w:val="single" w:sz="6" w:space="0" w:color="F2F2F2" w:themeColor="background1" w:themeShade="F2"/>
            </w:tcBorders>
            <w:shd w:val="clear" w:color="F8CBAD" w:fill="F8CBAD"/>
          </w:tcPr>
          <w:p w14:paraId="7A564AC1" w14:textId="6B4A8838"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9</w:t>
            </w:r>
          </w:p>
        </w:tc>
        <w:tc>
          <w:tcPr>
            <w:tcW w:w="1077" w:type="dxa"/>
            <w:tcBorders>
              <w:top w:val="nil"/>
              <w:left w:val="single" w:sz="6" w:space="0" w:color="F2F2F2" w:themeColor="background1" w:themeShade="F2"/>
              <w:bottom w:val="nil"/>
            </w:tcBorders>
            <w:shd w:val="clear" w:color="F8CBAD" w:fill="F8CBAD"/>
            <w:noWrap/>
            <w:hideMark/>
          </w:tcPr>
          <w:p w14:paraId="694932AC" w14:textId="5983D5DA"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70</w:t>
            </w:r>
          </w:p>
        </w:tc>
      </w:tr>
      <w:tr w:rsidR="003445F0" w:rsidRPr="009722AF" w14:paraId="45771338" w14:textId="77777777" w:rsidTr="003445F0">
        <w:trPr>
          <w:trHeight w:val="302"/>
          <w:jc w:val="center"/>
        </w:trPr>
        <w:tc>
          <w:tcPr>
            <w:tcW w:w="2672" w:type="dxa"/>
            <w:tcBorders>
              <w:top w:val="nil"/>
              <w:bottom w:val="nil"/>
              <w:right w:val="single" w:sz="12" w:space="0" w:color="F79646"/>
            </w:tcBorders>
            <w:shd w:val="clear" w:color="FCE4D6" w:fill="FCE4D6"/>
            <w:noWrap/>
            <w:vAlign w:val="center"/>
            <w:hideMark/>
          </w:tcPr>
          <w:p w14:paraId="38126F01" w14:textId="77777777" w:rsidR="003445F0" w:rsidRPr="009722AF" w:rsidRDefault="003445F0" w:rsidP="003445F0">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IV.skupina(&gt;10mil.Kč)</w:t>
            </w:r>
          </w:p>
        </w:tc>
        <w:tc>
          <w:tcPr>
            <w:tcW w:w="1429" w:type="dxa"/>
            <w:tcBorders>
              <w:top w:val="nil"/>
              <w:left w:val="single" w:sz="12" w:space="0" w:color="F79646"/>
              <w:bottom w:val="nil"/>
              <w:right w:val="single" w:sz="12" w:space="0" w:color="F79646"/>
            </w:tcBorders>
            <w:shd w:val="clear" w:color="FCE4D6" w:fill="FCE4D6"/>
            <w:noWrap/>
            <w:vAlign w:val="center"/>
            <w:hideMark/>
          </w:tcPr>
          <w:p w14:paraId="36394771" w14:textId="2E0F6004" w:rsidR="003445F0" w:rsidRPr="009722AF" w:rsidRDefault="003445F0" w:rsidP="003445F0">
            <w:pPr>
              <w:spacing w:before="0" w:after="0"/>
              <w:contextualSpacing w:val="0"/>
              <w:jc w:val="center"/>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1</w:t>
            </w:r>
            <w:r w:rsidR="00277924">
              <w:rPr>
                <w:rFonts w:asciiTheme="majorHAnsi" w:eastAsia="Times New Roman" w:hAnsiTheme="majorHAnsi"/>
                <w:b/>
                <w:noProof/>
                <w:color w:val="000000"/>
                <w:sz w:val="22"/>
                <w:szCs w:val="20"/>
                <w:lang w:eastAsia="cs-CZ"/>
              </w:rPr>
              <w:t xml:space="preserve"> </w:t>
            </w:r>
            <w:r w:rsidRPr="009722AF">
              <w:rPr>
                <w:rFonts w:asciiTheme="majorHAnsi" w:eastAsia="Times New Roman" w:hAnsiTheme="majorHAnsi"/>
                <w:b/>
                <w:noProof/>
                <w:color w:val="000000"/>
                <w:sz w:val="22"/>
                <w:szCs w:val="20"/>
                <w:lang w:eastAsia="cs-CZ"/>
              </w:rPr>
              <w:t>251</w:t>
            </w:r>
          </w:p>
        </w:tc>
        <w:tc>
          <w:tcPr>
            <w:tcW w:w="1596" w:type="dxa"/>
            <w:gridSpan w:val="2"/>
            <w:tcBorders>
              <w:top w:val="nil"/>
              <w:left w:val="single" w:sz="12" w:space="0" w:color="F79646"/>
              <w:bottom w:val="nil"/>
              <w:right w:val="single" w:sz="6" w:space="0" w:color="F2F2F2" w:themeColor="background1" w:themeShade="F2"/>
            </w:tcBorders>
            <w:shd w:val="clear" w:color="FCE4D6" w:fill="FCE4D6"/>
            <w:noWrap/>
            <w:hideMark/>
          </w:tcPr>
          <w:p w14:paraId="4E7677DE" w14:textId="44665573"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18</w:t>
            </w:r>
          </w:p>
        </w:tc>
        <w:tc>
          <w:tcPr>
            <w:tcW w:w="1189" w:type="dxa"/>
            <w:tcBorders>
              <w:top w:val="nil"/>
              <w:left w:val="single" w:sz="6" w:space="0" w:color="F2F2F2" w:themeColor="background1" w:themeShade="F2"/>
              <w:bottom w:val="nil"/>
              <w:right w:val="single" w:sz="6" w:space="0" w:color="F2F2F2" w:themeColor="background1" w:themeShade="F2"/>
            </w:tcBorders>
            <w:shd w:val="clear" w:color="FCE4D6" w:fill="FCE4D6"/>
            <w:noWrap/>
            <w:hideMark/>
          </w:tcPr>
          <w:p w14:paraId="31E153DE" w14:textId="18CB3741"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416</w:t>
            </w:r>
          </w:p>
        </w:tc>
        <w:tc>
          <w:tcPr>
            <w:tcW w:w="1077" w:type="dxa"/>
            <w:tcBorders>
              <w:top w:val="nil"/>
              <w:left w:val="single" w:sz="6" w:space="0" w:color="F2F2F2" w:themeColor="background1" w:themeShade="F2"/>
              <w:bottom w:val="nil"/>
              <w:right w:val="single" w:sz="6" w:space="0" w:color="F2F2F2" w:themeColor="background1" w:themeShade="F2"/>
            </w:tcBorders>
            <w:shd w:val="clear" w:color="FCE4D6" w:fill="FCE4D6"/>
          </w:tcPr>
          <w:p w14:paraId="2C2DBA9F" w14:textId="47137202"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103</w:t>
            </w:r>
          </w:p>
        </w:tc>
        <w:tc>
          <w:tcPr>
            <w:tcW w:w="1077" w:type="dxa"/>
            <w:tcBorders>
              <w:top w:val="nil"/>
              <w:left w:val="single" w:sz="6" w:space="0" w:color="F2F2F2" w:themeColor="background1" w:themeShade="F2"/>
              <w:bottom w:val="nil"/>
            </w:tcBorders>
            <w:shd w:val="clear" w:color="FCE4D6" w:fill="FCE4D6"/>
            <w:noWrap/>
            <w:hideMark/>
          </w:tcPr>
          <w:p w14:paraId="2C5B4BC8" w14:textId="1AC5134C"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714</w:t>
            </w:r>
          </w:p>
        </w:tc>
      </w:tr>
      <w:tr w:rsidR="003445F0" w:rsidRPr="009722AF" w14:paraId="0C833134" w14:textId="77777777" w:rsidTr="003445F0">
        <w:trPr>
          <w:trHeight w:val="302"/>
          <w:jc w:val="center"/>
        </w:trPr>
        <w:tc>
          <w:tcPr>
            <w:tcW w:w="2672" w:type="dxa"/>
            <w:tcBorders>
              <w:top w:val="nil"/>
              <w:bottom w:val="nil"/>
              <w:right w:val="single" w:sz="12" w:space="0" w:color="F79646"/>
            </w:tcBorders>
            <w:shd w:val="clear" w:color="F8CBAD" w:fill="F8CBAD"/>
            <w:noWrap/>
            <w:vAlign w:val="center"/>
            <w:hideMark/>
          </w:tcPr>
          <w:p w14:paraId="042923D7" w14:textId="77777777" w:rsidR="003445F0" w:rsidRPr="009722AF" w:rsidRDefault="003445F0" w:rsidP="003445F0">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V.skupina(&gt;1mil.Kč)</w:t>
            </w:r>
          </w:p>
        </w:tc>
        <w:tc>
          <w:tcPr>
            <w:tcW w:w="1429" w:type="dxa"/>
            <w:tcBorders>
              <w:top w:val="nil"/>
              <w:left w:val="single" w:sz="12" w:space="0" w:color="F79646"/>
              <w:bottom w:val="nil"/>
              <w:right w:val="single" w:sz="12" w:space="0" w:color="F79646"/>
            </w:tcBorders>
            <w:shd w:val="clear" w:color="F8CBAD" w:fill="F8CBAD"/>
            <w:noWrap/>
            <w:vAlign w:val="center"/>
            <w:hideMark/>
          </w:tcPr>
          <w:p w14:paraId="39509013" w14:textId="77777777" w:rsidR="003445F0" w:rsidRPr="009722AF" w:rsidRDefault="003445F0" w:rsidP="003445F0">
            <w:pPr>
              <w:spacing w:before="0" w:after="0"/>
              <w:contextualSpacing w:val="0"/>
              <w:jc w:val="center"/>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284</w:t>
            </w:r>
          </w:p>
        </w:tc>
        <w:tc>
          <w:tcPr>
            <w:tcW w:w="1596" w:type="dxa"/>
            <w:gridSpan w:val="2"/>
            <w:tcBorders>
              <w:top w:val="nil"/>
              <w:left w:val="single" w:sz="12" w:space="0" w:color="F79646"/>
              <w:bottom w:val="nil"/>
              <w:right w:val="single" w:sz="6" w:space="0" w:color="F2F2F2" w:themeColor="background1" w:themeShade="F2"/>
            </w:tcBorders>
            <w:shd w:val="clear" w:color="F8CBAD" w:fill="F8CBAD"/>
            <w:noWrap/>
            <w:hideMark/>
          </w:tcPr>
          <w:p w14:paraId="62B3FFBE" w14:textId="39AF44A0"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2</w:t>
            </w:r>
          </w:p>
        </w:tc>
        <w:tc>
          <w:tcPr>
            <w:tcW w:w="1189" w:type="dxa"/>
            <w:tcBorders>
              <w:top w:val="nil"/>
              <w:left w:val="single" w:sz="6" w:space="0" w:color="F2F2F2" w:themeColor="background1" w:themeShade="F2"/>
              <w:bottom w:val="nil"/>
              <w:right w:val="single" w:sz="6" w:space="0" w:color="F2F2F2" w:themeColor="background1" w:themeShade="F2"/>
            </w:tcBorders>
            <w:shd w:val="clear" w:color="F8CBAD" w:fill="F8CBAD"/>
            <w:noWrap/>
            <w:hideMark/>
          </w:tcPr>
          <w:p w14:paraId="2E6709DF" w14:textId="5BE592B1"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25</w:t>
            </w:r>
          </w:p>
        </w:tc>
        <w:tc>
          <w:tcPr>
            <w:tcW w:w="1077" w:type="dxa"/>
            <w:tcBorders>
              <w:top w:val="nil"/>
              <w:left w:val="single" w:sz="6" w:space="0" w:color="F2F2F2" w:themeColor="background1" w:themeShade="F2"/>
              <w:bottom w:val="nil"/>
              <w:right w:val="single" w:sz="6" w:space="0" w:color="F2F2F2" w:themeColor="background1" w:themeShade="F2"/>
            </w:tcBorders>
            <w:shd w:val="clear" w:color="F8CBAD" w:fill="F8CBAD"/>
          </w:tcPr>
          <w:p w14:paraId="1E080F08" w14:textId="11398139"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47</w:t>
            </w:r>
          </w:p>
        </w:tc>
        <w:tc>
          <w:tcPr>
            <w:tcW w:w="1077" w:type="dxa"/>
            <w:tcBorders>
              <w:top w:val="nil"/>
              <w:left w:val="single" w:sz="6" w:space="0" w:color="F2F2F2" w:themeColor="background1" w:themeShade="F2"/>
              <w:bottom w:val="nil"/>
            </w:tcBorders>
            <w:shd w:val="clear" w:color="F8CBAD" w:fill="F8CBAD"/>
            <w:noWrap/>
            <w:hideMark/>
          </w:tcPr>
          <w:p w14:paraId="41F26E6D" w14:textId="50D8DD77"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210</w:t>
            </w:r>
          </w:p>
        </w:tc>
      </w:tr>
      <w:tr w:rsidR="003445F0" w:rsidRPr="009722AF" w14:paraId="21F6886F" w14:textId="77777777" w:rsidTr="003445F0">
        <w:trPr>
          <w:trHeight w:val="302"/>
          <w:jc w:val="center"/>
        </w:trPr>
        <w:tc>
          <w:tcPr>
            <w:tcW w:w="2672" w:type="dxa"/>
            <w:tcBorders>
              <w:top w:val="nil"/>
              <w:bottom w:val="nil"/>
              <w:right w:val="single" w:sz="12" w:space="0" w:color="F79646"/>
            </w:tcBorders>
            <w:shd w:val="clear" w:color="FCE4D6" w:fill="FCE4D6"/>
            <w:noWrap/>
            <w:vAlign w:val="center"/>
            <w:hideMark/>
          </w:tcPr>
          <w:p w14:paraId="2003570F" w14:textId="77777777" w:rsidR="003445F0" w:rsidRPr="009722AF" w:rsidRDefault="003445F0" w:rsidP="003445F0">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VI.skupina(&lt;1mil.Kč)</w:t>
            </w:r>
          </w:p>
        </w:tc>
        <w:tc>
          <w:tcPr>
            <w:tcW w:w="1429" w:type="dxa"/>
            <w:tcBorders>
              <w:top w:val="nil"/>
              <w:left w:val="single" w:sz="12" w:space="0" w:color="F79646"/>
              <w:bottom w:val="nil"/>
              <w:right w:val="single" w:sz="12" w:space="0" w:color="F79646"/>
            </w:tcBorders>
            <w:shd w:val="clear" w:color="FCE4D6" w:fill="FCE4D6"/>
            <w:noWrap/>
            <w:vAlign w:val="center"/>
            <w:hideMark/>
          </w:tcPr>
          <w:p w14:paraId="3B2F92A5" w14:textId="77777777" w:rsidR="003445F0" w:rsidRPr="009722AF" w:rsidRDefault="003445F0" w:rsidP="003445F0">
            <w:pPr>
              <w:spacing w:before="0" w:after="0"/>
              <w:contextualSpacing w:val="0"/>
              <w:jc w:val="center"/>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15</w:t>
            </w:r>
          </w:p>
        </w:tc>
        <w:tc>
          <w:tcPr>
            <w:tcW w:w="1596" w:type="dxa"/>
            <w:gridSpan w:val="2"/>
            <w:tcBorders>
              <w:top w:val="nil"/>
              <w:left w:val="single" w:sz="12" w:space="0" w:color="F79646"/>
              <w:bottom w:val="nil"/>
              <w:right w:val="single" w:sz="6" w:space="0" w:color="F2F2F2" w:themeColor="background1" w:themeShade="F2"/>
            </w:tcBorders>
            <w:shd w:val="clear" w:color="FCE4D6" w:fill="FCE4D6"/>
            <w:noWrap/>
            <w:hideMark/>
          </w:tcPr>
          <w:p w14:paraId="2B19A6A0" w14:textId="77777777"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p>
        </w:tc>
        <w:tc>
          <w:tcPr>
            <w:tcW w:w="1189" w:type="dxa"/>
            <w:tcBorders>
              <w:top w:val="nil"/>
              <w:left w:val="single" w:sz="6" w:space="0" w:color="F2F2F2" w:themeColor="background1" w:themeShade="F2"/>
              <w:bottom w:val="nil"/>
              <w:right w:val="single" w:sz="6" w:space="0" w:color="F2F2F2" w:themeColor="background1" w:themeShade="F2"/>
            </w:tcBorders>
            <w:shd w:val="clear" w:color="FCE4D6" w:fill="FCE4D6"/>
            <w:noWrap/>
            <w:hideMark/>
          </w:tcPr>
          <w:p w14:paraId="121A0412" w14:textId="79EB8FBC"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3</w:t>
            </w:r>
          </w:p>
        </w:tc>
        <w:tc>
          <w:tcPr>
            <w:tcW w:w="1077" w:type="dxa"/>
            <w:tcBorders>
              <w:top w:val="nil"/>
              <w:left w:val="single" w:sz="6" w:space="0" w:color="F2F2F2" w:themeColor="background1" w:themeShade="F2"/>
              <w:bottom w:val="nil"/>
              <w:right w:val="single" w:sz="6" w:space="0" w:color="F2F2F2" w:themeColor="background1" w:themeShade="F2"/>
            </w:tcBorders>
            <w:shd w:val="clear" w:color="FCE4D6" w:fill="FCE4D6"/>
          </w:tcPr>
          <w:p w14:paraId="37179D42" w14:textId="5CF62784"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2</w:t>
            </w:r>
          </w:p>
        </w:tc>
        <w:tc>
          <w:tcPr>
            <w:tcW w:w="1077" w:type="dxa"/>
            <w:tcBorders>
              <w:top w:val="nil"/>
              <w:left w:val="single" w:sz="6" w:space="0" w:color="F2F2F2" w:themeColor="background1" w:themeShade="F2"/>
              <w:bottom w:val="nil"/>
            </w:tcBorders>
            <w:shd w:val="clear" w:color="FCE4D6" w:fill="FCE4D6"/>
            <w:noWrap/>
            <w:hideMark/>
          </w:tcPr>
          <w:p w14:paraId="0B1AE602" w14:textId="2048CA6B" w:rsidR="003445F0" w:rsidRPr="009722AF" w:rsidRDefault="003445F0" w:rsidP="003445F0">
            <w:pPr>
              <w:spacing w:before="0" w:after="0"/>
              <w:contextualSpacing w:val="0"/>
              <w:jc w:val="center"/>
              <w:rPr>
                <w:rFonts w:asciiTheme="majorHAnsi" w:eastAsia="Times New Roman" w:hAnsiTheme="majorHAnsi"/>
                <w:noProof/>
                <w:color w:val="000000"/>
                <w:sz w:val="22"/>
                <w:szCs w:val="20"/>
                <w:lang w:eastAsia="cs-CZ"/>
              </w:rPr>
            </w:pPr>
            <w:r w:rsidRPr="009722AF">
              <w:rPr>
                <w:rFonts w:asciiTheme="majorHAnsi" w:hAnsiTheme="majorHAnsi"/>
                <w:sz w:val="22"/>
              </w:rPr>
              <w:t>10</w:t>
            </w:r>
          </w:p>
        </w:tc>
      </w:tr>
      <w:tr w:rsidR="003445F0" w:rsidRPr="009722AF" w14:paraId="0A7DC953" w14:textId="77777777" w:rsidTr="003445F0">
        <w:trPr>
          <w:trHeight w:val="302"/>
          <w:jc w:val="center"/>
        </w:trPr>
        <w:tc>
          <w:tcPr>
            <w:tcW w:w="2672" w:type="dxa"/>
            <w:tcBorders>
              <w:top w:val="nil"/>
              <w:bottom w:val="single" w:sz="12" w:space="0" w:color="F79646"/>
              <w:right w:val="single" w:sz="12" w:space="0" w:color="F79646"/>
            </w:tcBorders>
            <w:shd w:val="clear" w:color="F8CBAD" w:fill="F8CBAD"/>
            <w:noWrap/>
            <w:vAlign w:val="center"/>
            <w:hideMark/>
          </w:tcPr>
          <w:p w14:paraId="09DCDC86" w14:textId="77777777" w:rsidR="003445F0" w:rsidRPr="009722AF" w:rsidRDefault="003445F0" w:rsidP="003445F0">
            <w:pPr>
              <w:spacing w:before="0" w:after="0"/>
              <w:contextualSpacing w:val="0"/>
              <w:jc w:val="right"/>
              <w:rPr>
                <w:rFonts w:asciiTheme="majorHAnsi" w:eastAsia="Times New Roman" w:hAnsiTheme="majorHAnsi"/>
                <w:b/>
                <w:bCs/>
                <w:noProof/>
                <w:color w:val="000000"/>
                <w:szCs w:val="20"/>
                <w:lang w:eastAsia="cs-CZ"/>
              </w:rPr>
            </w:pPr>
            <w:r w:rsidRPr="009722AF">
              <w:rPr>
                <w:rFonts w:asciiTheme="majorHAnsi" w:eastAsia="Times New Roman" w:hAnsiTheme="majorHAnsi"/>
                <w:b/>
                <w:bCs/>
                <w:noProof/>
                <w:color w:val="000000"/>
                <w:sz w:val="22"/>
                <w:szCs w:val="20"/>
                <w:lang w:eastAsia="cs-CZ"/>
              </w:rPr>
              <w:t>Celkový součet</w:t>
            </w:r>
          </w:p>
        </w:tc>
        <w:tc>
          <w:tcPr>
            <w:tcW w:w="1429" w:type="dxa"/>
            <w:tcBorders>
              <w:top w:val="nil"/>
              <w:left w:val="single" w:sz="12" w:space="0" w:color="F79646"/>
              <w:bottom w:val="single" w:sz="12" w:space="0" w:color="F79646"/>
              <w:right w:val="single" w:sz="12" w:space="0" w:color="F79646"/>
            </w:tcBorders>
            <w:shd w:val="clear" w:color="F8CBAD" w:fill="F8CBAD"/>
            <w:noWrap/>
            <w:vAlign w:val="center"/>
            <w:hideMark/>
          </w:tcPr>
          <w:p w14:paraId="7904BE1E" w14:textId="1EE35564" w:rsidR="003445F0" w:rsidRPr="009722AF" w:rsidRDefault="003445F0" w:rsidP="003445F0">
            <w:pPr>
              <w:spacing w:before="0" w:after="0"/>
              <w:contextualSpacing w:val="0"/>
              <w:jc w:val="center"/>
              <w:rPr>
                <w:rFonts w:asciiTheme="majorHAnsi" w:eastAsia="Times New Roman" w:hAnsiTheme="majorHAnsi"/>
                <w:b/>
                <w:bCs/>
                <w:noProof/>
                <w:color w:val="000000"/>
                <w:szCs w:val="20"/>
                <w:lang w:eastAsia="cs-CZ"/>
              </w:rPr>
            </w:pPr>
            <w:r w:rsidRPr="009722AF">
              <w:rPr>
                <w:rFonts w:asciiTheme="majorHAnsi" w:eastAsia="Times New Roman" w:hAnsiTheme="majorHAnsi"/>
                <w:b/>
                <w:bCs/>
                <w:noProof/>
                <w:color w:val="000000"/>
                <w:sz w:val="22"/>
                <w:szCs w:val="20"/>
                <w:lang w:eastAsia="cs-CZ"/>
              </w:rPr>
              <w:t>1</w:t>
            </w:r>
            <w:r w:rsidR="00277924">
              <w:rPr>
                <w:rFonts w:asciiTheme="majorHAnsi" w:eastAsia="Times New Roman" w:hAnsiTheme="majorHAnsi"/>
                <w:b/>
                <w:bCs/>
                <w:noProof/>
                <w:color w:val="000000"/>
                <w:sz w:val="22"/>
                <w:szCs w:val="20"/>
                <w:lang w:eastAsia="cs-CZ"/>
              </w:rPr>
              <w:t xml:space="preserve"> </w:t>
            </w:r>
            <w:r w:rsidRPr="009722AF">
              <w:rPr>
                <w:rFonts w:asciiTheme="majorHAnsi" w:eastAsia="Times New Roman" w:hAnsiTheme="majorHAnsi"/>
                <w:b/>
                <w:bCs/>
                <w:noProof/>
                <w:color w:val="000000"/>
                <w:sz w:val="22"/>
                <w:szCs w:val="20"/>
                <w:lang w:eastAsia="cs-CZ"/>
              </w:rPr>
              <w:t>857</w:t>
            </w:r>
          </w:p>
        </w:tc>
        <w:tc>
          <w:tcPr>
            <w:tcW w:w="1596" w:type="dxa"/>
            <w:gridSpan w:val="2"/>
            <w:tcBorders>
              <w:top w:val="nil"/>
              <w:left w:val="single" w:sz="12" w:space="0" w:color="F79646"/>
              <w:bottom w:val="single" w:sz="12" w:space="0" w:color="F79646"/>
              <w:right w:val="single" w:sz="6" w:space="0" w:color="F2F2F2" w:themeColor="background1" w:themeShade="F2"/>
            </w:tcBorders>
            <w:shd w:val="clear" w:color="F8CBAD" w:fill="F8CBAD"/>
            <w:noWrap/>
            <w:hideMark/>
          </w:tcPr>
          <w:p w14:paraId="45FE8301" w14:textId="07C32B17" w:rsidR="003445F0" w:rsidRPr="009722AF" w:rsidRDefault="003445F0" w:rsidP="003445F0">
            <w:pPr>
              <w:spacing w:before="0" w:after="0"/>
              <w:contextualSpacing w:val="0"/>
              <w:jc w:val="center"/>
              <w:rPr>
                <w:rFonts w:asciiTheme="majorHAnsi" w:eastAsia="Times New Roman" w:hAnsiTheme="majorHAnsi"/>
                <w:b/>
                <w:bCs/>
                <w:noProof/>
                <w:color w:val="000000"/>
                <w:sz w:val="22"/>
                <w:szCs w:val="20"/>
                <w:lang w:eastAsia="cs-CZ"/>
              </w:rPr>
            </w:pPr>
            <w:r w:rsidRPr="009722AF">
              <w:rPr>
                <w:rFonts w:asciiTheme="majorHAnsi" w:hAnsiTheme="majorHAnsi"/>
                <w:b/>
                <w:sz w:val="22"/>
              </w:rPr>
              <w:t>56</w:t>
            </w:r>
          </w:p>
        </w:tc>
        <w:tc>
          <w:tcPr>
            <w:tcW w:w="1189" w:type="dxa"/>
            <w:tcBorders>
              <w:top w:val="nil"/>
              <w:left w:val="single" w:sz="6" w:space="0" w:color="F2F2F2" w:themeColor="background1" w:themeShade="F2"/>
              <w:bottom w:val="single" w:sz="12" w:space="0" w:color="F79646"/>
              <w:right w:val="single" w:sz="6" w:space="0" w:color="F2F2F2" w:themeColor="background1" w:themeShade="F2"/>
            </w:tcBorders>
            <w:shd w:val="clear" w:color="F8CBAD" w:fill="F8CBAD"/>
            <w:noWrap/>
            <w:hideMark/>
          </w:tcPr>
          <w:p w14:paraId="4FF48BD0" w14:textId="196CF217" w:rsidR="003445F0" w:rsidRPr="009722AF" w:rsidRDefault="003445F0" w:rsidP="003445F0">
            <w:pPr>
              <w:spacing w:before="0" w:after="0"/>
              <w:contextualSpacing w:val="0"/>
              <w:jc w:val="center"/>
              <w:rPr>
                <w:rFonts w:asciiTheme="majorHAnsi" w:eastAsia="Times New Roman" w:hAnsiTheme="majorHAnsi"/>
                <w:b/>
                <w:bCs/>
                <w:noProof/>
                <w:color w:val="000000"/>
                <w:sz w:val="22"/>
                <w:szCs w:val="20"/>
                <w:lang w:eastAsia="cs-CZ"/>
              </w:rPr>
            </w:pPr>
            <w:r w:rsidRPr="009722AF">
              <w:rPr>
                <w:rFonts w:asciiTheme="majorHAnsi" w:hAnsiTheme="majorHAnsi"/>
                <w:b/>
                <w:sz w:val="22"/>
              </w:rPr>
              <w:t>634</w:t>
            </w:r>
          </w:p>
        </w:tc>
        <w:tc>
          <w:tcPr>
            <w:tcW w:w="1077" w:type="dxa"/>
            <w:tcBorders>
              <w:top w:val="nil"/>
              <w:left w:val="single" w:sz="6" w:space="0" w:color="F2F2F2" w:themeColor="background1" w:themeShade="F2"/>
              <w:bottom w:val="single" w:sz="12" w:space="0" w:color="F79646"/>
              <w:right w:val="single" w:sz="6" w:space="0" w:color="F2F2F2" w:themeColor="background1" w:themeShade="F2"/>
            </w:tcBorders>
            <w:shd w:val="clear" w:color="F8CBAD" w:fill="F8CBAD"/>
          </w:tcPr>
          <w:p w14:paraId="24B99F91" w14:textId="039009FE" w:rsidR="003445F0" w:rsidRPr="009722AF" w:rsidRDefault="003445F0" w:rsidP="003445F0">
            <w:pPr>
              <w:spacing w:before="0" w:after="0"/>
              <w:contextualSpacing w:val="0"/>
              <w:jc w:val="center"/>
              <w:rPr>
                <w:rFonts w:asciiTheme="majorHAnsi" w:eastAsia="Times New Roman" w:hAnsiTheme="majorHAnsi"/>
                <w:b/>
                <w:bCs/>
                <w:noProof/>
                <w:color w:val="000000"/>
                <w:sz w:val="22"/>
                <w:szCs w:val="20"/>
                <w:lang w:eastAsia="cs-CZ"/>
              </w:rPr>
            </w:pPr>
            <w:r w:rsidRPr="009722AF">
              <w:rPr>
                <w:rFonts w:asciiTheme="majorHAnsi" w:hAnsiTheme="majorHAnsi"/>
                <w:b/>
                <w:sz w:val="22"/>
              </w:rPr>
              <w:t>161</w:t>
            </w:r>
          </w:p>
        </w:tc>
        <w:tc>
          <w:tcPr>
            <w:tcW w:w="1077" w:type="dxa"/>
            <w:tcBorders>
              <w:top w:val="nil"/>
              <w:left w:val="single" w:sz="6" w:space="0" w:color="F2F2F2" w:themeColor="background1" w:themeShade="F2"/>
              <w:bottom w:val="single" w:sz="12" w:space="0" w:color="F79646"/>
            </w:tcBorders>
            <w:shd w:val="clear" w:color="F8CBAD" w:fill="F8CBAD"/>
            <w:noWrap/>
            <w:hideMark/>
          </w:tcPr>
          <w:p w14:paraId="73A48B38" w14:textId="124FB24D" w:rsidR="003445F0" w:rsidRPr="009722AF" w:rsidRDefault="003445F0" w:rsidP="003445F0">
            <w:pPr>
              <w:spacing w:before="0" w:after="0"/>
              <w:contextualSpacing w:val="0"/>
              <w:jc w:val="center"/>
              <w:rPr>
                <w:rFonts w:asciiTheme="majorHAnsi" w:eastAsia="Times New Roman" w:hAnsiTheme="majorHAnsi"/>
                <w:b/>
                <w:bCs/>
                <w:noProof/>
                <w:color w:val="000000"/>
                <w:sz w:val="22"/>
                <w:szCs w:val="20"/>
                <w:lang w:eastAsia="cs-CZ"/>
              </w:rPr>
            </w:pPr>
            <w:r w:rsidRPr="009722AF">
              <w:rPr>
                <w:rFonts w:asciiTheme="majorHAnsi" w:hAnsiTheme="majorHAnsi"/>
                <w:b/>
                <w:sz w:val="22"/>
              </w:rPr>
              <w:t>1</w:t>
            </w:r>
            <w:r w:rsidR="00277924">
              <w:rPr>
                <w:rFonts w:asciiTheme="majorHAnsi" w:hAnsiTheme="majorHAnsi"/>
                <w:b/>
                <w:sz w:val="22"/>
              </w:rPr>
              <w:t xml:space="preserve"> </w:t>
            </w:r>
            <w:r w:rsidRPr="009722AF">
              <w:rPr>
                <w:rFonts w:asciiTheme="majorHAnsi" w:hAnsiTheme="majorHAnsi"/>
                <w:b/>
                <w:sz w:val="22"/>
              </w:rPr>
              <w:t>006</w:t>
            </w:r>
          </w:p>
        </w:tc>
      </w:tr>
    </w:tbl>
    <w:p w14:paraId="16A130DF" w14:textId="77777777" w:rsidR="00AC433C" w:rsidRDefault="00AC433C" w:rsidP="00C1539B">
      <w:pPr>
        <w:pStyle w:val="Normlnzprva"/>
        <w:rPr>
          <w:rFonts w:asciiTheme="minorHAnsi" w:hAnsiTheme="minorHAnsi"/>
          <w:noProof/>
        </w:rPr>
      </w:pPr>
    </w:p>
    <w:p w14:paraId="4C680AB9" w14:textId="77777777" w:rsidR="00F666F7" w:rsidRDefault="00F666F7" w:rsidP="00C1539B">
      <w:pPr>
        <w:pStyle w:val="Normlnzprva"/>
        <w:rPr>
          <w:rFonts w:asciiTheme="minorHAnsi" w:hAnsiTheme="minorHAnsi"/>
          <w:noProof/>
        </w:rPr>
      </w:pPr>
    </w:p>
    <w:p w14:paraId="4DD26546" w14:textId="77777777" w:rsidR="00D34DCA" w:rsidRDefault="00D34DCA" w:rsidP="00C1539B">
      <w:pPr>
        <w:pStyle w:val="Normlnzprva"/>
        <w:rPr>
          <w:rFonts w:asciiTheme="minorHAnsi" w:hAnsiTheme="minorHAnsi"/>
          <w:noProof/>
        </w:rPr>
      </w:pPr>
    </w:p>
    <w:p w14:paraId="40DCABEF" w14:textId="77777777" w:rsidR="00C1539B" w:rsidRPr="00C62639" w:rsidRDefault="00C1539B" w:rsidP="00C1539B">
      <w:pPr>
        <w:pStyle w:val="Nadpis3"/>
        <w:rPr>
          <w:rFonts w:asciiTheme="minorHAnsi" w:eastAsia="Calibri" w:hAnsiTheme="minorHAnsi"/>
          <w:noProof/>
        </w:rPr>
      </w:pPr>
      <w:bookmarkStart w:id="28" w:name="_Toc505684415"/>
      <w:r w:rsidRPr="00C62639">
        <w:rPr>
          <w:rFonts w:asciiTheme="minorHAnsi" w:eastAsia="Calibri" w:hAnsiTheme="minorHAnsi"/>
          <w:noProof/>
        </w:rPr>
        <w:t xml:space="preserve">Skupiny provozovatelského </w:t>
      </w:r>
      <w:r w:rsidR="00B87BD4" w:rsidRPr="00C62639">
        <w:rPr>
          <w:rFonts w:asciiTheme="minorHAnsi" w:eastAsia="Calibri" w:hAnsiTheme="minorHAnsi"/>
          <w:noProof/>
        </w:rPr>
        <w:t>benchmarkingu</w:t>
      </w:r>
      <w:bookmarkEnd w:id="28"/>
    </w:p>
    <w:p w14:paraId="6CBCD041" w14:textId="56F3786E" w:rsidR="00C1539B" w:rsidRPr="00C62639" w:rsidRDefault="00F73F99" w:rsidP="000937F8">
      <w:pPr>
        <w:pStyle w:val="Normlnzprva"/>
        <w:rPr>
          <w:rFonts w:asciiTheme="minorHAnsi" w:hAnsiTheme="minorHAnsi" w:cs="Calibri"/>
          <w:noProof/>
        </w:rPr>
      </w:pPr>
      <w:r>
        <w:rPr>
          <w:noProof/>
        </w:rPr>
        <w:t>Provozovatelský</w:t>
      </w:r>
      <w:r w:rsidR="00B26631">
        <w:rPr>
          <w:noProof/>
        </w:rPr>
        <w:t xml:space="preserve"> </w:t>
      </w:r>
      <w:r w:rsidRPr="00934258">
        <w:rPr>
          <w:noProof/>
        </w:rPr>
        <w:t>benchmarking</w:t>
      </w:r>
      <w:r>
        <w:rPr>
          <w:noProof/>
        </w:rPr>
        <w:t xml:space="preserve"> dělí Porovnání podle</w:t>
      </w:r>
      <w:r w:rsidR="00B26631">
        <w:rPr>
          <w:noProof/>
        </w:rPr>
        <w:t xml:space="preserve"> </w:t>
      </w:r>
      <w:r w:rsidRPr="00934258">
        <w:rPr>
          <w:noProof/>
        </w:rPr>
        <w:t xml:space="preserve">počtu připojených obyvatel. </w:t>
      </w:r>
      <w:r>
        <w:rPr>
          <w:noProof/>
        </w:rPr>
        <w:t>P</w:t>
      </w:r>
      <w:r w:rsidRPr="00934258">
        <w:rPr>
          <w:noProof/>
        </w:rPr>
        <w:t>rovozovatelé, kteří provozují majetky různých vlastníků (tj. uzavřeli více smluv o nájmu a provozu majetku VaK)</w:t>
      </w:r>
      <w:r w:rsidR="00B26631">
        <w:rPr>
          <w:noProof/>
        </w:rPr>
        <w:t xml:space="preserve"> </w:t>
      </w:r>
      <w:r>
        <w:rPr>
          <w:noProof/>
        </w:rPr>
        <w:t>se mohou vyskytovat</w:t>
      </w:r>
      <w:r w:rsidRPr="00934258">
        <w:rPr>
          <w:noProof/>
        </w:rPr>
        <w:t xml:space="preserve"> ve více skupinách. Předpokladem je, že podle smluv o nájmu jsou provozovány ucelené technologické celky.</w:t>
      </w:r>
    </w:p>
    <w:p w14:paraId="228E450D" w14:textId="77777777" w:rsidR="000E38AE" w:rsidRPr="00C62639" w:rsidRDefault="000E38AE" w:rsidP="000E38AE">
      <w:pPr>
        <w:pStyle w:val="Normlnzprva"/>
        <w:rPr>
          <w:rFonts w:asciiTheme="minorHAnsi" w:hAnsiTheme="minorHAnsi"/>
          <w:noProof/>
        </w:rPr>
      </w:pPr>
    </w:p>
    <w:tbl>
      <w:tblPr>
        <w:tblW w:w="5000" w:type="pct"/>
        <w:jc w:val="center"/>
        <w:tblLayout w:type="fixed"/>
        <w:tblCellMar>
          <w:left w:w="0" w:type="dxa"/>
          <w:right w:w="0" w:type="dxa"/>
        </w:tblCellMar>
        <w:tblLook w:val="04A0" w:firstRow="1" w:lastRow="0" w:firstColumn="1" w:lastColumn="0" w:noHBand="0" w:noVBand="1"/>
      </w:tblPr>
      <w:tblGrid>
        <w:gridCol w:w="3031"/>
        <w:gridCol w:w="1669"/>
        <w:gridCol w:w="1470"/>
        <w:gridCol w:w="968"/>
        <w:gridCol w:w="956"/>
        <w:gridCol w:w="956"/>
      </w:tblGrid>
      <w:tr w:rsidR="000306EC" w:rsidRPr="009722AF" w14:paraId="51871F8F" w14:textId="77777777" w:rsidTr="000306EC">
        <w:trPr>
          <w:trHeight w:val="576"/>
          <w:jc w:val="center"/>
        </w:trPr>
        <w:tc>
          <w:tcPr>
            <w:tcW w:w="1675" w:type="pct"/>
            <w:tcBorders>
              <w:top w:val="single" w:sz="8" w:space="0" w:color="2F75B5"/>
              <w:left w:val="single" w:sz="8" w:space="0" w:color="2F75B5"/>
              <w:bottom w:val="nil"/>
              <w:right w:val="single" w:sz="8" w:space="0" w:color="2F75B5"/>
            </w:tcBorders>
            <w:shd w:val="clear" w:color="auto" w:fill="auto"/>
            <w:tcMar>
              <w:top w:w="15" w:type="dxa"/>
              <w:left w:w="15" w:type="dxa"/>
              <w:bottom w:w="0" w:type="dxa"/>
              <w:right w:w="15" w:type="dxa"/>
            </w:tcMar>
            <w:vAlign w:val="center"/>
            <w:hideMark/>
          </w:tcPr>
          <w:p w14:paraId="46FBCBE1" w14:textId="77777777" w:rsidR="000306EC" w:rsidRPr="009722AF" w:rsidRDefault="000306EC" w:rsidP="003C548E">
            <w:pPr>
              <w:spacing w:before="0" w:after="0" w:line="240" w:lineRule="atLeast"/>
              <w:jc w:val="left"/>
              <w:rPr>
                <w:rFonts w:asciiTheme="majorHAnsi" w:hAnsiTheme="majorHAnsi"/>
                <w:noProof/>
                <w:color w:val="000000"/>
              </w:rPr>
            </w:pPr>
            <w:r w:rsidRPr="009722AF">
              <w:rPr>
                <w:rFonts w:asciiTheme="majorHAnsi" w:hAnsiTheme="majorHAnsi"/>
                <w:b/>
                <w:noProof/>
                <w:color w:val="000000"/>
                <w:sz w:val="22"/>
              </w:rPr>
              <w:lastRenderedPageBreak/>
              <w:t>PITNÁ VODA</w:t>
            </w:r>
            <w:r w:rsidRPr="009722AF">
              <w:rPr>
                <w:rFonts w:asciiTheme="majorHAnsi" w:hAnsiTheme="majorHAnsi"/>
                <w:noProof/>
                <w:color w:val="000000"/>
                <w:sz w:val="22"/>
              </w:rPr>
              <w:t xml:space="preserve"> </w:t>
            </w:r>
            <w:r w:rsidRPr="009722AF">
              <w:rPr>
                <w:rFonts w:asciiTheme="majorHAnsi" w:hAnsiTheme="majorHAnsi"/>
                <w:noProof/>
                <w:color w:val="000000"/>
                <w:sz w:val="22"/>
              </w:rPr>
              <w:br/>
              <w:t>Rozdělení Porovnání do skupin</w:t>
            </w:r>
          </w:p>
        </w:tc>
        <w:tc>
          <w:tcPr>
            <w:tcW w:w="3325" w:type="pct"/>
            <w:gridSpan w:val="5"/>
            <w:tcBorders>
              <w:top w:val="single" w:sz="8" w:space="0" w:color="2F75B5"/>
              <w:left w:val="nil"/>
              <w:bottom w:val="nil"/>
              <w:right w:val="single" w:sz="8" w:space="0" w:color="2F75B5"/>
            </w:tcBorders>
            <w:shd w:val="clear" w:color="auto" w:fill="auto"/>
            <w:noWrap/>
            <w:tcMar>
              <w:top w:w="15" w:type="dxa"/>
              <w:left w:w="15" w:type="dxa"/>
              <w:bottom w:w="0" w:type="dxa"/>
              <w:right w:w="15" w:type="dxa"/>
            </w:tcMar>
            <w:vAlign w:val="center"/>
            <w:hideMark/>
          </w:tcPr>
          <w:p w14:paraId="79AF34BD" w14:textId="7B267321" w:rsidR="000306EC" w:rsidRPr="009722AF" w:rsidRDefault="000306EC" w:rsidP="000306EC">
            <w:pPr>
              <w:spacing w:before="0" w:after="0" w:line="240" w:lineRule="atLeast"/>
              <w:jc w:val="right"/>
              <w:rPr>
                <w:rFonts w:asciiTheme="majorHAnsi" w:hAnsiTheme="majorHAnsi"/>
                <w:noProof/>
                <w:color w:val="000000"/>
              </w:rPr>
            </w:pPr>
            <w:r w:rsidRPr="009722AF">
              <w:rPr>
                <w:rFonts w:asciiTheme="majorHAnsi" w:hAnsiTheme="majorHAnsi"/>
                <w:noProof/>
                <w:color w:val="000000"/>
                <w:sz w:val="22"/>
              </w:rPr>
              <w:t>Zastoupení podle modelu provozování</w:t>
            </w:r>
          </w:p>
        </w:tc>
      </w:tr>
      <w:tr w:rsidR="000306EC" w:rsidRPr="009722AF" w14:paraId="037CEDB0" w14:textId="77777777" w:rsidTr="000306EC">
        <w:trPr>
          <w:trHeight w:val="288"/>
          <w:jc w:val="center"/>
        </w:trPr>
        <w:tc>
          <w:tcPr>
            <w:tcW w:w="1675" w:type="pct"/>
            <w:tcBorders>
              <w:top w:val="nil"/>
              <w:left w:val="single" w:sz="8" w:space="0" w:color="2F75B5"/>
              <w:bottom w:val="single" w:sz="12" w:space="0" w:color="FFFFFF"/>
              <w:right w:val="single" w:sz="8" w:space="0" w:color="2F75B5"/>
            </w:tcBorders>
            <w:shd w:val="clear" w:color="5B9BD5" w:fill="5B9BD5"/>
            <w:noWrap/>
            <w:tcMar>
              <w:top w:w="15" w:type="dxa"/>
              <w:left w:w="15" w:type="dxa"/>
              <w:bottom w:w="0" w:type="dxa"/>
              <w:right w:w="15" w:type="dxa"/>
            </w:tcMar>
            <w:vAlign w:val="center"/>
            <w:hideMark/>
          </w:tcPr>
          <w:p w14:paraId="47D2962D" w14:textId="77777777" w:rsidR="000306EC" w:rsidRPr="009722AF" w:rsidRDefault="000306EC"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Skupina / Model Provozování</w:t>
            </w:r>
          </w:p>
        </w:tc>
        <w:tc>
          <w:tcPr>
            <w:tcW w:w="922" w:type="pct"/>
            <w:tcBorders>
              <w:top w:val="nil"/>
              <w:left w:val="single" w:sz="8" w:space="0" w:color="2F75B5"/>
              <w:bottom w:val="single" w:sz="12" w:space="0" w:color="FFFFFF"/>
              <w:right w:val="single" w:sz="8" w:space="0" w:color="2F75B5"/>
            </w:tcBorders>
            <w:shd w:val="clear" w:color="5B9BD5" w:fill="5B9BD5"/>
            <w:noWrap/>
            <w:tcMar>
              <w:top w:w="15" w:type="dxa"/>
              <w:left w:w="15" w:type="dxa"/>
              <w:bottom w:w="0" w:type="dxa"/>
              <w:right w:w="15" w:type="dxa"/>
            </w:tcMar>
            <w:vAlign w:val="center"/>
            <w:hideMark/>
          </w:tcPr>
          <w:p w14:paraId="74D82565" w14:textId="77777777" w:rsidR="000306EC" w:rsidRPr="009722AF" w:rsidRDefault="000306EC"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Počet porovnání ve skupině</w:t>
            </w:r>
          </w:p>
        </w:tc>
        <w:tc>
          <w:tcPr>
            <w:tcW w:w="812" w:type="pct"/>
            <w:tcBorders>
              <w:top w:val="nil"/>
              <w:left w:val="single" w:sz="4" w:space="0" w:color="FFFFFF"/>
              <w:bottom w:val="single" w:sz="12" w:space="0" w:color="FFFFFF"/>
              <w:right w:val="single" w:sz="4" w:space="0" w:color="FFFFFF"/>
            </w:tcBorders>
            <w:shd w:val="clear" w:color="5B9BD5" w:fill="5B9BD5"/>
            <w:noWrap/>
            <w:tcMar>
              <w:top w:w="15" w:type="dxa"/>
              <w:left w:w="15" w:type="dxa"/>
              <w:bottom w:w="0" w:type="dxa"/>
              <w:right w:w="15" w:type="dxa"/>
            </w:tcMar>
            <w:vAlign w:val="center"/>
            <w:hideMark/>
          </w:tcPr>
          <w:p w14:paraId="231F86DC" w14:textId="77777777" w:rsidR="000306EC" w:rsidRPr="009722AF" w:rsidRDefault="000306EC"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KOMBINOVANÝ</w:t>
            </w:r>
          </w:p>
        </w:tc>
        <w:tc>
          <w:tcPr>
            <w:tcW w:w="535" w:type="pct"/>
            <w:tcBorders>
              <w:top w:val="nil"/>
              <w:left w:val="single" w:sz="4" w:space="0" w:color="FFFFFF"/>
              <w:bottom w:val="single" w:sz="12" w:space="0" w:color="FFFFFF"/>
              <w:right w:val="single" w:sz="4" w:space="0" w:color="FFFFFF"/>
            </w:tcBorders>
            <w:shd w:val="clear" w:color="5B9BD5" w:fill="5B9BD5"/>
            <w:noWrap/>
            <w:tcMar>
              <w:top w:w="15" w:type="dxa"/>
              <w:left w:w="15" w:type="dxa"/>
              <w:bottom w:w="0" w:type="dxa"/>
              <w:right w:w="15" w:type="dxa"/>
            </w:tcMar>
            <w:vAlign w:val="center"/>
            <w:hideMark/>
          </w:tcPr>
          <w:p w14:paraId="0B856072" w14:textId="77777777" w:rsidR="000306EC" w:rsidRPr="009722AF" w:rsidRDefault="000306EC"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ODDÍLNÝ</w:t>
            </w:r>
          </w:p>
        </w:tc>
        <w:tc>
          <w:tcPr>
            <w:tcW w:w="528" w:type="pct"/>
            <w:tcBorders>
              <w:top w:val="nil"/>
              <w:left w:val="single" w:sz="4" w:space="0" w:color="FFFFFF"/>
              <w:bottom w:val="single" w:sz="12" w:space="0" w:color="FFFFFF"/>
              <w:right w:val="single" w:sz="4" w:space="0" w:color="FFFFFF"/>
            </w:tcBorders>
            <w:shd w:val="clear" w:color="5B9BD5" w:fill="5B9BD5"/>
          </w:tcPr>
          <w:p w14:paraId="05B73E28" w14:textId="64851C4A" w:rsidR="000306EC" w:rsidRPr="009722AF" w:rsidRDefault="000306EC" w:rsidP="000306EC">
            <w:pPr>
              <w:spacing w:before="0" w:after="0"/>
              <w:contextualSpacing w:val="0"/>
              <w:jc w:val="center"/>
              <w:rPr>
                <w:rFonts w:asciiTheme="majorHAnsi" w:hAnsiTheme="majorHAnsi"/>
                <w:b/>
                <w:bCs/>
                <w:color w:val="FFFFFF"/>
                <w:sz w:val="20"/>
                <w:lang w:eastAsia="cs-CZ"/>
              </w:rPr>
            </w:pPr>
            <w:r w:rsidRPr="009722AF">
              <w:rPr>
                <w:rFonts w:asciiTheme="majorHAnsi" w:hAnsiTheme="majorHAnsi"/>
                <w:b/>
                <w:bCs/>
                <w:color w:val="FFFFFF"/>
                <w:sz w:val="20"/>
              </w:rPr>
              <w:t>ODDÍLNÝ SERVISNÍ SMLOUVA</w:t>
            </w:r>
          </w:p>
        </w:tc>
        <w:tc>
          <w:tcPr>
            <w:tcW w:w="528" w:type="pct"/>
            <w:tcBorders>
              <w:top w:val="nil"/>
              <w:left w:val="single" w:sz="4" w:space="0" w:color="FFFFFF"/>
              <w:bottom w:val="single" w:sz="12" w:space="0" w:color="FFFFFF"/>
              <w:right w:val="single" w:sz="8" w:space="0" w:color="2F75B5"/>
            </w:tcBorders>
            <w:shd w:val="clear" w:color="5B9BD5" w:fill="5B9BD5"/>
            <w:noWrap/>
            <w:tcMar>
              <w:top w:w="15" w:type="dxa"/>
              <w:left w:w="15" w:type="dxa"/>
              <w:bottom w:w="0" w:type="dxa"/>
              <w:right w:w="15" w:type="dxa"/>
            </w:tcMar>
            <w:vAlign w:val="center"/>
            <w:hideMark/>
          </w:tcPr>
          <w:p w14:paraId="16D1A393" w14:textId="4D4FB3F3" w:rsidR="000306EC" w:rsidRPr="009722AF" w:rsidRDefault="000306EC"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SMÍŠENÝ</w:t>
            </w:r>
          </w:p>
        </w:tc>
      </w:tr>
      <w:tr w:rsidR="000306EC" w:rsidRPr="009722AF" w14:paraId="10E86E92" w14:textId="77777777" w:rsidTr="00A0147D">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6AB71DA6" w14:textId="77777777" w:rsidR="000306EC" w:rsidRPr="009722AF" w:rsidRDefault="000306EC" w:rsidP="000306EC">
            <w:pPr>
              <w:spacing w:before="0" w:after="0" w:line="240" w:lineRule="atLeast"/>
              <w:rPr>
                <w:rFonts w:asciiTheme="majorHAnsi" w:hAnsiTheme="majorHAnsi"/>
                <w:noProof/>
                <w:color w:val="000000"/>
              </w:rPr>
            </w:pPr>
            <w:r w:rsidRPr="009722AF">
              <w:rPr>
                <w:rFonts w:asciiTheme="majorHAnsi" w:hAnsiTheme="majorHAnsi"/>
                <w:noProof/>
                <w:color w:val="000000"/>
                <w:sz w:val="22"/>
              </w:rPr>
              <w:t>I.skupina(&gt;500 000př.ob.)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center"/>
            <w:hideMark/>
          </w:tcPr>
          <w:p w14:paraId="0DF969A9"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3</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345731A4" w14:textId="3D9F82A8"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1</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101831BB" w14:textId="40C5F4ED"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2</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tcPr>
          <w:p w14:paraId="41001E58" w14:textId="77777777" w:rsidR="000306EC" w:rsidRPr="009722AF" w:rsidRDefault="000306EC" w:rsidP="000306EC">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hideMark/>
          </w:tcPr>
          <w:p w14:paraId="0B387B8C" w14:textId="0551F068" w:rsidR="000306EC" w:rsidRPr="009722AF" w:rsidRDefault="000306EC" w:rsidP="000306EC">
            <w:pPr>
              <w:spacing w:before="0" w:after="0" w:line="240" w:lineRule="atLeast"/>
              <w:jc w:val="center"/>
              <w:rPr>
                <w:rFonts w:asciiTheme="majorHAnsi" w:hAnsiTheme="majorHAnsi"/>
                <w:noProof/>
                <w:color w:val="000000"/>
                <w:sz w:val="22"/>
              </w:rPr>
            </w:pPr>
          </w:p>
        </w:tc>
      </w:tr>
      <w:tr w:rsidR="000306EC" w:rsidRPr="009722AF" w14:paraId="38ACA92B" w14:textId="77777777" w:rsidTr="00A0147D">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3FE6A02B" w14:textId="77777777" w:rsidR="000306EC" w:rsidRPr="009722AF" w:rsidRDefault="000306EC" w:rsidP="000306EC">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II.skupina(&gt;200 000př.ob.)</w:t>
            </w:r>
          </w:p>
        </w:tc>
        <w:tc>
          <w:tcPr>
            <w:tcW w:w="922"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center"/>
            <w:hideMark/>
          </w:tcPr>
          <w:p w14:paraId="0D9B7641"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3</w:t>
            </w:r>
          </w:p>
        </w:tc>
        <w:tc>
          <w:tcPr>
            <w:tcW w:w="812"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hideMark/>
          </w:tcPr>
          <w:p w14:paraId="20144CEB" w14:textId="645977E5"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1</w:t>
            </w:r>
          </w:p>
        </w:tc>
        <w:tc>
          <w:tcPr>
            <w:tcW w:w="535"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hideMark/>
          </w:tcPr>
          <w:p w14:paraId="45D79AC7" w14:textId="1E0A974B"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2</w:t>
            </w:r>
          </w:p>
        </w:tc>
        <w:tc>
          <w:tcPr>
            <w:tcW w:w="528" w:type="pct"/>
            <w:tcBorders>
              <w:top w:val="single" w:sz="4" w:space="0" w:color="FFFFFF"/>
              <w:left w:val="single" w:sz="4" w:space="0" w:color="FFFFFF"/>
              <w:bottom w:val="single" w:sz="4" w:space="0" w:color="FFFFFF"/>
              <w:right w:val="single" w:sz="4" w:space="0" w:color="FFFFFF"/>
            </w:tcBorders>
            <w:shd w:val="clear" w:color="DDEBF7" w:fill="DDEBF7"/>
          </w:tcPr>
          <w:p w14:paraId="5240295A" w14:textId="77777777" w:rsidR="000306EC" w:rsidRPr="009722AF" w:rsidRDefault="000306EC" w:rsidP="000306EC">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DDEBF7" w:fill="DDEBF7"/>
            <w:noWrap/>
            <w:tcMar>
              <w:top w:w="15" w:type="dxa"/>
              <w:left w:w="15" w:type="dxa"/>
              <w:bottom w:w="0" w:type="dxa"/>
              <w:right w:w="15" w:type="dxa"/>
            </w:tcMar>
            <w:hideMark/>
          </w:tcPr>
          <w:p w14:paraId="7B59A21A" w14:textId="175AD816" w:rsidR="000306EC" w:rsidRPr="009722AF" w:rsidRDefault="000306EC" w:rsidP="000306EC">
            <w:pPr>
              <w:spacing w:before="0" w:after="0" w:line="240" w:lineRule="atLeast"/>
              <w:jc w:val="center"/>
              <w:rPr>
                <w:rFonts w:asciiTheme="majorHAnsi" w:hAnsiTheme="majorHAnsi"/>
                <w:noProof/>
                <w:color w:val="000000"/>
                <w:sz w:val="22"/>
              </w:rPr>
            </w:pPr>
          </w:p>
        </w:tc>
      </w:tr>
      <w:tr w:rsidR="000306EC" w:rsidRPr="009722AF" w14:paraId="75BBB419" w14:textId="77777777" w:rsidTr="00A0147D">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52E2BBD9" w14:textId="77777777" w:rsidR="000306EC" w:rsidRPr="009722AF" w:rsidRDefault="000306EC" w:rsidP="000306EC">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III.skupina(&gt;100 000př.ob.)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center"/>
            <w:hideMark/>
          </w:tcPr>
          <w:p w14:paraId="5F4D5CE1"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12</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35F116E7" w14:textId="63EF5616"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7</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7D087CB9" w14:textId="2AB6DF9E"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5</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tcPr>
          <w:p w14:paraId="6951E374" w14:textId="77777777" w:rsidR="000306EC" w:rsidRPr="009722AF" w:rsidRDefault="000306EC" w:rsidP="000306EC">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hideMark/>
          </w:tcPr>
          <w:p w14:paraId="49A5B91F" w14:textId="44AD8AD6" w:rsidR="000306EC" w:rsidRPr="009722AF" w:rsidRDefault="000306EC" w:rsidP="000306EC">
            <w:pPr>
              <w:spacing w:before="0" w:after="0" w:line="240" w:lineRule="atLeast"/>
              <w:jc w:val="center"/>
              <w:rPr>
                <w:rFonts w:asciiTheme="majorHAnsi" w:hAnsiTheme="majorHAnsi"/>
                <w:noProof/>
                <w:color w:val="000000"/>
                <w:sz w:val="22"/>
              </w:rPr>
            </w:pPr>
          </w:p>
        </w:tc>
      </w:tr>
      <w:tr w:rsidR="000306EC" w:rsidRPr="009722AF" w14:paraId="04434D66" w14:textId="77777777" w:rsidTr="00A0147D">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3CF91B1E" w14:textId="77777777" w:rsidR="000306EC" w:rsidRPr="009722AF" w:rsidRDefault="000306EC" w:rsidP="000306EC">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IV.skupina(&gt;50 000př.ob.)</w:t>
            </w:r>
          </w:p>
        </w:tc>
        <w:tc>
          <w:tcPr>
            <w:tcW w:w="922"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center"/>
            <w:hideMark/>
          </w:tcPr>
          <w:p w14:paraId="3B922770"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15</w:t>
            </w:r>
          </w:p>
        </w:tc>
        <w:tc>
          <w:tcPr>
            <w:tcW w:w="812"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hideMark/>
          </w:tcPr>
          <w:p w14:paraId="70FFCFD9" w14:textId="27DB6EE5"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8</w:t>
            </w:r>
          </w:p>
        </w:tc>
        <w:tc>
          <w:tcPr>
            <w:tcW w:w="535"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hideMark/>
          </w:tcPr>
          <w:p w14:paraId="20D5A1B5" w14:textId="57C77073"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7</w:t>
            </w:r>
          </w:p>
        </w:tc>
        <w:tc>
          <w:tcPr>
            <w:tcW w:w="528" w:type="pct"/>
            <w:tcBorders>
              <w:top w:val="single" w:sz="4" w:space="0" w:color="FFFFFF"/>
              <w:left w:val="single" w:sz="4" w:space="0" w:color="FFFFFF"/>
              <w:bottom w:val="single" w:sz="4" w:space="0" w:color="FFFFFF"/>
              <w:right w:val="single" w:sz="4" w:space="0" w:color="FFFFFF"/>
            </w:tcBorders>
            <w:shd w:val="clear" w:color="DDEBF7" w:fill="DDEBF7"/>
          </w:tcPr>
          <w:p w14:paraId="76591E44" w14:textId="77777777" w:rsidR="000306EC" w:rsidRPr="009722AF" w:rsidRDefault="000306EC" w:rsidP="000306EC">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DDEBF7" w:fill="DDEBF7"/>
            <w:noWrap/>
            <w:tcMar>
              <w:top w:w="15" w:type="dxa"/>
              <w:left w:w="15" w:type="dxa"/>
              <w:bottom w:w="0" w:type="dxa"/>
              <w:right w:w="15" w:type="dxa"/>
            </w:tcMar>
            <w:hideMark/>
          </w:tcPr>
          <w:p w14:paraId="3EA9698E" w14:textId="1931D2BB" w:rsidR="000306EC" w:rsidRPr="009722AF" w:rsidRDefault="000306EC" w:rsidP="000306EC">
            <w:pPr>
              <w:spacing w:before="0" w:after="0" w:line="240" w:lineRule="atLeast"/>
              <w:jc w:val="center"/>
              <w:rPr>
                <w:rFonts w:asciiTheme="majorHAnsi" w:hAnsiTheme="majorHAnsi"/>
                <w:noProof/>
                <w:color w:val="000000"/>
                <w:sz w:val="22"/>
              </w:rPr>
            </w:pPr>
          </w:p>
        </w:tc>
      </w:tr>
      <w:tr w:rsidR="000306EC" w:rsidRPr="009722AF" w14:paraId="68C84741" w14:textId="77777777" w:rsidTr="00A0147D">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24FCE93F" w14:textId="77777777" w:rsidR="000306EC" w:rsidRPr="009722AF" w:rsidRDefault="000306EC" w:rsidP="000306EC">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V.skupina(&gt;10 000př.ob.)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center"/>
            <w:hideMark/>
          </w:tcPr>
          <w:p w14:paraId="158CC94A"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51</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5512E696" w14:textId="45D2BECB"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11</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5124E601" w14:textId="132C7044"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33</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tcPr>
          <w:p w14:paraId="7DAC6A82" w14:textId="2ADBACE8"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3</w:t>
            </w: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hideMark/>
          </w:tcPr>
          <w:p w14:paraId="0F988238" w14:textId="33B85AE9"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4</w:t>
            </w:r>
          </w:p>
        </w:tc>
      </w:tr>
      <w:tr w:rsidR="000306EC" w:rsidRPr="009722AF" w14:paraId="3989D00D" w14:textId="77777777" w:rsidTr="00A0147D">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66626932" w14:textId="77777777" w:rsidR="000306EC" w:rsidRPr="009722AF" w:rsidRDefault="000306EC" w:rsidP="000306EC">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VI.skupina(&gt;1 000př.ob.)</w:t>
            </w:r>
          </w:p>
        </w:tc>
        <w:tc>
          <w:tcPr>
            <w:tcW w:w="922"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center"/>
            <w:hideMark/>
          </w:tcPr>
          <w:p w14:paraId="686A822C"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314</w:t>
            </w:r>
          </w:p>
        </w:tc>
        <w:tc>
          <w:tcPr>
            <w:tcW w:w="812"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hideMark/>
          </w:tcPr>
          <w:p w14:paraId="5910B81C" w14:textId="6E4C6A05"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13</w:t>
            </w:r>
          </w:p>
        </w:tc>
        <w:tc>
          <w:tcPr>
            <w:tcW w:w="535"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hideMark/>
          </w:tcPr>
          <w:p w14:paraId="7173FA1D" w14:textId="104F93B6"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222</w:t>
            </w:r>
          </w:p>
        </w:tc>
        <w:tc>
          <w:tcPr>
            <w:tcW w:w="528" w:type="pct"/>
            <w:tcBorders>
              <w:top w:val="single" w:sz="4" w:space="0" w:color="FFFFFF"/>
              <w:left w:val="single" w:sz="4" w:space="0" w:color="FFFFFF"/>
              <w:bottom w:val="single" w:sz="4" w:space="0" w:color="FFFFFF"/>
              <w:right w:val="single" w:sz="4" w:space="0" w:color="FFFFFF"/>
            </w:tcBorders>
            <w:shd w:val="clear" w:color="DDEBF7" w:fill="DDEBF7"/>
          </w:tcPr>
          <w:p w14:paraId="55A4CD15" w14:textId="57E26FCD"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5</w:t>
            </w:r>
          </w:p>
        </w:tc>
        <w:tc>
          <w:tcPr>
            <w:tcW w:w="528" w:type="pct"/>
            <w:tcBorders>
              <w:top w:val="single" w:sz="4" w:space="0" w:color="FFFFFF"/>
              <w:left w:val="single" w:sz="4" w:space="0" w:color="FFFFFF"/>
              <w:bottom w:val="single" w:sz="4" w:space="0" w:color="FFFFFF"/>
              <w:right w:val="single" w:sz="8" w:space="0" w:color="2F75B5"/>
            </w:tcBorders>
            <w:shd w:val="clear" w:color="DDEBF7" w:fill="DDEBF7"/>
            <w:noWrap/>
            <w:tcMar>
              <w:top w:w="15" w:type="dxa"/>
              <w:left w:w="15" w:type="dxa"/>
              <w:bottom w:w="0" w:type="dxa"/>
              <w:right w:w="15" w:type="dxa"/>
            </w:tcMar>
            <w:hideMark/>
          </w:tcPr>
          <w:p w14:paraId="094F129D" w14:textId="73209405"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74</w:t>
            </w:r>
          </w:p>
        </w:tc>
      </w:tr>
      <w:tr w:rsidR="000306EC" w:rsidRPr="009722AF" w14:paraId="43C89107" w14:textId="77777777" w:rsidTr="00A0147D">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76FF5358" w14:textId="77777777" w:rsidR="000306EC" w:rsidRPr="009722AF" w:rsidRDefault="000306EC" w:rsidP="000306EC">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VII.skupina(&gt;300př.ob.)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center"/>
            <w:hideMark/>
          </w:tcPr>
          <w:p w14:paraId="3C2D41E4"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532</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2F45A976" w14:textId="558D1AC6"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3</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hideMark/>
          </w:tcPr>
          <w:p w14:paraId="1E82E158" w14:textId="061CC057"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260</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tcPr>
          <w:p w14:paraId="2E3871BD" w14:textId="180B7178"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53</w:t>
            </w: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hideMark/>
          </w:tcPr>
          <w:p w14:paraId="1E0BBFC4" w14:textId="293B2650"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216</w:t>
            </w:r>
          </w:p>
        </w:tc>
      </w:tr>
      <w:tr w:rsidR="000306EC" w:rsidRPr="009722AF" w14:paraId="36A1FBD1" w14:textId="77777777" w:rsidTr="00A0147D">
        <w:trPr>
          <w:trHeight w:val="288"/>
          <w:jc w:val="center"/>
        </w:trPr>
        <w:tc>
          <w:tcPr>
            <w:tcW w:w="1675" w:type="pct"/>
            <w:tcBorders>
              <w:top w:val="single" w:sz="4" w:space="0" w:color="FFFFFF"/>
              <w:left w:val="single" w:sz="8" w:space="0" w:color="2F75B5"/>
              <w:bottom w:val="single" w:sz="4" w:space="0" w:color="548DD4"/>
              <w:right w:val="single" w:sz="8" w:space="0" w:color="2F75B5"/>
            </w:tcBorders>
            <w:shd w:val="clear" w:color="DDEBF7" w:fill="DDEBF7"/>
            <w:noWrap/>
            <w:tcMar>
              <w:top w:w="15" w:type="dxa"/>
              <w:left w:w="15" w:type="dxa"/>
              <w:bottom w:w="0" w:type="dxa"/>
              <w:right w:w="15" w:type="dxa"/>
            </w:tcMar>
            <w:vAlign w:val="bottom"/>
            <w:hideMark/>
          </w:tcPr>
          <w:p w14:paraId="007096AF" w14:textId="77777777" w:rsidR="000306EC" w:rsidRPr="009722AF" w:rsidRDefault="000306EC" w:rsidP="000306EC">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VIII.skupina(&lt;300př.ob.)</w:t>
            </w:r>
          </w:p>
        </w:tc>
        <w:tc>
          <w:tcPr>
            <w:tcW w:w="922" w:type="pct"/>
            <w:tcBorders>
              <w:top w:val="single" w:sz="4" w:space="0" w:color="FFFFFF"/>
              <w:left w:val="single" w:sz="8" w:space="0" w:color="2F75B5"/>
              <w:bottom w:val="single" w:sz="4" w:space="0" w:color="548DD4"/>
              <w:right w:val="single" w:sz="8" w:space="0" w:color="2F75B5"/>
            </w:tcBorders>
            <w:shd w:val="clear" w:color="DDEBF7" w:fill="DDEBF7"/>
            <w:noWrap/>
            <w:tcMar>
              <w:top w:w="15" w:type="dxa"/>
              <w:left w:w="15" w:type="dxa"/>
              <w:bottom w:w="0" w:type="dxa"/>
              <w:right w:w="15" w:type="dxa"/>
            </w:tcMar>
            <w:vAlign w:val="center"/>
            <w:hideMark/>
          </w:tcPr>
          <w:p w14:paraId="7A516294" w14:textId="77777777" w:rsidR="000306EC" w:rsidRPr="009722AF" w:rsidRDefault="000306EC" w:rsidP="000306EC">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652</w:t>
            </w:r>
          </w:p>
        </w:tc>
        <w:tc>
          <w:tcPr>
            <w:tcW w:w="812" w:type="pct"/>
            <w:tcBorders>
              <w:top w:val="single" w:sz="4" w:space="0" w:color="FFFFFF"/>
              <w:left w:val="single" w:sz="4" w:space="0" w:color="FFFFFF"/>
              <w:bottom w:val="single" w:sz="4" w:space="0" w:color="548DD4"/>
              <w:right w:val="single" w:sz="4" w:space="0" w:color="FFFFFF"/>
            </w:tcBorders>
            <w:shd w:val="clear" w:color="DDEBF7" w:fill="DDEBF7"/>
            <w:noWrap/>
            <w:tcMar>
              <w:top w:w="15" w:type="dxa"/>
              <w:left w:w="15" w:type="dxa"/>
              <w:bottom w:w="0" w:type="dxa"/>
              <w:right w:w="15" w:type="dxa"/>
            </w:tcMar>
            <w:hideMark/>
          </w:tcPr>
          <w:p w14:paraId="1F3FD203" w14:textId="02C679A7"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6</w:t>
            </w:r>
          </w:p>
        </w:tc>
        <w:tc>
          <w:tcPr>
            <w:tcW w:w="535" w:type="pct"/>
            <w:tcBorders>
              <w:top w:val="single" w:sz="4" w:space="0" w:color="FFFFFF"/>
              <w:left w:val="single" w:sz="4" w:space="0" w:color="FFFFFF"/>
              <w:bottom w:val="single" w:sz="4" w:space="0" w:color="548DD4"/>
              <w:right w:val="single" w:sz="4" w:space="0" w:color="FFFFFF"/>
            </w:tcBorders>
            <w:shd w:val="clear" w:color="DDEBF7" w:fill="DDEBF7"/>
            <w:noWrap/>
            <w:tcMar>
              <w:top w:w="15" w:type="dxa"/>
              <w:left w:w="15" w:type="dxa"/>
              <w:bottom w:w="0" w:type="dxa"/>
              <w:right w:w="15" w:type="dxa"/>
            </w:tcMar>
            <w:hideMark/>
          </w:tcPr>
          <w:p w14:paraId="6E68810C" w14:textId="0CEBF75C"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217</w:t>
            </w:r>
          </w:p>
        </w:tc>
        <w:tc>
          <w:tcPr>
            <w:tcW w:w="528" w:type="pct"/>
            <w:tcBorders>
              <w:top w:val="single" w:sz="4" w:space="0" w:color="FFFFFF"/>
              <w:left w:val="single" w:sz="4" w:space="0" w:color="FFFFFF"/>
              <w:bottom w:val="single" w:sz="4" w:space="0" w:color="548DD4"/>
              <w:right w:val="single" w:sz="4" w:space="0" w:color="FFFFFF"/>
            </w:tcBorders>
            <w:shd w:val="clear" w:color="DDEBF7" w:fill="DDEBF7"/>
          </w:tcPr>
          <w:p w14:paraId="5904A48F" w14:textId="537D4F0D"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101</w:t>
            </w:r>
          </w:p>
        </w:tc>
        <w:tc>
          <w:tcPr>
            <w:tcW w:w="528" w:type="pct"/>
            <w:tcBorders>
              <w:top w:val="single" w:sz="4" w:space="0" w:color="FFFFFF"/>
              <w:left w:val="single" w:sz="4" w:space="0" w:color="FFFFFF"/>
              <w:bottom w:val="single" w:sz="4" w:space="0" w:color="548DD4"/>
              <w:right w:val="single" w:sz="8" w:space="0" w:color="2F75B5"/>
            </w:tcBorders>
            <w:shd w:val="clear" w:color="DDEBF7" w:fill="DDEBF7"/>
            <w:noWrap/>
            <w:tcMar>
              <w:top w:w="15" w:type="dxa"/>
              <w:left w:w="15" w:type="dxa"/>
              <w:bottom w:w="0" w:type="dxa"/>
              <w:right w:w="15" w:type="dxa"/>
            </w:tcMar>
            <w:hideMark/>
          </w:tcPr>
          <w:p w14:paraId="3A2B9FE6" w14:textId="23020EAD" w:rsidR="000306EC" w:rsidRPr="009722AF" w:rsidRDefault="000306EC" w:rsidP="000306EC">
            <w:pPr>
              <w:spacing w:before="0" w:after="0" w:line="240" w:lineRule="atLeast"/>
              <w:jc w:val="center"/>
              <w:rPr>
                <w:rFonts w:asciiTheme="majorHAnsi" w:hAnsiTheme="majorHAnsi"/>
                <w:noProof/>
                <w:color w:val="000000"/>
                <w:sz w:val="22"/>
              </w:rPr>
            </w:pPr>
            <w:r w:rsidRPr="009722AF">
              <w:rPr>
                <w:rFonts w:asciiTheme="majorHAnsi" w:hAnsiTheme="majorHAnsi"/>
                <w:sz w:val="22"/>
              </w:rPr>
              <w:t>328</w:t>
            </w:r>
          </w:p>
        </w:tc>
      </w:tr>
      <w:tr w:rsidR="000306EC" w:rsidRPr="009722AF" w14:paraId="176833A7" w14:textId="77777777" w:rsidTr="00A0147D">
        <w:trPr>
          <w:trHeight w:val="302"/>
          <w:jc w:val="center"/>
        </w:trPr>
        <w:tc>
          <w:tcPr>
            <w:tcW w:w="1675" w:type="pct"/>
            <w:tcBorders>
              <w:top w:val="single" w:sz="4" w:space="0" w:color="548DD4"/>
              <w:left w:val="single" w:sz="8" w:space="0" w:color="2F75B5"/>
              <w:bottom w:val="single" w:sz="8" w:space="0" w:color="2F75B5"/>
              <w:right w:val="single" w:sz="8" w:space="0" w:color="2F75B5"/>
            </w:tcBorders>
            <w:shd w:val="clear" w:color="BDD7EE" w:fill="BDD7EE"/>
            <w:noWrap/>
            <w:tcMar>
              <w:top w:w="15" w:type="dxa"/>
              <w:left w:w="15" w:type="dxa"/>
              <w:bottom w:w="0" w:type="dxa"/>
              <w:right w:w="15" w:type="dxa"/>
            </w:tcMar>
            <w:vAlign w:val="bottom"/>
            <w:hideMark/>
          </w:tcPr>
          <w:p w14:paraId="7F4662C7" w14:textId="77777777" w:rsidR="000306EC" w:rsidRPr="009722AF" w:rsidRDefault="000306EC" w:rsidP="000306EC">
            <w:pPr>
              <w:spacing w:before="0" w:after="0" w:line="240" w:lineRule="atLeast"/>
              <w:jc w:val="right"/>
              <w:rPr>
                <w:rFonts w:asciiTheme="majorHAnsi" w:hAnsiTheme="majorHAnsi"/>
                <w:b/>
                <w:bCs/>
                <w:noProof/>
                <w:color w:val="000000"/>
              </w:rPr>
            </w:pPr>
            <w:r w:rsidRPr="009722AF">
              <w:rPr>
                <w:rFonts w:asciiTheme="majorHAnsi" w:hAnsiTheme="majorHAnsi"/>
                <w:b/>
                <w:bCs/>
                <w:noProof/>
                <w:color w:val="000000"/>
                <w:sz w:val="22"/>
              </w:rPr>
              <w:t>Celkový součet</w:t>
            </w:r>
          </w:p>
        </w:tc>
        <w:tc>
          <w:tcPr>
            <w:tcW w:w="922" w:type="pct"/>
            <w:tcBorders>
              <w:top w:val="single" w:sz="4" w:space="0" w:color="548DD4"/>
              <w:left w:val="single" w:sz="8" w:space="0" w:color="2F75B5"/>
              <w:bottom w:val="single" w:sz="8" w:space="0" w:color="2F75B5"/>
              <w:right w:val="single" w:sz="8" w:space="0" w:color="2F75B5"/>
            </w:tcBorders>
            <w:shd w:val="clear" w:color="BDD7EE" w:fill="BDD7EE"/>
            <w:noWrap/>
            <w:tcMar>
              <w:top w:w="15" w:type="dxa"/>
              <w:left w:w="15" w:type="dxa"/>
              <w:bottom w:w="0" w:type="dxa"/>
              <w:right w:w="15" w:type="dxa"/>
            </w:tcMar>
            <w:vAlign w:val="center"/>
            <w:hideMark/>
          </w:tcPr>
          <w:p w14:paraId="4A487509" w14:textId="1677E6B4" w:rsidR="000306EC" w:rsidRPr="009722AF" w:rsidRDefault="000306EC" w:rsidP="000306EC">
            <w:pPr>
              <w:spacing w:before="0" w:after="0" w:line="240" w:lineRule="atLeast"/>
              <w:jc w:val="center"/>
              <w:rPr>
                <w:rFonts w:asciiTheme="majorHAnsi" w:hAnsiTheme="majorHAnsi"/>
                <w:b/>
                <w:bCs/>
                <w:noProof/>
                <w:color w:val="000000"/>
              </w:rPr>
            </w:pPr>
            <w:r w:rsidRPr="009722AF">
              <w:rPr>
                <w:rFonts w:asciiTheme="majorHAnsi" w:hAnsiTheme="majorHAnsi"/>
                <w:b/>
                <w:bCs/>
                <w:noProof/>
                <w:color w:val="000000"/>
                <w:sz w:val="22"/>
              </w:rPr>
              <w:t>1</w:t>
            </w:r>
            <w:r w:rsidR="00277924">
              <w:rPr>
                <w:rFonts w:asciiTheme="majorHAnsi" w:hAnsiTheme="majorHAnsi"/>
                <w:b/>
                <w:bCs/>
                <w:noProof/>
                <w:color w:val="000000"/>
                <w:sz w:val="22"/>
              </w:rPr>
              <w:t xml:space="preserve"> </w:t>
            </w:r>
            <w:r w:rsidRPr="009722AF">
              <w:rPr>
                <w:rFonts w:asciiTheme="majorHAnsi" w:hAnsiTheme="majorHAnsi"/>
                <w:b/>
                <w:bCs/>
                <w:noProof/>
                <w:color w:val="000000"/>
                <w:sz w:val="22"/>
              </w:rPr>
              <w:t>582</w:t>
            </w:r>
          </w:p>
        </w:tc>
        <w:tc>
          <w:tcPr>
            <w:tcW w:w="812" w:type="pct"/>
            <w:tcBorders>
              <w:top w:val="single" w:sz="4" w:space="0" w:color="548DD4"/>
              <w:left w:val="single" w:sz="4" w:space="0" w:color="FFFFFF"/>
              <w:bottom w:val="single" w:sz="8" w:space="0" w:color="2F75B5"/>
              <w:right w:val="single" w:sz="4" w:space="0" w:color="FFFFFF"/>
            </w:tcBorders>
            <w:shd w:val="clear" w:color="BDD7EE" w:fill="BDD7EE"/>
            <w:noWrap/>
            <w:tcMar>
              <w:top w:w="15" w:type="dxa"/>
              <w:left w:w="15" w:type="dxa"/>
              <w:bottom w:w="0" w:type="dxa"/>
              <w:right w:w="15" w:type="dxa"/>
            </w:tcMar>
            <w:hideMark/>
          </w:tcPr>
          <w:p w14:paraId="58BEC724" w14:textId="2AF0707E" w:rsidR="000306EC" w:rsidRPr="009722AF" w:rsidRDefault="000306EC" w:rsidP="000306EC">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50</w:t>
            </w:r>
          </w:p>
        </w:tc>
        <w:tc>
          <w:tcPr>
            <w:tcW w:w="535" w:type="pct"/>
            <w:tcBorders>
              <w:top w:val="single" w:sz="4" w:space="0" w:color="548DD4"/>
              <w:left w:val="single" w:sz="4" w:space="0" w:color="FFFFFF"/>
              <w:bottom w:val="single" w:sz="8" w:space="0" w:color="2F75B5"/>
              <w:right w:val="single" w:sz="4" w:space="0" w:color="FFFFFF"/>
            </w:tcBorders>
            <w:shd w:val="clear" w:color="BDD7EE" w:fill="BDD7EE"/>
            <w:noWrap/>
            <w:tcMar>
              <w:top w:w="15" w:type="dxa"/>
              <w:left w:w="15" w:type="dxa"/>
              <w:bottom w:w="0" w:type="dxa"/>
              <w:right w:w="15" w:type="dxa"/>
            </w:tcMar>
            <w:hideMark/>
          </w:tcPr>
          <w:p w14:paraId="29EA86FF" w14:textId="73024D6E" w:rsidR="000306EC" w:rsidRPr="009722AF" w:rsidRDefault="000306EC" w:rsidP="000306EC">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748</w:t>
            </w:r>
          </w:p>
        </w:tc>
        <w:tc>
          <w:tcPr>
            <w:tcW w:w="528" w:type="pct"/>
            <w:tcBorders>
              <w:top w:val="single" w:sz="4" w:space="0" w:color="548DD4"/>
              <w:left w:val="single" w:sz="4" w:space="0" w:color="FFFFFF"/>
              <w:bottom w:val="single" w:sz="8" w:space="0" w:color="2F75B5"/>
              <w:right w:val="single" w:sz="4" w:space="0" w:color="FFFFFF"/>
            </w:tcBorders>
            <w:shd w:val="clear" w:color="BDD7EE" w:fill="BDD7EE"/>
          </w:tcPr>
          <w:p w14:paraId="3F5112F9" w14:textId="3A617683" w:rsidR="000306EC" w:rsidRPr="009722AF" w:rsidRDefault="000306EC" w:rsidP="000306EC">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162</w:t>
            </w:r>
          </w:p>
        </w:tc>
        <w:tc>
          <w:tcPr>
            <w:tcW w:w="528" w:type="pct"/>
            <w:tcBorders>
              <w:top w:val="single" w:sz="4" w:space="0" w:color="548DD4"/>
              <w:left w:val="single" w:sz="4" w:space="0" w:color="FFFFFF"/>
              <w:bottom w:val="single" w:sz="8" w:space="0" w:color="2F75B5"/>
              <w:right w:val="single" w:sz="8" w:space="0" w:color="2F75B5"/>
            </w:tcBorders>
            <w:shd w:val="clear" w:color="BDD7EE" w:fill="BDD7EE"/>
            <w:noWrap/>
            <w:tcMar>
              <w:top w:w="15" w:type="dxa"/>
              <w:left w:w="15" w:type="dxa"/>
              <w:bottom w:w="0" w:type="dxa"/>
              <w:right w:w="15" w:type="dxa"/>
            </w:tcMar>
            <w:hideMark/>
          </w:tcPr>
          <w:p w14:paraId="2549B317" w14:textId="1D25DEC1" w:rsidR="000306EC" w:rsidRPr="009722AF" w:rsidRDefault="000306EC" w:rsidP="000306EC">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622</w:t>
            </w:r>
          </w:p>
        </w:tc>
      </w:tr>
    </w:tbl>
    <w:p w14:paraId="13924D49" w14:textId="77777777" w:rsidR="003D54E6" w:rsidRDefault="003D54E6">
      <w:pPr>
        <w:spacing w:before="0" w:after="200" w:line="276" w:lineRule="auto"/>
        <w:contextualSpacing w:val="0"/>
        <w:jc w:val="left"/>
        <w:rPr>
          <w:rFonts w:asciiTheme="minorHAnsi" w:hAnsiTheme="minorHAnsi"/>
          <w:noProof/>
        </w:rPr>
      </w:pPr>
      <w:r w:rsidRPr="00C62639">
        <w:rPr>
          <w:rFonts w:asciiTheme="minorHAnsi" w:hAnsiTheme="minorHAnsi"/>
          <w:noProof/>
        </w:rPr>
        <w:t xml:space="preserve"> </w:t>
      </w:r>
    </w:p>
    <w:p w14:paraId="3FC17547" w14:textId="77777777" w:rsidR="00F666F7" w:rsidRDefault="00F666F7">
      <w:pPr>
        <w:spacing w:before="0" w:after="200" w:line="276" w:lineRule="auto"/>
        <w:contextualSpacing w:val="0"/>
        <w:jc w:val="left"/>
        <w:rPr>
          <w:rFonts w:asciiTheme="minorHAnsi" w:hAnsiTheme="minorHAnsi"/>
          <w:noProof/>
        </w:rPr>
      </w:pPr>
    </w:p>
    <w:p w14:paraId="22B6BE08" w14:textId="77777777" w:rsidR="00F666F7" w:rsidRDefault="00F666F7">
      <w:pPr>
        <w:spacing w:before="0" w:after="200" w:line="276" w:lineRule="auto"/>
        <w:contextualSpacing w:val="0"/>
        <w:jc w:val="left"/>
        <w:rPr>
          <w:rFonts w:asciiTheme="minorHAnsi" w:hAnsiTheme="minorHAnsi"/>
          <w:noProof/>
        </w:rPr>
      </w:pPr>
    </w:p>
    <w:p w14:paraId="57A4ED35" w14:textId="77777777" w:rsidR="00F666F7" w:rsidRPr="00C62639" w:rsidRDefault="00F666F7">
      <w:pPr>
        <w:spacing w:before="0" w:after="200" w:line="276" w:lineRule="auto"/>
        <w:contextualSpacing w:val="0"/>
        <w:jc w:val="left"/>
        <w:rPr>
          <w:rFonts w:asciiTheme="minorHAnsi" w:hAnsiTheme="minorHAnsi"/>
          <w:noProof/>
        </w:rPr>
      </w:pPr>
    </w:p>
    <w:tbl>
      <w:tblPr>
        <w:tblW w:w="5000" w:type="pct"/>
        <w:jc w:val="center"/>
        <w:tblLayout w:type="fixed"/>
        <w:tblCellMar>
          <w:left w:w="0" w:type="dxa"/>
          <w:right w:w="0" w:type="dxa"/>
        </w:tblCellMar>
        <w:tblLook w:val="04A0" w:firstRow="1" w:lastRow="0" w:firstColumn="1" w:lastColumn="0" w:noHBand="0" w:noVBand="1"/>
      </w:tblPr>
      <w:tblGrid>
        <w:gridCol w:w="3027"/>
        <w:gridCol w:w="1645"/>
        <w:gridCol w:w="1414"/>
        <w:gridCol w:w="968"/>
        <w:gridCol w:w="999"/>
        <w:gridCol w:w="997"/>
      </w:tblGrid>
      <w:tr w:rsidR="000306EC" w:rsidRPr="009722AF" w14:paraId="53DC8A8D" w14:textId="77777777" w:rsidTr="000306EC">
        <w:trPr>
          <w:trHeight w:val="600"/>
          <w:jc w:val="center"/>
        </w:trPr>
        <w:tc>
          <w:tcPr>
            <w:tcW w:w="1672" w:type="pct"/>
            <w:tcBorders>
              <w:top w:val="single" w:sz="8" w:space="0" w:color="ED7D31"/>
              <w:left w:val="single" w:sz="8" w:space="0" w:color="ED7D31"/>
              <w:bottom w:val="nil"/>
              <w:right w:val="single" w:sz="8" w:space="0" w:color="ED7D31"/>
            </w:tcBorders>
            <w:shd w:val="clear" w:color="auto" w:fill="auto"/>
            <w:tcMar>
              <w:top w:w="15" w:type="dxa"/>
              <w:left w:w="15" w:type="dxa"/>
              <w:bottom w:w="0" w:type="dxa"/>
              <w:right w:w="15" w:type="dxa"/>
            </w:tcMar>
            <w:vAlign w:val="center"/>
            <w:hideMark/>
          </w:tcPr>
          <w:p w14:paraId="6EABA529" w14:textId="77777777" w:rsidR="000306EC" w:rsidRPr="009722AF" w:rsidRDefault="000306EC" w:rsidP="003C548E">
            <w:pPr>
              <w:spacing w:before="0" w:after="0" w:line="240" w:lineRule="atLeast"/>
              <w:jc w:val="left"/>
              <w:rPr>
                <w:rFonts w:asciiTheme="majorHAnsi" w:hAnsiTheme="majorHAnsi"/>
                <w:noProof/>
                <w:color w:val="000000"/>
              </w:rPr>
            </w:pPr>
            <w:r w:rsidRPr="009722AF">
              <w:rPr>
                <w:rFonts w:asciiTheme="majorHAnsi" w:hAnsiTheme="majorHAnsi"/>
                <w:b/>
                <w:bCs/>
                <w:noProof/>
                <w:color w:val="000000"/>
                <w:sz w:val="22"/>
              </w:rPr>
              <w:t>KANALIZACE</w:t>
            </w:r>
            <w:r w:rsidRPr="009722AF">
              <w:rPr>
                <w:rFonts w:asciiTheme="majorHAnsi" w:hAnsiTheme="majorHAnsi"/>
                <w:noProof/>
                <w:color w:val="000000"/>
                <w:sz w:val="22"/>
              </w:rPr>
              <w:br/>
              <w:t>Rozdělení Porovnání do skupin</w:t>
            </w:r>
          </w:p>
        </w:tc>
        <w:tc>
          <w:tcPr>
            <w:tcW w:w="3328" w:type="pct"/>
            <w:gridSpan w:val="5"/>
            <w:tcBorders>
              <w:top w:val="single" w:sz="8" w:space="0" w:color="ED7D31"/>
              <w:left w:val="nil"/>
              <w:bottom w:val="nil"/>
              <w:right w:val="single" w:sz="8" w:space="0" w:color="ED7D31"/>
            </w:tcBorders>
            <w:shd w:val="clear" w:color="auto" w:fill="auto"/>
            <w:noWrap/>
            <w:tcMar>
              <w:top w:w="15" w:type="dxa"/>
              <w:left w:w="15" w:type="dxa"/>
              <w:bottom w:w="0" w:type="dxa"/>
              <w:right w:w="15" w:type="dxa"/>
            </w:tcMar>
            <w:vAlign w:val="center"/>
            <w:hideMark/>
          </w:tcPr>
          <w:p w14:paraId="7EB72A3E" w14:textId="59B9BECE" w:rsidR="000306EC" w:rsidRPr="009722AF" w:rsidRDefault="000306EC" w:rsidP="000306EC">
            <w:pPr>
              <w:spacing w:before="0" w:after="0" w:line="240" w:lineRule="atLeast"/>
              <w:jc w:val="right"/>
              <w:rPr>
                <w:rFonts w:asciiTheme="majorHAnsi" w:hAnsiTheme="majorHAnsi"/>
                <w:noProof/>
                <w:color w:val="000000"/>
              </w:rPr>
            </w:pPr>
            <w:r w:rsidRPr="009722AF">
              <w:rPr>
                <w:rFonts w:asciiTheme="majorHAnsi" w:hAnsiTheme="majorHAnsi"/>
                <w:noProof/>
                <w:color w:val="000000"/>
                <w:sz w:val="22"/>
              </w:rPr>
              <w:t xml:space="preserve">Zastoupení podle modelu provozování </w:t>
            </w:r>
          </w:p>
        </w:tc>
      </w:tr>
      <w:tr w:rsidR="003445F0" w:rsidRPr="009722AF" w14:paraId="02C8A7D2" w14:textId="77777777" w:rsidTr="000306EC">
        <w:trPr>
          <w:trHeight w:val="600"/>
          <w:jc w:val="center"/>
        </w:trPr>
        <w:tc>
          <w:tcPr>
            <w:tcW w:w="1672" w:type="pct"/>
            <w:tcBorders>
              <w:top w:val="nil"/>
              <w:left w:val="single" w:sz="8" w:space="0" w:color="ED7D31"/>
              <w:bottom w:val="single" w:sz="12" w:space="0" w:color="FFFFFF"/>
              <w:right w:val="single" w:sz="8" w:space="0" w:color="ED7D31"/>
            </w:tcBorders>
            <w:shd w:val="clear" w:color="ED7D31" w:fill="ED7D31"/>
            <w:noWrap/>
            <w:tcMar>
              <w:top w:w="15" w:type="dxa"/>
              <w:left w:w="15" w:type="dxa"/>
              <w:bottom w:w="0" w:type="dxa"/>
              <w:right w:w="15" w:type="dxa"/>
            </w:tcMar>
            <w:vAlign w:val="center"/>
            <w:hideMark/>
          </w:tcPr>
          <w:p w14:paraId="4EBC3124" w14:textId="77777777" w:rsidR="003445F0" w:rsidRPr="009722AF" w:rsidRDefault="003445F0"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Skupina / Model provozování</w:t>
            </w:r>
          </w:p>
        </w:tc>
        <w:tc>
          <w:tcPr>
            <w:tcW w:w="909" w:type="pct"/>
            <w:tcBorders>
              <w:top w:val="nil"/>
              <w:left w:val="single" w:sz="8" w:space="0" w:color="ED7D31"/>
              <w:bottom w:val="single" w:sz="12" w:space="0" w:color="FFFFFF"/>
              <w:right w:val="single" w:sz="8" w:space="0" w:color="ED7D31"/>
            </w:tcBorders>
            <w:shd w:val="clear" w:color="ED7D31" w:fill="ED7D31"/>
            <w:tcMar>
              <w:top w:w="15" w:type="dxa"/>
              <w:left w:w="15" w:type="dxa"/>
              <w:bottom w:w="0" w:type="dxa"/>
              <w:right w:w="15" w:type="dxa"/>
            </w:tcMar>
            <w:vAlign w:val="center"/>
            <w:hideMark/>
          </w:tcPr>
          <w:p w14:paraId="24B61DD4" w14:textId="77777777" w:rsidR="003445F0" w:rsidRPr="009722AF" w:rsidRDefault="003445F0"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Počet porovnání ve skupině</w:t>
            </w:r>
          </w:p>
        </w:tc>
        <w:tc>
          <w:tcPr>
            <w:tcW w:w="781" w:type="pct"/>
            <w:tcBorders>
              <w:top w:val="nil"/>
              <w:left w:val="single" w:sz="4" w:space="0" w:color="FFFFFF"/>
              <w:bottom w:val="single" w:sz="12" w:space="0" w:color="FFFFFF"/>
              <w:right w:val="single" w:sz="4" w:space="0" w:color="FFFFFF"/>
            </w:tcBorders>
            <w:shd w:val="clear" w:color="ED7D31" w:fill="ED7D31"/>
            <w:noWrap/>
            <w:tcMar>
              <w:top w:w="15" w:type="dxa"/>
              <w:left w:w="15" w:type="dxa"/>
              <w:bottom w:w="0" w:type="dxa"/>
              <w:right w:w="15" w:type="dxa"/>
            </w:tcMar>
            <w:vAlign w:val="center"/>
            <w:hideMark/>
          </w:tcPr>
          <w:p w14:paraId="79A30921" w14:textId="77777777"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KOMBINOVANÝ</w:t>
            </w:r>
          </w:p>
        </w:tc>
        <w:tc>
          <w:tcPr>
            <w:tcW w:w="535" w:type="pct"/>
            <w:tcBorders>
              <w:top w:val="nil"/>
              <w:left w:val="single" w:sz="4" w:space="0" w:color="FFFFFF"/>
              <w:bottom w:val="single" w:sz="12" w:space="0" w:color="FFFFFF"/>
              <w:right w:val="single" w:sz="4" w:space="0" w:color="FFFFFF"/>
            </w:tcBorders>
            <w:shd w:val="clear" w:color="ED7D31" w:fill="ED7D31"/>
            <w:noWrap/>
            <w:tcMar>
              <w:top w:w="15" w:type="dxa"/>
              <w:left w:w="15" w:type="dxa"/>
              <w:bottom w:w="0" w:type="dxa"/>
              <w:right w:w="15" w:type="dxa"/>
            </w:tcMar>
            <w:vAlign w:val="center"/>
            <w:hideMark/>
          </w:tcPr>
          <w:p w14:paraId="7EA24340" w14:textId="77777777"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ODDÍLNÝ</w:t>
            </w:r>
          </w:p>
        </w:tc>
        <w:tc>
          <w:tcPr>
            <w:tcW w:w="552" w:type="pct"/>
            <w:tcBorders>
              <w:top w:val="nil"/>
              <w:left w:val="single" w:sz="4" w:space="0" w:color="FFFFFF"/>
              <w:bottom w:val="single" w:sz="12" w:space="0" w:color="FFFFFF"/>
              <w:right w:val="single" w:sz="4" w:space="0" w:color="FFFFFF"/>
            </w:tcBorders>
            <w:shd w:val="clear" w:color="ED7D31" w:fill="ED7D31"/>
          </w:tcPr>
          <w:p w14:paraId="11FA1CA1" w14:textId="3CF95BAF"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ODDÍLNÝ SERVISNÍ SMLOUVA</w:t>
            </w:r>
          </w:p>
        </w:tc>
        <w:tc>
          <w:tcPr>
            <w:tcW w:w="550" w:type="pct"/>
            <w:tcBorders>
              <w:top w:val="nil"/>
              <w:left w:val="single" w:sz="4" w:space="0" w:color="FFFFFF"/>
              <w:bottom w:val="single" w:sz="12" w:space="0" w:color="FFFFFF"/>
              <w:right w:val="single" w:sz="8" w:space="0" w:color="ED7D31"/>
            </w:tcBorders>
            <w:shd w:val="clear" w:color="ED7D31" w:fill="ED7D31"/>
            <w:noWrap/>
            <w:tcMar>
              <w:top w:w="15" w:type="dxa"/>
              <w:left w:w="15" w:type="dxa"/>
              <w:bottom w:w="0" w:type="dxa"/>
              <w:right w:w="15" w:type="dxa"/>
            </w:tcMar>
            <w:vAlign w:val="center"/>
            <w:hideMark/>
          </w:tcPr>
          <w:p w14:paraId="31FAEFA7" w14:textId="096C11F8"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SMÍŠENÝ</w:t>
            </w:r>
          </w:p>
        </w:tc>
      </w:tr>
      <w:tr w:rsidR="003445F0" w:rsidRPr="009722AF" w14:paraId="3FF5AFFD" w14:textId="77777777" w:rsidTr="000306EC">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66DAE812" w14:textId="77777777" w:rsidR="003445F0" w:rsidRPr="009722AF" w:rsidRDefault="003445F0" w:rsidP="003445F0">
            <w:pPr>
              <w:spacing w:before="0" w:after="0" w:line="240" w:lineRule="atLeast"/>
              <w:rPr>
                <w:rFonts w:asciiTheme="majorHAnsi" w:hAnsiTheme="majorHAnsi"/>
                <w:noProof/>
                <w:color w:val="000000"/>
              </w:rPr>
            </w:pPr>
            <w:r w:rsidRPr="009722AF">
              <w:rPr>
                <w:rFonts w:asciiTheme="majorHAnsi" w:hAnsiTheme="majorHAnsi"/>
                <w:noProof/>
                <w:color w:val="000000"/>
                <w:sz w:val="22"/>
              </w:rPr>
              <w:t>I.skupina(&gt;500 000př.ob.)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7705F100"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2</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39FB8483" w14:textId="77777777" w:rsidR="003445F0" w:rsidRPr="009722AF" w:rsidRDefault="003445F0" w:rsidP="003445F0">
            <w:pPr>
              <w:spacing w:before="0" w:after="0" w:line="240" w:lineRule="atLeast"/>
              <w:jc w:val="center"/>
              <w:rPr>
                <w:rFonts w:asciiTheme="majorHAnsi" w:hAnsiTheme="majorHAnsi"/>
                <w:noProof/>
                <w:color w:val="000000"/>
                <w:sz w:val="22"/>
              </w:rPr>
            </w:pP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011764A5" w14:textId="6BB592C2"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2</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1A2C5329" w14:textId="77777777" w:rsidR="003445F0" w:rsidRPr="009722AF" w:rsidRDefault="003445F0" w:rsidP="003445F0">
            <w:pPr>
              <w:spacing w:before="0" w:after="0" w:line="240" w:lineRule="atLeast"/>
              <w:jc w:val="center"/>
              <w:rPr>
                <w:rFonts w:asciiTheme="majorHAnsi" w:hAnsiTheme="majorHAnsi"/>
                <w:noProof/>
                <w:color w:val="000000"/>
                <w:sz w:val="22"/>
              </w:rPr>
            </w:pPr>
          </w:p>
        </w:tc>
        <w:tc>
          <w:tcPr>
            <w:tcW w:w="550"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797CB341" w14:textId="2FCBFB7D" w:rsidR="003445F0" w:rsidRPr="009722AF" w:rsidRDefault="003445F0" w:rsidP="003445F0">
            <w:pPr>
              <w:spacing w:before="0" w:after="0" w:line="240" w:lineRule="atLeast"/>
              <w:jc w:val="center"/>
              <w:rPr>
                <w:rFonts w:asciiTheme="majorHAnsi" w:hAnsiTheme="majorHAnsi"/>
                <w:noProof/>
                <w:color w:val="000000"/>
                <w:sz w:val="22"/>
              </w:rPr>
            </w:pPr>
          </w:p>
        </w:tc>
      </w:tr>
      <w:tr w:rsidR="003445F0" w:rsidRPr="009722AF" w14:paraId="14B3E838" w14:textId="77777777" w:rsidTr="000306EC">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4F6D472A" w14:textId="77777777" w:rsidR="003445F0" w:rsidRPr="009722AF" w:rsidRDefault="003445F0" w:rsidP="003445F0">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II.skupina(&gt;200 000př.ob.)</w:t>
            </w:r>
          </w:p>
        </w:tc>
        <w:tc>
          <w:tcPr>
            <w:tcW w:w="909"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2E4FF053"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3</w:t>
            </w:r>
          </w:p>
        </w:tc>
        <w:tc>
          <w:tcPr>
            <w:tcW w:w="781"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4BC3605E" w14:textId="063C49EE"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2</w:t>
            </w:r>
          </w:p>
        </w:tc>
        <w:tc>
          <w:tcPr>
            <w:tcW w:w="535"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2154C32D" w14:textId="09ED0A4B"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1</w:t>
            </w:r>
          </w:p>
        </w:tc>
        <w:tc>
          <w:tcPr>
            <w:tcW w:w="552" w:type="pct"/>
            <w:tcBorders>
              <w:top w:val="single" w:sz="4" w:space="0" w:color="FFFFFF"/>
              <w:left w:val="single" w:sz="4" w:space="0" w:color="FFFFFF"/>
              <w:bottom w:val="single" w:sz="4" w:space="0" w:color="FFFFFF"/>
              <w:right w:val="single" w:sz="4" w:space="0" w:color="FFFFFF"/>
            </w:tcBorders>
            <w:shd w:val="clear" w:color="FCE4D6" w:fill="FCE4D6"/>
          </w:tcPr>
          <w:p w14:paraId="70626DD2" w14:textId="77777777" w:rsidR="003445F0" w:rsidRPr="009722AF" w:rsidRDefault="003445F0" w:rsidP="003445F0">
            <w:pPr>
              <w:spacing w:before="0" w:after="0" w:line="240" w:lineRule="atLeast"/>
              <w:jc w:val="center"/>
              <w:rPr>
                <w:rFonts w:asciiTheme="majorHAnsi" w:hAnsiTheme="majorHAnsi"/>
                <w:noProof/>
                <w:color w:val="000000"/>
                <w:sz w:val="22"/>
              </w:rPr>
            </w:pPr>
          </w:p>
        </w:tc>
        <w:tc>
          <w:tcPr>
            <w:tcW w:w="550" w:type="pct"/>
            <w:tcBorders>
              <w:top w:val="single" w:sz="4" w:space="0" w:color="FFFFFF"/>
              <w:left w:val="single" w:sz="4" w:space="0" w:color="FFFFFF"/>
              <w:bottom w:val="single" w:sz="4" w:space="0" w:color="FFFFFF"/>
              <w:right w:val="single" w:sz="8" w:space="0" w:color="ED7D31"/>
            </w:tcBorders>
            <w:shd w:val="clear" w:color="FCE4D6" w:fill="FCE4D6"/>
            <w:noWrap/>
            <w:tcMar>
              <w:top w:w="15" w:type="dxa"/>
              <w:left w:w="15" w:type="dxa"/>
              <w:bottom w:w="0" w:type="dxa"/>
              <w:right w:w="15" w:type="dxa"/>
            </w:tcMar>
            <w:hideMark/>
          </w:tcPr>
          <w:p w14:paraId="4BD064B2" w14:textId="65B08289" w:rsidR="003445F0" w:rsidRPr="009722AF" w:rsidRDefault="003445F0" w:rsidP="003445F0">
            <w:pPr>
              <w:spacing w:before="0" w:after="0" w:line="240" w:lineRule="atLeast"/>
              <w:jc w:val="center"/>
              <w:rPr>
                <w:rFonts w:asciiTheme="majorHAnsi" w:hAnsiTheme="majorHAnsi"/>
                <w:noProof/>
                <w:color w:val="000000"/>
                <w:sz w:val="22"/>
              </w:rPr>
            </w:pPr>
          </w:p>
        </w:tc>
      </w:tr>
      <w:tr w:rsidR="003445F0" w:rsidRPr="009722AF" w14:paraId="1FC68B1C" w14:textId="77777777" w:rsidTr="000306EC">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54E060DE" w14:textId="77777777" w:rsidR="003445F0" w:rsidRPr="009722AF" w:rsidRDefault="003445F0" w:rsidP="003445F0">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III.skupina(&gt;100 000př.ob.)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3EF10B27"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8</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40459D3A" w14:textId="1367FCBF"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3</w:t>
            </w: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49AD8D8A" w14:textId="246ECF08"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5</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4A3795CD" w14:textId="77777777" w:rsidR="003445F0" w:rsidRPr="009722AF" w:rsidRDefault="003445F0" w:rsidP="003445F0">
            <w:pPr>
              <w:spacing w:before="0" w:after="0" w:line="240" w:lineRule="atLeast"/>
              <w:jc w:val="center"/>
              <w:rPr>
                <w:rFonts w:asciiTheme="majorHAnsi" w:hAnsiTheme="majorHAnsi"/>
                <w:noProof/>
                <w:color w:val="000000"/>
                <w:sz w:val="22"/>
              </w:rPr>
            </w:pPr>
          </w:p>
        </w:tc>
        <w:tc>
          <w:tcPr>
            <w:tcW w:w="550"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221BCE50" w14:textId="4A09327C" w:rsidR="003445F0" w:rsidRPr="009722AF" w:rsidRDefault="003445F0" w:rsidP="003445F0">
            <w:pPr>
              <w:spacing w:before="0" w:after="0" w:line="240" w:lineRule="atLeast"/>
              <w:jc w:val="center"/>
              <w:rPr>
                <w:rFonts w:asciiTheme="majorHAnsi" w:hAnsiTheme="majorHAnsi"/>
                <w:noProof/>
                <w:color w:val="000000"/>
                <w:sz w:val="22"/>
              </w:rPr>
            </w:pPr>
          </w:p>
        </w:tc>
      </w:tr>
      <w:tr w:rsidR="003445F0" w:rsidRPr="009722AF" w14:paraId="452A1525" w14:textId="77777777" w:rsidTr="000306EC">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1ED385EB" w14:textId="77777777" w:rsidR="003445F0" w:rsidRPr="009722AF" w:rsidRDefault="003445F0" w:rsidP="003445F0">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IV.skupina(&gt;50 000př.ob.)</w:t>
            </w:r>
          </w:p>
        </w:tc>
        <w:tc>
          <w:tcPr>
            <w:tcW w:w="909"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33C54C8F"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14</w:t>
            </w:r>
          </w:p>
        </w:tc>
        <w:tc>
          <w:tcPr>
            <w:tcW w:w="781"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3316C8AA" w14:textId="56F96631"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8</w:t>
            </w:r>
          </w:p>
        </w:tc>
        <w:tc>
          <w:tcPr>
            <w:tcW w:w="535"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0C1CFCE0" w14:textId="74B24A51"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6</w:t>
            </w:r>
          </w:p>
        </w:tc>
        <w:tc>
          <w:tcPr>
            <w:tcW w:w="552" w:type="pct"/>
            <w:tcBorders>
              <w:top w:val="single" w:sz="4" w:space="0" w:color="FFFFFF"/>
              <w:left w:val="single" w:sz="4" w:space="0" w:color="FFFFFF"/>
              <w:bottom w:val="single" w:sz="4" w:space="0" w:color="FFFFFF"/>
              <w:right w:val="single" w:sz="4" w:space="0" w:color="FFFFFF"/>
            </w:tcBorders>
            <w:shd w:val="clear" w:color="FCE4D6" w:fill="FCE4D6"/>
          </w:tcPr>
          <w:p w14:paraId="6DB35969" w14:textId="77777777" w:rsidR="003445F0" w:rsidRPr="009722AF" w:rsidRDefault="003445F0" w:rsidP="003445F0">
            <w:pPr>
              <w:spacing w:before="0" w:after="0" w:line="240" w:lineRule="atLeast"/>
              <w:jc w:val="center"/>
              <w:rPr>
                <w:rFonts w:asciiTheme="majorHAnsi" w:hAnsiTheme="majorHAnsi"/>
                <w:noProof/>
                <w:color w:val="000000"/>
                <w:sz w:val="22"/>
              </w:rPr>
            </w:pPr>
          </w:p>
        </w:tc>
        <w:tc>
          <w:tcPr>
            <w:tcW w:w="550" w:type="pct"/>
            <w:tcBorders>
              <w:top w:val="single" w:sz="4" w:space="0" w:color="FFFFFF"/>
              <w:left w:val="single" w:sz="4" w:space="0" w:color="FFFFFF"/>
              <w:bottom w:val="single" w:sz="4" w:space="0" w:color="FFFFFF"/>
              <w:right w:val="single" w:sz="8" w:space="0" w:color="ED7D31"/>
            </w:tcBorders>
            <w:shd w:val="clear" w:color="FCE4D6" w:fill="FCE4D6"/>
            <w:noWrap/>
            <w:tcMar>
              <w:top w:w="15" w:type="dxa"/>
              <w:left w:w="15" w:type="dxa"/>
              <w:bottom w:w="0" w:type="dxa"/>
              <w:right w:w="15" w:type="dxa"/>
            </w:tcMar>
            <w:hideMark/>
          </w:tcPr>
          <w:p w14:paraId="4F1DCC0E" w14:textId="76D9FA63" w:rsidR="003445F0" w:rsidRPr="009722AF" w:rsidRDefault="003445F0" w:rsidP="003445F0">
            <w:pPr>
              <w:spacing w:before="0" w:after="0" w:line="240" w:lineRule="atLeast"/>
              <w:jc w:val="center"/>
              <w:rPr>
                <w:rFonts w:asciiTheme="majorHAnsi" w:hAnsiTheme="majorHAnsi"/>
                <w:noProof/>
                <w:color w:val="000000"/>
                <w:sz w:val="22"/>
              </w:rPr>
            </w:pPr>
          </w:p>
        </w:tc>
      </w:tr>
      <w:tr w:rsidR="003445F0" w:rsidRPr="009722AF" w14:paraId="1DEA5A36" w14:textId="77777777" w:rsidTr="000306EC">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7A7A0108" w14:textId="77777777" w:rsidR="003445F0" w:rsidRPr="009722AF" w:rsidRDefault="003445F0" w:rsidP="003445F0">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V.skupina(&gt;10 000př.ob.)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358692E2"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49</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06BDAF10" w14:textId="580AA9A1"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11</w:t>
            </w: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35F1ACD0" w14:textId="0C8B36E3"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32</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26E1D892" w14:textId="53C55AA9"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2</w:t>
            </w:r>
          </w:p>
        </w:tc>
        <w:tc>
          <w:tcPr>
            <w:tcW w:w="550"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137F83A7" w14:textId="435B0335"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4</w:t>
            </w:r>
          </w:p>
        </w:tc>
      </w:tr>
      <w:tr w:rsidR="003445F0" w:rsidRPr="009722AF" w14:paraId="4AAAD78C" w14:textId="77777777" w:rsidTr="000306EC">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42939A77" w14:textId="77777777" w:rsidR="003445F0" w:rsidRPr="009722AF" w:rsidRDefault="003445F0" w:rsidP="003445F0">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VI.skupina(&gt;1 000př.ob.)</w:t>
            </w:r>
          </w:p>
        </w:tc>
        <w:tc>
          <w:tcPr>
            <w:tcW w:w="909"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3399A0B2"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418</w:t>
            </w:r>
          </w:p>
        </w:tc>
        <w:tc>
          <w:tcPr>
            <w:tcW w:w="781"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27B6A1DC" w14:textId="5A386FB2"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17</w:t>
            </w:r>
          </w:p>
        </w:tc>
        <w:tc>
          <w:tcPr>
            <w:tcW w:w="535"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246C3C8E" w14:textId="2C3C8683"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229</w:t>
            </w:r>
          </w:p>
        </w:tc>
        <w:tc>
          <w:tcPr>
            <w:tcW w:w="552" w:type="pct"/>
            <w:tcBorders>
              <w:top w:val="single" w:sz="4" w:space="0" w:color="FFFFFF"/>
              <w:left w:val="single" w:sz="4" w:space="0" w:color="FFFFFF"/>
              <w:bottom w:val="single" w:sz="4" w:space="0" w:color="FFFFFF"/>
              <w:right w:val="single" w:sz="4" w:space="0" w:color="FFFFFF"/>
            </w:tcBorders>
            <w:shd w:val="clear" w:color="FCE4D6" w:fill="FCE4D6"/>
          </w:tcPr>
          <w:p w14:paraId="077DF295" w14:textId="29012755"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13</w:t>
            </w:r>
          </w:p>
        </w:tc>
        <w:tc>
          <w:tcPr>
            <w:tcW w:w="550" w:type="pct"/>
            <w:tcBorders>
              <w:top w:val="single" w:sz="4" w:space="0" w:color="FFFFFF"/>
              <w:left w:val="single" w:sz="4" w:space="0" w:color="FFFFFF"/>
              <w:bottom w:val="single" w:sz="4" w:space="0" w:color="FFFFFF"/>
              <w:right w:val="single" w:sz="8" w:space="0" w:color="ED7D31"/>
            </w:tcBorders>
            <w:shd w:val="clear" w:color="FCE4D6" w:fill="FCE4D6"/>
            <w:noWrap/>
            <w:tcMar>
              <w:top w:w="15" w:type="dxa"/>
              <w:left w:w="15" w:type="dxa"/>
              <w:bottom w:w="0" w:type="dxa"/>
              <w:right w:w="15" w:type="dxa"/>
            </w:tcMar>
            <w:hideMark/>
          </w:tcPr>
          <w:p w14:paraId="675BDFF0" w14:textId="62B2B54D"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159</w:t>
            </w:r>
          </w:p>
        </w:tc>
      </w:tr>
      <w:tr w:rsidR="003445F0" w:rsidRPr="009722AF" w14:paraId="173F73EF" w14:textId="77777777" w:rsidTr="000306EC">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171BFC24" w14:textId="77777777" w:rsidR="003445F0" w:rsidRPr="009722AF" w:rsidRDefault="003445F0" w:rsidP="003445F0">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VII.skupina(&gt;300př.ob.)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27A4A23C"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731</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71F09144" w14:textId="0D1AD52D"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9</w:t>
            </w: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3501C3C2" w14:textId="567D4F88"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239</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14BF8122" w14:textId="2061057A"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47</w:t>
            </w:r>
          </w:p>
        </w:tc>
        <w:tc>
          <w:tcPr>
            <w:tcW w:w="550"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1FBFAC3D" w14:textId="57195971"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436</w:t>
            </w:r>
          </w:p>
        </w:tc>
      </w:tr>
      <w:tr w:rsidR="003445F0" w:rsidRPr="009722AF" w14:paraId="749525BB" w14:textId="77777777" w:rsidTr="000306EC">
        <w:trPr>
          <w:trHeight w:val="300"/>
          <w:jc w:val="center"/>
        </w:trPr>
        <w:tc>
          <w:tcPr>
            <w:tcW w:w="1672" w:type="pct"/>
            <w:tcBorders>
              <w:top w:val="single" w:sz="4" w:space="0" w:color="FFFFFF"/>
              <w:left w:val="single" w:sz="8" w:space="0" w:color="ED7D31"/>
              <w:bottom w:val="single" w:sz="4" w:space="0" w:color="F79646"/>
              <w:right w:val="single" w:sz="8" w:space="0" w:color="ED7D31"/>
            </w:tcBorders>
            <w:shd w:val="clear" w:color="FCE4D6" w:fill="FCE4D6"/>
            <w:noWrap/>
            <w:tcMar>
              <w:top w:w="15" w:type="dxa"/>
              <w:left w:w="15" w:type="dxa"/>
              <w:bottom w:w="0" w:type="dxa"/>
              <w:right w:w="15" w:type="dxa"/>
            </w:tcMar>
            <w:vAlign w:val="center"/>
            <w:hideMark/>
          </w:tcPr>
          <w:p w14:paraId="784F4E25" w14:textId="77777777" w:rsidR="003445F0" w:rsidRPr="009722AF" w:rsidRDefault="003445F0" w:rsidP="003445F0">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VIII.skupina(&lt;300př.ob.)</w:t>
            </w:r>
          </w:p>
        </w:tc>
        <w:tc>
          <w:tcPr>
            <w:tcW w:w="909" w:type="pct"/>
            <w:tcBorders>
              <w:top w:val="single" w:sz="4" w:space="0" w:color="FFFFFF"/>
              <w:left w:val="single" w:sz="8" w:space="0" w:color="ED7D31"/>
              <w:bottom w:val="single" w:sz="4" w:space="0" w:color="F79646"/>
              <w:right w:val="single" w:sz="8" w:space="0" w:color="ED7D31"/>
            </w:tcBorders>
            <w:shd w:val="clear" w:color="FCE4D6" w:fill="FCE4D6"/>
            <w:noWrap/>
            <w:tcMar>
              <w:top w:w="15" w:type="dxa"/>
              <w:left w:w="15" w:type="dxa"/>
              <w:bottom w:w="0" w:type="dxa"/>
              <w:right w:w="15" w:type="dxa"/>
            </w:tcMar>
            <w:vAlign w:val="center"/>
            <w:hideMark/>
          </w:tcPr>
          <w:p w14:paraId="1575D5BC" w14:textId="77777777" w:rsidR="003445F0" w:rsidRPr="009722AF" w:rsidRDefault="003445F0" w:rsidP="003445F0">
            <w:pPr>
              <w:spacing w:before="0" w:after="0" w:line="240" w:lineRule="atLeast"/>
              <w:jc w:val="center"/>
              <w:rPr>
                <w:rFonts w:asciiTheme="majorHAnsi" w:hAnsiTheme="majorHAnsi"/>
                <w:b/>
                <w:noProof/>
                <w:color w:val="000000"/>
              </w:rPr>
            </w:pPr>
            <w:r w:rsidRPr="009722AF">
              <w:rPr>
                <w:rFonts w:asciiTheme="majorHAnsi" w:hAnsiTheme="majorHAnsi"/>
                <w:b/>
                <w:noProof/>
                <w:color w:val="000000"/>
                <w:sz w:val="22"/>
              </w:rPr>
              <w:t>632</w:t>
            </w:r>
          </w:p>
        </w:tc>
        <w:tc>
          <w:tcPr>
            <w:tcW w:w="781" w:type="pct"/>
            <w:tcBorders>
              <w:top w:val="single" w:sz="4" w:space="0" w:color="FFFFFF"/>
              <w:left w:val="single" w:sz="4" w:space="0" w:color="FFFFFF"/>
              <w:bottom w:val="single" w:sz="4" w:space="0" w:color="F79646"/>
              <w:right w:val="single" w:sz="4" w:space="0" w:color="FFFFFF"/>
            </w:tcBorders>
            <w:shd w:val="clear" w:color="FCE4D6" w:fill="FCE4D6"/>
            <w:noWrap/>
            <w:tcMar>
              <w:top w:w="15" w:type="dxa"/>
              <w:left w:w="15" w:type="dxa"/>
              <w:bottom w:w="0" w:type="dxa"/>
              <w:right w:w="15" w:type="dxa"/>
            </w:tcMar>
            <w:hideMark/>
          </w:tcPr>
          <w:p w14:paraId="64953D2D" w14:textId="6576F585"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6</w:t>
            </w:r>
          </w:p>
        </w:tc>
        <w:tc>
          <w:tcPr>
            <w:tcW w:w="535" w:type="pct"/>
            <w:tcBorders>
              <w:top w:val="single" w:sz="4" w:space="0" w:color="FFFFFF"/>
              <w:left w:val="single" w:sz="4" w:space="0" w:color="FFFFFF"/>
              <w:bottom w:val="single" w:sz="4" w:space="0" w:color="F79646"/>
              <w:right w:val="single" w:sz="4" w:space="0" w:color="FFFFFF"/>
            </w:tcBorders>
            <w:shd w:val="clear" w:color="FCE4D6" w:fill="FCE4D6"/>
            <w:noWrap/>
            <w:tcMar>
              <w:top w:w="15" w:type="dxa"/>
              <w:left w:w="15" w:type="dxa"/>
              <w:bottom w:w="0" w:type="dxa"/>
              <w:right w:w="15" w:type="dxa"/>
            </w:tcMar>
            <w:hideMark/>
          </w:tcPr>
          <w:p w14:paraId="4C58C3CF" w14:textId="1CB94349"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120</w:t>
            </w:r>
          </w:p>
        </w:tc>
        <w:tc>
          <w:tcPr>
            <w:tcW w:w="552" w:type="pct"/>
            <w:tcBorders>
              <w:top w:val="single" w:sz="4" w:space="0" w:color="FFFFFF"/>
              <w:left w:val="single" w:sz="4" w:space="0" w:color="FFFFFF"/>
              <w:bottom w:val="single" w:sz="4" w:space="0" w:color="F79646"/>
              <w:right w:val="single" w:sz="4" w:space="0" w:color="FFFFFF"/>
            </w:tcBorders>
            <w:shd w:val="clear" w:color="FCE4D6" w:fill="FCE4D6"/>
          </w:tcPr>
          <w:p w14:paraId="7EF74EDA" w14:textId="0A570809"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99</w:t>
            </w:r>
          </w:p>
        </w:tc>
        <w:tc>
          <w:tcPr>
            <w:tcW w:w="550" w:type="pct"/>
            <w:tcBorders>
              <w:top w:val="single" w:sz="4" w:space="0" w:color="FFFFFF"/>
              <w:left w:val="single" w:sz="4" w:space="0" w:color="FFFFFF"/>
              <w:bottom w:val="single" w:sz="4" w:space="0" w:color="F79646"/>
              <w:right w:val="single" w:sz="8" w:space="0" w:color="ED7D31"/>
            </w:tcBorders>
            <w:shd w:val="clear" w:color="FCE4D6" w:fill="FCE4D6"/>
            <w:noWrap/>
            <w:tcMar>
              <w:top w:w="15" w:type="dxa"/>
              <w:left w:w="15" w:type="dxa"/>
              <w:bottom w:w="0" w:type="dxa"/>
              <w:right w:w="15" w:type="dxa"/>
            </w:tcMar>
            <w:hideMark/>
          </w:tcPr>
          <w:p w14:paraId="045CBB96" w14:textId="5E8ADB10" w:rsidR="003445F0" w:rsidRPr="009722AF" w:rsidRDefault="003445F0" w:rsidP="003445F0">
            <w:pPr>
              <w:spacing w:before="0" w:after="0" w:line="240" w:lineRule="atLeast"/>
              <w:jc w:val="center"/>
              <w:rPr>
                <w:rFonts w:asciiTheme="majorHAnsi" w:hAnsiTheme="majorHAnsi"/>
                <w:noProof/>
                <w:color w:val="000000"/>
                <w:sz w:val="22"/>
              </w:rPr>
            </w:pPr>
            <w:r w:rsidRPr="009722AF">
              <w:rPr>
                <w:rFonts w:asciiTheme="majorHAnsi" w:hAnsiTheme="majorHAnsi"/>
                <w:sz w:val="22"/>
              </w:rPr>
              <w:t>407</w:t>
            </w:r>
          </w:p>
        </w:tc>
      </w:tr>
      <w:tr w:rsidR="003445F0" w:rsidRPr="009722AF" w14:paraId="29E105E8" w14:textId="77777777" w:rsidTr="000306EC">
        <w:trPr>
          <w:trHeight w:val="315"/>
          <w:jc w:val="center"/>
        </w:trPr>
        <w:tc>
          <w:tcPr>
            <w:tcW w:w="1672" w:type="pct"/>
            <w:tcBorders>
              <w:top w:val="single" w:sz="4" w:space="0" w:color="F79646"/>
              <w:left w:val="single" w:sz="8" w:space="0" w:color="ED7D31"/>
              <w:bottom w:val="single" w:sz="8" w:space="0" w:color="ED7D31"/>
              <w:right w:val="single" w:sz="8" w:space="0" w:color="ED7D31"/>
            </w:tcBorders>
            <w:shd w:val="clear" w:color="F8CBAD" w:fill="F8CBAD"/>
            <w:noWrap/>
            <w:tcMar>
              <w:top w:w="15" w:type="dxa"/>
              <w:left w:w="15" w:type="dxa"/>
              <w:bottom w:w="0" w:type="dxa"/>
              <w:right w:w="15" w:type="dxa"/>
            </w:tcMar>
            <w:vAlign w:val="center"/>
            <w:hideMark/>
          </w:tcPr>
          <w:p w14:paraId="18D578A3" w14:textId="77777777" w:rsidR="003445F0" w:rsidRPr="009722AF" w:rsidRDefault="003445F0" w:rsidP="003445F0">
            <w:pPr>
              <w:spacing w:before="0" w:after="0" w:line="240" w:lineRule="atLeast"/>
              <w:jc w:val="right"/>
              <w:rPr>
                <w:rFonts w:asciiTheme="majorHAnsi" w:hAnsiTheme="majorHAnsi"/>
                <w:b/>
                <w:bCs/>
                <w:noProof/>
                <w:color w:val="000000"/>
              </w:rPr>
            </w:pPr>
            <w:r w:rsidRPr="009722AF">
              <w:rPr>
                <w:rFonts w:asciiTheme="majorHAnsi" w:hAnsiTheme="majorHAnsi"/>
                <w:b/>
                <w:bCs/>
                <w:noProof/>
                <w:color w:val="000000"/>
                <w:sz w:val="22"/>
              </w:rPr>
              <w:t>Celkový součet</w:t>
            </w:r>
          </w:p>
        </w:tc>
        <w:tc>
          <w:tcPr>
            <w:tcW w:w="909" w:type="pct"/>
            <w:tcBorders>
              <w:top w:val="single" w:sz="4" w:space="0" w:color="F79646"/>
              <w:left w:val="single" w:sz="8" w:space="0" w:color="ED7D31"/>
              <w:bottom w:val="single" w:sz="8" w:space="0" w:color="ED7D31"/>
              <w:right w:val="single" w:sz="8" w:space="0" w:color="ED7D31"/>
            </w:tcBorders>
            <w:shd w:val="clear" w:color="F8CBAD" w:fill="F8CBAD"/>
            <w:noWrap/>
            <w:tcMar>
              <w:top w:w="15" w:type="dxa"/>
              <w:left w:w="15" w:type="dxa"/>
              <w:bottom w:w="0" w:type="dxa"/>
              <w:right w:w="15" w:type="dxa"/>
            </w:tcMar>
            <w:vAlign w:val="center"/>
            <w:hideMark/>
          </w:tcPr>
          <w:p w14:paraId="5081C8E0" w14:textId="10DA39BF" w:rsidR="003445F0" w:rsidRPr="009722AF" w:rsidRDefault="003445F0" w:rsidP="003445F0">
            <w:pPr>
              <w:spacing w:before="0" w:after="0" w:line="240" w:lineRule="atLeast"/>
              <w:jc w:val="center"/>
              <w:rPr>
                <w:rFonts w:asciiTheme="majorHAnsi" w:hAnsiTheme="majorHAnsi"/>
                <w:b/>
                <w:bCs/>
                <w:noProof/>
                <w:color w:val="000000"/>
              </w:rPr>
            </w:pPr>
            <w:r w:rsidRPr="009722AF">
              <w:rPr>
                <w:rFonts w:asciiTheme="majorHAnsi" w:hAnsiTheme="majorHAnsi"/>
                <w:b/>
                <w:bCs/>
                <w:noProof/>
                <w:color w:val="000000"/>
                <w:sz w:val="22"/>
              </w:rPr>
              <w:t>1</w:t>
            </w:r>
            <w:r w:rsidR="00277924">
              <w:rPr>
                <w:rFonts w:asciiTheme="majorHAnsi" w:hAnsiTheme="majorHAnsi"/>
                <w:b/>
                <w:bCs/>
                <w:noProof/>
                <w:color w:val="000000"/>
                <w:sz w:val="22"/>
              </w:rPr>
              <w:t xml:space="preserve"> </w:t>
            </w:r>
            <w:r w:rsidRPr="009722AF">
              <w:rPr>
                <w:rFonts w:asciiTheme="majorHAnsi" w:hAnsiTheme="majorHAnsi"/>
                <w:b/>
                <w:bCs/>
                <w:noProof/>
                <w:color w:val="000000"/>
                <w:sz w:val="22"/>
              </w:rPr>
              <w:t>857</w:t>
            </w:r>
          </w:p>
        </w:tc>
        <w:tc>
          <w:tcPr>
            <w:tcW w:w="781" w:type="pct"/>
            <w:tcBorders>
              <w:top w:val="single" w:sz="4" w:space="0" w:color="F79646"/>
              <w:left w:val="single" w:sz="4" w:space="0" w:color="FFFFFF"/>
              <w:bottom w:val="single" w:sz="8" w:space="0" w:color="ED7D31"/>
              <w:right w:val="single" w:sz="4" w:space="0" w:color="FFFFFF"/>
            </w:tcBorders>
            <w:shd w:val="clear" w:color="F8CBAD" w:fill="F8CBAD"/>
            <w:noWrap/>
            <w:tcMar>
              <w:top w:w="15" w:type="dxa"/>
              <w:left w:w="15" w:type="dxa"/>
              <w:bottom w:w="0" w:type="dxa"/>
              <w:right w:w="15" w:type="dxa"/>
            </w:tcMar>
            <w:hideMark/>
          </w:tcPr>
          <w:p w14:paraId="1E04140A" w14:textId="59063416" w:rsidR="003445F0" w:rsidRPr="009722AF" w:rsidRDefault="003445F0" w:rsidP="003445F0">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56</w:t>
            </w:r>
          </w:p>
        </w:tc>
        <w:tc>
          <w:tcPr>
            <w:tcW w:w="535" w:type="pct"/>
            <w:tcBorders>
              <w:top w:val="single" w:sz="4" w:space="0" w:color="F79646"/>
              <w:left w:val="single" w:sz="4" w:space="0" w:color="FFFFFF"/>
              <w:bottom w:val="single" w:sz="8" w:space="0" w:color="ED7D31"/>
              <w:right w:val="single" w:sz="4" w:space="0" w:color="FFFFFF"/>
            </w:tcBorders>
            <w:shd w:val="clear" w:color="F8CBAD" w:fill="F8CBAD"/>
            <w:noWrap/>
            <w:tcMar>
              <w:top w:w="15" w:type="dxa"/>
              <w:left w:w="15" w:type="dxa"/>
              <w:bottom w:w="0" w:type="dxa"/>
              <w:right w:w="15" w:type="dxa"/>
            </w:tcMar>
            <w:hideMark/>
          </w:tcPr>
          <w:p w14:paraId="1D81953B" w14:textId="1CD65607" w:rsidR="003445F0" w:rsidRPr="009722AF" w:rsidRDefault="003445F0" w:rsidP="003445F0">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634</w:t>
            </w:r>
          </w:p>
        </w:tc>
        <w:tc>
          <w:tcPr>
            <w:tcW w:w="552" w:type="pct"/>
            <w:tcBorders>
              <w:top w:val="single" w:sz="4" w:space="0" w:color="F79646"/>
              <w:left w:val="single" w:sz="4" w:space="0" w:color="FFFFFF"/>
              <w:bottom w:val="single" w:sz="8" w:space="0" w:color="ED7D31"/>
              <w:right w:val="single" w:sz="4" w:space="0" w:color="FFFFFF"/>
            </w:tcBorders>
            <w:shd w:val="clear" w:color="F8CBAD" w:fill="F8CBAD"/>
          </w:tcPr>
          <w:p w14:paraId="357BFE65" w14:textId="65AEFDF1" w:rsidR="003445F0" w:rsidRPr="009722AF" w:rsidRDefault="003445F0" w:rsidP="003445F0">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161</w:t>
            </w:r>
          </w:p>
        </w:tc>
        <w:tc>
          <w:tcPr>
            <w:tcW w:w="550" w:type="pct"/>
            <w:tcBorders>
              <w:top w:val="single" w:sz="4" w:space="0" w:color="F79646"/>
              <w:left w:val="single" w:sz="4" w:space="0" w:color="FFFFFF"/>
              <w:bottom w:val="single" w:sz="8" w:space="0" w:color="ED7D31"/>
              <w:right w:val="single" w:sz="8" w:space="0" w:color="ED7D31"/>
            </w:tcBorders>
            <w:shd w:val="clear" w:color="F8CBAD" w:fill="F8CBAD"/>
            <w:noWrap/>
            <w:tcMar>
              <w:top w:w="15" w:type="dxa"/>
              <w:left w:w="15" w:type="dxa"/>
              <w:bottom w:w="0" w:type="dxa"/>
              <w:right w:w="15" w:type="dxa"/>
            </w:tcMar>
            <w:hideMark/>
          </w:tcPr>
          <w:p w14:paraId="0F46CADC" w14:textId="1EE60A43" w:rsidR="003445F0" w:rsidRPr="009722AF" w:rsidRDefault="003445F0" w:rsidP="003445F0">
            <w:pPr>
              <w:spacing w:before="0" w:after="0" w:line="240" w:lineRule="atLeast"/>
              <w:jc w:val="center"/>
              <w:rPr>
                <w:rFonts w:asciiTheme="majorHAnsi" w:hAnsiTheme="majorHAnsi"/>
                <w:b/>
                <w:bCs/>
                <w:noProof/>
                <w:color w:val="000000"/>
                <w:sz w:val="22"/>
              </w:rPr>
            </w:pPr>
            <w:r w:rsidRPr="009722AF">
              <w:rPr>
                <w:rFonts w:asciiTheme="majorHAnsi" w:hAnsiTheme="majorHAnsi"/>
                <w:b/>
                <w:sz w:val="22"/>
              </w:rPr>
              <w:t>1</w:t>
            </w:r>
            <w:r w:rsidR="00277924">
              <w:rPr>
                <w:rFonts w:asciiTheme="majorHAnsi" w:hAnsiTheme="majorHAnsi"/>
                <w:b/>
                <w:sz w:val="22"/>
              </w:rPr>
              <w:t xml:space="preserve"> </w:t>
            </w:r>
            <w:r w:rsidRPr="009722AF">
              <w:rPr>
                <w:rFonts w:asciiTheme="majorHAnsi" w:hAnsiTheme="majorHAnsi"/>
                <w:b/>
                <w:sz w:val="22"/>
              </w:rPr>
              <w:t>006</w:t>
            </w:r>
          </w:p>
        </w:tc>
      </w:tr>
    </w:tbl>
    <w:p w14:paraId="38AC60A9" w14:textId="77777777" w:rsidR="000E38AE" w:rsidRPr="00C62639" w:rsidRDefault="003D54E6">
      <w:pPr>
        <w:spacing w:before="0" w:after="200" w:line="276" w:lineRule="auto"/>
        <w:contextualSpacing w:val="0"/>
        <w:jc w:val="left"/>
        <w:rPr>
          <w:rFonts w:asciiTheme="minorHAnsi" w:hAnsiTheme="minorHAnsi"/>
          <w:noProof/>
          <w:sz w:val="22"/>
        </w:rPr>
      </w:pPr>
      <w:r w:rsidRPr="00C62639">
        <w:rPr>
          <w:rFonts w:asciiTheme="minorHAnsi" w:hAnsiTheme="minorHAnsi"/>
          <w:noProof/>
        </w:rPr>
        <w:t xml:space="preserve"> </w:t>
      </w:r>
    </w:p>
    <w:p w14:paraId="480502E5" w14:textId="77777777" w:rsidR="00254B75" w:rsidRPr="00C62639" w:rsidRDefault="00254B75">
      <w:pPr>
        <w:spacing w:before="0" w:after="0"/>
        <w:contextualSpacing w:val="0"/>
        <w:jc w:val="left"/>
        <w:rPr>
          <w:rFonts w:asciiTheme="minorHAnsi" w:hAnsiTheme="minorHAnsi"/>
          <w:noProof/>
          <w:color w:val="365F91"/>
          <w:sz w:val="32"/>
          <w:szCs w:val="32"/>
        </w:rPr>
      </w:pPr>
      <w:r w:rsidRPr="00C62639">
        <w:rPr>
          <w:rFonts w:asciiTheme="minorHAnsi" w:hAnsiTheme="minorHAnsi"/>
          <w:noProof/>
        </w:rPr>
        <w:br w:type="page"/>
      </w:r>
    </w:p>
    <w:p w14:paraId="034CDA52" w14:textId="77777777" w:rsidR="00C1539B" w:rsidRPr="00C62639" w:rsidRDefault="00C1539B" w:rsidP="00C1539B">
      <w:pPr>
        <w:pStyle w:val="Nadpis1"/>
        <w:rPr>
          <w:rFonts w:asciiTheme="minorHAnsi" w:eastAsia="Calibri" w:hAnsiTheme="minorHAnsi"/>
          <w:noProof/>
        </w:rPr>
      </w:pPr>
      <w:bookmarkStart w:id="29" w:name="_Toc505684416"/>
      <w:r w:rsidRPr="00C62639">
        <w:rPr>
          <w:rFonts w:asciiTheme="minorHAnsi" w:eastAsia="Calibri" w:hAnsiTheme="minorHAnsi"/>
          <w:noProof/>
        </w:rPr>
        <w:lastRenderedPageBreak/>
        <w:t>Benchmarking vlastnických subjektů 201</w:t>
      </w:r>
      <w:r w:rsidR="005B662D" w:rsidRPr="00C62639">
        <w:rPr>
          <w:rFonts w:asciiTheme="minorHAnsi" w:eastAsia="Calibri" w:hAnsiTheme="minorHAnsi"/>
          <w:noProof/>
        </w:rPr>
        <w:t>6</w:t>
      </w:r>
      <w:bookmarkEnd w:id="29"/>
    </w:p>
    <w:p w14:paraId="36602813" w14:textId="77777777" w:rsidR="00C1539B" w:rsidRPr="00C62639" w:rsidRDefault="00C1539B" w:rsidP="00C1539B">
      <w:pPr>
        <w:pStyle w:val="Nadpis2"/>
        <w:rPr>
          <w:rFonts w:asciiTheme="minorHAnsi" w:eastAsia="Calibri" w:hAnsiTheme="minorHAnsi"/>
          <w:noProof/>
        </w:rPr>
      </w:pPr>
      <w:bookmarkStart w:id="30" w:name="_Toc505684417"/>
      <w:r w:rsidRPr="00C62639">
        <w:rPr>
          <w:rFonts w:asciiTheme="minorHAnsi" w:eastAsia="Calibri" w:hAnsiTheme="minorHAnsi"/>
          <w:noProof/>
        </w:rPr>
        <w:t>Cíl zprávy</w:t>
      </w:r>
      <w:bookmarkEnd w:id="30"/>
    </w:p>
    <w:p w14:paraId="21EE21CB" w14:textId="0EB1D605" w:rsidR="000620B2" w:rsidRPr="000937F8" w:rsidRDefault="00890442" w:rsidP="000937F8">
      <w:pPr>
        <w:pStyle w:val="Normlnzprva"/>
      </w:pPr>
      <w:r w:rsidRPr="000937F8">
        <w:t xml:space="preserve">Předmětem projektu </w:t>
      </w:r>
      <w:r w:rsidR="00254B75" w:rsidRPr="000937F8">
        <w:t>benchmarkingu</w:t>
      </w:r>
      <w:r w:rsidRPr="000937F8">
        <w:t xml:space="preserve"> vlastnických subjektů je především pr</w:t>
      </w:r>
      <w:r w:rsidR="000937F8" w:rsidRPr="000937F8">
        <w:t>oblematika obnovy, resp. sledová</w:t>
      </w:r>
      <w:r w:rsidRPr="000937F8">
        <w:t>ní chování se vlastníků VIM ve vztahu k</w:t>
      </w:r>
      <w:r w:rsidR="000620B2" w:rsidRPr="000937F8">
        <w:t xml:space="preserve"> </w:t>
      </w:r>
      <w:r w:rsidRPr="000937F8">
        <w:t>plnění záměru regulace</w:t>
      </w:r>
      <w:r w:rsidR="00B26631" w:rsidRPr="000937F8">
        <w:t xml:space="preserve"> </w:t>
      </w:r>
      <w:r w:rsidRPr="000937F8">
        <w:t>- dosažení</w:t>
      </w:r>
      <w:r w:rsidR="00B26631" w:rsidRPr="000937F8">
        <w:t xml:space="preserve"> </w:t>
      </w:r>
      <w:r w:rsidRPr="000937F8">
        <w:t xml:space="preserve">samofinancování </w:t>
      </w:r>
      <w:r w:rsidR="000620B2" w:rsidRPr="000937F8">
        <w:t xml:space="preserve">infrastruktury. </w:t>
      </w:r>
    </w:p>
    <w:p w14:paraId="47933EC3" w14:textId="767144E9" w:rsidR="00460D65" w:rsidRPr="000937F8" w:rsidRDefault="00C83AA1" w:rsidP="000937F8">
      <w:pPr>
        <w:pStyle w:val="Normlnzprva"/>
      </w:pPr>
      <w:r w:rsidRPr="000937F8">
        <w:t xml:space="preserve">Základním cílem </w:t>
      </w:r>
      <w:r w:rsidR="000937F8" w:rsidRPr="000937F8">
        <w:t>pro</w:t>
      </w:r>
      <w:r w:rsidR="000937F8">
        <w:t>j</w:t>
      </w:r>
      <w:r w:rsidR="00BC41E5" w:rsidRPr="000937F8">
        <w:t xml:space="preserve">ektu </w:t>
      </w:r>
      <w:r w:rsidRPr="000937F8">
        <w:t>v</w:t>
      </w:r>
      <w:r w:rsidR="00BC41E5" w:rsidRPr="000937F8">
        <w:t>lastnického</w:t>
      </w:r>
      <w:r w:rsidR="00B26631" w:rsidRPr="000937F8">
        <w:t xml:space="preserve"> </w:t>
      </w:r>
      <w:r w:rsidR="00BC41E5" w:rsidRPr="000937F8">
        <w:t xml:space="preserve">benchmarkingu byla identifikace anomálii u konkrétních subjektů (resp. Porovnání). </w:t>
      </w:r>
      <w:r w:rsidR="0020479B" w:rsidRPr="000937F8">
        <w:t xml:space="preserve">Stěžejní sledovanou oblastí je schopnost vlastníků VIM zajistit </w:t>
      </w:r>
      <w:r w:rsidR="005A2E4E" w:rsidRPr="000937F8">
        <w:t>gener</w:t>
      </w:r>
      <w:r w:rsidR="0020479B" w:rsidRPr="000937F8">
        <w:t>ování</w:t>
      </w:r>
      <w:r w:rsidR="00B26631" w:rsidRPr="000937F8">
        <w:t xml:space="preserve"> </w:t>
      </w:r>
      <w:r w:rsidRPr="000937F8">
        <w:t>dostatečné</w:t>
      </w:r>
      <w:r w:rsidR="0020479B" w:rsidRPr="000937F8">
        <w:t>ho</w:t>
      </w:r>
      <w:r w:rsidR="00B26631" w:rsidRPr="000937F8">
        <w:t xml:space="preserve"> </w:t>
      </w:r>
      <w:r w:rsidRPr="000937F8">
        <w:t>množství prostředků na obnovu VIM</w:t>
      </w:r>
      <w:r w:rsidR="005A2E4E" w:rsidRPr="000937F8">
        <w:t xml:space="preserve"> v</w:t>
      </w:r>
      <w:r w:rsidR="000543B7" w:rsidRPr="000937F8">
        <w:t> </w:t>
      </w:r>
      <w:r w:rsidR="005A2E4E" w:rsidRPr="000937F8">
        <w:t>ceně</w:t>
      </w:r>
      <w:r w:rsidR="000543B7" w:rsidRPr="000937F8">
        <w:t xml:space="preserve"> pro vodné a stočné</w:t>
      </w:r>
      <w:r w:rsidR="0020479B" w:rsidRPr="000937F8">
        <w:t>.</w:t>
      </w:r>
      <w:r w:rsidR="00460D65" w:rsidRPr="000937F8">
        <w:t xml:space="preserve"> </w:t>
      </w:r>
    </w:p>
    <w:p w14:paraId="76DBACC2" w14:textId="77777777" w:rsidR="00C1539B" w:rsidRPr="00C62639" w:rsidRDefault="00C1539B" w:rsidP="00C1539B">
      <w:pPr>
        <w:pStyle w:val="Nadpis2"/>
        <w:rPr>
          <w:rFonts w:asciiTheme="minorHAnsi" w:hAnsiTheme="minorHAnsi"/>
          <w:noProof/>
        </w:rPr>
      </w:pPr>
      <w:bookmarkStart w:id="31" w:name="_Toc505684418"/>
      <w:r w:rsidRPr="00C62639">
        <w:rPr>
          <w:rFonts w:asciiTheme="minorHAnsi" w:hAnsiTheme="minorHAnsi"/>
          <w:noProof/>
        </w:rPr>
        <w:t>Identifikované anomálie</w:t>
      </w:r>
      <w:bookmarkEnd w:id="31"/>
    </w:p>
    <w:p w14:paraId="647F7A39" w14:textId="0F100A68" w:rsidR="00F73F99" w:rsidRPr="000937F8" w:rsidRDefault="00F73F99" w:rsidP="000937F8">
      <w:pPr>
        <w:pStyle w:val="Normlnzprva"/>
      </w:pPr>
      <w:r w:rsidRPr="000937F8">
        <w:t>Identifikace anomálii vyskytujících se v rámci jednotlivých Porovnání tvoří důležitou součást hodnocení stavu oboru VaK. Zpráva by na základě identifikovaných anomálií měla dát základní informaci o tom, čemu by se měl regulátor při utváření a řízení podmínek fungování oboru VaK věnovat, aby bylo dosaženo dlouhodobých záměrů regulace. Těmito záměry jsou zejména</w:t>
      </w:r>
      <w:r w:rsidR="00B26631" w:rsidRPr="000937F8">
        <w:t xml:space="preserve"> </w:t>
      </w:r>
      <w:r w:rsidRPr="000937F8">
        <w:t>dosažení samofinancovatelnosti VIM a zabezpečení rovnováhy mezi cenou za služby a náklady na poskytování služeb. Vzhledem k platné</w:t>
      </w:r>
      <w:r w:rsidR="006C7ACF">
        <w:t>mu</w:t>
      </w:r>
      <w:r w:rsidRPr="000937F8">
        <w:t xml:space="preserve"> </w:t>
      </w:r>
      <w:r w:rsidR="006C7ACF">
        <w:t>zákonu</w:t>
      </w:r>
      <w:r w:rsidRPr="000937F8">
        <w:t xml:space="preserve"> má v tomto směru zákonné povinnosti zejména na vlastník VIM. </w:t>
      </w:r>
    </w:p>
    <w:p w14:paraId="0980BE58" w14:textId="3DABB6B7" w:rsidR="00F73F99" w:rsidRPr="000937F8" w:rsidRDefault="00F73F99" w:rsidP="000937F8">
      <w:pPr>
        <w:pStyle w:val="Normlnzprva"/>
      </w:pPr>
      <w:r w:rsidRPr="000937F8">
        <w:t xml:space="preserve">Pro posouzení míry plnění uvedených záměrů regulace na základě informací </w:t>
      </w:r>
      <w:r w:rsidR="00154A0C">
        <w:t>z</w:t>
      </w:r>
      <w:r w:rsidR="00B26631" w:rsidRPr="000937F8">
        <w:t xml:space="preserve"> </w:t>
      </w:r>
      <w:r w:rsidRPr="000937F8">
        <w:t>analyzovaných dat, byla hodnocena především schopnost tvorby prostředků na obnovu VIM ve</w:t>
      </w:r>
      <w:r w:rsidR="00B26631" w:rsidRPr="000937F8">
        <w:t xml:space="preserve"> </w:t>
      </w:r>
      <w:r w:rsidRPr="000937F8">
        <w:t>stočném.</w:t>
      </w:r>
      <w:r w:rsidR="00B26631" w:rsidRPr="000937F8">
        <w:t xml:space="preserve"> </w:t>
      </w:r>
      <w:r w:rsidRPr="000937F8">
        <w:t>Aby vlastníci zabezpečili obnovu VIM, měli by se v závislosti na aplikovaném modelu provozování prioritně zaměřit na nastavení ceny pro</w:t>
      </w:r>
      <w:r w:rsidR="00B26631" w:rsidRPr="000937F8">
        <w:t xml:space="preserve"> </w:t>
      </w:r>
      <w:r w:rsidRPr="000937F8">
        <w:t>stočné. Její výše by měla obsahovat veškeré související ekonomicky oprávněné náklady, včetně nájemného (v případě oddílného a kombinovaného modelu provozování) v plné výši, odpisů VIM, nákladů na opravy, prostředků na obnovu (výše definována podle plánu financování obnovy pro daný rok, řádek 4.4 Porovnání) a kalkulačního zisku (výpočet výše podle cenového výměru MF).</w:t>
      </w:r>
      <w:r w:rsidR="00B26631" w:rsidRPr="000937F8">
        <w:t xml:space="preserve"> </w:t>
      </w:r>
    </w:p>
    <w:p w14:paraId="2B12DD15" w14:textId="77777777" w:rsidR="00F73F99" w:rsidRDefault="00F73F99" w:rsidP="00F73F99">
      <w:pPr>
        <w:pStyle w:val="normlntextvodstavcch"/>
        <w:rPr>
          <w:rFonts w:cs="Calibri"/>
          <w:noProof/>
        </w:rPr>
      </w:pPr>
    </w:p>
    <w:p w14:paraId="0DB8416E" w14:textId="77777777" w:rsidR="00F73F99" w:rsidRPr="000937F8" w:rsidRDefault="00F73F99" w:rsidP="000937F8">
      <w:pPr>
        <w:pStyle w:val="Normlnzprva"/>
      </w:pPr>
      <w:r w:rsidRPr="000937F8">
        <w:t xml:space="preserve">Detailnější specifikace anomálií a zhodnocení četnosti jejich výskytu je uvedena samostatně pro vodovod a kanalizaci. </w:t>
      </w:r>
    </w:p>
    <w:p w14:paraId="70B2C16B" w14:textId="77777777" w:rsidR="00C1539B" w:rsidRPr="00C62639" w:rsidRDefault="00C1539B" w:rsidP="00C1539B">
      <w:pPr>
        <w:pStyle w:val="normlntextvodstavcch"/>
        <w:rPr>
          <w:rFonts w:asciiTheme="minorHAnsi" w:hAnsiTheme="minorHAnsi" w:cs="Calibri"/>
          <w:noProof/>
        </w:rPr>
      </w:pPr>
    </w:p>
    <w:p w14:paraId="14B32960" w14:textId="77777777" w:rsidR="00C1539B" w:rsidRPr="00C62639" w:rsidRDefault="00C1539B" w:rsidP="00C1539B">
      <w:pPr>
        <w:pStyle w:val="Nadpis3"/>
        <w:rPr>
          <w:rFonts w:asciiTheme="minorHAnsi" w:hAnsiTheme="minorHAnsi"/>
          <w:noProof/>
        </w:rPr>
      </w:pPr>
      <w:bookmarkStart w:id="32" w:name="_Toc505684419"/>
      <w:r w:rsidRPr="00C62639">
        <w:rPr>
          <w:rFonts w:asciiTheme="minorHAnsi" w:eastAsia="Calibri Light" w:hAnsiTheme="minorHAnsi"/>
          <w:noProof/>
        </w:rPr>
        <w:t>Vodovod</w:t>
      </w:r>
      <w:bookmarkEnd w:id="32"/>
    </w:p>
    <w:p w14:paraId="3846F2F6" w14:textId="57B3F2CD" w:rsidR="00F73F99" w:rsidRPr="000937F8" w:rsidRDefault="00F73F99" w:rsidP="000937F8">
      <w:pPr>
        <w:pStyle w:val="Normlnzprva"/>
      </w:pPr>
      <w:r w:rsidRPr="000937F8">
        <w:t xml:space="preserve">V rámci benchmarkingu vlastnických subjektů v části týkající se vodovodu bylo posuzováno 1582 ks Porovnání, která představovala 95,23% podíl trhu určený na základě množství pitné </w:t>
      </w:r>
      <w:r w:rsidRPr="000937F8">
        <w:lastRenderedPageBreak/>
        <w:t>vody fakturované (tj. 447,1</w:t>
      </w:r>
      <w:r w:rsidR="00B26631" w:rsidRPr="000937F8">
        <w:t xml:space="preserve"> </w:t>
      </w:r>
      <w:r w:rsidR="00E27252">
        <w:t>mil. m</w:t>
      </w:r>
      <w:r w:rsidR="00E27252" w:rsidRPr="00E27252">
        <w:rPr>
          <w:vertAlign w:val="superscript"/>
        </w:rPr>
        <w:t>3</w:t>
      </w:r>
      <w:r w:rsidRPr="000937F8">
        <w:t>). Celkem se vyskytuje alespoň jedna anomálie v 94,18 % z celkov</w:t>
      </w:r>
      <w:r w:rsidR="000937F8">
        <w:t>é</w:t>
      </w:r>
      <w:r w:rsidRPr="000937F8">
        <w:t>ho počtu porovnání, tj. na 1490 Porovnáních.</w:t>
      </w:r>
      <w:r w:rsidR="00B26631" w:rsidRPr="000937F8">
        <w:t xml:space="preserve"> </w:t>
      </w:r>
    </w:p>
    <w:p w14:paraId="14E38BDB" w14:textId="7EE16300" w:rsidR="00C32559" w:rsidRPr="00C62639" w:rsidRDefault="00240BC4" w:rsidP="000937F8">
      <w:pPr>
        <w:pStyle w:val="Normlnzprva"/>
        <w:rPr>
          <w:rFonts w:asciiTheme="minorHAnsi" w:hAnsiTheme="minorHAnsi"/>
          <w:noProof/>
          <w:color w:val="FF0000"/>
        </w:rPr>
      </w:pPr>
      <w:r>
        <w:rPr>
          <w:noProof/>
          <w:lang w:eastAsia="cs-CZ"/>
        </w:rPr>
        <w:drawing>
          <wp:anchor distT="0" distB="0" distL="114300" distR="114300" simplePos="0" relativeHeight="251695104" behindDoc="0" locked="0" layoutInCell="1" allowOverlap="1" wp14:anchorId="45A2DB9F" wp14:editId="4389E7AB">
            <wp:simplePos x="0" y="0"/>
            <wp:positionH relativeFrom="margin">
              <wp:align>center</wp:align>
            </wp:positionH>
            <wp:positionV relativeFrom="paragraph">
              <wp:posOffset>846730</wp:posOffset>
            </wp:positionV>
            <wp:extent cx="4759325" cy="3602892"/>
            <wp:effectExtent l="0" t="0" r="3175" b="0"/>
            <wp:wrapTopAndBottom/>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F73F99" w:rsidRPr="000937F8">
        <w:t xml:space="preserve">Níže uvedený graf znázorňuje výskyt alespoň jedné anomálie podle podílu na trhu. Z hlediska objemu pitné vody fakturované nebyly nalezeny žádné anomálie na 53 % analyzovaného trhu. Jedná se o 234,91 </w:t>
      </w:r>
      <w:r w:rsidR="00E27252">
        <w:t>mil. m</w:t>
      </w:r>
      <w:r w:rsidR="00E27252" w:rsidRPr="00E27252">
        <w:rPr>
          <w:vertAlign w:val="superscript"/>
        </w:rPr>
        <w:t>3</w:t>
      </w:r>
      <w:r w:rsidR="00F73F99" w:rsidRPr="000937F8">
        <w:t xml:space="preserve"> pitné vody fakturované</w:t>
      </w:r>
      <w:r w:rsidR="00F73F99">
        <w:rPr>
          <w:noProof/>
        </w:rPr>
        <w:t>.</w:t>
      </w:r>
    </w:p>
    <w:p w14:paraId="434A7FD9" w14:textId="6655A680" w:rsidR="00C32559" w:rsidRPr="00C62639" w:rsidRDefault="00C32559" w:rsidP="00C32559">
      <w:pPr>
        <w:pStyle w:val="normlntextvodstavcch"/>
        <w:rPr>
          <w:rFonts w:asciiTheme="minorHAnsi" w:hAnsiTheme="minorHAnsi"/>
          <w:noProof/>
        </w:rPr>
      </w:pPr>
    </w:p>
    <w:p w14:paraId="1C1779CE" w14:textId="77777777" w:rsidR="00996186" w:rsidRPr="00C62639" w:rsidRDefault="00996186" w:rsidP="00C32559">
      <w:pPr>
        <w:pStyle w:val="normlntextvodstavcch"/>
        <w:rPr>
          <w:rFonts w:asciiTheme="minorHAnsi" w:hAnsiTheme="minorHAnsi"/>
          <w:noProof/>
        </w:rPr>
      </w:pPr>
    </w:p>
    <w:p w14:paraId="4BA8A2BC" w14:textId="52ABACC5" w:rsidR="00512184" w:rsidRPr="00F666F7" w:rsidRDefault="00512184" w:rsidP="000937F8">
      <w:pPr>
        <w:pStyle w:val="Normlnzprva"/>
        <w:rPr>
          <w:noProof/>
        </w:rPr>
      </w:pPr>
      <w:r w:rsidRPr="00F666F7">
        <w:rPr>
          <w:noProof/>
        </w:rPr>
        <w:t>Jedním z hlavních záměrů regulace je dosažení samofinancování oboru VaK. I proto byla část analýzy benchmarkingu vlastnických subjektů zamě</w:t>
      </w:r>
      <w:r w:rsidR="000937F8" w:rsidRPr="00F666F7">
        <w:rPr>
          <w:noProof/>
        </w:rPr>
        <w:t>řena</w:t>
      </w:r>
      <w:r w:rsidRPr="00F666F7">
        <w:rPr>
          <w:noProof/>
        </w:rPr>
        <w:t xml:space="preserve"> na identifikaci skutečností, které indikují neplnění</w:t>
      </w:r>
      <w:r w:rsidR="00996186" w:rsidRPr="00F666F7">
        <w:rPr>
          <w:noProof/>
        </w:rPr>
        <w:t xml:space="preserve"> tohoto </w:t>
      </w:r>
      <w:r w:rsidR="00456C7E" w:rsidRPr="00F666F7">
        <w:rPr>
          <w:noProof/>
        </w:rPr>
        <w:t>záměru</w:t>
      </w:r>
      <w:r w:rsidR="00996186" w:rsidRPr="00F666F7">
        <w:rPr>
          <w:noProof/>
        </w:rPr>
        <w:t>. U jednotlivých Por</w:t>
      </w:r>
      <w:r w:rsidR="000937F8" w:rsidRPr="00F666F7">
        <w:rPr>
          <w:noProof/>
        </w:rPr>
        <w:t>ovnání bylo hodnoceno, zda</w:t>
      </w:r>
      <w:r w:rsidR="00996186" w:rsidRPr="00F666F7">
        <w:rPr>
          <w:noProof/>
        </w:rPr>
        <w:t xml:space="preserve"> nastavení obchodního vztahu mezi vlastníkem, provozovatelem a odběratelem (s přihlédnutím k aplikovanému modelu provozování a </w:t>
      </w:r>
      <w:r w:rsidR="000937F8" w:rsidRPr="00F666F7">
        <w:rPr>
          <w:noProof/>
        </w:rPr>
        <w:t xml:space="preserve">k </w:t>
      </w:r>
      <w:r w:rsidR="00996186" w:rsidRPr="00F666F7">
        <w:rPr>
          <w:noProof/>
        </w:rPr>
        <w:t>využívání zákonem stanovených nástrojů – kalkulační zisk a možnost započtení prostředků na obnovu do kalkulace ceny pro</w:t>
      </w:r>
      <w:r w:rsidR="00B26631" w:rsidRPr="00F666F7">
        <w:rPr>
          <w:noProof/>
        </w:rPr>
        <w:t xml:space="preserve"> </w:t>
      </w:r>
      <w:r w:rsidR="00996186" w:rsidRPr="00F666F7">
        <w:rPr>
          <w:noProof/>
        </w:rPr>
        <w:t>vodné), umožňuje vlastníkovi VIM tvořit prostředky na ob</w:t>
      </w:r>
      <w:r w:rsidR="000937F8" w:rsidRPr="00F666F7">
        <w:rPr>
          <w:noProof/>
        </w:rPr>
        <w:t>novu VIM v teoreticky dostatečné</w:t>
      </w:r>
      <w:r w:rsidR="00996186" w:rsidRPr="00F666F7">
        <w:rPr>
          <w:noProof/>
        </w:rPr>
        <w:t xml:space="preserve"> minimální výši. </w:t>
      </w:r>
    </w:p>
    <w:p w14:paraId="1F77EA67" w14:textId="77777777" w:rsidR="00996186" w:rsidRPr="00C62639" w:rsidRDefault="00996186" w:rsidP="00C32559">
      <w:pPr>
        <w:pStyle w:val="normlntextvodstavcch"/>
        <w:rPr>
          <w:rFonts w:asciiTheme="minorHAnsi" w:hAnsiTheme="minorHAnsi" w:cs="Calibri"/>
          <w:noProof/>
        </w:rPr>
      </w:pPr>
    </w:p>
    <w:p w14:paraId="56683EAB" w14:textId="77777777" w:rsidR="00F73F99" w:rsidRPr="00996186" w:rsidRDefault="00F73F99" w:rsidP="00F73F99">
      <w:pPr>
        <w:pStyle w:val="Normlnzprva"/>
        <w:rPr>
          <w:noProof/>
        </w:rPr>
      </w:pPr>
      <w:r w:rsidRPr="002D50EE">
        <w:rPr>
          <w:rStyle w:val="normlntextvodstavcchChar"/>
        </w:rPr>
        <w:t>Následující tabulka uv</w:t>
      </w:r>
      <w:r>
        <w:rPr>
          <w:rStyle w:val="normlntextvodstavcchChar"/>
        </w:rPr>
        <w:t xml:space="preserve">ádí četnost výskytu </w:t>
      </w:r>
      <w:r w:rsidRPr="002D50EE">
        <w:rPr>
          <w:rStyle w:val="normlntextvodstavcchChar"/>
        </w:rPr>
        <w:t xml:space="preserve">identifikovaných anomálií </w:t>
      </w:r>
      <w:r w:rsidRPr="002D50EE">
        <w:rPr>
          <w:rStyle w:val="normlntextvodstavcchChar"/>
        </w:rPr>
        <w:br/>
        <w:t>v analyzovaných Porovnáních</w:t>
      </w:r>
      <w:r>
        <w:rPr>
          <w:rStyle w:val="normlntextvodstavcchChar"/>
        </w:rPr>
        <w:t xml:space="preserve">. Kromě anomálií souvisejících s </w:t>
      </w:r>
      <w:r w:rsidRPr="002D50EE">
        <w:rPr>
          <w:rStyle w:val="normlntextvodstavcchChar"/>
        </w:rPr>
        <w:t>nedostatečn</w:t>
      </w:r>
      <w:r>
        <w:rPr>
          <w:rStyle w:val="normlntextvodstavcchChar"/>
        </w:rPr>
        <w:t>ou</w:t>
      </w:r>
      <w:r w:rsidRPr="002D50EE">
        <w:rPr>
          <w:rStyle w:val="normlntextvodstavcchChar"/>
        </w:rPr>
        <w:t xml:space="preserve"> tvorb</w:t>
      </w:r>
      <w:r>
        <w:rPr>
          <w:rStyle w:val="normlntextvodstavcchChar"/>
        </w:rPr>
        <w:t>ou prostředků na obnovu, popř.</w:t>
      </w:r>
      <w:r w:rsidRPr="002D50EE">
        <w:rPr>
          <w:rStyle w:val="normlntextvodstavcchChar"/>
        </w:rPr>
        <w:t xml:space="preserve"> </w:t>
      </w:r>
      <w:r>
        <w:rPr>
          <w:rStyle w:val="normlntextvodstavcchChar"/>
        </w:rPr>
        <w:t>signalizujících</w:t>
      </w:r>
      <w:r w:rsidRPr="002D50EE">
        <w:rPr>
          <w:rStyle w:val="normlntextvodstavcchChar"/>
        </w:rPr>
        <w:t xml:space="preserve"> </w:t>
      </w:r>
      <w:r>
        <w:rPr>
          <w:rStyle w:val="normlntextvodstavcchChar"/>
        </w:rPr>
        <w:t xml:space="preserve">nevyvážené </w:t>
      </w:r>
      <w:r w:rsidRPr="002D50EE">
        <w:rPr>
          <w:rStyle w:val="normlntextvodstavcchChar"/>
        </w:rPr>
        <w:t>nastavení obchodních vztahů mezi vlastníky a provozovatel</w:t>
      </w:r>
      <w:r>
        <w:rPr>
          <w:rStyle w:val="normlntextvodstavcchChar"/>
        </w:rPr>
        <w:t>i, byly identifikovány</w:t>
      </w:r>
      <w:r w:rsidRPr="002D50EE">
        <w:rPr>
          <w:rStyle w:val="normlntextvodstavcchChar"/>
        </w:rPr>
        <w:t xml:space="preserve"> anomálie </w:t>
      </w:r>
      <w:r>
        <w:rPr>
          <w:rStyle w:val="normlntextvodstavcchChar"/>
        </w:rPr>
        <w:t xml:space="preserve">poukazující na špatný </w:t>
      </w:r>
      <w:r w:rsidRPr="002D50EE">
        <w:rPr>
          <w:rStyle w:val="normlntextvodstavcchChar"/>
        </w:rPr>
        <w:t xml:space="preserve">stav </w:t>
      </w:r>
      <w:r>
        <w:rPr>
          <w:rStyle w:val="normlntextvodstavcchChar"/>
        </w:rPr>
        <w:t>VIM</w:t>
      </w:r>
      <w:r w:rsidRPr="002D50EE">
        <w:rPr>
          <w:rStyle w:val="normlntextvodstavcchChar"/>
        </w:rPr>
        <w:t xml:space="preserve"> a </w:t>
      </w:r>
      <w:r>
        <w:rPr>
          <w:rStyle w:val="normlntextvodstavcchChar"/>
        </w:rPr>
        <w:t>na</w:t>
      </w:r>
      <w:r w:rsidRPr="002D50EE">
        <w:rPr>
          <w:rStyle w:val="normlntextvodstavcchChar"/>
        </w:rPr>
        <w:t xml:space="preserve"> rozhodnutí vlastníka VIM nevybírat </w:t>
      </w:r>
      <w:r w:rsidR="009F5D21">
        <w:rPr>
          <w:rStyle w:val="normlntextvodstavcchChar"/>
        </w:rPr>
        <w:t>vodné</w:t>
      </w:r>
      <w:r w:rsidRPr="002D50EE">
        <w:rPr>
          <w:rStyle w:val="normlntextvodstavcchChar"/>
        </w:rPr>
        <w:t xml:space="preserve"> a ne</w:t>
      </w:r>
      <w:r>
        <w:rPr>
          <w:rStyle w:val="normlntextvodstavcchChar"/>
        </w:rPr>
        <w:t>vykazovat</w:t>
      </w:r>
      <w:r w:rsidRPr="002D50EE">
        <w:rPr>
          <w:rStyle w:val="normlntextvodstavcchChar"/>
        </w:rPr>
        <w:t xml:space="preserve"> </w:t>
      </w:r>
      <w:r>
        <w:rPr>
          <w:rStyle w:val="normlntextvodstavcchChar"/>
        </w:rPr>
        <w:t>množství fakturované vody</w:t>
      </w:r>
      <w:r w:rsidRPr="00996186">
        <w:rPr>
          <w:rFonts w:cs="Calibri"/>
          <w:noProof/>
        </w:rPr>
        <w:t>.</w:t>
      </w:r>
    </w:p>
    <w:p w14:paraId="78390A5F" w14:textId="77777777" w:rsidR="00C32559" w:rsidRPr="00C62639" w:rsidRDefault="00C32559">
      <w:pPr>
        <w:spacing w:before="0" w:after="0"/>
        <w:contextualSpacing w:val="0"/>
        <w:jc w:val="left"/>
        <w:rPr>
          <w:rFonts w:asciiTheme="minorHAnsi" w:hAnsiTheme="minorHAnsi"/>
          <w:noProof/>
        </w:rPr>
      </w:pPr>
      <w:r w:rsidRPr="00C62639">
        <w:rPr>
          <w:rFonts w:asciiTheme="minorHAnsi" w:hAnsiTheme="minorHAnsi"/>
          <w:noProof/>
        </w:rPr>
        <w:br w:type="page"/>
      </w:r>
    </w:p>
    <w:p w14:paraId="3F4FE010" w14:textId="77777777" w:rsidR="00996186" w:rsidRPr="00C62639" w:rsidRDefault="00996186" w:rsidP="00996186">
      <w:pPr>
        <w:pStyle w:val="normlntextvodstavcch"/>
        <w:ind w:firstLine="0"/>
        <w:rPr>
          <w:rFonts w:asciiTheme="minorHAnsi" w:hAnsiTheme="minorHAnsi"/>
          <w:noProof/>
        </w:rPr>
      </w:pPr>
      <w:r w:rsidRPr="00C62639">
        <w:rPr>
          <w:rFonts w:asciiTheme="minorHAnsi" w:hAnsiTheme="minorHAnsi"/>
          <w:noProof/>
          <w:lang w:eastAsia="cs-CZ"/>
        </w:rPr>
        <w:lastRenderedPageBreak/>
        <w:drawing>
          <wp:anchor distT="0" distB="0" distL="114300" distR="114300" simplePos="0" relativeHeight="251651584" behindDoc="0" locked="0" layoutInCell="1" allowOverlap="1" wp14:anchorId="3028268A" wp14:editId="0F5B4784">
            <wp:simplePos x="0" y="0"/>
            <wp:positionH relativeFrom="column">
              <wp:posOffset>-446405</wp:posOffset>
            </wp:positionH>
            <wp:positionV relativeFrom="paragraph">
              <wp:posOffset>55</wp:posOffset>
            </wp:positionV>
            <wp:extent cx="6731635" cy="375285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6731635" cy="3752850"/>
                    </a:xfrm>
                    <a:prstGeom prst="rect">
                      <a:avLst/>
                    </a:prstGeom>
                    <a:noFill/>
                    <a:ln>
                      <a:noFill/>
                    </a:ln>
                  </pic:spPr>
                </pic:pic>
              </a:graphicData>
            </a:graphic>
          </wp:anchor>
        </w:drawing>
      </w:r>
    </w:p>
    <w:p w14:paraId="7653A1E5" w14:textId="73047706" w:rsidR="009E6821" w:rsidRDefault="009E6821" w:rsidP="009E6821">
      <w:pPr>
        <w:pStyle w:val="Normlnzprva"/>
        <w:rPr>
          <w:b/>
          <w:noProof/>
        </w:rPr>
      </w:pPr>
      <w:r>
        <w:rPr>
          <w:noProof/>
        </w:rPr>
        <w:t>Z </w:t>
      </w:r>
      <w:r w:rsidRPr="00C400CC">
        <w:rPr>
          <w:noProof/>
        </w:rPr>
        <w:t>tabulky</w:t>
      </w:r>
      <w:r>
        <w:rPr>
          <w:noProof/>
        </w:rPr>
        <w:t xml:space="preserve"> plyne, že</w:t>
      </w:r>
      <w:r w:rsidRPr="00C400CC">
        <w:rPr>
          <w:noProof/>
        </w:rPr>
        <w:t xml:space="preserve"> </w:t>
      </w:r>
      <w:r w:rsidR="000937F8">
        <w:rPr>
          <w:noProof/>
        </w:rPr>
        <w:t>nejvýznamn</w:t>
      </w:r>
      <w:r>
        <w:rPr>
          <w:noProof/>
        </w:rPr>
        <w:t xml:space="preserve">ější anomálií, určenou podle objemu fakturované vody na Porovnání, je </w:t>
      </w:r>
      <w:r w:rsidRPr="00C400CC">
        <w:rPr>
          <w:b/>
          <w:noProof/>
        </w:rPr>
        <w:t>vysoký počet poruch na 1 km rozvodné sítě</w:t>
      </w:r>
      <w:r w:rsidRPr="00C400CC">
        <w:rPr>
          <w:noProof/>
        </w:rPr>
        <w:t xml:space="preserve"> (určován jako hodnota vyšší než 1,5 násob</w:t>
      </w:r>
      <w:r>
        <w:rPr>
          <w:noProof/>
        </w:rPr>
        <w:t>ek</w:t>
      </w:r>
      <w:r w:rsidRPr="00C400CC">
        <w:rPr>
          <w:noProof/>
        </w:rPr>
        <w:t xml:space="preserve"> mediánu skupiny </w:t>
      </w:r>
      <w:r>
        <w:rPr>
          <w:noProof/>
        </w:rPr>
        <w:t>s vyloučením P</w:t>
      </w:r>
      <w:r w:rsidRPr="00C400CC">
        <w:rPr>
          <w:noProof/>
        </w:rPr>
        <w:t xml:space="preserve">orovnání </w:t>
      </w:r>
      <w:r>
        <w:rPr>
          <w:noProof/>
        </w:rPr>
        <w:t xml:space="preserve">s </w:t>
      </w:r>
      <w:r w:rsidRPr="00C400CC">
        <w:rPr>
          <w:noProof/>
        </w:rPr>
        <w:t>nulov</w:t>
      </w:r>
      <w:r>
        <w:rPr>
          <w:noProof/>
        </w:rPr>
        <w:t>ou hodnotou</w:t>
      </w:r>
      <w:r w:rsidRPr="00C400CC">
        <w:rPr>
          <w:noProof/>
        </w:rPr>
        <w:t xml:space="preserve"> počtu poruch </w:t>
      </w:r>
      <w:r>
        <w:rPr>
          <w:noProof/>
        </w:rPr>
        <w:t>v souvisejících VÚPE</w:t>
      </w:r>
      <w:r w:rsidRPr="00C400CC">
        <w:rPr>
          <w:noProof/>
        </w:rPr>
        <w:t xml:space="preserve">). Anomálie se týká 97,56 </w:t>
      </w:r>
      <w:r w:rsidR="00E27252">
        <w:rPr>
          <w:noProof/>
        </w:rPr>
        <w:t>mil. m</w:t>
      </w:r>
      <w:r w:rsidR="00E27252" w:rsidRPr="00E27252">
        <w:rPr>
          <w:noProof/>
          <w:vertAlign w:val="superscript"/>
        </w:rPr>
        <w:t>3</w:t>
      </w:r>
      <w:r w:rsidRPr="00C400CC">
        <w:rPr>
          <w:b/>
          <w:noProof/>
        </w:rPr>
        <w:t xml:space="preserve"> </w:t>
      </w:r>
      <w:r w:rsidRPr="00585ED7">
        <w:rPr>
          <w:noProof/>
        </w:rPr>
        <w:t>fakturované pitné vody</w:t>
      </w:r>
      <w:r>
        <w:rPr>
          <w:b/>
          <w:noProof/>
        </w:rPr>
        <w:t xml:space="preserve"> </w:t>
      </w:r>
      <w:r w:rsidRPr="00C400CC">
        <w:rPr>
          <w:noProof/>
        </w:rPr>
        <w:t>a v</w:t>
      </w:r>
      <w:r>
        <w:rPr>
          <w:noProof/>
        </w:rPr>
        <w:t xml:space="preserve">yskytovala se na </w:t>
      </w:r>
      <w:r w:rsidRPr="00C400CC">
        <w:rPr>
          <w:noProof/>
        </w:rPr>
        <w:t>293 Porovnáních</w:t>
      </w:r>
      <w:r w:rsidRPr="00585ED7">
        <w:rPr>
          <w:noProof/>
        </w:rPr>
        <w:t>. Tato</w:t>
      </w:r>
      <w:r w:rsidRPr="00C400CC">
        <w:rPr>
          <w:noProof/>
        </w:rPr>
        <w:t xml:space="preserve"> anomálie poskytuje informaci o technickém stavu rozvodné sítě. </w:t>
      </w:r>
      <w:r w:rsidRPr="00322BCB">
        <w:rPr>
          <w:rStyle w:val="normlntextvodstavcchChar"/>
        </w:rPr>
        <w:t>Vypovídací schopnost ukazatele</w:t>
      </w:r>
      <w:r>
        <w:rPr>
          <w:rStyle w:val="normlntextvodstavcchChar"/>
        </w:rPr>
        <w:t xml:space="preserve"> počtu poruch na km rozvodné sítě </w:t>
      </w:r>
      <w:r w:rsidRPr="00322BCB">
        <w:rPr>
          <w:rStyle w:val="normlntextvodstavcchChar"/>
        </w:rPr>
        <w:t xml:space="preserve">je ovlivněná faktem, že údaj o počtu poruch </w:t>
      </w:r>
      <w:r>
        <w:rPr>
          <w:rStyle w:val="normlntextvodstavcchChar"/>
        </w:rPr>
        <w:t>vykazoval</w:t>
      </w:r>
      <w:r w:rsidRPr="00322BCB">
        <w:rPr>
          <w:rStyle w:val="normlntextvodstavcchChar"/>
        </w:rPr>
        <w:t xml:space="preserve"> nulovou hodnotu na </w:t>
      </w:r>
      <w:r w:rsidRPr="00C400CC">
        <w:rPr>
          <w:noProof/>
          <w:lang w:val="sk-SK"/>
        </w:rPr>
        <w:t>604 Porovnání</w:t>
      </w:r>
      <w:r>
        <w:rPr>
          <w:noProof/>
          <w:lang w:val="sk-SK"/>
        </w:rPr>
        <w:t xml:space="preserve"> (</w:t>
      </w:r>
      <w:r w:rsidRPr="00C400CC">
        <w:rPr>
          <w:noProof/>
          <w:lang w:val="sk-SK"/>
        </w:rPr>
        <w:t>tj. 38,2</w:t>
      </w:r>
      <w:r>
        <w:rPr>
          <w:noProof/>
          <w:lang w:val="sk-SK"/>
        </w:rPr>
        <w:t xml:space="preserve"> % z analyzovaných</w:t>
      </w:r>
      <w:r w:rsidRPr="00C400CC">
        <w:rPr>
          <w:noProof/>
          <w:lang w:val="sk-SK"/>
        </w:rPr>
        <w:t xml:space="preserve"> Porovnání</w:t>
      </w:r>
      <w:r>
        <w:rPr>
          <w:noProof/>
          <w:lang w:val="sk-SK"/>
        </w:rPr>
        <w:t>)</w:t>
      </w:r>
      <w:r w:rsidRPr="00C400CC">
        <w:rPr>
          <w:noProof/>
          <w:lang w:val="sk-SK"/>
        </w:rPr>
        <w:t>.</w:t>
      </w:r>
      <w:r w:rsidRPr="00C400CC">
        <w:rPr>
          <w:b/>
          <w:noProof/>
        </w:rPr>
        <w:t xml:space="preserve"> </w:t>
      </w:r>
    </w:p>
    <w:p w14:paraId="0176D777" w14:textId="50F76B88" w:rsidR="009E6821" w:rsidRPr="00423E2D" w:rsidRDefault="009E6821" w:rsidP="009E6821">
      <w:pPr>
        <w:pStyle w:val="Normlnzprva"/>
        <w:rPr>
          <w:noProof/>
        </w:rPr>
      </w:pPr>
      <w:r w:rsidRPr="00C400CC">
        <w:rPr>
          <w:b/>
          <w:noProof/>
        </w:rPr>
        <w:t xml:space="preserve"> </w:t>
      </w:r>
      <w:r w:rsidRPr="00C400CC">
        <w:rPr>
          <w:noProof/>
        </w:rPr>
        <w:t>Doplňující informaci o stavu majetku</w:t>
      </w:r>
      <w:r>
        <w:rPr>
          <w:noProof/>
        </w:rPr>
        <w:t xml:space="preserve"> a o </w:t>
      </w:r>
      <w:r w:rsidRPr="00C400CC">
        <w:rPr>
          <w:noProof/>
        </w:rPr>
        <w:t xml:space="preserve">systematické </w:t>
      </w:r>
      <w:r>
        <w:rPr>
          <w:noProof/>
        </w:rPr>
        <w:t xml:space="preserve">péči </w:t>
      </w:r>
      <w:r w:rsidRPr="00C400CC">
        <w:rPr>
          <w:noProof/>
        </w:rPr>
        <w:t xml:space="preserve">vlastníka o </w:t>
      </w:r>
      <w:r>
        <w:rPr>
          <w:noProof/>
        </w:rPr>
        <w:t>něj</w:t>
      </w:r>
      <w:r w:rsidRPr="00C400CC">
        <w:rPr>
          <w:noProof/>
        </w:rPr>
        <w:t xml:space="preserve">, poskytuje ukazatel </w:t>
      </w:r>
      <w:r w:rsidRPr="00C400CC">
        <w:rPr>
          <w:b/>
          <w:noProof/>
        </w:rPr>
        <w:t xml:space="preserve">vysoké ztráty vody na 1 km přepočtené délky vodovodního řadu na den </w:t>
      </w:r>
      <w:r w:rsidRPr="00C400CC">
        <w:rPr>
          <w:noProof/>
        </w:rPr>
        <w:t>(</w:t>
      </w:r>
      <w:r w:rsidR="00E27252">
        <w:rPr>
          <w:noProof/>
        </w:rPr>
        <w:t>m</w:t>
      </w:r>
      <w:r w:rsidR="00E27252" w:rsidRPr="00E27252">
        <w:rPr>
          <w:noProof/>
          <w:vertAlign w:val="superscript"/>
        </w:rPr>
        <w:t>3</w:t>
      </w:r>
      <w:r w:rsidRPr="00C400CC">
        <w:rPr>
          <w:noProof/>
        </w:rPr>
        <w:t>/km/den). V analyzovaném souboru d</w:t>
      </w:r>
      <w:r>
        <w:rPr>
          <w:noProof/>
        </w:rPr>
        <w:t>a</w:t>
      </w:r>
      <w:r w:rsidRPr="00C400CC">
        <w:rPr>
          <w:noProof/>
        </w:rPr>
        <w:t>t byla tato anomálie nalezena 70</w:t>
      </w:r>
      <w:r>
        <w:rPr>
          <w:noProof/>
        </w:rPr>
        <w:t>krát a zasahuje</w:t>
      </w:r>
      <w:r w:rsidRPr="00C400CC">
        <w:rPr>
          <w:noProof/>
        </w:rPr>
        <w:t xml:space="preserve"> 7,82% podíl analyzovaného trhu (</w:t>
      </w:r>
      <w:r>
        <w:rPr>
          <w:noProof/>
        </w:rPr>
        <w:t xml:space="preserve">tj. </w:t>
      </w:r>
      <w:r w:rsidRPr="00C400CC">
        <w:rPr>
          <w:noProof/>
        </w:rPr>
        <w:t xml:space="preserve">34,95 </w:t>
      </w:r>
      <w:r w:rsidR="00E27252">
        <w:rPr>
          <w:noProof/>
        </w:rPr>
        <w:t>mil. m</w:t>
      </w:r>
      <w:r w:rsidR="00E27252" w:rsidRPr="00E27252">
        <w:rPr>
          <w:noProof/>
          <w:vertAlign w:val="superscript"/>
        </w:rPr>
        <w:t>3</w:t>
      </w:r>
      <w:r w:rsidRPr="00C400CC">
        <w:rPr>
          <w:noProof/>
        </w:rPr>
        <w:t>)</w:t>
      </w:r>
      <w:r>
        <w:rPr>
          <w:noProof/>
        </w:rPr>
        <w:t>.</w:t>
      </w:r>
      <w:r w:rsidRPr="00C400CC">
        <w:rPr>
          <w:noProof/>
        </w:rPr>
        <w:t xml:space="preserve"> </w:t>
      </w:r>
      <w:r>
        <w:rPr>
          <w:noProof/>
        </w:rPr>
        <w:t xml:space="preserve">Dalším ukazatelem, který může nastínit stav majetku jsou </w:t>
      </w:r>
      <w:r>
        <w:rPr>
          <w:b/>
          <w:noProof/>
        </w:rPr>
        <w:t>ztráty vody jako podíl na vodě určené k realizaci v %.</w:t>
      </w:r>
      <w:r w:rsidR="00B26631">
        <w:rPr>
          <w:b/>
          <w:noProof/>
        </w:rPr>
        <w:t xml:space="preserve"> </w:t>
      </w:r>
      <w:r>
        <w:rPr>
          <w:noProof/>
        </w:rPr>
        <w:t xml:space="preserve">Bohužel z důvodu velkého počtu Porovnání, kde byly v souvisejících VÚPE vykázány </w:t>
      </w:r>
      <w:r>
        <w:rPr>
          <w:b/>
          <w:noProof/>
        </w:rPr>
        <w:t>nulové ztráty vody</w:t>
      </w:r>
      <w:r w:rsidR="00B26631">
        <w:rPr>
          <w:noProof/>
        </w:rPr>
        <w:t xml:space="preserve"> </w:t>
      </w:r>
      <w:r>
        <w:rPr>
          <w:noProof/>
        </w:rPr>
        <w:t>(293 Porovnání, tj. 18,5 % analyzovaných Porovnání a 0,92% podíl trhu) lze konstatovat, že mnoho menších vlastníků nevěnuje dostatečnou pozornost systematické péči o technický stav VIM, popř. zanedbává sledování a měření údajů zasílaných ve VÚPE. Nejvyšší četnost výskytu této anomálie je v V. skup</w:t>
      </w:r>
      <w:r w:rsidR="000937F8">
        <w:rPr>
          <w:noProof/>
        </w:rPr>
        <w:t>ině (vlastníci s hodnotou majetk</w:t>
      </w:r>
      <w:r>
        <w:rPr>
          <w:noProof/>
        </w:rPr>
        <w:t>u od 1 do 10 mil. Kč).</w:t>
      </w:r>
    </w:p>
    <w:p w14:paraId="47349AB7" w14:textId="0C2154D9" w:rsidR="009E6821" w:rsidRPr="000937F8" w:rsidRDefault="009E6821" w:rsidP="000937F8">
      <w:pPr>
        <w:pStyle w:val="Normlnzprva"/>
      </w:pPr>
      <w:r w:rsidRPr="000937F8">
        <w:t xml:space="preserve">Podle četnosti výskytu anomálie je nejpočetnější </w:t>
      </w:r>
      <w:r w:rsidRPr="000937F8">
        <w:rPr>
          <w:b/>
        </w:rPr>
        <w:t>nedostatečná tvorba prostředků na obnovu</w:t>
      </w:r>
      <w:r w:rsidRPr="000937F8">
        <w:t xml:space="preserve"> (1229 Porovnání,</w:t>
      </w:r>
      <w:r w:rsidR="000937F8">
        <w:t xml:space="preserve"> </w:t>
      </w:r>
      <w:r w:rsidRPr="000937F8">
        <w:t xml:space="preserve">tj. 12,34% podíl analyzovaného trhu; 55,16 </w:t>
      </w:r>
      <w:r w:rsidR="00E27252">
        <w:t>mil. m</w:t>
      </w:r>
      <w:r w:rsidR="00E27252" w:rsidRPr="00E27252">
        <w:rPr>
          <w:vertAlign w:val="superscript"/>
        </w:rPr>
        <w:t>3</w:t>
      </w:r>
      <w:r w:rsidRPr="000937F8">
        <w:t xml:space="preserve">). Uvedená anomálie přímo souvisí s vysokým výskytem dalších dvou: </w:t>
      </w:r>
      <w:r w:rsidRPr="000937F8">
        <w:rPr>
          <w:b/>
        </w:rPr>
        <w:t>nulového řádku 20</w:t>
      </w:r>
      <w:r w:rsidRPr="000937F8">
        <w:t xml:space="preserve"> (727 Porovnání,</w:t>
      </w:r>
      <w:r w:rsidR="000937F8">
        <w:t xml:space="preserve"> </w:t>
      </w:r>
      <w:r w:rsidRPr="000937F8">
        <w:lastRenderedPageBreak/>
        <w:t xml:space="preserve">tj. 13,84% podíl analyzovaného trhu; 61,86 </w:t>
      </w:r>
      <w:r w:rsidR="00E27252">
        <w:t>mil. m</w:t>
      </w:r>
      <w:r w:rsidR="00E27252" w:rsidRPr="00E27252">
        <w:rPr>
          <w:vertAlign w:val="superscript"/>
        </w:rPr>
        <w:t>3</w:t>
      </w:r>
      <w:r w:rsidRPr="000937F8">
        <w:t xml:space="preserve">), která může svědčit o tom, že vlastníci VIM nesledují tvorbu a čerpání prostředků na obnovu a </w:t>
      </w:r>
      <w:r w:rsidRPr="000937F8">
        <w:rPr>
          <w:b/>
        </w:rPr>
        <w:t>záporného kalkulačního zisku</w:t>
      </w:r>
      <w:r w:rsidRPr="000937F8">
        <w:t xml:space="preserve"> (722 Porovnání, 5,37% podíl analyzovaného trhu; 24,02 </w:t>
      </w:r>
      <w:r w:rsidR="00E27252">
        <w:t>mil. m</w:t>
      </w:r>
      <w:r w:rsidR="00E27252" w:rsidRPr="00E27252">
        <w:rPr>
          <w:vertAlign w:val="superscript"/>
        </w:rPr>
        <w:t>3</w:t>
      </w:r>
      <w:r w:rsidRPr="000937F8">
        <w:t>). Vl</w:t>
      </w:r>
      <w:r w:rsidR="000937F8">
        <w:t>astníci využívají záporný kalku</w:t>
      </w:r>
      <w:r w:rsidRPr="000937F8">
        <w:t>lační zisk ke snížení ceny pro vodné,</w:t>
      </w:r>
      <w:r w:rsidR="00B26631" w:rsidRPr="000937F8">
        <w:t xml:space="preserve"> </w:t>
      </w:r>
      <w:r w:rsidRPr="000937F8">
        <w:t>na druhé straně se tímto přístupem zbavují jedné z možností</w:t>
      </w:r>
      <w:r w:rsidR="00B26631" w:rsidRPr="000937F8">
        <w:t xml:space="preserve"> </w:t>
      </w:r>
      <w:r w:rsidRPr="000937F8">
        <w:t>generování prostředků na obnovu VIM ve vodném. Problematika souvislosti mezi nedostatečnou tvor</w:t>
      </w:r>
      <w:r w:rsidR="000937F8">
        <w:t>b</w:t>
      </w:r>
      <w:r w:rsidRPr="000937F8">
        <w:t>ou prostředků na obnovu a záporným kalkulačním ziskem je blíže specifikována dále.</w:t>
      </w:r>
      <w:r w:rsidR="00B26631" w:rsidRPr="000937F8">
        <w:t xml:space="preserve">   </w:t>
      </w:r>
      <w:r w:rsidRPr="000937F8">
        <w:t xml:space="preserve"> </w:t>
      </w:r>
    </w:p>
    <w:p w14:paraId="482037F2" w14:textId="0F3A5ED6" w:rsidR="009E6821" w:rsidRPr="000937F8" w:rsidRDefault="009E6821" w:rsidP="000937F8">
      <w:pPr>
        <w:pStyle w:val="Normlnzprva"/>
      </w:pPr>
      <w:r w:rsidRPr="000937F8">
        <w:t>Ostatní sledované anomálie ovlivňují menší podíl trhu stanovený objemem fakturované pitné vody na příslušných Porovnáních a poukazují</w:t>
      </w:r>
      <w:r w:rsidR="00B26631" w:rsidRPr="000937F8">
        <w:t xml:space="preserve"> </w:t>
      </w:r>
      <w:r w:rsidRPr="000937F8">
        <w:t xml:space="preserve">nejenom na nedostatky v odevzdaných datech, ale také na problémy související s vyvážeností obchodního vztahu mezi vlastníky VIM a provozovateli (problematika výše nájemného). </w:t>
      </w:r>
    </w:p>
    <w:p w14:paraId="170F1F93" w14:textId="24F39E81" w:rsidR="009E6821" w:rsidRPr="000937F8" w:rsidRDefault="009E6821" w:rsidP="000937F8">
      <w:pPr>
        <w:pStyle w:val="Normlnzprva"/>
      </w:pPr>
      <w:r w:rsidRPr="000937F8">
        <w:t>Vzhledem k uvedeným skutečnostem je možné konstatovat, že vlastníci VIM při stanovování ceny pro vodné a sjednávání výše náj</w:t>
      </w:r>
      <w:r w:rsidR="000937F8">
        <w:t>e</w:t>
      </w:r>
      <w:r w:rsidRPr="000937F8">
        <w:t>mného nesledují cíl dosažení samofinancování infrastruktury, často nevykazují informace o tvorbě prostředků na obnovu a jejich čerpání a při určování konečné spotřebitelské ceny pro</w:t>
      </w:r>
      <w:r w:rsidR="00B26631" w:rsidRPr="000937F8">
        <w:t xml:space="preserve"> </w:t>
      </w:r>
      <w:r w:rsidRPr="000937F8">
        <w:t>vodné používají záporný kalkulační zisk.</w:t>
      </w:r>
    </w:p>
    <w:p w14:paraId="3A3B0A04" w14:textId="0EE168FF" w:rsidR="009E6821" w:rsidRPr="000937F8" w:rsidRDefault="00B26631" w:rsidP="000937F8">
      <w:pPr>
        <w:pStyle w:val="Normlnzprva"/>
      </w:pPr>
      <w:r w:rsidRPr="000937F8">
        <w:t xml:space="preserve"> </w:t>
      </w:r>
      <w:r w:rsidR="009E6821" w:rsidRPr="000937F8">
        <w:t>Regulátor by se měl zaměřit na úpravu platného mechanismu pro výpočet ceny pro vodné.</w:t>
      </w:r>
      <w:r w:rsidRPr="000937F8">
        <w:t xml:space="preserve"> </w:t>
      </w:r>
      <w:r w:rsidR="009E6821" w:rsidRPr="000937F8">
        <w:t>V rámci této úpravy by bylo vhodné blíže specifikovat zásady postupu využití záporného kalkulačního zisku, nulových prostředk</w:t>
      </w:r>
      <w:r w:rsidR="009C39B4">
        <w:t>ů</w:t>
      </w:r>
      <w:r w:rsidR="009E6821" w:rsidRPr="000937F8">
        <w:t xml:space="preserve"> financování plánu obnovy, nulových oprav a nízkého nájemného. Dalším úkolem by mělo být stanovení minimální požadované úrovně pravidelné péče o rozvodné sítě, která má vliv na ekonomickou stránku provozu, na kvalitu poskytovaných služeb a přímo souvis</w:t>
      </w:r>
      <w:r w:rsidR="000937F8">
        <w:t>ejí</w:t>
      </w:r>
      <w:r w:rsidR="009E6821" w:rsidRPr="000937F8">
        <w:t xml:space="preserve"> s problematikou obnovy VIM. </w:t>
      </w:r>
    </w:p>
    <w:p w14:paraId="05FC1D77" w14:textId="77777777" w:rsidR="009E6821" w:rsidRPr="000937F8" w:rsidRDefault="009E6821" w:rsidP="000937F8">
      <w:pPr>
        <w:pStyle w:val="Normlnzprva"/>
      </w:pPr>
    </w:p>
    <w:p w14:paraId="340301D3" w14:textId="6251BD5B" w:rsidR="009E6821" w:rsidRPr="0054741E" w:rsidRDefault="009E6821" w:rsidP="009E6821">
      <w:pPr>
        <w:pStyle w:val="Normlnzprva"/>
        <w:rPr>
          <w:noProof/>
        </w:rPr>
      </w:pPr>
      <w:r w:rsidRPr="0054741E">
        <w:rPr>
          <w:noProof/>
        </w:rPr>
        <w:t>V následujícím grafu j</w:t>
      </w:r>
      <w:r>
        <w:rPr>
          <w:noProof/>
        </w:rPr>
        <w:t>sou uvedeny jednotlivé anomálie s výjimkou</w:t>
      </w:r>
      <w:r w:rsidRPr="0054741E">
        <w:rPr>
          <w:noProof/>
        </w:rPr>
        <w:t xml:space="preserve"> nulového </w:t>
      </w:r>
      <w:r>
        <w:rPr>
          <w:noProof/>
        </w:rPr>
        <w:t>vodného</w:t>
      </w:r>
      <w:r w:rsidRPr="0054741E">
        <w:rPr>
          <w:noProof/>
        </w:rPr>
        <w:t xml:space="preserve"> celkem</w:t>
      </w:r>
      <w:r>
        <w:rPr>
          <w:noProof/>
        </w:rPr>
        <w:t xml:space="preserve"> a </w:t>
      </w:r>
      <w:r w:rsidRPr="0054741E">
        <w:rPr>
          <w:noProof/>
        </w:rPr>
        <w:t xml:space="preserve">nulového množství fakturované </w:t>
      </w:r>
      <w:r>
        <w:rPr>
          <w:noProof/>
        </w:rPr>
        <w:t xml:space="preserve">pitné </w:t>
      </w:r>
      <w:r w:rsidRPr="0054741E">
        <w:rPr>
          <w:noProof/>
        </w:rPr>
        <w:t>vody</w:t>
      </w:r>
      <w:r>
        <w:rPr>
          <w:noProof/>
        </w:rPr>
        <w:t>, které není možné vyjádřit</w:t>
      </w:r>
      <w:r w:rsidRPr="0054741E">
        <w:rPr>
          <w:noProof/>
        </w:rPr>
        <w:t xml:space="preserve"> jako %</w:t>
      </w:r>
      <w:r>
        <w:rPr>
          <w:noProof/>
        </w:rPr>
        <w:t xml:space="preserve"> </w:t>
      </w:r>
      <w:r w:rsidRPr="0054741E">
        <w:rPr>
          <w:noProof/>
        </w:rPr>
        <w:t>podíl analyzovaného trhu.</w:t>
      </w:r>
      <w:r w:rsidR="00B26631">
        <w:rPr>
          <w:noProof/>
        </w:rPr>
        <w:t xml:space="preserve"> </w:t>
      </w:r>
    </w:p>
    <w:p w14:paraId="7269B9D7" w14:textId="77777777" w:rsidR="008820FF" w:rsidRPr="00C62639" w:rsidRDefault="008820FF" w:rsidP="0054741E">
      <w:pPr>
        <w:ind w:firstLine="567"/>
        <w:rPr>
          <w:rFonts w:asciiTheme="minorHAnsi" w:hAnsiTheme="minorHAnsi"/>
          <w:noProof/>
        </w:rPr>
      </w:pPr>
      <w:r w:rsidRPr="00C62639">
        <w:rPr>
          <w:rFonts w:asciiTheme="minorHAnsi" w:hAnsiTheme="minorHAnsi"/>
          <w:noProof/>
          <w:szCs w:val="20"/>
        </w:rPr>
        <w:t xml:space="preserve"> </w:t>
      </w:r>
    </w:p>
    <w:p w14:paraId="5D0B642A" w14:textId="77777777" w:rsidR="00725331" w:rsidRPr="00C62639" w:rsidRDefault="00725331" w:rsidP="00010F57">
      <w:pPr>
        <w:pStyle w:val="normlntextvodstavcch"/>
        <w:ind w:firstLine="0"/>
        <w:rPr>
          <w:rFonts w:asciiTheme="minorHAnsi" w:hAnsiTheme="minorHAnsi"/>
          <w:noProof/>
        </w:rPr>
      </w:pPr>
    </w:p>
    <w:p w14:paraId="190E913A" w14:textId="77777777" w:rsidR="008B48EE" w:rsidRPr="00C62639" w:rsidRDefault="008B48EE">
      <w:pPr>
        <w:spacing w:before="0" w:after="0"/>
        <w:contextualSpacing w:val="0"/>
        <w:jc w:val="left"/>
        <w:rPr>
          <w:rFonts w:asciiTheme="minorHAnsi" w:hAnsiTheme="minorHAnsi"/>
          <w:noProof/>
          <w:szCs w:val="20"/>
          <w:lang w:eastAsia="cs-CZ"/>
        </w:rPr>
      </w:pPr>
      <w:r w:rsidRPr="00C62639">
        <w:rPr>
          <w:rFonts w:asciiTheme="minorHAnsi" w:hAnsiTheme="minorHAnsi"/>
          <w:noProof/>
          <w:lang w:eastAsia="cs-CZ"/>
        </w:rPr>
        <w:br w:type="page"/>
      </w:r>
    </w:p>
    <w:p w14:paraId="5EE61C1C" w14:textId="77777777" w:rsidR="008B48EE" w:rsidRPr="00C62639" w:rsidRDefault="008B48EE">
      <w:pPr>
        <w:spacing w:before="0" w:after="0"/>
        <w:contextualSpacing w:val="0"/>
        <w:jc w:val="left"/>
        <w:rPr>
          <w:rFonts w:asciiTheme="minorHAnsi" w:hAnsiTheme="minorHAnsi"/>
          <w:noProof/>
          <w:szCs w:val="20"/>
          <w:lang w:eastAsia="cs-CZ"/>
        </w:rPr>
      </w:pPr>
      <w:r w:rsidRPr="00C62639">
        <w:rPr>
          <w:rFonts w:asciiTheme="minorHAnsi" w:hAnsiTheme="minorHAnsi"/>
          <w:noProof/>
          <w:lang w:eastAsia="cs-CZ"/>
        </w:rPr>
        <w:lastRenderedPageBreak/>
        <w:drawing>
          <wp:anchor distT="0" distB="0" distL="114300" distR="114300" simplePos="0" relativeHeight="251652608" behindDoc="0" locked="0" layoutInCell="1" allowOverlap="1" wp14:anchorId="3BD33C17" wp14:editId="1DF1B4C9">
            <wp:simplePos x="0" y="0"/>
            <wp:positionH relativeFrom="column">
              <wp:posOffset>-246809</wp:posOffset>
            </wp:positionH>
            <wp:positionV relativeFrom="paragraph">
              <wp:posOffset>190</wp:posOffset>
            </wp:positionV>
            <wp:extent cx="6210300" cy="8846820"/>
            <wp:effectExtent l="0" t="0" r="0" b="0"/>
            <wp:wrapTopAndBottom/>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C62639">
        <w:rPr>
          <w:rFonts w:asciiTheme="minorHAnsi" w:hAnsiTheme="minorHAnsi"/>
          <w:noProof/>
          <w:lang w:eastAsia="cs-CZ"/>
        </w:rPr>
        <w:t xml:space="preserve"> </w:t>
      </w:r>
      <w:r w:rsidRPr="00C62639">
        <w:rPr>
          <w:rFonts w:asciiTheme="minorHAnsi" w:hAnsiTheme="minorHAnsi"/>
          <w:noProof/>
          <w:lang w:eastAsia="cs-CZ"/>
        </w:rPr>
        <w:br w:type="page"/>
      </w:r>
    </w:p>
    <w:p w14:paraId="64C3FFBD" w14:textId="0F90ACD9" w:rsidR="00A0147D" w:rsidRPr="00C62639" w:rsidRDefault="00A0147D" w:rsidP="00A0147D">
      <w:pPr>
        <w:pStyle w:val="Nadpis3"/>
        <w:rPr>
          <w:noProof/>
        </w:rPr>
      </w:pPr>
      <w:bookmarkStart w:id="33" w:name="_Toc505684420"/>
      <w:r w:rsidRPr="00C62639">
        <w:rPr>
          <w:noProof/>
        </w:rPr>
        <w:lastRenderedPageBreak/>
        <w:t>Nedostatečná tvorba prostředků na obnovu</w:t>
      </w:r>
      <w:bookmarkEnd w:id="33"/>
    </w:p>
    <w:p w14:paraId="4E36DC63" w14:textId="48088B21" w:rsidR="00A0147D" w:rsidRDefault="00A0147D" w:rsidP="00A0147D">
      <w:pPr>
        <w:pStyle w:val="Normlnzprva"/>
      </w:pPr>
      <w:r w:rsidRPr="004E369D">
        <w:t xml:space="preserve">Provedená analýza potvrdila předpoklad existence problému nedostatečné tvorby prostředků na obnovu. Celková výše chybějících prostředků na obnovu VIM činí 456,46 mil. Kč. Celkové </w:t>
      </w:r>
      <w:r>
        <w:t>tržby oboru za vodné v roce 2016 činil</w:t>
      </w:r>
      <w:r w:rsidR="00AB362A">
        <w:t>y</w:t>
      </w:r>
      <w:r w:rsidRPr="004E369D">
        <w:t xml:space="preserve"> 16,7 mld. Kč</w:t>
      </w:r>
      <w:r>
        <w:t>. Pro zabezpečení minimální teoretické výše prostředků na obnovu měl</w:t>
      </w:r>
      <w:r w:rsidR="00AB362A">
        <w:t>y</w:t>
      </w:r>
      <w:r>
        <w:t xml:space="preserve"> </w:t>
      </w:r>
      <w:r w:rsidR="00A66B28">
        <w:t xml:space="preserve">tržby za vodné </w:t>
      </w:r>
      <w:r>
        <w:t xml:space="preserve">být </w:t>
      </w:r>
      <w:r w:rsidRPr="004E369D">
        <w:t xml:space="preserve">o chybějící prostředky obnovy (tj. o 2,7 %) vyšší. </w:t>
      </w:r>
    </w:p>
    <w:p w14:paraId="72431752" w14:textId="48C302CF" w:rsidR="00516FC3" w:rsidRPr="004E369D" w:rsidRDefault="00516FC3" w:rsidP="00A0147D">
      <w:pPr>
        <w:pStyle w:val="Normlnzprva"/>
      </w:pPr>
      <w:r w:rsidRPr="00516FC3">
        <w:rPr>
          <w:noProof/>
          <w:lang w:eastAsia="cs-CZ"/>
        </w:rPr>
        <w:drawing>
          <wp:anchor distT="0" distB="0" distL="114300" distR="114300" simplePos="0" relativeHeight="251686912" behindDoc="0" locked="0" layoutInCell="1" allowOverlap="1" wp14:anchorId="64DA681C" wp14:editId="33F9ACE2">
            <wp:simplePos x="0" y="0"/>
            <wp:positionH relativeFrom="column">
              <wp:posOffset>-453582</wp:posOffset>
            </wp:positionH>
            <wp:positionV relativeFrom="paragraph">
              <wp:posOffset>548123</wp:posOffset>
            </wp:positionV>
            <wp:extent cx="6764655" cy="2009140"/>
            <wp:effectExtent l="0" t="0" r="0" b="0"/>
            <wp:wrapTopAndBottom/>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764655"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Přehled výše chybějících prostředků na obnovu v členění podle modelu provozování a jednotlivých skupin vlastníků je uveden v následující tabulce. </w:t>
      </w:r>
    </w:p>
    <w:p w14:paraId="7C4FA4E0" w14:textId="77777777" w:rsidR="00516FC3" w:rsidRDefault="00516FC3" w:rsidP="00A0147D">
      <w:pPr>
        <w:pStyle w:val="Normlnzprva"/>
      </w:pPr>
    </w:p>
    <w:p w14:paraId="29B19CEE" w14:textId="6A58726B" w:rsidR="00A0147D" w:rsidRPr="004E369D" w:rsidRDefault="00A0147D" w:rsidP="00A0147D">
      <w:pPr>
        <w:pStyle w:val="Normlnzprva"/>
      </w:pPr>
      <w:r w:rsidRPr="004E369D">
        <w:t>Problém nedostatečné tvorby prostředků na obnovu může vlastník řešit využitím řádku 4.4 v Porovnání v návaznosti na pečlivě zpracovaný PFO</w:t>
      </w:r>
      <w:r>
        <w:t xml:space="preserve"> (</w:t>
      </w:r>
      <w:r w:rsidR="00EA29C3">
        <w:t>za předpokladu, že</w:t>
      </w:r>
      <w:r>
        <w:t xml:space="preserve"> koresponduje s plánem oprav a investic s obnovujícím charakterem)</w:t>
      </w:r>
      <w:r w:rsidRPr="004E369D">
        <w:t xml:space="preserve">, úpravou výše kalkulačního zisku stanovené v rámci kalkulace ceny pro vodné, zvýšenými náklady na opravy a jejich započtení do ceny pro vodné (což by zejména u menších vlastníků znamenalo zlepšení </w:t>
      </w:r>
      <w:r w:rsidR="00A66B28">
        <w:t xml:space="preserve">kvality </w:t>
      </w:r>
      <w:r w:rsidRPr="004E369D">
        <w:t xml:space="preserve">péče o VIM, jmenovitě plánování a realizace oprav a sledování stavu VIM). V případě oddílného a kombinovaného modelu provozování by se tvorba prostředků na obnovu VIM zvýšila i odpovídajícím navýšením nájemného VIM. Vlastníci VIM si musejí uvědomit, že pokud nevytváří dostatek prostředků na obnovu VIM, budou v budoucnu nuceni chybějící prostředky financovat z jiných zdrojů nebo přenesou tuto povinnost na příští generace. </w:t>
      </w:r>
    </w:p>
    <w:p w14:paraId="1DDE1D92" w14:textId="227EAAD7" w:rsidR="00A0147D" w:rsidRDefault="00A0147D" w:rsidP="00A0147D">
      <w:pPr>
        <w:pStyle w:val="Normlnzprva"/>
      </w:pPr>
      <w:r w:rsidRPr="004E369D">
        <w:t xml:space="preserve">Významnou součástí cenové politiky vlastníků je kalkulační položka ceny pro vodné – </w:t>
      </w:r>
      <w:r w:rsidRPr="004E369D">
        <w:rPr>
          <w:b/>
        </w:rPr>
        <w:t>kalkulační zisk</w:t>
      </w:r>
      <w:r w:rsidRPr="004E369D">
        <w:t xml:space="preserve">. Bylo zjištěno, že u Porovnání, které negenerují dodatečnou minimální výši prostředků na obnovu se často vyskytuje nulová nebo záporná hodnota kalkulačního zisku. Z 1582 analyzovaných Porovnání se v 743 případech (tj. 46,96 %) vyskytuje nulová nebo záporná hodnota kalkulačního zisku. Z hlediska objemu pitné vody fakturované se jedná o 24,33 </w:t>
      </w:r>
      <w:r>
        <w:t>mil. m</w:t>
      </w:r>
      <w:r w:rsidRPr="00E27252">
        <w:rPr>
          <w:vertAlign w:val="superscript"/>
        </w:rPr>
        <w:t>3</w:t>
      </w:r>
      <w:r w:rsidRPr="004E369D">
        <w:t xml:space="preserve">. V případě 101 Porovnání, byla stanovená výše ceny pro vodné postačující na generování dostatečného množství prostředků na obnovu za předpokladu, že Porovnání obsahovala veškeré ekonomicky oprávněné náklady související s výrobou a distribucí pitné vody odběratelům v plné výši. </w:t>
      </w:r>
    </w:p>
    <w:p w14:paraId="602B5AF3" w14:textId="0AF2AA02" w:rsidR="00516FC3" w:rsidRDefault="00516FC3" w:rsidP="00A0147D">
      <w:pPr>
        <w:pStyle w:val="Normlnzprva"/>
      </w:pPr>
    </w:p>
    <w:p w14:paraId="3CD1474C" w14:textId="659BB9A8" w:rsidR="00027F8A" w:rsidRPr="00C62639" w:rsidRDefault="00027F8A" w:rsidP="00027F8A">
      <w:pPr>
        <w:pStyle w:val="Nadpis3"/>
        <w:rPr>
          <w:rFonts w:asciiTheme="minorHAnsi" w:hAnsiTheme="minorHAnsi"/>
          <w:noProof/>
        </w:rPr>
      </w:pPr>
      <w:bookmarkStart w:id="34" w:name="_Toc505684421"/>
      <w:r w:rsidRPr="00C62639">
        <w:rPr>
          <w:rFonts w:asciiTheme="minorHAnsi" w:hAnsiTheme="minorHAnsi"/>
          <w:noProof/>
        </w:rPr>
        <w:lastRenderedPageBreak/>
        <w:t>Výskyt anomálii v jednotlivých skupinách vlastníků</w:t>
      </w:r>
      <w:bookmarkEnd w:id="34"/>
    </w:p>
    <w:p w14:paraId="43A90261" w14:textId="77777777" w:rsidR="000963DD" w:rsidRDefault="000963DD" w:rsidP="00891968"/>
    <w:p w14:paraId="45CD1FED" w14:textId="77777777" w:rsidR="000963DD" w:rsidRDefault="00CE5B91" w:rsidP="00891968">
      <w:r>
        <w:rPr>
          <w:noProof/>
          <w:lang w:eastAsia="cs-CZ"/>
        </w:rPr>
        <w:drawing>
          <wp:anchor distT="0" distB="0" distL="114300" distR="114300" simplePos="0" relativeHeight="251654656" behindDoc="0" locked="0" layoutInCell="1" allowOverlap="1" wp14:anchorId="09D2FA55" wp14:editId="7DDA4FC3">
            <wp:simplePos x="0" y="0"/>
            <wp:positionH relativeFrom="column">
              <wp:posOffset>-465455</wp:posOffset>
            </wp:positionH>
            <wp:positionV relativeFrom="paragraph">
              <wp:posOffset>635</wp:posOffset>
            </wp:positionV>
            <wp:extent cx="6701790" cy="1804670"/>
            <wp:effectExtent l="19050" t="0" r="3810" b="0"/>
            <wp:wrapTopAndBottom/>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6701790" cy="1804670"/>
                    </a:xfrm>
                    <a:prstGeom prst="rect">
                      <a:avLst/>
                    </a:prstGeom>
                    <a:noFill/>
                    <a:ln w="9525">
                      <a:noFill/>
                      <a:miter lim="800000"/>
                      <a:headEnd/>
                      <a:tailEnd/>
                    </a:ln>
                  </pic:spPr>
                </pic:pic>
              </a:graphicData>
            </a:graphic>
          </wp:anchor>
        </w:drawing>
      </w:r>
    </w:p>
    <w:p w14:paraId="694E9505" w14:textId="743EDC67" w:rsidR="009E6821" w:rsidRDefault="000963DD" w:rsidP="000937F8">
      <w:pPr>
        <w:pStyle w:val="Normlnzprva"/>
      </w:pPr>
      <w:r>
        <w:tab/>
      </w:r>
      <w:r w:rsidR="009E7E1B" w:rsidRPr="009E7E1B">
        <w:t xml:space="preserve"> </w:t>
      </w:r>
      <w:r w:rsidR="009E7E1B">
        <w:t>Podle počtu výskytů anomálií v jednotlivých skupinách se jako nejvíce problematick</w:t>
      </w:r>
      <w:r w:rsidR="004B466E">
        <w:t>á</w:t>
      </w:r>
      <w:r w:rsidR="009E7E1B">
        <w:t xml:space="preserve"> jeví VI. skupina (hodnota majetku menší jako 1 mil. Kč). V té</w:t>
      </w:r>
      <w:r w:rsidR="000937F8">
        <w:t>to skupině byla u každého Porovn</w:t>
      </w:r>
      <w:r w:rsidR="009E7E1B">
        <w:t>ání nalezena alespoň jedna anomálie.</w:t>
      </w:r>
      <w:r w:rsidR="00B26631">
        <w:t xml:space="preserve"> </w:t>
      </w:r>
      <w:r w:rsidR="009E7E1B">
        <w:t>Podle objemu fakturované pitné vody na Porovnáních s alespoň jednou anomálií, byly identifikovány jako rizikové II., III., IV. a V. skupina, u kterých nalezené anomálie zasahují více než 50% podíl objemu pitné vody fakturované ve skupině.</w:t>
      </w:r>
    </w:p>
    <w:p w14:paraId="06B7DD6D" w14:textId="77777777" w:rsidR="000963DD" w:rsidRDefault="000963DD" w:rsidP="000937F8">
      <w:pPr>
        <w:pStyle w:val="Normlnzprva"/>
      </w:pPr>
    </w:p>
    <w:p w14:paraId="56B654B2" w14:textId="77777777" w:rsidR="000963DD" w:rsidRDefault="000963DD" w:rsidP="000937F8">
      <w:pPr>
        <w:pStyle w:val="Normlnzprva"/>
      </w:pPr>
    </w:p>
    <w:p w14:paraId="2BDC100D" w14:textId="654BA252" w:rsidR="00891968" w:rsidRPr="000937F8" w:rsidRDefault="00891968" w:rsidP="000937F8">
      <w:pPr>
        <w:pStyle w:val="Normlnzprva"/>
      </w:pPr>
      <w:r w:rsidRPr="00C62639">
        <w:rPr>
          <w:rFonts w:asciiTheme="minorHAnsi" w:hAnsiTheme="minorHAnsi"/>
          <w:noProof/>
        </w:rPr>
        <w:t>V následující tabulce jsou blíže specifikovány anomálie a jejich rozložení u skupin, v případě kterých četnost výskytu anomálií přesáhla</w:t>
      </w:r>
      <w:r w:rsidR="0075759F" w:rsidRPr="00C62639">
        <w:rPr>
          <w:rFonts w:asciiTheme="minorHAnsi" w:hAnsiTheme="minorHAnsi"/>
          <w:noProof/>
        </w:rPr>
        <w:t xml:space="preserve"> celkový počet</w:t>
      </w:r>
      <w:r w:rsidRPr="00C62639">
        <w:rPr>
          <w:rFonts w:asciiTheme="minorHAnsi" w:hAnsiTheme="minorHAnsi"/>
          <w:noProof/>
        </w:rPr>
        <w:t xml:space="preserve"> sto. Jedná se o III., IV. a V. skupinu vlastníků, tj. hodnota majektu se pohybuje od 1 po 100 mil. Kč.</w:t>
      </w:r>
      <w:r w:rsidR="00B26631">
        <w:rPr>
          <w:rFonts w:asciiTheme="minorHAnsi" w:hAnsiTheme="minorHAnsi"/>
          <w:noProof/>
        </w:rPr>
        <w:t xml:space="preserve"> </w:t>
      </w:r>
      <w:r w:rsidR="00BA092E" w:rsidRPr="00C62639">
        <w:rPr>
          <w:rFonts w:asciiTheme="minorHAnsi" w:hAnsiTheme="minorHAnsi"/>
          <w:noProof/>
        </w:rPr>
        <w:t>V rámci těchto tří skupin je pitnou vodou zásobeno více než 1,</w:t>
      </w:r>
      <w:r w:rsidR="00E21BA2" w:rsidRPr="00C62639">
        <w:rPr>
          <w:rFonts w:asciiTheme="minorHAnsi" w:hAnsiTheme="minorHAnsi"/>
          <w:noProof/>
        </w:rPr>
        <w:t>96</w:t>
      </w:r>
      <w:r w:rsidR="00BA092E" w:rsidRPr="00C62639">
        <w:rPr>
          <w:rFonts w:asciiTheme="minorHAnsi" w:hAnsiTheme="minorHAnsi"/>
          <w:noProof/>
        </w:rPr>
        <w:t xml:space="preserve"> mil. obyvatel.</w:t>
      </w:r>
      <w:r w:rsidR="00987F7F" w:rsidRPr="00C62639">
        <w:rPr>
          <w:rFonts w:asciiTheme="minorHAnsi" w:hAnsiTheme="minorHAnsi"/>
          <w:noProof/>
        </w:rPr>
        <w:t xml:space="preserve"> Pro jejich zásobování se využívá infrastruktura o celkové délce 17 tis. km a hodnota VIM podle VÚME dosahuje 69,54 </w:t>
      </w:r>
      <w:r w:rsidR="00987F7F" w:rsidRPr="000937F8">
        <w:t>mld. Kč.</w:t>
      </w:r>
      <w:r w:rsidR="00B26631" w:rsidRPr="000937F8">
        <w:t xml:space="preserve"> </w:t>
      </w:r>
    </w:p>
    <w:p w14:paraId="34607EF7" w14:textId="77777777" w:rsidR="0075759F" w:rsidRPr="00C62639" w:rsidRDefault="0075759F" w:rsidP="0075759F">
      <w:pPr>
        <w:spacing w:before="0" w:after="0"/>
        <w:ind w:firstLine="709"/>
        <w:contextualSpacing w:val="0"/>
        <w:jc w:val="left"/>
        <w:rPr>
          <w:rFonts w:asciiTheme="minorHAnsi" w:hAnsiTheme="minorHAnsi"/>
          <w:noProof/>
        </w:rPr>
      </w:pPr>
    </w:p>
    <w:p w14:paraId="68AEE81A" w14:textId="77777777" w:rsidR="0052613E" w:rsidRDefault="0052613E">
      <w:pPr>
        <w:spacing w:before="0" w:after="0"/>
        <w:contextualSpacing w:val="0"/>
        <w:jc w:val="left"/>
        <w:rPr>
          <w:rFonts w:asciiTheme="minorHAnsi" w:hAnsiTheme="minorHAnsi"/>
          <w:noProof/>
        </w:rPr>
        <w:sectPr w:rsidR="0052613E" w:rsidSect="00FF4564">
          <w:footerReference w:type="default" r:id="rId18"/>
          <w:pgSz w:w="11906" w:h="16838"/>
          <w:pgMar w:top="1418" w:right="1418" w:bottom="1418" w:left="1418" w:header="709" w:footer="709" w:gutter="0"/>
          <w:cols w:space="708"/>
          <w:docGrid w:linePitch="360"/>
        </w:sectPr>
      </w:pPr>
    </w:p>
    <w:p w14:paraId="74F3A511" w14:textId="4C0D0B2D" w:rsidR="000963DD" w:rsidRDefault="004B51AE">
      <w:pPr>
        <w:spacing w:before="0" w:after="0"/>
        <w:contextualSpacing w:val="0"/>
        <w:jc w:val="left"/>
        <w:rPr>
          <w:rFonts w:asciiTheme="minorHAnsi" w:hAnsiTheme="minorHAnsi"/>
          <w:noProof/>
        </w:rPr>
      </w:pPr>
      <w:r>
        <w:rPr>
          <w:noProof/>
        </w:rPr>
        <w:lastRenderedPageBreak/>
        <w:object w:dxaOrig="1440" w:dyaOrig="1440" w14:anchorId="36436C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3pt;width:728.6pt;height:397.55pt;z-index:251692032;mso-position-horizontal:center;mso-position-horizontal-relative:text;mso-position-vertical:absolute;mso-position-vertical-relative:text" o:allowoverlap="f">
            <v:imagedata r:id="rId19" o:title=""/>
            <w10:wrap type="topAndBottom"/>
          </v:shape>
          <o:OLEObject Type="Embed" ProgID="Excel.Sheet.12" ShapeID="_x0000_s1029" DrawAspect="Content" ObjectID="_1585397945" r:id="rId20"/>
        </w:object>
      </w:r>
      <w:r w:rsidR="000963DD">
        <w:rPr>
          <w:rFonts w:asciiTheme="minorHAnsi" w:hAnsiTheme="minorHAnsi"/>
          <w:noProof/>
        </w:rPr>
        <w:br w:type="page"/>
      </w:r>
    </w:p>
    <w:p w14:paraId="59623353" w14:textId="77777777" w:rsidR="0052613E" w:rsidRDefault="0052613E">
      <w:pPr>
        <w:spacing w:before="0" w:after="0"/>
        <w:contextualSpacing w:val="0"/>
        <w:jc w:val="left"/>
        <w:rPr>
          <w:rFonts w:asciiTheme="minorHAnsi" w:hAnsiTheme="minorHAnsi"/>
          <w:noProof/>
        </w:rPr>
        <w:sectPr w:rsidR="0052613E" w:rsidSect="0052613E">
          <w:footerReference w:type="default" r:id="rId21"/>
          <w:pgSz w:w="16838" w:h="11906" w:orient="landscape"/>
          <w:pgMar w:top="1418" w:right="1418" w:bottom="1418" w:left="1418" w:header="709" w:footer="709" w:gutter="0"/>
          <w:cols w:space="708"/>
          <w:docGrid w:linePitch="360"/>
        </w:sectPr>
      </w:pPr>
    </w:p>
    <w:p w14:paraId="0A510A79" w14:textId="603564AD" w:rsidR="000963DD" w:rsidRPr="000937F8" w:rsidRDefault="000963DD" w:rsidP="000937F8">
      <w:pPr>
        <w:pStyle w:val="Normlnzprva"/>
      </w:pPr>
      <w:r w:rsidRPr="000937F8">
        <w:lastRenderedPageBreak/>
        <w:t xml:space="preserve">Lze konstatovat, že významnějším problémem ve všech třech skupinách je </w:t>
      </w:r>
      <w:r w:rsidRPr="004E369D">
        <w:rPr>
          <w:b/>
        </w:rPr>
        <w:t>nedostatečná tvorba prostředků na obnovu VIM</w:t>
      </w:r>
      <w:r w:rsidRPr="000937F8">
        <w:t xml:space="preserve">. Ve IV. skupině vykazují tuto anomálii Porovnání, která tvoří 75,3% podíl trhu (tj. 20,79 </w:t>
      </w:r>
      <w:r w:rsidR="00E27252">
        <w:t>mil. m</w:t>
      </w:r>
      <w:r w:rsidR="00E27252" w:rsidRPr="00E27252">
        <w:rPr>
          <w:vertAlign w:val="superscript"/>
        </w:rPr>
        <w:t>3</w:t>
      </w:r>
      <w:r w:rsidRPr="000937F8">
        <w:t xml:space="preserve"> z 27,59 </w:t>
      </w:r>
      <w:r w:rsidR="00E27252">
        <w:t>mil. m</w:t>
      </w:r>
      <w:r w:rsidR="00E27252" w:rsidRPr="00E27252">
        <w:rPr>
          <w:vertAlign w:val="superscript"/>
        </w:rPr>
        <w:t>3</w:t>
      </w:r>
      <w:r w:rsidRPr="000937F8">
        <w:t xml:space="preserve">) a v V. skupině je to více než poloviční podíl trhu podle objemu fakturované vody, přesněji 59,53% (tj. 3,11 </w:t>
      </w:r>
      <w:r w:rsidR="00E27252">
        <w:t>mil. m</w:t>
      </w:r>
      <w:r w:rsidR="00E27252" w:rsidRPr="00E27252">
        <w:rPr>
          <w:vertAlign w:val="superscript"/>
        </w:rPr>
        <w:t>3</w:t>
      </w:r>
      <w:r w:rsidRPr="000937F8">
        <w:t xml:space="preserve"> z celkového objemu 5,23 </w:t>
      </w:r>
      <w:r w:rsidR="00E27252">
        <w:t>mil. m</w:t>
      </w:r>
      <w:r w:rsidR="00E27252" w:rsidRPr="00E27252">
        <w:rPr>
          <w:vertAlign w:val="superscript"/>
        </w:rPr>
        <w:t>3</w:t>
      </w:r>
      <w:r w:rsidRPr="000937F8">
        <w:t xml:space="preserve">). V souvislosti s nedostatečnou tvorbou prostředků na obnovu se u všech skupin vyskytuje </w:t>
      </w:r>
      <w:r w:rsidRPr="004E369D">
        <w:rPr>
          <w:b/>
        </w:rPr>
        <w:t>nulový celý řádek 20</w:t>
      </w:r>
      <w:r w:rsidRPr="000937F8">
        <w:t>. V V. skupině ovlivňuje tato anomálie 58,31 % objemu fakturované vody</w:t>
      </w:r>
      <w:r w:rsidR="00B26631" w:rsidRPr="000937F8">
        <w:t xml:space="preserve"> </w:t>
      </w:r>
      <w:r w:rsidRPr="000937F8">
        <w:t xml:space="preserve">(tj. 3,05 </w:t>
      </w:r>
      <w:r w:rsidR="00E27252">
        <w:t>mil. m</w:t>
      </w:r>
      <w:r w:rsidR="00E27252" w:rsidRPr="00E27252">
        <w:rPr>
          <w:vertAlign w:val="superscript"/>
        </w:rPr>
        <w:t>3</w:t>
      </w:r>
      <w:r w:rsidRPr="000937F8">
        <w:t xml:space="preserve">) a ve IV. skupině 45,14% objemu pitné vody fakturované podíl (tj. 12,46 </w:t>
      </w:r>
      <w:r w:rsidR="00E27252">
        <w:t>mil. m</w:t>
      </w:r>
      <w:r w:rsidR="00E27252" w:rsidRPr="00E27252">
        <w:rPr>
          <w:vertAlign w:val="superscript"/>
        </w:rPr>
        <w:t>3</w:t>
      </w:r>
      <w:r w:rsidRPr="000937F8">
        <w:t>).</w:t>
      </w:r>
      <w:r w:rsidR="00B26631" w:rsidRPr="000937F8">
        <w:t xml:space="preserve"> </w:t>
      </w:r>
      <w:r w:rsidRPr="000937F8">
        <w:t>Tato skutečnost signalizuje</w:t>
      </w:r>
      <w:r w:rsidR="005F5EAF">
        <w:t xml:space="preserve"> problémy s procesem obnovy (počínaje PFO, investičními</w:t>
      </w:r>
      <w:r w:rsidRPr="000937F8">
        <w:t xml:space="preserve"> plán</w:t>
      </w:r>
      <w:r w:rsidR="005F5EAF">
        <w:t>y a plány</w:t>
      </w:r>
      <w:r w:rsidRPr="000937F8">
        <w:t xml:space="preserve"> oprav až po realizaci obnovy </w:t>
      </w:r>
      <w:r w:rsidR="005F5EAF">
        <w:t>VIM</w:t>
      </w:r>
      <w:r w:rsidRPr="000937F8">
        <w:t xml:space="preserve">). </w:t>
      </w:r>
    </w:p>
    <w:p w14:paraId="620B813F" w14:textId="4CE687F1" w:rsidR="000963DD" w:rsidRPr="000937F8" w:rsidRDefault="000963DD" w:rsidP="000937F8">
      <w:pPr>
        <w:pStyle w:val="Normlnzprva"/>
      </w:pPr>
      <w:r w:rsidRPr="000937F8">
        <w:t xml:space="preserve">Časté využívání </w:t>
      </w:r>
      <w:r w:rsidRPr="004E369D">
        <w:rPr>
          <w:b/>
        </w:rPr>
        <w:t>záporného kalkulačního zisku</w:t>
      </w:r>
      <w:r w:rsidRPr="000937F8">
        <w:t xml:space="preserve"> vlastníky </w:t>
      </w:r>
      <w:r w:rsidR="005F5EAF">
        <w:t>VIM</w:t>
      </w:r>
      <w:r w:rsidRPr="000937F8">
        <w:t xml:space="preserve"> svědčí o snaze udržet nízkou cenu pro vodné. Bohužel tento přístup si mohou dovolit jen vlastníci, kteří mohou dotovat provoz a obnovu z jiných zdrojů než z vodného. V případě, že vlastník </w:t>
      </w:r>
      <w:r w:rsidR="005F5EAF">
        <w:t>n</w:t>
      </w:r>
      <w:r w:rsidRPr="000937F8">
        <w:t>astaví své obchodní vztahy s provozovatelem a odběrateli způsobem, který prokazatelně neumožňuje tvorbu dostatečné výše prostředků na obnovu VIM, dochází z dlouhodobého hlediska z nárůstu rizika zatížení budoucích generací</w:t>
      </w:r>
      <w:r w:rsidR="004E369D">
        <w:t xml:space="preserve"> </w:t>
      </w:r>
      <w:r w:rsidRPr="000937F8">
        <w:t>výdaji na obnovu VIM buď formou státních dotací</w:t>
      </w:r>
      <w:r w:rsidR="004E369D">
        <w:t>,</w:t>
      </w:r>
      <w:r w:rsidRPr="000937F8">
        <w:t xml:space="preserve"> nebo skokově zvýšenou cenou pro vodné. Záporný kalkulační zisk ovlivňuje nejvíce dlo</w:t>
      </w:r>
      <w:r w:rsidR="004E369D">
        <w:t>u</w:t>
      </w:r>
      <w:r w:rsidRPr="000937F8">
        <w:t xml:space="preserve">hodobé fungování vlastníků z V. skupiny, kde zasahuje 45,79% podílu objemu pitné vody fakturované ve skupině (tj. 2,39 </w:t>
      </w:r>
      <w:r w:rsidR="00E27252">
        <w:t>mil. m</w:t>
      </w:r>
      <w:r w:rsidR="00E27252" w:rsidRPr="00E27252">
        <w:rPr>
          <w:vertAlign w:val="superscript"/>
        </w:rPr>
        <w:t>3</w:t>
      </w:r>
      <w:r w:rsidRPr="000937F8">
        <w:t>) a</w:t>
      </w:r>
      <w:r w:rsidR="00B26631" w:rsidRPr="000937F8">
        <w:t xml:space="preserve"> </w:t>
      </w:r>
      <w:r w:rsidRPr="000937F8">
        <w:t>ve IV. skupině, kde zasahuje 38,25 % podílu objemu pi</w:t>
      </w:r>
      <w:r w:rsidR="004E369D">
        <w:t>t</w:t>
      </w:r>
      <w:r w:rsidRPr="000937F8">
        <w:t xml:space="preserve">né vody fakturované ve skupině (tj. 10,55 </w:t>
      </w:r>
      <w:r w:rsidR="00E27252">
        <w:t>mil. m</w:t>
      </w:r>
      <w:r w:rsidR="00E27252" w:rsidRPr="00E27252">
        <w:rPr>
          <w:vertAlign w:val="superscript"/>
        </w:rPr>
        <w:t>3</w:t>
      </w:r>
      <w:r w:rsidRPr="000937F8">
        <w:t xml:space="preserve">). </w:t>
      </w:r>
    </w:p>
    <w:p w14:paraId="6E6A3E0D" w14:textId="42F9FE0B" w:rsidR="000963DD" w:rsidRDefault="000963DD" w:rsidP="000937F8">
      <w:pPr>
        <w:pStyle w:val="Normlnzprva"/>
        <w:rPr>
          <w:noProof/>
        </w:rPr>
      </w:pPr>
      <w:r w:rsidRPr="000937F8">
        <w:t>O nedostatečně fungujícím procesu obnovy VIM svědčí i hodnoty anomálii vysoký počet poruch na 1 km rozvodné sítě (hodnota 1,5 násobku mediánu skupiny bez P</w:t>
      </w:r>
      <w:r w:rsidR="004E369D">
        <w:t>o</w:t>
      </w:r>
      <w:r w:rsidRPr="000937F8">
        <w:t>rovnání s vykázanou nulovou počt</w:t>
      </w:r>
      <w:r w:rsidR="004E369D">
        <w:t>u poru</w:t>
      </w:r>
      <w:r w:rsidRPr="000937F8">
        <w:t>ch v souvisejících VÚPE), vysoké ztráty vody</w:t>
      </w:r>
      <w:r>
        <w:rPr>
          <w:b/>
          <w:noProof/>
        </w:rPr>
        <w:t xml:space="preserve"> na 1 km přepočtené délky vodovodního řadu na den </w:t>
      </w:r>
      <w:r>
        <w:rPr>
          <w:noProof/>
        </w:rPr>
        <w:t>(</w:t>
      </w:r>
      <w:r w:rsidR="00E27252">
        <w:rPr>
          <w:noProof/>
        </w:rPr>
        <w:t>m</w:t>
      </w:r>
      <w:r w:rsidR="00E27252" w:rsidRPr="00E27252">
        <w:rPr>
          <w:noProof/>
          <w:vertAlign w:val="superscript"/>
        </w:rPr>
        <w:t>3</w:t>
      </w:r>
      <w:r>
        <w:rPr>
          <w:noProof/>
        </w:rPr>
        <w:t xml:space="preserve">/km/den) (medián z Porovnání, kde je hodnota ukazatele převyšuje 4 </w:t>
      </w:r>
      <w:r w:rsidR="00E27252">
        <w:rPr>
          <w:noProof/>
        </w:rPr>
        <w:t xml:space="preserve"> m</w:t>
      </w:r>
      <w:r w:rsidR="00E27252" w:rsidRPr="00E27252">
        <w:rPr>
          <w:noProof/>
          <w:vertAlign w:val="superscript"/>
        </w:rPr>
        <w:t>3</w:t>
      </w:r>
      <w:r>
        <w:rPr>
          <w:noProof/>
        </w:rPr>
        <w:t xml:space="preserve">/km/den), </w:t>
      </w:r>
      <w:r>
        <w:rPr>
          <w:b/>
          <w:noProof/>
        </w:rPr>
        <w:t xml:space="preserve">nulové ztráty vody </w:t>
      </w:r>
      <w:r>
        <w:rPr>
          <w:noProof/>
        </w:rPr>
        <w:t xml:space="preserve">a v poslední řadě i výskyt </w:t>
      </w:r>
      <w:r>
        <w:rPr>
          <w:b/>
          <w:noProof/>
        </w:rPr>
        <w:t xml:space="preserve">nulového počtu poruch a nákladů na opravy vyšších než průměrné náklady na odstranění jedné poruchy ve skupině, </w:t>
      </w:r>
      <w:r>
        <w:rPr>
          <w:noProof/>
        </w:rPr>
        <w:t xml:space="preserve">případně </w:t>
      </w:r>
      <w:r>
        <w:rPr>
          <w:b/>
          <w:noProof/>
        </w:rPr>
        <w:t>nenulový počet poruch a vykázané nulové náklady na opravy.</w:t>
      </w:r>
      <w:r w:rsidR="00B26631">
        <w:rPr>
          <w:b/>
          <w:noProof/>
        </w:rPr>
        <w:t xml:space="preserve"> </w:t>
      </w:r>
      <w:r>
        <w:rPr>
          <w:noProof/>
        </w:rPr>
        <w:t>Vliv nulových ztrát vody je nejvyšší v případě V. skupiny vlastníků, kde je zasažen 24,29% podíl fakturov</w:t>
      </w:r>
      <w:r w:rsidR="004E369D">
        <w:rPr>
          <w:noProof/>
        </w:rPr>
        <w:t>a</w:t>
      </w:r>
      <w:r>
        <w:rPr>
          <w:noProof/>
        </w:rPr>
        <w:t xml:space="preserve">né vody (tj. 1,27 </w:t>
      </w:r>
      <w:r w:rsidR="00E27252">
        <w:rPr>
          <w:noProof/>
        </w:rPr>
        <w:t>mil. m</w:t>
      </w:r>
      <w:r w:rsidR="00E27252" w:rsidRPr="00E27252">
        <w:rPr>
          <w:noProof/>
          <w:vertAlign w:val="superscript"/>
        </w:rPr>
        <w:t>3</w:t>
      </w:r>
      <w:r>
        <w:rPr>
          <w:noProof/>
        </w:rPr>
        <w:t>). Z uvedeného lze usuzovat, že vlastníci</w:t>
      </w:r>
      <w:r w:rsidR="00B26631">
        <w:rPr>
          <w:noProof/>
        </w:rPr>
        <w:t xml:space="preserve"> </w:t>
      </w:r>
      <w:r>
        <w:rPr>
          <w:noProof/>
        </w:rPr>
        <w:t xml:space="preserve">nevěnují pozornost sledování ztrát vody a případně se nezabývají sledováním stavu a obnovou VIM. Jedná se o vlastníky s hodnotou majetku od 1 do 10 mil. Kč, kteří poskytují pitnou vodu více než 102 tis. obyvatelům a hodnota VIM podle VÚME činí 4,4 mld. Kč. </w:t>
      </w:r>
    </w:p>
    <w:p w14:paraId="7CDB75B3" w14:textId="77777777" w:rsidR="000963DD" w:rsidRDefault="000963DD" w:rsidP="000963DD">
      <w:pPr>
        <w:pStyle w:val="Normlnzprva"/>
        <w:rPr>
          <w:noProof/>
        </w:rPr>
      </w:pPr>
    </w:p>
    <w:p w14:paraId="0A3F5356" w14:textId="2CE3A03A" w:rsidR="000963DD" w:rsidRPr="00BF3B37" w:rsidRDefault="000963DD" w:rsidP="000963DD">
      <w:pPr>
        <w:pStyle w:val="Normlnzprva"/>
        <w:rPr>
          <w:noProof/>
        </w:rPr>
      </w:pPr>
      <w:r>
        <w:rPr>
          <w:noProof/>
        </w:rPr>
        <w:t xml:space="preserve">Další anomálie souvisejí s nastavením obchodního vztahu mezi vlastníkem </w:t>
      </w:r>
      <w:r w:rsidR="009A3BB2">
        <w:rPr>
          <w:noProof/>
        </w:rPr>
        <w:br/>
      </w:r>
      <w:r>
        <w:rPr>
          <w:noProof/>
        </w:rPr>
        <w:t>a provozovatelem, případně s chyb</w:t>
      </w:r>
      <w:r w:rsidR="004E369D">
        <w:rPr>
          <w:noProof/>
        </w:rPr>
        <w:t>am</w:t>
      </w:r>
      <w:r>
        <w:rPr>
          <w:noProof/>
        </w:rPr>
        <w:t xml:space="preserve">i vykazování. </w:t>
      </w:r>
    </w:p>
    <w:p w14:paraId="3A6CAEBC" w14:textId="77777777" w:rsidR="000963DD" w:rsidRPr="00891968" w:rsidRDefault="000963DD" w:rsidP="000963DD">
      <w:pPr>
        <w:pStyle w:val="Normlnzprva"/>
      </w:pPr>
    </w:p>
    <w:p w14:paraId="76782761" w14:textId="77777777" w:rsidR="000A74FC" w:rsidRPr="00C62639" w:rsidRDefault="000963DD" w:rsidP="000963DD">
      <w:pPr>
        <w:pStyle w:val="Normlnzprva"/>
        <w:rPr>
          <w:rFonts w:asciiTheme="minorHAnsi" w:hAnsiTheme="minorHAnsi"/>
          <w:noProof/>
          <w:szCs w:val="20"/>
        </w:rPr>
      </w:pPr>
      <w:r w:rsidRPr="00934258">
        <w:rPr>
          <w:noProof/>
        </w:rPr>
        <w:t xml:space="preserve"> </w:t>
      </w:r>
      <w:r>
        <w:rPr>
          <w:noProof/>
        </w:rPr>
        <w:t xml:space="preserve">Pro ucelení přehledu dále uvádíme graf znázorňující situaci v rámci jednotlivých skupin. </w:t>
      </w:r>
      <w:r w:rsidR="000A74FC" w:rsidRPr="00C62639">
        <w:rPr>
          <w:rFonts w:asciiTheme="minorHAnsi" w:hAnsiTheme="minorHAnsi"/>
          <w:noProof/>
        </w:rPr>
        <w:br w:type="page"/>
      </w:r>
    </w:p>
    <w:p w14:paraId="7A8BA035" w14:textId="77777777" w:rsidR="00F609A7" w:rsidRPr="00C62639" w:rsidRDefault="00F609A7">
      <w:pPr>
        <w:spacing w:before="0" w:after="0"/>
        <w:contextualSpacing w:val="0"/>
        <w:jc w:val="left"/>
        <w:rPr>
          <w:rFonts w:asciiTheme="minorHAnsi" w:hAnsiTheme="minorHAnsi"/>
          <w:noProof/>
          <w:szCs w:val="20"/>
        </w:rPr>
      </w:pPr>
      <w:r w:rsidRPr="00C62639">
        <w:rPr>
          <w:rFonts w:asciiTheme="minorHAnsi" w:hAnsiTheme="minorHAnsi"/>
          <w:noProof/>
          <w:lang w:eastAsia="cs-CZ"/>
        </w:rPr>
        <w:lastRenderedPageBreak/>
        <w:drawing>
          <wp:anchor distT="0" distB="0" distL="114300" distR="114300" simplePos="0" relativeHeight="251653632" behindDoc="0" locked="0" layoutInCell="1" allowOverlap="1" wp14:anchorId="12A7938C" wp14:editId="41D418EF">
            <wp:simplePos x="0" y="0"/>
            <wp:positionH relativeFrom="column">
              <wp:posOffset>2730</wp:posOffset>
            </wp:positionH>
            <wp:positionV relativeFrom="paragraph">
              <wp:posOffset>2730</wp:posOffset>
            </wp:positionV>
            <wp:extent cx="6081354" cy="7861300"/>
            <wp:effectExtent l="0" t="0" r="0" b="0"/>
            <wp:wrapTopAndBottom/>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C62639">
        <w:rPr>
          <w:rFonts w:asciiTheme="minorHAnsi" w:hAnsiTheme="minorHAnsi"/>
          <w:noProof/>
        </w:rPr>
        <w:br w:type="page"/>
      </w:r>
    </w:p>
    <w:p w14:paraId="4D8DEB07" w14:textId="77777777" w:rsidR="00C1539B" w:rsidRPr="00C62639" w:rsidRDefault="00C1539B" w:rsidP="00C1539B">
      <w:pPr>
        <w:pStyle w:val="Nadpis3"/>
        <w:rPr>
          <w:rFonts w:asciiTheme="minorHAnsi" w:hAnsiTheme="minorHAnsi"/>
          <w:noProof/>
        </w:rPr>
      </w:pPr>
      <w:bookmarkStart w:id="35" w:name="_Toc505684422"/>
      <w:r w:rsidRPr="00C62639">
        <w:rPr>
          <w:rFonts w:asciiTheme="minorHAnsi" w:hAnsiTheme="minorHAnsi"/>
          <w:noProof/>
        </w:rPr>
        <w:lastRenderedPageBreak/>
        <w:t>Kanalizace</w:t>
      </w:r>
      <w:bookmarkEnd w:id="35"/>
    </w:p>
    <w:p w14:paraId="587E3A24" w14:textId="7D0866B4" w:rsidR="00A31136" w:rsidRPr="00CE5B91" w:rsidRDefault="00CE5B91" w:rsidP="004E369D">
      <w:pPr>
        <w:pStyle w:val="Normlnzprva"/>
        <w:rPr>
          <w:rFonts w:asciiTheme="minorHAnsi" w:hAnsiTheme="minorHAnsi"/>
          <w:noProof/>
        </w:rPr>
      </w:pPr>
      <w:r w:rsidRPr="00CE5B91">
        <w:t xml:space="preserve">V rámci benchmarkingu vlastnických subjektů v části týkající se kanalizace bylo posuzováno 1857 ks Porovnání, která představovala 92,59% podíl trhu stanovený na základě fakturovaného množství odváděných odpadních vod a srážkových vod (tj. 462,85 </w:t>
      </w:r>
      <w:r w:rsidR="00E27252">
        <w:t>mil. m</w:t>
      </w:r>
      <w:r w:rsidR="00E27252" w:rsidRPr="00E27252">
        <w:rPr>
          <w:vertAlign w:val="superscript"/>
        </w:rPr>
        <w:t>3</w:t>
      </w:r>
      <w:r w:rsidRPr="00CE5B91">
        <w:t>, viz bod 4.1). Celkem se vyskytuje alespoň jedna anomálie v 96,77 % z celkového počtu analyzovaných Porovnání, tj. na 1797 Porovnáních.</w:t>
      </w:r>
    </w:p>
    <w:p w14:paraId="7D8965AB" w14:textId="77777777" w:rsidR="00E52893" w:rsidRPr="00C62639" w:rsidRDefault="007A0E71" w:rsidP="00E52893">
      <w:pPr>
        <w:rPr>
          <w:rFonts w:asciiTheme="minorHAnsi" w:hAnsiTheme="minorHAnsi"/>
          <w:noProof/>
        </w:rPr>
      </w:pPr>
      <w:r w:rsidRPr="00C62639">
        <w:rPr>
          <w:rFonts w:asciiTheme="minorHAnsi" w:hAnsiTheme="minorHAnsi"/>
          <w:noProof/>
        </w:rPr>
        <w:tab/>
      </w:r>
    </w:p>
    <w:p w14:paraId="1B0E5539" w14:textId="77777777" w:rsidR="00CE5B91" w:rsidRPr="00C62639" w:rsidRDefault="00CE5B91" w:rsidP="004E369D">
      <w:pPr>
        <w:pStyle w:val="Normlnzprva"/>
        <w:rPr>
          <w:rFonts w:asciiTheme="minorHAnsi" w:hAnsiTheme="minorHAnsi"/>
          <w:noProof/>
        </w:rPr>
      </w:pPr>
      <w:r w:rsidRPr="00DD5A8B">
        <w:t xml:space="preserve">Níže uvedený graf znázorňuje výskyt alespoň jedné anomálie podle podílu na trhu. Z hlediska objemu </w:t>
      </w:r>
      <w:r>
        <w:t>odpadní</w:t>
      </w:r>
      <w:r w:rsidRPr="00DD5A8B">
        <w:t xml:space="preserve"> a srážkové vody fakturované lze konstatovat, že jen 30 % analyzovaného trhu není </w:t>
      </w:r>
      <w:r>
        <w:t>ovlivněno</w:t>
      </w:r>
      <w:r w:rsidRPr="00DD5A8B">
        <w:t xml:space="preserve"> výskytem anomálie.</w:t>
      </w:r>
    </w:p>
    <w:p w14:paraId="0FE8282D" w14:textId="5A1B87AB" w:rsidR="00A87BC2" w:rsidRPr="00C62639" w:rsidRDefault="00240BC4" w:rsidP="007A0E71">
      <w:pPr>
        <w:ind w:firstLine="567"/>
        <w:rPr>
          <w:rFonts w:asciiTheme="minorHAnsi" w:hAnsiTheme="minorHAnsi"/>
          <w:noProof/>
        </w:rPr>
      </w:pPr>
      <w:r>
        <w:rPr>
          <w:noProof/>
          <w:lang w:eastAsia="cs-CZ"/>
        </w:rPr>
        <w:drawing>
          <wp:anchor distT="0" distB="0" distL="114300" distR="114300" simplePos="0" relativeHeight="251696128" behindDoc="0" locked="0" layoutInCell="1" allowOverlap="1" wp14:anchorId="56A01E53" wp14:editId="7E240B57">
            <wp:simplePos x="0" y="0"/>
            <wp:positionH relativeFrom="column">
              <wp:posOffset>641568</wp:posOffset>
            </wp:positionH>
            <wp:positionV relativeFrom="margin">
              <wp:posOffset>2671445</wp:posOffset>
            </wp:positionV>
            <wp:extent cx="4314092" cy="3548184"/>
            <wp:effectExtent l="0" t="0" r="0" b="0"/>
            <wp:wrapTopAndBottom/>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585A103A" w14:textId="77777777" w:rsidR="00A87BC2" w:rsidRPr="00C62639" w:rsidRDefault="00A87BC2" w:rsidP="007A0E71">
      <w:pPr>
        <w:ind w:firstLine="567"/>
        <w:rPr>
          <w:rFonts w:asciiTheme="minorHAnsi" w:hAnsiTheme="minorHAnsi"/>
          <w:noProof/>
        </w:rPr>
      </w:pPr>
    </w:p>
    <w:p w14:paraId="122D5EA9" w14:textId="6B4D54FD" w:rsidR="008B2A1B" w:rsidRPr="00C62639" w:rsidRDefault="004E369D" w:rsidP="004E369D">
      <w:pPr>
        <w:pStyle w:val="Normlnzprva"/>
        <w:rPr>
          <w:noProof/>
        </w:rPr>
      </w:pPr>
      <w:r>
        <w:rPr>
          <w:rStyle w:val="NormlnzprvaChar"/>
        </w:rPr>
        <w:t xml:space="preserve">       </w:t>
      </w:r>
      <w:r w:rsidR="00A87BC2" w:rsidRPr="004E369D">
        <w:rPr>
          <w:rStyle w:val="NormlnzprvaChar"/>
        </w:rPr>
        <w:t>V rámci benchmarkingu vlastnických subjektů, byla analýza zaměřená především na</w:t>
      </w:r>
      <w:r w:rsidR="00B26631" w:rsidRPr="004E369D">
        <w:rPr>
          <w:rStyle w:val="NormlnzprvaChar"/>
        </w:rPr>
        <w:t xml:space="preserve"> </w:t>
      </w:r>
      <w:r w:rsidR="00A87BC2" w:rsidRPr="004E369D">
        <w:rPr>
          <w:rStyle w:val="NormlnzprvaChar"/>
        </w:rPr>
        <w:t>zjišťování potenciálních skutečností, které mohou zamezovat plnění hlavního záměru</w:t>
      </w:r>
      <w:r w:rsidR="00A87BC2" w:rsidRPr="00C62639">
        <w:rPr>
          <w:noProof/>
        </w:rPr>
        <w:t xml:space="preserve"> regulace – dosažení samofinancovatelnosti VIM. Pro reálnejší posouzení schopnosti</w:t>
      </w:r>
      <w:r w:rsidR="00B26631">
        <w:rPr>
          <w:noProof/>
        </w:rPr>
        <w:t xml:space="preserve"> </w:t>
      </w:r>
      <w:r w:rsidR="00A87BC2" w:rsidRPr="00C62639">
        <w:rPr>
          <w:noProof/>
        </w:rPr>
        <w:t>analyzovaných Porovnání (jednotlivých obchodních vztahů vlastníků, provozovatelů a odběratelů služeb), plnit uvedený záměr, byla hodnocena především dostatečnost / nedostatečnost</w:t>
      </w:r>
      <w:r w:rsidR="00B26631">
        <w:rPr>
          <w:noProof/>
        </w:rPr>
        <w:t xml:space="preserve"> </w:t>
      </w:r>
      <w:r w:rsidR="00A87BC2" w:rsidRPr="00C62639">
        <w:rPr>
          <w:noProof/>
        </w:rPr>
        <w:t>tvorby prostředků na obnovu.</w:t>
      </w:r>
      <w:r w:rsidR="00B26631">
        <w:rPr>
          <w:noProof/>
        </w:rPr>
        <w:t xml:space="preserve"> </w:t>
      </w:r>
      <w:r w:rsidR="008B2A1B" w:rsidRPr="00C62639">
        <w:rPr>
          <w:noProof/>
        </w:rPr>
        <w:t>Aby vlastníci VIM zabezpečili obnovu, měli by se prioritně, v závisloti na aplikovaném modelu provozování, zaměřit na nastavení ceny pro stočné. Její výše by měla obsahovat</w:t>
      </w:r>
      <w:r w:rsidR="00CE5B91">
        <w:rPr>
          <w:noProof/>
        </w:rPr>
        <w:t xml:space="preserve"> plnou výši</w:t>
      </w:r>
      <w:r w:rsidR="00B26631">
        <w:rPr>
          <w:noProof/>
        </w:rPr>
        <w:t xml:space="preserve"> </w:t>
      </w:r>
      <w:r w:rsidR="008B2A1B" w:rsidRPr="00C62639">
        <w:rPr>
          <w:noProof/>
        </w:rPr>
        <w:t>všech související</w:t>
      </w:r>
      <w:r w:rsidR="00CE5B91">
        <w:rPr>
          <w:noProof/>
        </w:rPr>
        <w:t xml:space="preserve">ch ekonomicky oprávněných </w:t>
      </w:r>
      <w:r w:rsidR="008B2A1B" w:rsidRPr="00C62639">
        <w:rPr>
          <w:noProof/>
        </w:rPr>
        <w:t>náklad</w:t>
      </w:r>
      <w:r>
        <w:rPr>
          <w:noProof/>
        </w:rPr>
        <w:t>ů</w:t>
      </w:r>
      <w:r w:rsidR="008B2A1B" w:rsidRPr="00C62639">
        <w:rPr>
          <w:noProof/>
        </w:rPr>
        <w:t xml:space="preserve">, včetně nájemného v odpovídající výši (v případě oddílného a kombinovaného modelu provozování), odpisů VIM, nákladů na opravy, prostředků na obnovu (výše definována podle plánu </w:t>
      </w:r>
      <w:r w:rsidR="008B2A1B" w:rsidRPr="00C62639">
        <w:rPr>
          <w:noProof/>
        </w:rPr>
        <w:lastRenderedPageBreak/>
        <w:t>financování obnovy pro daný rok) a kalkulačního zisku (výpočet výše podle cenového výměru MF).</w:t>
      </w:r>
      <w:r w:rsidR="00B26631">
        <w:rPr>
          <w:noProof/>
        </w:rPr>
        <w:t xml:space="preserve"> </w:t>
      </w:r>
    </w:p>
    <w:p w14:paraId="719527D9" w14:textId="77777777" w:rsidR="00B3794D" w:rsidRPr="00CE5B91" w:rsidRDefault="004D5780" w:rsidP="004E369D">
      <w:pPr>
        <w:pStyle w:val="Normlnzprva"/>
      </w:pPr>
      <w:r w:rsidRPr="00C62639">
        <w:rPr>
          <w:noProof/>
          <w:lang w:eastAsia="cs-CZ"/>
        </w:rPr>
        <w:drawing>
          <wp:anchor distT="0" distB="0" distL="114300" distR="114300" simplePos="0" relativeHeight="251649536" behindDoc="0" locked="0" layoutInCell="1" allowOverlap="0" wp14:anchorId="0C2DE004" wp14:editId="4E20C480">
            <wp:simplePos x="0" y="0"/>
            <wp:positionH relativeFrom="margin">
              <wp:align>center</wp:align>
            </wp:positionH>
            <wp:positionV relativeFrom="paragraph">
              <wp:posOffset>1249680</wp:posOffset>
            </wp:positionV>
            <wp:extent cx="7087870" cy="3505835"/>
            <wp:effectExtent l="0" t="0" r="0" b="0"/>
            <wp:wrapTopAndBottom/>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7087870" cy="350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5B91" w:rsidRPr="00CE5B91">
        <w:rPr>
          <w:rStyle w:val="normlntextvodstavcchChar"/>
        </w:rPr>
        <w:t xml:space="preserve"> </w:t>
      </w:r>
      <w:r w:rsidR="00CE5B91" w:rsidRPr="002D50EE">
        <w:rPr>
          <w:rStyle w:val="normlntextvodstavcchChar"/>
        </w:rPr>
        <w:t>Následující tabulka uv</w:t>
      </w:r>
      <w:r w:rsidR="00CE5B91">
        <w:rPr>
          <w:rStyle w:val="normlntextvodstavcchChar"/>
        </w:rPr>
        <w:t xml:space="preserve">ádí četnost výskytu </w:t>
      </w:r>
      <w:r w:rsidR="00CE5B91" w:rsidRPr="002D50EE">
        <w:rPr>
          <w:rStyle w:val="normlntextvodstavcchChar"/>
        </w:rPr>
        <w:t xml:space="preserve">identifikovaných anomálií </w:t>
      </w:r>
      <w:r w:rsidR="00CE5B91" w:rsidRPr="002D50EE">
        <w:rPr>
          <w:rStyle w:val="normlntextvodstavcchChar"/>
        </w:rPr>
        <w:br/>
        <w:t>v analyzovaných Porovnáních</w:t>
      </w:r>
      <w:r w:rsidR="00CE5B91">
        <w:rPr>
          <w:rStyle w:val="normlntextvodstavcchChar"/>
        </w:rPr>
        <w:t xml:space="preserve">. Kromě anomálií souvisejících s </w:t>
      </w:r>
      <w:r w:rsidR="00CE5B91" w:rsidRPr="002D50EE">
        <w:rPr>
          <w:rStyle w:val="normlntextvodstavcchChar"/>
        </w:rPr>
        <w:t>nedostatečn</w:t>
      </w:r>
      <w:r w:rsidR="00CE5B91">
        <w:rPr>
          <w:rStyle w:val="normlntextvodstavcchChar"/>
        </w:rPr>
        <w:t>ou</w:t>
      </w:r>
      <w:r w:rsidR="00CE5B91" w:rsidRPr="002D50EE">
        <w:rPr>
          <w:rStyle w:val="normlntextvodstavcchChar"/>
        </w:rPr>
        <w:t xml:space="preserve"> tvorb</w:t>
      </w:r>
      <w:r w:rsidR="00CE5B91">
        <w:rPr>
          <w:rStyle w:val="normlntextvodstavcchChar"/>
        </w:rPr>
        <w:t>ou prostředků na obnovu, popř.</w:t>
      </w:r>
      <w:r w:rsidR="00CE5B91" w:rsidRPr="002D50EE">
        <w:rPr>
          <w:rStyle w:val="normlntextvodstavcchChar"/>
        </w:rPr>
        <w:t xml:space="preserve"> </w:t>
      </w:r>
      <w:r w:rsidR="00CE5B91">
        <w:rPr>
          <w:rStyle w:val="normlntextvodstavcchChar"/>
        </w:rPr>
        <w:t>signalizujících</w:t>
      </w:r>
      <w:r w:rsidR="00CE5B91" w:rsidRPr="002D50EE">
        <w:rPr>
          <w:rStyle w:val="normlntextvodstavcchChar"/>
        </w:rPr>
        <w:t xml:space="preserve"> </w:t>
      </w:r>
      <w:r w:rsidR="00CE5B91">
        <w:rPr>
          <w:rStyle w:val="normlntextvodstavcchChar"/>
        </w:rPr>
        <w:t xml:space="preserve">nevyvážené </w:t>
      </w:r>
      <w:r w:rsidR="00CE5B91" w:rsidRPr="002D50EE">
        <w:rPr>
          <w:rStyle w:val="normlntextvodstavcchChar"/>
        </w:rPr>
        <w:t>nastavení obchodních vztahů mezi vlastníky a provozovatel</w:t>
      </w:r>
      <w:r w:rsidR="00CE5B91">
        <w:rPr>
          <w:rStyle w:val="normlntextvodstavcchChar"/>
        </w:rPr>
        <w:t>i, byly identifikovány</w:t>
      </w:r>
      <w:r w:rsidR="00CE5B91" w:rsidRPr="002D50EE">
        <w:rPr>
          <w:rStyle w:val="normlntextvodstavcchChar"/>
        </w:rPr>
        <w:t xml:space="preserve"> anomálie </w:t>
      </w:r>
      <w:r w:rsidR="00CE5B91">
        <w:rPr>
          <w:rStyle w:val="normlntextvodstavcchChar"/>
        </w:rPr>
        <w:t xml:space="preserve">poukazující na špatný </w:t>
      </w:r>
      <w:r w:rsidR="00CE5B91" w:rsidRPr="002D50EE">
        <w:rPr>
          <w:rStyle w:val="normlntextvodstavcchChar"/>
        </w:rPr>
        <w:t xml:space="preserve">stav </w:t>
      </w:r>
      <w:r w:rsidR="00CE5B91">
        <w:rPr>
          <w:rStyle w:val="normlntextvodstavcchChar"/>
        </w:rPr>
        <w:t>VIM</w:t>
      </w:r>
      <w:r w:rsidR="00CE5B91" w:rsidRPr="002D50EE">
        <w:rPr>
          <w:rStyle w:val="normlntextvodstavcchChar"/>
        </w:rPr>
        <w:t xml:space="preserve"> a </w:t>
      </w:r>
      <w:r w:rsidR="00CE5B91">
        <w:rPr>
          <w:rStyle w:val="normlntextvodstavcchChar"/>
        </w:rPr>
        <w:t>na</w:t>
      </w:r>
      <w:r w:rsidR="00CE5B91" w:rsidRPr="002D50EE">
        <w:rPr>
          <w:rStyle w:val="normlntextvodstavcchChar"/>
        </w:rPr>
        <w:t xml:space="preserve"> rozhodnutí vlastníka VIM nevybírat stočné a ne</w:t>
      </w:r>
      <w:r w:rsidR="00CE5B91">
        <w:rPr>
          <w:rStyle w:val="normlntextvodstavcchChar"/>
        </w:rPr>
        <w:t>vykazovat</w:t>
      </w:r>
      <w:r w:rsidR="00CE5B91" w:rsidRPr="002D50EE">
        <w:rPr>
          <w:rStyle w:val="normlntextvodstavcchChar"/>
        </w:rPr>
        <w:t xml:space="preserve"> </w:t>
      </w:r>
      <w:r w:rsidR="00CE5B91">
        <w:rPr>
          <w:rStyle w:val="normlntextvodstavcchChar"/>
        </w:rPr>
        <w:t>množství fakturované vody.</w:t>
      </w:r>
      <w:r w:rsidR="00B3794D" w:rsidRPr="00C62639">
        <w:rPr>
          <w:rFonts w:cs="Calibri"/>
          <w:noProof/>
        </w:rPr>
        <w:t xml:space="preserve"> </w:t>
      </w:r>
    </w:p>
    <w:p w14:paraId="0226A15A" w14:textId="77777777" w:rsidR="007A0E71" w:rsidRPr="00C62639" w:rsidRDefault="007A0E71" w:rsidP="00E52893">
      <w:pPr>
        <w:rPr>
          <w:rFonts w:asciiTheme="minorHAnsi" w:hAnsiTheme="minorHAnsi"/>
          <w:noProof/>
        </w:rPr>
      </w:pPr>
    </w:p>
    <w:p w14:paraId="1F08B45E" w14:textId="739F4FBA" w:rsidR="00CE5B91" w:rsidRDefault="00CE5B91" w:rsidP="00CE5B91">
      <w:pPr>
        <w:pStyle w:val="Normlnzprva"/>
        <w:rPr>
          <w:rStyle w:val="normlntextvodstavcchChar"/>
        </w:rPr>
      </w:pPr>
      <w:r>
        <w:rPr>
          <w:noProof/>
        </w:rPr>
        <w:t>Nejvýz</w:t>
      </w:r>
      <w:r w:rsidR="004E369D">
        <w:rPr>
          <w:noProof/>
        </w:rPr>
        <w:t>n</w:t>
      </w:r>
      <w:r>
        <w:rPr>
          <w:noProof/>
        </w:rPr>
        <w:t xml:space="preserve">amnější anomálií, určenou podle objemu fakturované odpadní a srážkové vody na Porovnání, je </w:t>
      </w:r>
      <w:r w:rsidRPr="00811798">
        <w:rPr>
          <w:b/>
          <w:noProof/>
        </w:rPr>
        <w:t>vysoký poč</w:t>
      </w:r>
      <w:r>
        <w:rPr>
          <w:b/>
          <w:noProof/>
        </w:rPr>
        <w:t>e</w:t>
      </w:r>
      <w:r w:rsidRPr="00811798">
        <w:rPr>
          <w:b/>
          <w:noProof/>
        </w:rPr>
        <w:t>t poruch na 1 km stokové sítě</w:t>
      </w:r>
      <w:r>
        <w:rPr>
          <w:noProof/>
        </w:rPr>
        <w:t>. Četnost výskytu činí jen</w:t>
      </w:r>
      <w:r w:rsidR="00B26631">
        <w:rPr>
          <w:noProof/>
        </w:rPr>
        <w:t xml:space="preserve"> </w:t>
      </w:r>
      <w:r>
        <w:rPr>
          <w:noProof/>
        </w:rPr>
        <w:t>13 % analyzovaných Porovnání, tj. 244 Porovnání.</w:t>
      </w:r>
      <w:r w:rsidRPr="00322BCB">
        <w:rPr>
          <w:rStyle w:val="normlntextvodstavcchChar"/>
        </w:rPr>
        <w:t xml:space="preserve"> Necelých 90</w:t>
      </w:r>
      <w:r>
        <w:rPr>
          <w:rStyle w:val="normlntextvodstavcchChar"/>
        </w:rPr>
        <w:t xml:space="preserve"> </w:t>
      </w:r>
      <w:r w:rsidRPr="00322BCB">
        <w:rPr>
          <w:rStyle w:val="normlntextvodstavcchChar"/>
        </w:rPr>
        <w:t>%</w:t>
      </w:r>
      <w:r w:rsidR="00B26631">
        <w:rPr>
          <w:rStyle w:val="normlntextvodstavcchChar"/>
        </w:rPr>
        <w:t xml:space="preserve"> </w:t>
      </w:r>
      <w:r w:rsidRPr="00322BCB">
        <w:rPr>
          <w:rStyle w:val="normlntextvodstavcchChar"/>
        </w:rPr>
        <w:t>objemu</w:t>
      </w:r>
      <w:r>
        <w:rPr>
          <w:rStyle w:val="normlntextvodstavcchChar"/>
        </w:rPr>
        <w:t xml:space="preserve"> fakturované vody u této anomálie je vykázáno na</w:t>
      </w:r>
      <w:r w:rsidRPr="00322BCB">
        <w:rPr>
          <w:rStyle w:val="normlntextvodstavcchChar"/>
        </w:rPr>
        <w:t xml:space="preserve"> 19</w:t>
      </w:r>
      <w:r>
        <w:rPr>
          <w:rStyle w:val="normlntextvodstavcchChar"/>
        </w:rPr>
        <w:t xml:space="preserve"> Porovnání z I. a II. skupiny (s </w:t>
      </w:r>
      <w:r w:rsidRPr="00322BCB">
        <w:rPr>
          <w:rStyle w:val="normlntextvodstavcchChar"/>
        </w:rPr>
        <w:t>hodnotou majetku</w:t>
      </w:r>
      <w:r>
        <w:rPr>
          <w:rStyle w:val="normlntextvodstavcchChar"/>
        </w:rPr>
        <w:t xml:space="preserve"> vyšší než</w:t>
      </w:r>
      <w:r w:rsidRPr="00322BCB">
        <w:rPr>
          <w:rStyle w:val="normlntextvodstavcchChar"/>
        </w:rPr>
        <w:t xml:space="preserve"> 1 mld. Kč.</w:t>
      </w:r>
      <w:r>
        <w:rPr>
          <w:rStyle w:val="normlntextvodstavcchChar"/>
        </w:rPr>
        <w:t>)</w:t>
      </w:r>
      <w:r w:rsidRPr="00322BCB">
        <w:rPr>
          <w:rStyle w:val="normlntextvodstavcchChar"/>
        </w:rPr>
        <w:t xml:space="preserve"> </w:t>
      </w:r>
      <w:r>
        <w:rPr>
          <w:rStyle w:val="normlntextvodstavcchChar"/>
        </w:rPr>
        <w:t>Nejvyšší počet Porovnání s touto anomálií je ve IV. vlastnické skupině</w:t>
      </w:r>
      <w:r w:rsidRPr="00322BCB">
        <w:rPr>
          <w:rStyle w:val="normlntextvodstavcchChar"/>
        </w:rPr>
        <w:t xml:space="preserve"> </w:t>
      </w:r>
      <w:r>
        <w:rPr>
          <w:rStyle w:val="normlntextvodstavcchChar"/>
        </w:rPr>
        <w:t>(</w:t>
      </w:r>
      <w:r w:rsidRPr="00322BCB">
        <w:rPr>
          <w:rStyle w:val="normlntextvodstavcchChar"/>
        </w:rPr>
        <w:t>s hodnotou majetku mezi 10 až 100 mil. Kč</w:t>
      </w:r>
      <w:r>
        <w:rPr>
          <w:rStyle w:val="normlntextvodstavcchChar"/>
        </w:rPr>
        <w:t>)</w:t>
      </w:r>
      <w:r w:rsidRPr="00322BCB">
        <w:rPr>
          <w:rStyle w:val="normlntextvodstavcchChar"/>
        </w:rPr>
        <w:t xml:space="preserve">. Vypovídací schopnost uvedeného ukazatele je ovlivněná faktem, že údaj o počtu poruch </w:t>
      </w:r>
      <w:r>
        <w:rPr>
          <w:rStyle w:val="normlntextvodstavcchChar"/>
        </w:rPr>
        <w:t>vykazoval</w:t>
      </w:r>
      <w:r w:rsidRPr="00322BCB">
        <w:rPr>
          <w:rStyle w:val="normlntextvodstavcchChar"/>
        </w:rPr>
        <w:t xml:space="preserve"> nulovou hodnotu na 1364 Porovnáních (73,4</w:t>
      </w:r>
      <w:r>
        <w:rPr>
          <w:rStyle w:val="normlntextvodstavcchChar"/>
        </w:rPr>
        <w:t xml:space="preserve"> </w:t>
      </w:r>
      <w:r w:rsidRPr="00322BCB">
        <w:rPr>
          <w:rStyle w:val="normlntextvodstavcchChar"/>
        </w:rPr>
        <w:t>%</w:t>
      </w:r>
      <w:r>
        <w:rPr>
          <w:rStyle w:val="normlntextvodstavcchChar"/>
        </w:rPr>
        <w:t xml:space="preserve"> analyzovaných Porovnání</w:t>
      </w:r>
      <w:r w:rsidRPr="00322BCB">
        <w:rPr>
          <w:rStyle w:val="normlntextvodstavcchChar"/>
        </w:rPr>
        <w:t>)</w:t>
      </w:r>
      <w:r>
        <w:rPr>
          <w:rStyle w:val="normlntextvodstavcchChar"/>
        </w:rPr>
        <w:t>.</w:t>
      </w:r>
      <w:r w:rsidRPr="00322BCB">
        <w:rPr>
          <w:rStyle w:val="normlntextvodstavcchChar"/>
        </w:rPr>
        <w:t xml:space="preserve"> </w:t>
      </w:r>
    </w:p>
    <w:p w14:paraId="2BFC363F" w14:textId="7D31D513" w:rsidR="00CE5B91" w:rsidRPr="004E369D" w:rsidRDefault="00CE5B91" w:rsidP="004E369D">
      <w:pPr>
        <w:pStyle w:val="Normlnzprva"/>
      </w:pPr>
      <w:r w:rsidRPr="00322BCB">
        <w:rPr>
          <w:rStyle w:val="normlntextvodstavcchChar"/>
        </w:rPr>
        <w:t>Na nesrovnalosti ve vykazování počtu poruch a nákladů na opravy upozorňuje</w:t>
      </w:r>
      <w:r>
        <w:rPr>
          <w:noProof/>
        </w:rPr>
        <w:t xml:space="preserve"> anomálie </w:t>
      </w:r>
      <w:r w:rsidRPr="00545B65">
        <w:rPr>
          <w:b/>
          <w:noProof/>
        </w:rPr>
        <w:t>nulový počet poruch + náklady na opravy nižší než průměrné náklady na odstranění poruch</w:t>
      </w:r>
      <w:r>
        <w:rPr>
          <w:b/>
          <w:noProof/>
        </w:rPr>
        <w:t>y</w:t>
      </w:r>
      <w:r w:rsidRPr="00545B65">
        <w:rPr>
          <w:b/>
          <w:noProof/>
        </w:rPr>
        <w:t>…</w:t>
      </w:r>
      <w:r>
        <w:rPr>
          <w:noProof/>
        </w:rPr>
        <w:t xml:space="preserve">, která byla identifikována na 469 Porovnáních (25,26 % analyzovaných Porovnání) a anomálie </w:t>
      </w:r>
      <w:r w:rsidRPr="00545B65">
        <w:rPr>
          <w:b/>
          <w:noProof/>
        </w:rPr>
        <w:t>nenulový počet poruch a nulové náklady na opravy</w:t>
      </w:r>
      <w:r>
        <w:rPr>
          <w:noProof/>
        </w:rPr>
        <w:t xml:space="preserve"> (60 Porovnání, tj. 3,23 % analyzovaných Porovnání). </w:t>
      </w:r>
      <w:r w:rsidRPr="004E369D">
        <w:t>Bohužel vzhledem k chybějícím i</w:t>
      </w:r>
      <w:r w:rsidR="004E369D" w:rsidRPr="004E369D">
        <w:t>nformacím o stáří a stavu majetk</w:t>
      </w:r>
      <w:r w:rsidRPr="004E369D">
        <w:t>u, není v možnostech MZe zhodnotit, zda výše vykazovaných poruch na</w:t>
      </w:r>
      <w:r w:rsidR="004E369D">
        <w:t xml:space="preserve"> 1 km sítě odpovídá stavu majetk</w:t>
      </w:r>
      <w:r w:rsidRPr="004E369D">
        <w:t xml:space="preserve">u. MZe se bude dále touto problematikou zabývat. </w:t>
      </w:r>
    </w:p>
    <w:p w14:paraId="05B9CCEE" w14:textId="7BC8324F" w:rsidR="00CE5B91" w:rsidRPr="004E369D" w:rsidRDefault="00CE5B91" w:rsidP="004E369D">
      <w:pPr>
        <w:pStyle w:val="Normlnzprva"/>
      </w:pPr>
      <w:r w:rsidRPr="004E369D">
        <w:lastRenderedPageBreak/>
        <w:t>V případě dalších anomálií se nesouměrnost v počtu výskytů anomálií a množ</w:t>
      </w:r>
      <w:r w:rsidR="004E369D">
        <w:t>s</w:t>
      </w:r>
      <w:r w:rsidRPr="004E369D">
        <w:t>tví fakturované odpadní a srážkové vody nevyskytuje. Výskyt anomálií je rovnoměrně rozložen napříč velikostními skupinami.</w:t>
      </w:r>
      <w:r w:rsidR="00B26631" w:rsidRPr="004E369D">
        <w:t xml:space="preserve"> </w:t>
      </w:r>
    </w:p>
    <w:p w14:paraId="43F78939" w14:textId="604306DD" w:rsidR="00CE5B91" w:rsidRDefault="00CE5B91" w:rsidP="00CE5B91">
      <w:pPr>
        <w:pStyle w:val="Normlnzprva"/>
        <w:rPr>
          <w:noProof/>
        </w:rPr>
      </w:pPr>
      <w:r>
        <w:rPr>
          <w:noProof/>
        </w:rPr>
        <w:t>Nejčastěji</w:t>
      </w:r>
      <w:r w:rsidRPr="00934258">
        <w:rPr>
          <w:noProof/>
        </w:rPr>
        <w:t xml:space="preserve"> se vyskytující anomálií</w:t>
      </w:r>
      <w:r>
        <w:rPr>
          <w:noProof/>
        </w:rPr>
        <w:t xml:space="preserve"> </w:t>
      </w:r>
      <w:r w:rsidRPr="00934258">
        <w:rPr>
          <w:noProof/>
        </w:rPr>
        <w:t xml:space="preserve">je </w:t>
      </w:r>
      <w:r w:rsidRPr="00934258">
        <w:rPr>
          <w:b/>
          <w:noProof/>
        </w:rPr>
        <w:t>nedostatečná tvorba prostředků na obnovu VIM, a to v případě 1</w:t>
      </w:r>
      <w:r>
        <w:rPr>
          <w:b/>
          <w:noProof/>
        </w:rPr>
        <w:t xml:space="preserve">603 </w:t>
      </w:r>
      <w:r w:rsidRPr="00934258">
        <w:rPr>
          <w:b/>
          <w:noProof/>
        </w:rPr>
        <w:t>analyzovaných Porovnání</w:t>
      </w:r>
      <w:r>
        <w:rPr>
          <w:noProof/>
        </w:rPr>
        <w:t>. Objem fakturované odpadní vody</w:t>
      </w:r>
      <w:r w:rsidR="00B26631">
        <w:rPr>
          <w:noProof/>
        </w:rPr>
        <w:t xml:space="preserve"> </w:t>
      </w:r>
      <w:r>
        <w:rPr>
          <w:noProof/>
        </w:rPr>
        <w:t>těchto Porovnání činil 74,51</w:t>
      </w:r>
      <w:r w:rsidRPr="00934258">
        <w:rPr>
          <w:noProof/>
        </w:rPr>
        <w:t xml:space="preserve"> </w:t>
      </w:r>
      <w:r w:rsidR="00E27252">
        <w:rPr>
          <w:noProof/>
        </w:rPr>
        <w:t>mil. m</w:t>
      </w:r>
      <w:r w:rsidR="00E27252" w:rsidRPr="00E27252">
        <w:rPr>
          <w:noProof/>
          <w:vertAlign w:val="superscript"/>
        </w:rPr>
        <w:t>3</w:t>
      </w:r>
      <w:r w:rsidRPr="00934258">
        <w:rPr>
          <w:noProof/>
        </w:rPr>
        <w:t xml:space="preserve">. </w:t>
      </w:r>
      <w:r>
        <w:rPr>
          <w:noProof/>
        </w:rPr>
        <w:t xml:space="preserve">Na 1002 Porovnáních (představující 15,14% podíl analyzovaného trhu) vlastníci VIM neuvedli požadované informace </w:t>
      </w:r>
      <w:r>
        <w:rPr>
          <w:b/>
          <w:noProof/>
        </w:rPr>
        <w:t>na řádku 20 o tvorbě a čerpání</w:t>
      </w:r>
      <w:r w:rsidRPr="005C3500">
        <w:rPr>
          <w:b/>
          <w:noProof/>
        </w:rPr>
        <w:t xml:space="preserve"> prostředků na obnovu</w:t>
      </w:r>
      <w:r>
        <w:rPr>
          <w:noProof/>
        </w:rPr>
        <w:t xml:space="preserve">. V případě aplikovaného smíšeného nebo kombinovaného modelu provozování vlastníci do ceny pro stočné </w:t>
      </w:r>
      <w:r w:rsidRPr="00143287">
        <w:rPr>
          <w:b/>
          <w:noProof/>
        </w:rPr>
        <w:t>nezapočetli odpisy, náklady na opravy a prostředky na obnovu</w:t>
      </w:r>
      <w:r>
        <w:rPr>
          <w:noProof/>
        </w:rPr>
        <w:t xml:space="preserve"> celkem na 230 Porovnáních (0,72% podíl analyzovaného trhu).</w:t>
      </w:r>
      <w:r w:rsidR="00B26631">
        <w:rPr>
          <w:noProof/>
        </w:rPr>
        <w:t xml:space="preserve"> </w:t>
      </w:r>
      <w:r>
        <w:rPr>
          <w:noProof/>
        </w:rPr>
        <w:t>Uvedené skutečnosti poukazují na problém přímo související s plněním záměru dosažení samofi</w:t>
      </w:r>
      <w:r w:rsidR="004E369D">
        <w:rPr>
          <w:noProof/>
        </w:rPr>
        <w:t>n</w:t>
      </w:r>
      <w:r>
        <w:rPr>
          <w:noProof/>
        </w:rPr>
        <w:t>ancovatelnosti oboru VaK a je možné usuzovat, že vlastníci neprovádějí systematickou plánovanou péči</w:t>
      </w:r>
      <w:r w:rsidR="00B26631">
        <w:rPr>
          <w:noProof/>
        </w:rPr>
        <w:t xml:space="preserve"> </w:t>
      </w:r>
      <w:r>
        <w:rPr>
          <w:noProof/>
        </w:rPr>
        <w:t xml:space="preserve">o VIM zahrnující plánované obnovující opravy, pravidelnou údržbu a investiční činnost, případně tyto činnosti nepovažují za prioritní. </w:t>
      </w:r>
    </w:p>
    <w:p w14:paraId="0A58237B" w14:textId="594F2797" w:rsidR="00CE5B91" w:rsidRPr="004E369D" w:rsidRDefault="00CE5B91" w:rsidP="004E369D">
      <w:pPr>
        <w:pStyle w:val="Normlnzprva"/>
      </w:pPr>
      <w:r w:rsidRPr="004E369D">
        <w:t>V případě 987 Porovnání</w:t>
      </w:r>
      <w:r w:rsidR="00B26631" w:rsidRPr="004E369D">
        <w:t xml:space="preserve"> </w:t>
      </w:r>
      <w:r w:rsidRPr="004E369D">
        <w:t>je vykázán záporný kalkulační zisk. I když se tato anomálie vyskytuje na 6,37% podílu analyzovaného trhu, je nutné, aby si dotčení vlastníci byli vědomi, že se připravují o jednu z možností, jak generovat dostatečné prostředky na obnovu VIM a plnit tak svoji zákonnou povinnost.</w:t>
      </w:r>
      <w:r w:rsidR="00B26631" w:rsidRPr="004E369D">
        <w:t xml:space="preserve"> </w:t>
      </w:r>
      <w:r w:rsidRPr="004E369D">
        <w:t>V některých případech se může jednat o rozhodnutí vlastníka, který disponuje příjmy z jiné neregulované činnosti. Pokud se ale vlastníci z dlouhodobě spol</w:t>
      </w:r>
      <w:r w:rsidR="004E369D">
        <w:t>é</w:t>
      </w:r>
      <w:r w:rsidRPr="004E369D">
        <w:t>h</w:t>
      </w:r>
      <w:r w:rsidR="004E369D">
        <w:t>a</w:t>
      </w:r>
      <w:r w:rsidRPr="004E369D">
        <w:t xml:space="preserve">jí na získaní potřebných prostředků na obnovu z dotačních titulů, nejedná se zodpovědný přístup. </w:t>
      </w:r>
    </w:p>
    <w:p w14:paraId="7255DC01" w14:textId="65D1EFE8" w:rsidR="00CE5B91" w:rsidRPr="004E369D" w:rsidRDefault="00CE5B91" w:rsidP="004E369D">
      <w:pPr>
        <w:pStyle w:val="Normlnzprva"/>
      </w:pPr>
      <w:r w:rsidRPr="004E369D">
        <w:t>Za chybný přístup lze považovat i případy, kdy vlastníci do ceny pro stočné (u oddílného</w:t>
      </w:r>
      <w:r w:rsidR="00B26631" w:rsidRPr="004E369D">
        <w:t xml:space="preserve"> </w:t>
      </w:r>
      <w:r w:rsidRPr="004E369D">
        <w:t xml:space="preserve">nebo kombinovaného modelu provozování) </w:t>
      </w:r>
      <w:r w:rsidR="004E369D" w:rsidRPr="004E369D">
        <w:rPr>
          <w:b/>
        </w:rPr>
        <w:t>nezapočítá</w:t>
      </w:r>
      <w:r w:rsidRPr="004E369D">
        <w:rPr>
          <w:b/>
        </w:rPr>
        <w:t>vají nájem</w:t>
      </w:r>
      <w:r w:rsidRPr="004E369D">
        <w:t xml:space="preserve">, případně je jeho hodnota záporná. Tato anomálie se vyskytuje na 6,51 % podílu analyzovaného trhu, a to v případě 109 Porovnání. </w:t>
      </w:r>
    </w:p>
    <w:p w14:paraId="62E606A6" w14:textId="155F4E1F" w:rsidR="00CE5B91" w:rsidRPr="004E369D" w:rsidRDefault="00CE5B91" w:rsidP="004E369D">
      <w:pPr>
        <w:pStyle w:val="Normlnzprva"/>
      </w:pPr>
      <w:r w:rsidRPr="004E369D">
        <w:t xml:space="preserve">Opakem této anomálie je kladná hodnota položky nájemné v kalkulaci ceny pro stočné v případě aplikovaného smíšeného modelu provozování nebo oddílného modelu se servisní smlouvou. Byla nalezena ve 29 Porovnáních (0,52% podíl trhu). Může se jednat o chybně vykázanou nákladovou položku, např. nájem jiného než </w:t>
      </w:r>
      <w:r w:rsidR="005F5EAF">
        <w:t>VIM</w:t>
      </w:r>
      <w:r w:rsidRPr="004E369D">
        <w:t xml:space="preserve">. </w:t>
      </w:r>
    </w:p>
    <w:p w14:paraId="2D9A0AE9" w14:textId="0444A7D9" w:rsidR="00CE5B91" w:rsidRDefault="00CE5B91" w:rsidP="004E369D">
      <w:pPr>
        <w:pStyle w:val="Normlnzprva"/>
        <w:rPr>
          <w:noProof/>
        </w:rPr>
      </w:pPr>
      <w:r>
        <w:rPr>
          <w:noProof/>
        </w:rPr>
        <w:t xml:space="preserve">Anomáliemi s významnějším dopadem dosažení samofinancování uktury jsou dále rozhodnutí vlastníků nevybírat stočné (70 Porovnání s vykázanou nulouvou cenou a 36 Porovnání s nulovým fakturovaným množstvím). </w:t>
      </w:r>
    </w:p>
    <w:p w14:paraId="09A1691C" w14:textId="471DA4AB" w:rsidR="00CE5B91" w:rsidRDefault="00CE5B91" w:rsidP="004E369D">
      <w:pPr>
        <w:pStyle w:val="Normlnzprva"/>
      </w:pPr>
      <w:r w:rsidRPr="00A17A52">
        <w:t>Výskyt uvedených anomálií dokazuje, že dochází k výraznému dotování ceny pro stočné a odkládání tvorby prostředků na obnovu VIM. Tato situace je závažná nejenom z pohledu</w:t>
      </w:r>
      <w:r w:rsidR="00B26631">
        <w:t xml:space="preserve"> </w:t>
      </w:r>
      <w:r>
        <w:t>hodnocení plnění cílů</w:t>
      </w:r>
      <w:r w:rsidRPr="00A17A52">
        <w:t xml:space="preserve"> regulace (samofinancovatelnost a o</w:t>
      </w:r>
      <w:r w:rsidR="00027EB4">
        <w:t xml:space="preserve">bnova VIM) jako takových, ale </w:t>
      </w:r>
      <w:r w:rsidRPr="00A17A52">
        <w:t xml:space="preserve">dlouhodobě může poukazovat na riziko neúměrného zatížení budoucích generací náklady na obnovu VIM, popř. na riziko nárůstu požadavků na poskytování státních dotací. </w:t>
      </w:r>
    </w:p>
    <w:p w14:paraId="104A1032" w14:textId="77777777" w:rsidR="00CE5B91" w:rsidRPr="004810C9" w:rsidRDefault="00CE5B91" w:rsidP="004E369D">
      <w:pPr>
        <w:pStyle w:val="Normlnzprva"/>
        <w:rPr>
          <w:noProof/>
        </w:rPr>
      </w:pPr>
      <w:r w:rsidRPr="004810C9">
        <w:rPr>
          <w:noProof/>
        </w:rPr>
        <w:t>Regulátor by se měl zam</w:t>
      </w:r>
      <w:r>
        <w:rPr>
          <w:noProof/>
        </w:rPr>
        <w:t>ěřit na úpravu platného mechanis</w:t>
      </w:r>
      <w:r w:rsidRPr="004810C9">
        <w:rPr>
          <w:noProof/>
        </w:rPr>
        <w:t xml:space="preserve">mu pro výpočet ceny </w:t>
      </w:r>
      <w:r>
        <w:rPr>
          <w:noProof/>
        </w:rPr>
        <w:t>pro stočné. V rámci této úpravy</w:t>
      </w:r>
      <w:r w:rsidRPr="004810C9">
        <w:rPr>
          <w:noProof/>
        </w:rPr>
        <w:t xml:space="preserve"> by bylo</w:t>
      </w:r>
      <w:r>
        <w:rPr>
          <w:noProof/>
        </w:rPr>
        <w:t xml:space="preserve"> vhodné blíže specifikovat</w:t>
      </w:r>
      <w:r w:rsidRPr="004810C9">
        <w:rPr>
          <w:noProof/>
        </w:rPr>
        <w:t xml:space="preserve"> zásady</w:t>
      </w:r>
      <w:r>
        <w:rPr>
          <w:noProof/>
        </w:rPr>
        <w:t xml:space="preserve"> postupu využití</w:t>
      </w:r>
      <w:r w:rsidRPr="004810C9">
        <w:rPr>
          <w:noProof/>
        </w:rPr>
        <w:t xml:space="preserve"> zápor</w:t>
      </w:r>
      <w:r>
        <w:rPr>
          <w:noProof/>
        </w:rPr>
        <w:t>ného</w:t>
      </w:r>
      <w:r w:rsidRPr="004810C9">
        <w:rPr>
          <w:noProof/>
        </w:rPr>
        <w:t xml:space="preserve"> </w:t>
      </w:r>
      <w:r w:rsidRPr="004810C9">
        <w:rPr>
          <w:noProof/>
        </w:rPr>
        <w:lastRenderedPageBreak/>
        <w:t>kalkulační</w:t>
      </w:r>
      <w:r>
        <w:rPr>
          <w:noProof/>
        </w:rPr>
        <w:t>ho</w:t>
      </w:r>
      <w:r w:rsidRPr="004810C9">
        <w:rPr>
          <w:noProof/>
        </w:rPr>
        <w:t xml:space="preserve"> zisk</w:t>
      </w:r>
      <w:r>
        <w:rPr>
          <w:noProof/>
        </w:rPr>
        <w:t>u</w:t>
      </w:r>
      <w:r w:rsidRPr="004810C9">
        <w:rPr>
          <w:noProof/>
        </w:rPr>
        <w:t>, nulov</w:t>
      </w:r>
      <w:r>
        <w:rPr>
          <w:noProof/>
        </w:rPr>
        <w:t>ých</w:t>
      </w:r>
      <w:r w:rsidRPr="004810C9">
        <w:rPr>
          <w:noProof/>
        </w:rPr>
        <w:t xml:space="preserve"> prostředky </w:t>
      </w:r>
      <w:r>
        <w:rPr>
          <w:noProof/>
        </w:rPr>
        <w:t>financování plánu obnovy, nulových oprav</w:t>
      </w:r>
      <w:r w:rsidRPr="004810C9">
        <w:rPr>
          <w:noProof/>
        </w:rPr>
        <w:t xml:space="preserve"> a </w:t>
      </w:r>
      <w:r>
        <w:rPr>
          <w:noProof/>
        </w:rPr>
        <w:t xml:space="preserve">nízkého </w:t>
      </w:r>
      <w:r w:rsidRPr="004810C9">
        <w:rPr>
          <w:noProof/>
        </w:rPr>
        <w:t>nájem</w:t>
      </w:r>
      <w:r>
        <w:rPr>
          <w:noProof/>
        </w:rPr>
        <w:t>ného. Dalším úkolem</w:t>
      </w:r>
      <w:r w:rsidRPr="004810C9">
        <w:rPr>
          <w:noProof/>
        </w:rPr>
        <w:t xml:space="preserve"> by mělo být stanovení minimální požadované úrovně pravidelné </w:t>
      </w:r>
      <w:r>
        <w:rPr>
          <w:noProof/>
        </w:rPr>
        <w:t>péče</w:t>
      </w:r>
      <w:r w:rsidRPr="004810C9">
        <w:rPr>
          <w:noProof/>
        </w:rPr>
        <w:t xml:space="preserve"> o </w:t>
      </w:r>
      <w:r>
        <w:rPr>
          <w:noProof/>
        </w:rPr>
        <w:t>kanalizační</w:t>
      </w:r>
      <w:r w:rsidRPr="004810C9">
        <w:rPr>
          <w:noProof/>
        </w:rPr>
        <w:t xml:space="preserve"> sítě, která má vliv na ekonomi</w:t>
      </w:r>
      <w:r>
        <w:rPr>
          <w:noProof/>
        </w:rPr>
        <w:t xml:space="preserve">ckou stránku </w:t>
      </w:r>
      <w:r w:rsidRPr="004810C9">
        <w:rPr>
          <w:noProof/>
        </w:rPr>
        <w:t>provozu</w:t>
      </w:r>
      <w:r>
        <w:rPr>
          <w:noProof/>
        </w:rPr>
        <w:t>,</w:t>
      </w:r>
      <w:r w:rsidRPr="004810C9">
        <w:rPr>
          <w:noProof/>
        </w:rPr>
        <w:t xml:space="preserve"> na kvalitu poskytovaných služeb a přímo souvisí s problematikou obnovy VIM. </w:t>
      </w:r>
    </w:p>
    <w:p w14:paraId="045C0A69" w14:textId="77777777" w:rsidR="007A0E71" w:rsidRPr="00C62639" w:rsidRDefault="007A0E71" w:rsidP="004E369D">
      <w:pPr>
        <w:pStyle w:val="Normlnzprva"/>
        <w:rPr>
          <w:rFonts w:asciiTheme="minorHAnsi" w:hAnsiTheme="minorHAnsi"/>
          <w:noProof/>
        </w:rPr>
      </w:pPr>
    </w:p>
    <w:p w14:paraId="02D24FDA" w14:textId="6C0AC535" w:rsidR="00E52893" w:rsidRPr="00C62639" w:rsidRDefault="00CE5B91" w:rsidP="004E369D">
      <w:pPr>
        <w:pStyle w:val="Normlnzprva"/>
        <w:rPr>
          <w:rFonts w:asciiTheme="minorHAnsi" w:hAnsiTheme="minorHAnsi"/>
          <w:noProof/>
        </w:rPr>
      </w:pPr>
      <w:r>
        <w:rPr>
          <w:noProof/>
        </w:rPr>
        <w:t>V následujícím grafu jsou uvedeny jednotlivé anomálie (s výjimkou nulového stočného celkem a nulového množství fakturované odpadní vody, které není možné vyjádřit, jako procentní podíl analyzovaného trhu.</w:t>
      </w:r>
      <w:r w:rsidR="00B26631">
        <w:rPr>
          <w:rFonts w:asciiTheme="minorHAnsi" w:hAnsiTheme="minorHAnsi"/>
          <w:noProof/>
        </w:rPr>
        <w:t xml:space="preserve"> </w:t>
      </w:r>
    </w:p>
    <w:p w14:paraId="594E0B87" w14:textId="77777777" w:rsidR="00C1539B" w:rsidRPr="00C62639" w:rsidRDefault="00E52893" w:rsidP="001C1807">
      <w:pPr>
        <w:pStyle w:val="normlntextvodstavcch"/>
        <w:ind w:firstLine="0"/>
        <w:rPr>
          <w:rFonts w:asciiTheme="minorHAnsi" w:hAnsiTheme="minorHAnsi"/>
          <w:noProof/>
        </w:rPr>
      </w:pPr>
      <w:r w:rsidRPr="00C62639">
        <w:rPr>
          <w:rFonts w:asciiTheme="minorHAnsi" w:hAnsiTheme="minorHAnsi"/>
          <w:noProof/>
        </w:rPr>
        <w:br w:type="page"/>
      </w:r>
      <w:r w:rsidR="004D5780" w:rsidRPr="00C62639">
        <w:rPr>
          <w:rFonts w:asciiTheme="minorHAnsi" w:hAnsiTheme="minorHAnsi"/>
          <w:noProof/>
          <w:lang w:eastAsia="cs-CZ"/>
        </w:rPr>
        <w:lastRenderedPageBreak/>
        <w:drawing>
          <wp:anchor distT="0" distB="0" distL="114300" distR="114300" simplePos="0" relativeHeight="251648512" behindDoc="0" locked="0" layoutInCell="1" allowOverlap="1" wp14:anchorId="79B73557" wp14:editId="04864E55">
            <wp:simplePos x="0" y="0"/>
            <wp:positionH relativeFrom="margin">
              <wp:posOffset>-214630</wp:posOffset>
            </wp:positionH>
            <wp:positionV relativeFrom="paragraph">
              <wp:posOffset>80645</wp:posOffset>
            </wp:positionV>
            <wp:extent cx="6363970" cy="8002905"/>
            <wp:effectExtent l="0" t="0" r="0" b="0"/>
            <wp:wrapTopAndBottom/>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363970" cy="8002905"/>
                    </a:xfrm>
                    <a:prstGeom prst="rect">
                      <a:avLst/>
                    </a:prstGeom>
                    <a:noFill/>
                  </pic:spPr>
                </pic:pic>
              </a:graphicData>
            </a:graphic>
          </wp:anchor>
        </w:drawing>
      </w:r>
      <w:r w:rsidRPr="00C62639">
        <w:rPr>
          <w:rFonts w:asciiTheme="minorHAnsi" w:hAnsiTheme="minorHAnsi"/>
          <w:noProof/>
        </w:rPr>
        <w:br w:type="page"/>
      </w:r>
    </w:p>
    <w:p w14:paraId="63501C38" w14:textId="77777777" w:rsidR="00EA29C3" w:rsidRPr="00C62639" w:rsidRDefault="00EA29C3" w:rsidP="00EA29C3">
      <w:pPr>
        <w:pStyle w:val="Nadpis3"/>
        <w:rPr>
          <w:rFonts w:asciiTheme="minorHAnsi" w:hAnsiTheme="minorHAnsi"/>
          <w:noProof/>
        </w:rPr>
      </w:pPr>
      <w:bookmarkStart w:id="36" w:name="_Toc505684423"/>
      <w:r>
        <w:rPr>
          <w:rFonts w:asciiTheme="minorHAnsi" w:hAnsiTheme="minorHAnsi"/>
          <w:noProof/>
        </w:rPr>
        <w:lastRenderedPageBreak/>
        <w:t>N</w:t>
      </w:r>
      <w:r w:rsidRPr="00C62639">
        <w:rPr>
          <w:rFonts w:asciiTheme="minorHAnsi" w:hAnsiTheme="minorHAnsi"/>
          <w:noProof/>
        </w:rPr>
        <w:t>edostatečná tvorba prostředků na obnovu</w:t>
      </w:r>
      <w:bookmarkEnd w:id="36"/>
    </w:p>
    <w:p w14:paraId="13576D42" w14:textId="77777777" w:rsidR="00EA29C3" w:rsidRDefault="00EA29C3" w:rsidP="00EA29C3">
      <w:pPr>
        <w:pStyle w:val="Normlnzprva"/>
        <w:rPr>
          <w:noProof/>
        </w:rPr>
      </w:pPr>
    </w:p>
    <w:p w14:paraId="1C073972" w14:textId="77777777" w:rsidR="00EA29C3" w:rsidRDefault="00EA29C3" w:rsidP="00EA29C3">
      <w:pPr>
        <w:pStyle w:val="Normlnzprva"/>
      </w:pPr>
      <w:r w:rsidRPr="004E369D">
        <w:t>Jedním z významných údajů, které byly výsledkem provedené analýzy, je celkové množství chybějících prostředků na obnovu VIM pocházejících ze stočného. Tyto prostředky činily celkem 758,9 mil. Kč. Celkové stočné činilo 15,4 mld. Kč a mělo být o chybějící prostředky obnovy (tj. o 5 %) vyšší.</w:t>
      </w:r>
    </w:p>
    <w:p w14:paraId="5C33944B" w14:textId="77777777" w:rsidR="00EA29C3" w:rsidRDefault="004B51AE" w:rsidP="00EA29C3">
      <w:pPr>
        <w:pStyle w:val="Normlnzprva"/>
      </w:pPr>
      <w:r>
        <w:rPr>
          <w:noProof/>
        </w:rPr>
        <w:object w:dxaOrig="1440" w:dyaOrig="1440" w14:anchorId="2F08410C">
          <v:shape id="_x0000_s1027" type="#_x0000_t75" style="position:absolute;left:0;text-align:left;margin-left:0;margin-top:47.6pt;width:504.95pt;height:189.7pt;z-index:251658240;mso-position-horizontal:center;mso-position-horizontal-relative:text;mso-position-vertical-relative:text">
            <v:imagedata r:id="rId26" o:title=""/>
            <w10:wrap type="topAndBottom"/>
          </v:shape>
          <o:OLEObject Type="Embed" ProgID="Excel.Sheet.12" ShapeID="_x0000_s1027" DrawAspect="Content" ObjectID="_1585397946" r:id="rId27"/>
        </w:object>
      </w:r>
      <w:r w:rsidR="00EA29C3">
        <w:t>Přehled výše chybějících prostředků na obnovu v členění podle modelu provozování a jednotlivých skupin vlastníků je uveden v následující tabulce.</w:t>
      </w:r>
    </w:p>
    <w:p w14:paraId="41CCDED5" w14:textId="77777777" w:rsidR="00EA29C3" w:rsidRDefault="00EA29C3" w:rsidP="00EA29C3">
      <w:pPr>
        <w:pStyle w:val="Normlnzprva"/>
      </w:pPr>
    </w:p>
    <w:p w14:paraId="6A605D3E" w14:textId="3EE26159" w:rsidR="00EA29C3" w:rsidRPr="00670E65" w:rsidRDefault="00EA29C3" w:rsidP="00EA29C3">
      <w:pPr>
        <w:pStyle w:val="Normlnzprva"/>
      </w:pPr>
      <w:r w:rsidRPr="00670E65">
        <w:t xml:space="preserve">Možností, jak zabezpečit plnění obnovy (dosažení samofinancovatelnosti VIM), je využívání řádku 4.4 v Porovnání v návaznosti na pečlivě zpracovaný PFO. Plán financování obnovy, by měl vycházet z plánu oprav a investicí s charakterem obnovy. </w:t>
      </w:r>
      <w:r w:rsidR="00670E65" w:rsidRPr="00670E65">
        <w:t xml:space="preserve">V případě oddílného a kombinovaného modelu provozování by se tvorba prostředků na obnovu VIM zvýšila i odpovídajícím navýšením nájemného VIM. Vlastníci VIM si musejí uvědomit, že pokud nevytváří dostatek prostředků na obnovu VIM, budou v budoucnu nuceni chybějící prostředky financovat z jiných zdrojů nebo přenesou tuto povinnost na příští generace. </w:t>
      </w:r>
      <w:r w:rsidRPr="00670E65">
        <w:t xml:space="preserve">Další možností je využití kladného kalkulačního zisku jako jednoho z nástrojů umožňujícího pokrývat související ekonomicky oprávněné náklady a generovat část potřebných prostředků na financování obnovy ve stočném. </w:t>
      </w:r>
    </w:p>
    <w:p w14:paraId="6C9C9608" w14:textId="460DAA4E" w:rsidR="00EA29C3" w:rsidRPr="00670E65" w:rsidRDefault="00EA29C3" w:rsidP="00670E65">
      <w:pPr>
        <w:pStyle w:val="Normlnzprva"/>
        <w:rPr>
          <w:noProof/>
        </w:rPr>
      </w:pPr>
      <w:r w:rsidRPr="00670E65">
        <w:rPr>
          <w:noProof/>
        </w:rPr>
        <w:t xml:space="preserve">V analyzovaných Porovnáních se vyskytoval </w:t>
      </w:r>
      <w:r w:rsidRPr="00670E65">
        <w:rPr>
          <w:b/>
          <w:noProof/>
        </w:rPr>
        <w:t>záporný nebo nulový kalkulační zisk</w:t>
      </w:r>
      <w:r w:rsidRPr="00670E65">
        <w:rPr>
          <w:noProof/>
        </w:rPr>
        <w:t xml:space="preserve"> </w:t>
      </w:r>
      <w:r w:rsidRPr="00670E65">
        <w:rPr>
          <w:noProof/>
        </w:rPr>
        <w:br/>
      </w:r>
      <w:r w:rsidRPr="00670E65">
        <w:rPr>
          <w:b/>
          <w:noProof/>
        </w:rPr>
        <w:t>na 1011 Porovnání</w:t>
      </w:r>
      <w:r w:rsidRPr="00670E65">
        <w:rPr>
          <w:noProof/>
        </w:rPr>
        <w:t xml:space="preserve"> (54,4 % analyzovaných Porovnání). Z hlediska objemu odpadní a srážkové vody fakturované (30,38 mil. m</w:t>
      </w:r>
      <w:r w:rsidRPr="00670E65">
        <w:rPr>
          <w:noProof/>
          <w:vertAlign w:val="superscript"/>
        </w:rPr>
        <w:t>3</w:t>
      </w:r>
      <w:r w:rsidRPr="00670E65">
        <w:rPr>
          <w:noProof/>
        </w:rPr>
        <w:t xml:space="preserve">) se jedná o </w:t>
      </w:r>
      <w:r w:rsidRPr="00670E65">
        <w:rPr>
          <w:b/>
          <w:noProof/>
        </w:rPr>
        <w:t>6,56 % podíl analyzovaného trhu</w:t>
      </w:r>
      <w:r w:rsidRPr="00670E65">
        <w:rPr>
          <w:noProof/>
        </w:rPr>
        <w:t xml:space="preserve"> (462,85 mil. m</w:t>
      </w:r>
      <w:r w:rsidRPr="00670E65">
        <w:rPr>
          <w:noProof/>
          <w:vertAlign w:val="superscript"/>
        </w:rPr>
        <w:t>3</w:t>
      </w:r>
      <w:r w:rsidRPr="00670E65">
        <w:rPr>
          <w:noProof/>
        </w:rPr>
        <w:t>).</w:t>
      </w:r>
      <w:r w:rsidR="00670E65" w:rsidRPr="00670E65">
        <w:rPr>
          <w:noProof/>
        </w:rPr>
        <w:t xml:space="preserve"> </w:t>
      </w:r>
      <w:r w:rsidRPr="00670E65">
        <w:t xml:space="preserve">V případě </w:t>
      </w:r>
      <w:r w:rsidR="00670E65" w:rsidRPr="00670E65">
        <w:t>254</w:t>
      </w:r>
      <w:r w:rsidRPr="00670E65">
        <w:t xml:space="preserve"> Porovnání, byla stanovená výše ceny </w:t>
      </w:r>
      <w:r w:rsidR="00670E65" w:rsidRPr="00670E65">
        <w:t>pro stočné</w:t>
      </w:r>
      <w:r w:rsidRPr="00670E65">
        <w:t xml:space="preserve"> postačující na generování dostatečného množství prostředků na obnovu za předpokladu, že Porovnání obsahovala veškeré ekonomicky oprávněné náklady související s</w:t>
      </w:r>
      <w:r w:rsidR="00670E65" w:rsidRPr="00670E65">
        <w:t> odváděním a čištěním odpadních a srážkových vod</w:t>
      </w:r>
      <w:r w:rsidRPr="00670E65">
        <w:t xml:space="preserve"> odběratelům v plné výši. </w:t>
      </w:r>
    </w:p>
    <w:p w14:paraId="380A8DBC" w14:textId="77777777" w:rsidR="00EA29C3" w:rsidRPr="00C62639" w:rsidRDefault="00EA29C3" w:rsidP="00EA29C3">
      <w:pPr>
        <w:spacing w:before="0" w:after="0"/>
        <w:contextualSpacing w:val="0"/>
        <w:jc w:val="left"/>
        <w:rPr>
          <w:rFonts w:asciiTheme="minorHAnsi" w:eastAsia="Calibri Light" w:hAnsiTheme="minorHAnsi"/>
          <w:noProof/>
          <w:color w:val="365F91"/>
          <w:sz w:val="28"/>
          <w:szCs w:val="26"/>
        </w:rPr>
      </w:pPr>
      <w:r w:rsidRPr="00C62639">
        <w:rPr>
          <w:rFonts w:asciiTheme="minorHAnsi" w:eastAsia="Calibri Light" w:hAnsiTheme="minorHAnsi"/>
          <w:noProof/>
        </w:rPr>
        <w:br w:type="page"/>
      </w:r>
    </w:p>
    <w:p w14:paraId="221D0FC4" w14:textId="77777777" w:rsidR="007538B8" w:rsidRPr="00C62639" w:rsidRDefault="007538B8" w:rsidP="007538B8">
      <w:pPr>
        <w:pStyle w:val="Nadpis3"/>
        <w:rPr>
          <w:rFonts w:asciiTheme="minorHAnsi" w:hAnsiTheme="minorHAnsi"/>
          <w:noProof/>
        </w:rPr>
      </w:pPr>
      <w:bookmarkStart w:id="37" w:name="_Toc505684424"/>
      <w:r w:rsidRPr="00C62639">
        <w:rPr>
          <w:rFonts w:asciiTheme="minorHAnsi" w:hAnsiTheme="minorHAnsi"/>
          <w:noProof/>
        </w:rPr>
        <w:lastRenderedPageBreak/>
        <w:t>Výskyt anomálii v jednotlivých skupinách vlastníků</w:t>
      </w:r>
      <w:bookmarkEnd w:id="37"/>
    </w:p>
    <w:p w14:paraId="4FF294E3" w14:textId="77777777" w:rsidR="00CE5B91" w:rsidRDefault="00CE5B91" w:rsidP="005B4273">
      <w:pPr>
        <w:pStyle w:val="normlntextvodstavcch"/>
        <w:rPr>
          <w:rFonts w:asciiTheme="minorHAnsi" w:hAnsiTheme="minorHAnsi"/>
          <w:noProof/>
        </w:rPr>
      </w:pPr>
      <w:r>
        <w:rPr>
          <w:rFonts w:asciiTheme="minorHAnsi" w:hAnsiTheme="minorHAnsi"/>
          <w:noProof/>
          <w:lang w:eastAsia="cs-CZ"/>
        </w:rPr>
        <w:drawing>
          <wp:anchor distT="0" distB="0" distL="114300" distR="114300" simplePos="0" relativeHeight="251646464" behindDoc="0" locked="0" layoutInCell="1" allowOverlap="1" wp14:anchorId="2F77D2F2" wp14:editId="22E44D01">
            <wp:simplePos x="0" y="0"/>
            <wp:positionH relativeFrom="column">
              <wp:posOffset>-240030</wp:posOffset>
            </wp:positionH>
            <wp:positionV relativeFrom="paragraph">
              <wp:posOffset>186690</wp:posOffset>
            </wp:positionV>
            <wp:extent cx="6241415" cy="1662430"/>
            <wp:effectExtent l="19050" t="0" r="6985" b="0"/>
            <wp:wrapSquare wrapText="bothSides"/>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6241415" cy="1662430"/>
                    </a:xfrm>
                    <a:prstGeom prst="rect">
                      <a:avLst/>
                    </a:prstGeom>
                    <a:noFill/>
                    <a:ln>
                      <a:noFill/>
                    </a:ln>
                  </pic:spPr>
                </pic:pic>
              </a:graphicData>
            </a:graphic>
          </wp:anchor>
        </w:drawing>
      </w:r>
    </w:p>
    <w:p w14:paraId="64F6F632" w14:textId="77777777" w:rsidR="00D34DCA" w:rsidRDefault="00D34DCA" w:rsidP="004E369D">
      <w:pPr>
        <w:pStyle w:val="Normlnzprva"/>
        <w:rPr>
          <w:noProof/>
          <w:lang w:eastAsia="cs-CZ"/>
        </w:rPr>
      </w:pPr>
    </w:p>
    <w:p w14:paraId="714FBA59" w14:textId="77777777" w:rsidR="00D34DCA" w:rsidRDefault="00D34DCA" w:rsidP="004E369D">
      <w:pPr>
        <w:pStyle w:val="Normlnzprva"/>
        <w:rPr>
          <w:noProof/>
          <w:lang w:eastAsia="cs-CZ"/>
        </w:rPr>
      </w:pPr>
    </w:p>
    <w:p w14:paraId="2846BBA2" w14:textId="5A45ECE7" w:rsidR="00CE5B91" w:rsidRPr="00E760B7" w:rsidRDefault="00CE5B91" w:rsidP="004E369D">
      <w:pPr>
        <w:pStyle w:val="Normlnzprva"/>
        <w:rPr>
          <w:noProof/>
        </w:rPr>
      </w:pPr>
      <w:r>
        <w:rPr>
          <w:noProof/>
          <w:lang w:eastAsia="cs-CZ"/>
        </w:rPr>
        <w:t>Ačkoli</w:t>
      </w:r>
      <w:r>
        <w:rPr>
          <w:noProof/>
        </w:rPr>
        <w:t xml:space="preserve"> u skupin Porovnání s nízkou hodnotou VIM, tj. Porovnání s hodnotou majetku nižší než 100 mil. Kč, byla identifikována alespoň jedna anomálie u více než 90 % Porovnání přepočteno množstvím fakturované vody, podle četnosti výskytu lze konstatovat, že nejproblémovějšími skupinami z hlediska plnění záměrů regulace jsou Porovnání </w:t>
      </w:r>
      <w:r w:rsidRPr="00BA0B2E">
        <w:rPr>
          <w:b/>
          <w:noProof/>
        </w:rPr>
        <w:t>vlastníků z III., IV.</w:t>
      </w:r>
      <w:r>
        <w:rPr>
          <w:b/>
          <w:noProof/>
        </w:rPr>
        <w:t xml:space="preserve"> a V. skupiny (s hodnotou majetk</w:t>
      </w:r>
      <w:r w:rsidRPr="00BA0B2E">
        <w:rPr>
          <w:b/>
          <w:noProof/>
        </w:rPr>
        <w:t>u od 1 mil. Kč do 1 mld. Kč</w:t>
      </w:r>
      <w:r>
        <w:rPr>
          <w:b/>
          <w:noProof/>
        </w:rPr>
        <w:t>)</w:t>
      </w:r>
      <w:r w:rsidRPr="00BA0B2E">
        <w:rPr>
          <w:b/>
          <w:noProof/>
        </w:rPr>
        <w:t>.</w:t>
      </w:r>
      <w:r w:rsidR="00B26631">
        <w:rPr>
          <w:noProof/>
        </w:rPr>
        <w:t xml:space="preserve"> </w:t>
      </w:r>
      <w:r>
        <w:rPr>
          <w:noProof/>
        </w:rPr>
        <w:t xml:space="preserve">Celková hodnota majetku VIM uvedených skupin je 116,68 mld. Kč a objem odpadní a srážkové vody fakturované v roce 2016 činil 87,54 </w:t>
      </w:r>
      <w:r w:rsidR="00E27252">
        <w:rPr>
          <w:noProof/>
        </w:rPr>
        <w:t>mil. m</w:t>
      </w:r>
      <w:r w:rsidR="00E27252" w:rsidRPr="00E27252">
        <w:rPr>
          <w:noProof/>
          <w:vertAlign w:val="superscript"/>
        </w:rPr>
        <w:t>3</w:t>
      </w:r>
      <w:r>
        <w:rPr>
          <w:noProof/>
        </w:rPr>
        <w:t xml:space="preserve">. </w:t>
      </w:r>
    </w:p>
    <w:p w14:paraId="3C98F04C" w14:textId="77777777" w:rsidR="00CE5B91" w:rsidRPr="00934258" w:rsidRDefault="00CE5B91" w:rsidP="004E369D">
      <w:pPr>
        <w:pStyle w:val="Normlnzprva"/>
        <w:rPr>
          <w:noProof/>
        </w:rPr>
      </w:pPr>
    </w:p>
    <w:p w14:paraId="52476129" w14:textId="595A0762" w:rsidR="006D0FEF" w:rsidRPr="00C62639" w:rsidRDefault="00CE5B91" w:rsidP="00CE5B91">
      <w:pPr>
        <w:pStyle w:val="Normlnzprva"/>
        <w:rPr>
          <w:rFonts w:asciiTheme="minorHAnsi" w:hAnsiTheme="minorHAnsi"/>
          <w:noProof/>
        </w:rPr>
      </w:pPr>
      <w:r>
        <w:rPr>
          <w:noProof/>
        </w:rPr>
        <w:t>Jak vyplývá z níže uvedené tabulky, je v těchto rizikový</w:t>
      </w:r>
      <w:r w:rsidR="004E369D">
        <w:rPr>
          <w:noProof/>
        </w:rPr>
        <w:t>c</w:t>
      </w:r>
      <w:r>
        <w:rPr>
          <w:noProof/>
        </w:rPr>
        <w:t xml:space="preserve">h skupinách největším problémem </w:t>
      </w:r>
      <w:r w:rsidRPr="005C1DA9">
        <w:rPr>
          <w:noProof/>
        </w:rPr>
        <w:t>nedostatečná</w:t>
      </w:r>
      <w:r w:rsidRPr="007A20D2">
        <w:rPr>
          <w:b/>
          <w:noProof/>
        </w:rPr>
        <w:t xml:space="preserve"> tvorba prostředků na obnovu</w:t>
      </w:r>
      <w:r>
        <w:rPr>
          <w:b/>
          <w:noProof/>
        </w:rPr>
        <w:t xml:space="preserve"> ve stočném</w:t>
      </w:r>
      <w:r>
        <w:rPr>
          <w:noProof/>
        </w:rPr>
        <w:t xml:space="preserve">. Příčiny tohoto stavu spočívají zejména v nízkém nájemném, používání záporného kalkulačního zisku (dotování ceny z jiných zdrojů než je stočné), nízkých odpisech, opravách popř. v nepoužívání řádku 4.4 Porovnání, což signalizuje neexistenci </w:t>
      </w:r>
      <w:r w:rsidR="005F5EAF">
        <w:rPr>
          <w:noProof/>
        </w:rPr>
        <w:t>PFO</w:t>
      </w:r>
      <w:r>
        <w:rPr>
          <w:noProof/>
        </w:rPr>
        <w:t>. Dalšími faktory mohou být nesledování počtu poruch a neexistence povinnosti vlastníka zasílat</w:t>
      </w:r>
      <w:r w:rsidR="00B26631">
        <w:rPr>
          <w:noProof/>
        </w:rPr>
        <w:t xml:space="preserve"> </w:t>
      </w:r>
      <w:r>
        <w:rPr>
          <w:noProof/>
        </w:rPr>
        <w:t>informace o stavu VIM a o realizování jeho obnovy</w:t>
      </w:r>
      <w:r w:rsidR="007A20D2" w:rsidRPr="00C62639">
        <w:rPr>
          <w:rFonts w:asciiTheme="minorHAnsi" w:hAnsiTheme="minorHAnsi"/>
          <w:noProof/>
        </w:rPr>
        <w:t xml:space="preserve"> </w:t>
      </w:r>
    </w:p>
    <w:p w14:paraId="17673BA9" w14:textId="77777777" w:rsidR="007A20D2" w:rsidRPr="00C62639" w:rsidRDefault="007A20D2" w:rsidP="006D0FEF">
      <w:pPr>
        <w:rPr>
          <w:rFonts w:asciiTheme="minorHAnsi" w:hAnsiTheme="minorHAnsi"/>
          <w:noProof/>
        </w:rPr>
      </w:pPr>
    </w:p>
    <w:p w14:paraId="6E688D18" w14:textId="77777777" w:rsidR="00CB05D6" w:rsidRPr="00C62639" w:rsidRDefault="00CB05D6" w:rsidP="00CC2826">
      <w:pPr>
        <w:ind w:firstLine="709"/>
        <w:rPr>
          <w:rFonts w:asciiTheme="minorHAnsi" w:hAnsiTheme="minorHAnsi"/>
          <w:noProof/>
        </w:rPr>
      </w:pPr>
      <w:r w:rsidRPr="00C62639">
        <w:rPr>
          <w:rFonts w:asciiTheme="minorHAnsi" w:hAnsiTheme="minorHAnsi"/>
          <w:noProof/>
        </w:rPr>
        <w:t xml:space="preserve"> </w:t>
      </w:r>
    </w:p>
    <w:p w14:paraId="3BF9D598" w14:textId="77777777" w:rsidR="00CB05D6" w:rsidRPr="00C62639" w:rsidRDefault="00CB05D6" w:rsidP="00CB05D6">
      <w:pPr>
        <w:rPr>
          <w:rFonts w:asciiTheme="minorHAnsi" w:hAnsiTheme="minorHAnsi"/>
          <w:noProof/>
        </w:rPr>
      </w:pPr>
    </w:p>
    <w:p w14:paraId="7A83F611" w14:textId="77777777" w:rsidR="00CB05D6" w:rsidRPr="00C62639" w:rsidRDefault="00CB05D6" w:rsidP="00CB05D6">
      <w:pPr>
        <w:rPr>
          <w:rFonts w:asciiTheme="minorHAnsi" w:hAnsiTheme="minorHAnsi"/>
          <w:noProof/>
        </w:rPr>
      </w:pPr>
    </w:p>
    <w:p w14:paraId="3383DFD0" w14:textId="77777777" w:rsidR="00CB05D6" w:rsidRPr="00C62639" w:rsidRDefault="00CB05D6" w:rsidP="00CB05D6">
      <w:pPr>
        <w:rPr>
          <w:rFonts w:asciiTheme="minorHAnsi" w:hAnsiTheme="minorHAnsi"/>
          <w:noProof/>
        </w:rPr>
      </w:pPr>
    </w:p>
    <w:p w14:paraId="652E0F4B" w14:textId="77777777" w:rsidR="00CB05D6" w:rsidRPr="00C62639" w:rsidRDefault="00CB05D6" w:rsidP="00CB05D6">
      <w:pPr>
        <w:rPr>
          <w:rFonts w:asciiTheme="minorHAnsi" w:hAnsiTheme="minorHAnsi"/>
          <w:noProof/>
        </w:rPr>
      </w:pPr>
    </w:p>
    <w:p w14:paraId="330D9D31" w14:textId="77777777" w:rsidR="00CB05D6" w:rsidRPr="00C62639" w:rsidRDefault="00CB05D6" w:rsidP="00CB05D6">
      <w:pPr>
        <w:rPr>
          <w:rFonts w:asciiTheme="minorHAnsi" w:hAnsiTheme="minorHAnsi"/>
          <w:noProof/>
        </w:rPr>
      </w:pPr>
    </w:p>
    <w:p w14:paraId="2C543EB0" w14:textId="77777777" w:rsidR="00CB05D6" w:rsidRPr="00C62639" w:rsidRDefault="00CB05D6" w:rsidP="00CB05D6">
      <w:pPr>
        <w:rPr>
          <w:rFonts w:asciiTheme="minorHAnsi" w:hAnsiTheme="minorHAnsi"/>
          <w:noProof/>
        </w:rPr>
      </w:pPr>
    </w:p>
    <w:p w14:paraId="36F5B044" w14:textId="77777777" w:rsidR="00CB05D6" w:rsidRPr="00C62639" w:rsidRDefault="00CB05D6" w:rsidP="00CB05D6">
      <w:pPr>
        <w:rPr>
          <w:rFonts w:asciiTheme="minorHAnsi" w:hAnsiTheme="minorHAnsi"/>
          <w:noProof/>
        </w:rPr>
      </w:pPr>
    </w:p>
    <w:p w14:paraId="0A7801BD" w14:textId="77777777" w:rsidR="00CB05D6" w:rsidRPr="00C62639" w:rsidRDefault="00CB05D6" w:rsidP="00CB05D6">
      <w:pPr>
        <w:rPr>
          <w:rFonts w:asciiTheme="minorHAnsi" w:hAnsiTheme="minorHAnsi"/>
          <w:noProof/>
        </w:rPr>
      </w:pPr>
    </w:p>
    <w:p w14:paraId="14CE46D8" w14:textId="77777777" w:rsidR="0004117F" w:rsidRDefault="00F666F7">
      <w:pPr>
        <w:spacing w:before="0" w:after="0"/>
        <w:contextualSpacing w:val="0"/>
        <w:jc w:val="left"/>
        <w:rPr>
          <w:rFonts w:asciiTheme="minorHAnsi" w:hAnsiTheme="minorHAnsi"/>
          <w:noProof/>
          <w:lang w:eastAsia="cs-CZ"/>
        </w:rPr>
        <w:sectPr w:rsidR="0004117F" w:rsidSect="00FF4564">
          <w:footerReference w:type="default" r:id="rId29"/>
          <w:pgSz w:w="11906" w:h="16838"/>
          <w:pgMar w:top="1418" w:right="1418" w:bottom="1418" w:left="1418" w:header="709" w:footer="709" w:gutter="0"/>
          <w:cols w:space="708"/>
          <w:docGrid w:linePitch="360"/>
        </w:sectPr>
      </w:pPr>
      <w:r>
        <w:rPr>
          <w:rFonts w:asciiTheme="minorHAnsi" w:hAnsiTheme="minorHAnsi"/>
          <w:noProof/>
          <w:lang w:eastAsia="cs-CZ"/>
        </w:rPr>
        <w:br w:type="page"/>
      </w:r>
    </w:p>
    <w:p w14:paraId="5A154946" w14:textId="78A33356" w:rsidR="00F666F7" w:rsidRDefault="004B51AE">
      <w:pPr>
        <w:spacing w:before="0" w:after="0"/>
        <w:contextualSpacing w:val="0"/>
        <w:jc w:val="left"/>
        <w:rPr>
          <w:rFonts w:asciiTheme="minorHAnsi" w:hAnsiTheme="minorHAnsi"/>
          <w:noProof/>
          <w:lang w:eastAsia="cs-CZ"/>
        </w:rPr>
      </w:pPr>
      <w:r>
        <w:rPr>
          <w:noProof/>
        </w:rPr>
        <w:lastRenderedPageBreak/>
        <w:object w:dxaOrig="1440" w:dyaOrig="1440" w14:anchorId="7E445475">
          <v:shape id="_x0000_s1030" type="#_x0000_t75" style="position:absolute;margin-left:-36.45pt;margin-top:.05pt;width:774.45pt;height:463.4pt;z-index:251694080;mso-position-horizontal-relative:text;mso-position-vertical-relative:text">
            <v:imagedata r:id="rId30" o:title=""/>
            <w10:wrap type="topAndBottom"/>
          </v:shape>
          <o:OLEObject Type="Embed" ProgID="Excel.Sheet.12" ShapeID="_x0000_s1030" DrawAspect="Content" ObjectID="_1585397947" r:id="rId31"/>
        </w:object>
      </w:r>
    </w:p>
    <w:p w14:paraId="04ADB91B" w14:textId="77777777" w:rsidR="0004117F" w:rsidRDefault="0004117F">
      <w:pPr>
        <w:spacing w:before="0" w:after="0"/>
        <w:contextualSpacing w:val="0"/>
        <w:jc w:val="left"/>
        <w:rPr>
          <w:rFonts w:asciiTheme="minorHAnsi" w:hAnsiTheme="minorHAnsi"/>
          <w:noProof/>
          <w:lang w:eastAsia="cs-CZ"/>
        </w:rPr>
        <w:sectPr w:rsidR="0004117F" w:rsidSect="0004117F">
          <w:footerReference w:type="default" r:id="rId32"/>
          <w:pgSz w:w="16838" w:h="11906" w:orient="landscape"/>
          <w:pgMar w:top="1418" w:right="1418" w:bottom="1418" w:left="1418" w:header="709" w:footer="709" w:gutter="0"/>
          <w:cols w:space="708"/>
          <w:docGrid w:linePitch="360"/>
        </w:sectPr>
      </w:pPr>
    </w:p>
    <w:p w14:paraId="0D468A9B" w14:textId="2FEA2704" w:rsidR="00CE5B91" w:rsidRDefault="008A49FC" w:rsidP="005F5EAF">
      <w:pPr>
        <w:spacing w:before="0" w:after="0"/>
        <w:contextualSpacing w:val="0"/>
        <w:rPr>
          <w:noProof/>
        </w:rPr>
      </w:pPr>
      <w:r>
        <w:rPr>
          <w:noProof/>
        </w:rPr>
        <w:lastRenderedPageBreak/>
        <w:t xml:space="preserve">Porovnání z rizikových skupin (III., IV. a V. skupina), na kterých byla identifikována alespoň jedna anomálie, vykázala v souvisejících VÚPE celkem více než </w:t>
      </w:r>
      <w:r w:rsidRPr="00CC2826">
        <w:rPr>
          <w:noProof/>
        </w:rPr>
        <w:t>903</w:t>
      </w:r>
      <w:r>
        <w:rPr>
          <w:noProof/>
        </w:rPr>
        <w:t xml:space="preserve"> tis. připojených obyvatel, délku kanalizační sítě více než 8 tis. km a čistění odpadní vody zabezpečuje 851 ks ČOV. Podle výsledků analýz chybělo v roce 2016</w:t>
      </w:r>
      <w:r w:rsidR="00B26631">
        <w:rPr>
          <w:noProof/>
        </w:rPr>
        <w:t xml:space="preserve"> </w:t>
      </w:r>
      <w:r>
        <w:rPr>
          <w:noProof/>
        </w:rPr>
        <w:t xml:space="preserve">vlastníkům v těchto skupinách pro zabezpeční obnovy VIM </w:t>
      </w:r>
      <w:r w:rsidRPr="00C217B4">
        <w:rPr>
          <w:noProof/>
        </w:rPr>
        <w:t>696,24 mil. Kč. To znamená, že</w:t>
      </w:r>
      <w:r w:rsidR="00B26631">
        <w:rPr>
          <w:noProof/>
        </w:rPr>
        <w:t xml:space="preserve"> </w:t>
      </w:r>
      <w:r w:rsidRPr="00C217B4">
        <w:rPr>
          <w:noProof/>
        </w:rPr>
        <w:t>jejich dosahované tržby za stočné celkem (2,88 mld. Kč), by</w:t>
      </w:r>
      <w:r>
        <w:rPr>
          <w:noProof/>
        </w:rPr>
        <w:t xml:space="preserve"> měly být o tuto částku navýšeny. Relevantnost těchto výsledků je závislá</w:t>
      </w:r>
      <w:r w:rsidR="00B26631">
        <w:rPr>
          <w:noProof/>
        </w:rPr>
        <w:t xml:space="preserve"> </w:t>
      </w:r>
      <w:r>
        <w:rPr>
          <w:noProof/>
        </w:rPr>
        <w:t>na skutečnosti, zda vlastníci do kalkulace ceny pro stočné započítávali</w:t>
      </w:r>
      <w:r w:rsidR="00B26631">
        <w:rPr>
          <w:noProof/>
        </w:rPr>
        <w:t xml:space="preserve"> </w:t>
      </w:r>
      <w:r>
        <w:rPr>
          <w:noProof/>
        </w:rPr>
        <w:t>související ekonomicky oprávněné náklady v plné výši.</w:t>
      </w:r>
    </w:p>
    <w:p w14:paraId="6DDA285E" w14:textId="77777777" w:rsidR="005F5EAF" w:rsidRPr="00C62639" w:rsidRDefault="005F5EAF" w:rsidP="005F5EAF">
      <w:pPr>
        <w:spacing w:before="0" w:after="0"/>
        <w:contextualSpacing w:val="0"/>
        <w:rPr>
          <w:rFonts w:asciiTheme="minorHAnsi" w:hAnsiTheme="minorHAnsi"/>
          <w:noProof/>
        </w:rPr>
      </w:pPr>
    </w:p>
    <w:p w14:paraId="664012B4" w14:textId="64175CC2" w:rsidR="008A49FC" w:rsidRDefault="00CE5B91" w:rsidP="005F5EAF">
      <w:pPr>
        <w:pStyle w:val="Normlnzprva"/>
        <w:rPr>
          <w:rFonts w:asciiTheme="minorHAnsi" w:hAnsiTheme="minorHAnsi"/>
          <w:noProof/>
        </w:rPr>
      </w:pPr>
      <w:r w:rsidRPr="00C62639">
        <w:rPr>
          <w:rFonts w:asciiTheme="minorHAnsi" w:hAnsiTheme="minorHAnsi"/>
          <w:noProof/>
        </w:rPr>
        <w:t xml:space="preserve">Pro ucelení přehledu uvádíme graf znázorňující situaci v rámci jednotlivých skupin. </w:t>
      </w:r>
    </w:p>
    <w:p w14:paraId="431A7EA6" w14:textId="6F4E6BDF" w:rsidR="004D5780" w:rsidRPr="00C62639" w:rsidRDefault="00104787" w:rsidP="00CE5B91">
      <w:pPr>
        <w:rPr>
          <w:rFonts w:asciiTheme="minorHAnsi" w:hAnsiTheme="minorHAnsi"/>
          <w:noProof/>
        </w:rPr>
      </w:pPr>
      <w:r>
        <w:rPr>
          <w:rFonts w:asciiTheme="minorHAnsi" w:hAnsiTheme="minorHAnsi"/>
          <w:noProof/>
          <w:lang w:eastAsia="cs-CZ"/>
        </w:rPr>
        <w:drawing>
          <wp:anchor distT="0" distB="0" distL="114300" distR="114300" simplePos="0" relativeHeight="251685888" behindDoc="0" locked="0" layoutInCell="1" allowOverlap="1" wp14:anchorId="20059E77" wp14:editId="587910EC">
            <wp:simplePos x="0" y="0"/>
            <wp:positionH relativeFrom="margin">
              <wp:posOffset>-484505</wp:posOffset>
            </wp:positionH>
            <wp:positionV relativeFrom="paragraph">
              <wp:posOffset>316437</wp:posOffset>
            </wp:positionV>
            <wp:extent cx="6728460" cy="6089650"/>
            <wp:effectExtent l="0" t="0" r="0" b="6350"/>
            <wp:wrapTopAndBottom/>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6728460" cy="6089650"/>
                    </a:xfrm>
                    <a:prstGeom prst="rect">
                      <a:avLst/>
                    </a:prstGeom>
                    <a:noFill/>
                  </pic:spPr>
                </pic:pic>
              </a:graphicData>
            </a:graphic>
            <wp14:sizeRelH relativeFrom="margin">
              <wp14:pctWidth>0</wp14:pctWidth>
            </wp14:sizeRelH>
            <wp14:sizeRelV relativeFrom="margin">
              <wp14:pctHeight>0</wp14:pctHeight>
            </wp14:sizeRelV>
          </wp:anchor>
        </w:drawing>
      </w:r>
      <w:r w:rsidR="00CB05D6" w:rsidRPr="00C62639">
        <w:rPr>
          <w:rFonts w:asciiTheme="minorHAnsi" w:hAnsiTheme="minorHAnsi"/>
          <w:noProof/>
        </w:rPr>
        <w:br w:type="page"/>
      </w:r>
    </w:p>
    <w:p w14:paraId="247220C6" w14:textId="537A41AA" w:rsidR="00C1539B" w:rsidRDefault="00C1539B" w:rsidP="00C1539B">
      <w:pPr>
        <w:pStyle w:val="Nadpis2"/>
        <w:rPr>
          <w:rFonts w:asciiTheme="minorHAnsi" w:eastAsia="Calibri Light" w:hAnsiTheme="minorHAnsi"/>
          <w:noProof/>
        </w:rPr>
      </w:pPr>
      <w:bookmarkStart w:id="38" w:name="_Toc505684425"/>
      <w:r w:rsidRPr="00C62639">
        <w:rPr>
          <w:rFonts w:asciiTheme="minorHAnsi" w:eastAsia="Calibri Light" w:hAnsiTheme="minorHAnsi"/>
          <w:noProof/>
        </w:rPr>
        <w:lastRenderedPageBreak/>
        <w:t>Závěry benchmarkingového projektu vlastnických subjektů za rok 201</w:t>
      </w:r>
      <w:r w:rsidR="005B662D" w:rsidRPr="00C62639">
        <w:rPr>
          <w:rFonts w:asciiTheme="minorHAnsi" w:eastAsia="Calibri Light" w:hAnsiTheme="minorHAnsi"/>
          <w:noProof/>
        </w:rPr>
        <w:t>6</w:t>
      </w:r>
      <w:bookmarkEnd w:id="38"/>
    </w:p>
    <w:p w14:paraId="782EA9E4" w14:textId="5E77DA7A" w:rsidR="000302AB" w:rsidRDefault="000302AB" w:rsidP="0071058D">
      <w:pPr>
        <w:pStyle w:val="Nadpis3"/>
        <w:rPr>
          <w:noProof/>
        </w:rPr>
      </w:pPr>
      <w:bookmarkStart w:id="39" w:name="_Toc505684426"/>
      <w:r>
        <w:t>SWOT analýza</w:t>
      </w:r>
      <w:bookmarkEnd w:id="39"/>
    </w:p>
    <w:p w14:paraId="49601E5A" w14:textId="77777777" w:rsidR="007D7C8F" w:rsidRPr="00C62639" w:rsidRDefault="007D7C8F" w:rsidP="00E27252">
      <w:pPr>
        <w:pStyle w:val="Normlnzprva"/>
        <w:rPr>
          <w:noProof/>
        </w:rPr>
      </w:pPr>
      <w:r w:rsidRPr="00C62639">
        <w:rPr>
          <w:noProof/>
        </w:rPr>
        <w:t xml:space="preserve">Na základě realizovaného benchmarkingu a podrobné analýzy dat zasílaných na MZe včetně informací o přijatých stížnostech a nálezech z realizovaných kontrol u vlastníků a provozovatelů VIM, byla sestavena následující SWOT analýza. </w:t>
      </w:r>
    </w:p>
    <w:tbl>
      <w:tblPr>
        <w:tblW w:w="10417" w:type="dxa"/>
        <w:jc w:val="center"/>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4A0" w:firstRow="1" w:lastRow="0" w:firstColumn="1" w:lastColumn="0" w:noHBand="0" w:noVBand="1"/>
      </w:tblPr>
      <w:tblGrid>
        <w:gridCol w:w="5240"/>
        <w:gridCol w:w="5177"/>
      </w:tblGrid>
      <w:tr w:rsidR="007D7C8F" w:rsidRPr="00C62639" w14:paraId="796BDC5F"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B2A1C7"/>
            <w:vAlign w:val="center"/>
            <w:hideMark/>
          </w:tcPr>
          <w:p w14:paraId="0779350C" w14:textId="77777777" w:rsidR="007D7C8F" w:rsidRPr="00C62639" w:rsidRDefault="007D7C8F" w:rsidP="00762B0A">
            <w:pPr>
              <w:spacing w:before="0"/>
              <w:rPr>
                <w:rFonts w:asciiTheme="minorHAnsi" w:hAnsiTheme="minorHAnsi"/>
                <w:b/>
                <w:bCs/>
                <w:smallCaps/>
                <w:noProof/>
                <w:color w:val="FFFFFF"/>
                <w:sz w:val="22"/>
                <w:szCs w:val="20"/>
              </w:rPr>
            </w:pPr>
            <w:r w:rsidRPr="00C62639">
              <w:rPr>
                <w:rFonts w:asciiTheme="minorHAnsi" w:hAnsiTheme="minorHAnsi"/>
                <w:b/>
                <w:bCs/>
                <w:smallCaps/>
                <w:noProof/>
                <w:color w:val="FFFFFF"/>
                <w:sz w:val="22"/>
                <w:szCs w:val="20"/>
              </w:rPr>
              <w:t>Silné stránky</w:t>
            </w:r>
          </w:p>
        </w:tc>
        <w:tc>
          <w:tcPr>
            <w:tcW w:w="5177" w:type="dxa"/>
            <w:tcBorders>
              <w:top w:val="single" w:sz="4" w:space="0" w:color="B2A1C7"/>
              <w:left w:val="single" w:sz="4" w:space="0" w:color="B2A1C7"/>
              <w:bottom w:val="single" w:sz="4" w:space="0" w:color="B2A1C7"/>
              <w:right w:val="single" w:sz="4" w:space="0" w:color="B2A1C7"/>
            </w:tcBorders>
            <w:shd w:val="clear" w:color="auto" w:fill="B2A1C7"/>
            <w:vAlign w:val="center"/>
            <w:hideMark/>
          </w:tcPr>
          <w:p w14:paraId="4FF4B260" w14:textId="77777777" w:rsidR="007D7C8F" w:rsidRPr="00C62639" w:rsidRDefault="007D7C8F" w:rsidP="0076588B">
            <w:pPr>
              <w:rPr>
                <w:rFonts w:asciiTheme="minorHAnsi" w:hAnsiTheme="minorHAnsi"/>
                <w:b/>
                <w:bCs/>
                <w:smallCaps/>
                <w:noProof/>
                <w:color w:val="FFFFFF"/>
                <w:sz w:val="22"/>
                <w:szCs w:val="20"/>
              </w:rPr>
            </w:pPr>
            <w:r w:rsidRPr="00C62639">
              <w:rPr>
                <w:rFonts w:asciiTheme="minorHAnsi" w:hAnsiTheme="minorHAnsi"/>
                <w:b/>
                <w:bCs/>
                <w:smallCaps/>
                <w:noProof/>
                <w:color w:val="FFFFFF"/>
                <w:sz w:val="22"/>
                <w:szCs w:val="20"/>
              </w:rPr>
              <w:t>Slabé stránky</w:t>
            </w:r>
          </w:p>
        </w:tc>
      </w:tr>
      <w:tr w:rsidR="007D7C8F" w:rsidRPr="00C62639" w14:paraId="38C937D9"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FFFFFF"/>
            <w:hideMark/>
          </w:tcPr>
          <w:p w14:paraId="39F21E00" w14:textId="2601866A" w:rsidR="007D7C8F" w:rsidRPr="00C62639" w:rsidRDefault="007D7C8F" w:rsidP="00762B0A">
            <w:pPr>
              <w:pStyle w:val="Odstavecseseznamem"/>
              <w:numPr>
                <w:ilvl w:val="0"/>
                <w:numId w:val="13"/>
              </w:numPr>
              <w:spacing w:before="0" w:after="60"/>
              <w:ind w:left="313"/>
              <w:rPr>
                <w:rFonts w:asciiTheme="minorHAnsi" w:hAnsiTheme="minorHAnsi"/>
                <w:noProof/>
                <w:sz w:val="22"/>
                <w:szCs w:val="20"/>
              </w:rPr>
            </w:pPr>
            <w:r w:rsidRPr="00C62639">
              <w:rPr>
                <w:rFonts w:asciiTheme="minorHAnsi" w:hAnsiTheme="minorHAnsi"/>
                <w:noProof/>
                <w:sz w:val="22"/>
                <w:szCs w:val="20"/>
              </w:rPr>
              <w:t xml:space="preserve">Rozvinutá síť VIM a </w:t>
            </w:r>
            <w:r w:rsidR="000A6C56">
              <w:rPr>
                <w:rFonts w:asciiTheme="minorHAnsi" w:hAnsiTheme="minorHAnsi"/>
                <w:noProof/>
                <w:sz w:val="22"/>
                <w:szCs w:val="20"/>
              </w:rPr>
              <w:t>prozatím postačující množství přírodních</w:t>
            </w:r>
            <w:r w:rsidRPr="00C62639">
              <w:rPr>
                <w:rFonts w:asciiTheme="minorHAnsi" w:hAnsiTheme="minorHAnsi"/>
                <w:noProof/>
                <w:sz w:val="22"/>
                <w:szCs w:val="20"/>
              </w:rPr>
              <w:t xml:space="preserve"> vodních zdrojů.</w:t>
            </w:r>
          </w:p>
          <w:p w14:paraId="1875B8A6" w14:textId="0C8A8145" w:rsidR="007D7C8F" w:rsidRPr="00C62639" w:rsidRDefault="006C7ACF" w:rsidP="00762B0A">
            <w:pPr>
              <w:pStyle w:val="Odstavecseseznamem"/>
              <w:numPr>
                <w:ilvl w:val="0"/>
                <w:numId w:val="13"/>
              </w:numPr>
              <w:spacing w:after="60"/>
              <w:ind w:left="313"/>
              <w:rPr>
                <w:rFonts w:asciiTheme="minorHAnsi" w:hAnsiTheme="minorHAnsi"/>
                <w:noProof/>
                <w:sz w:val="22"/>
                <w:szCs w:val="20"/>
              </w:rPr>
            </w:pPr>
            <w:r>
              <w:rPr>
                <w:rFonts w:asciiTheme="minorHAnsi" w:hAnsiTheme="minorHAnsi"/>
                <w:noProof/>
                <w:sz w:val="22"/>
                <w:szCs w:val="20"/>
              </w:rPr>
              <w:t>Zákonn</w:t>
            </w:r>
            <w:r w:rsidR="002B7BC8">
              <w:rPr>
                <w:rFonts w:asciiTheme="minorHAnsi" w:hAnsiTheme="minorHAnsi"/>
                <w:noProof/>
                <w:sz w:val="22"/>
                <w:szCs w:val="20"/>
              </w:rPr>
              <w:t>ý</w:t>
            </w:r>
            <w:r>
              <w:rPr>
                <w:rFonts w:asciiTheme="minorHAnsi" w:hAnsiTheme="minorHAnsi"/>
                <w:noProof/>
                <w:sz w:val="22"/>
                <w:szCs w:val="20"/>
              </w:rPr>
              <w:t xml:space="preserve"> </w:t>
            </w:r>
            <w:r w:rsidR="002B7BC8">
              <w:rPr>
                <w:rFonts w:asciiTheme="minorHAnsi" w:hAnsiTheme="minorHAnsi"/>
                <w:noProof/>
                <w:sz w:val="22"/>
                <w:szCs w:val="20"/>
              </w:rPr>
              <w:t>rámec</w:t>
            </w:r>
            <w:r w:rsidR="007D7C8F" w:rsidRPr="00C62639">
              <w:rPr>
                <w:rFonts w:asciiTheme="minorHAnsi" w:hAnsiTheme="minorHAnsi"/>
                <w:noProof/>
                <w:sz w:val="22"/>
                <w:szCs w:val="20"/>
              </w:rPr>
              <w:t xml:space="preserve"> upravující práva a povinnosti vlastníka VIM.</w:t>
            </w:r>
          </w:p>
          <w:p w14:paraId="77397931" w14:textId="5EDED67F" w:rsidR="007D7C8F" w:rsidRPr="00C62639" w:rsidRDefault="002B7BC8" w:rsidP="00762B0A">
            <w:pPr>
              <w:pStyle w:val="Odstavecseseznamem"/>
              <w:numPr>
                <w:ilvl w:val="0"/>
                <w:numId w:val="13"/>
              </w:numPr>
              <w:spacing w:after="60"/>
              <w:ind w:left="313"/>
              <w:rPr>
                <w:rFonts w:asciiTheme="minorHAnsi" w:hAnsiTheme="minorHAnsi"/>
                <w:noProof/>
                <w:sz w:val="22"/>
                <w:szCs w:val="20"/>
              </w:rPr>
            </w:pPr>
            <w:r>
              <w:rPr>
                <w:rFonts w:asciiTheme="minorHAnsi" w:hAnsiTheme="minorHAnsi"/>
                <w:noProof/>
                <w:sz w:val="22"/>
                <w:szCs w:val="20"/>
              </w:rPr>
              <w:t xml:space="preserve">Zákonný rámec </w:t>
            </w:r>
            <w:r w:rsidR="007D7C8F" w:rsidRPr="00C62639">
              <w:rPr>
                <w:rFonts w:asciiTheme="minorHAnsi" w:hAnsiTheme="minorHAnsi"/>
                <w:noProof/>
                <w:sz w:val="22"/>
                <w:szCs w:val="20"/>
              </w:rPr>
              <w:t>upravující vztah mezi vlastníkem a provozovatelem.</w:t>
            </w:r>
          </w:p>
          <w:p w14:paraId="72EB322D" w14:textId="77777777" w:rsidR="007D7C8F" w:rsidRPr="00C62639" w:rsidRDefault="007D7C8F" w:rsidP="00762B0A">
            <w:pPr>
              <w:pStyle w:val="Odstavecseseznamem"/>
              <w:numPr>
                <w:ilvl w:val="0"/>
                <w:numId w:val="13"/>
              </w:numPr>
              <w:spacing w:after="60"/>
              <w:ind w:left="313"/>
              <w:rPr>
                <w:rFonts w:asciiTheme="minorHAnsi" w:hAnsiTheme="minorHAnsi"/>
                <w:noProof/>
                <w:sz w:val="22"/>
                <w:szCs w:val="20"/>
              </w:rPr>
            </w:pPr>
            <w:r w:rsidRPr="00C62639">
              <w:rPr>
                <w:rFonts w:asciiTheme="minorHAnsi" w:hAnsiTheme="minorHAnsi"/>
                <w:noProof/>
                <w:sz w:val="22"/>
                <w:szCs w:val="20"/>
              </w:rPr>
              <w:t>Fungující mechanismus upravující investiční proces vlastníků.</w:t>
            </w:r>
          </w:p>
          <w:p w14:paraId="43F0DF69" w14:textId="77777777" w:rsidR="007D7C8F" w:rsidRPr="00C62639" w:rsidRDefault="007D7C8F" w:rsidP="00762B0A">
            <w:pPr>
              <w:pStyle w:val="Odstavecseseznamem"/>
              <w:numPr>
                <w:ilvl w:val="0"/>
                <w:numId w:val="13"/>
              </w:numPr>
              <w:spacing w:after="60"/>
              <w:ind w:left="313"/>
              <w:rPr>
                <w:rFonts w:asciiTheme="minorHAnsi" w:hAnsiTheme="minorHAnsi"/>
                <w:noProof/>
                <w:sz w:val="22"/>
                <w:szCs w:val="20"/>
              </w:rPr>
            </w:pPr>
            <w:r w:rsidRPr="00C62639">
              <w:rPr>
                <w:rFonts w:asciiTheme="minorHAnsi" w:hAnsiTheme="minorHAnsi"/>
                <w:noProof/>
                <w:sz w:val="22"/>
                <w:szCs w:val="20"/>
              </w:rPr>
              <w:t>Vysoké % napojení obyvatelstva k vodovodu a kanalizaci pro veřejnou potřebu.</w:t>
            </w:r>
          </w:p>
          <w:p w14:paraId="0AB78AC0" w14:textId="41CB5A78" w:rsidR="007D7C8F" w:rsidRPr="00C62639" w:rsidRDefault="00087EF5" w:rsidP="00762B0A">
            <w:pPr>
              <w:pStyle w:val="Odstavecseseznamem"/>
              <w:numPr>
                <w:ilvl w:val="0"/>
                <w:numId w:val="13"/>
              </w:numPr>
              <w:spacing w:after="60"/>
              <w:ind w:left="313"/>
              <w:rPr>
                <w:rFonts w:asciiTheme="minorHAnsi" w:hAnsiTheme="minorHAnsi"/>
                <w:noProof/>
                <w:sz w:val="22"/>
                <w:szCs w:val="20"/>
              </w:rPr>
            </w:pPr>
            <w:r>
              <w:rPr>
                <w:rFonts w:asciiTheme="minorHAnsi" w:hAnsiTheme="minorHAnsi"/>
                <w:noProof/>
                <w:sz w:val="22"/>
                <w:szCs w:val="20"/>
              </w:rPr>
              <w:t>Zákonem</w:t>
            </w:r>
            <w:r w:rsidR="007D7C8F" w:rsidRPr="00C62639">
              <w:rPr>
                <w:rFonts w:asciiTheme="minorHAnsi" w:hAnsiTheme="minorHAnsi"/>
                <w:noProof/>
                <w:sz w:val="22"/>
                <w:szCs w:val="20"/>
              </w:rPr>
              <w:t xml:space="preserve"> zaveden systém cenotvorby, který umožňuje pokrývat všechny náklady z ceny vodného a stočného – předpoklad pro dosažení samofinancovatelnosti vodovodů a kanalizací.</w:t>
            </w:r>
          </w:p>
          <w:p w14:paraId="3E52A5CB" w14:textId="77777777" w:rsidR="007D7C8F" w:rsidRPr="00C62639" w:rsidRDefault="007D7C8F" w:rsidP="00762B0A">
            <w:pPr>
              <w:pStyle w:val="Odstavecseseznamem"/>
              <w:numPr>
                <w:ilvl w:val="0"/>
                <w:numId w:val="13"/>
              </w:numPr>
              <w:spacing w:after="60"/>
              <w:ind w:left="313"/>
              <w:rPr>
                <w:rFonts w:asciiTheme="minorHAnsi" w:hAnsiTheme="minorHAnsi"/>
                <w:noProof/>
                <w:sz w:val="22"/>
                <w:szCs w:val="20"/>
              </w:rPr>
            </w:pPr>
            <w:r w:rsidRPr="00C62639">
              <w:rPr>
                <w:rFonts w:asciiTheme="minorHAnsi" w:hAnsiTheme="minorHAnsi"/>
                <w:noProof/>
                <w:sz w:val="22"/>
                <w:szCs w:val="20"/>
              </w:rPr>
              <w:t>Zavedení nového nástroje v cenovém výměru „smlouva mezi vlastníkem a nájemcem o přenechání části zisku nájemci“ (poprvé v cenovém výměru pro rok 2017).</w:t>
            </w:r>
          </w:p>
          <w:p w14:paraId="03AF1F83" w14:textId="5A7F535F" w:rsidR="007D7C8F" w:rsidRPr="00C62639" w:rsidRDefault="007D7C8F" w:rsidP="00762B0A">
            <w:pPr>
              <w:pStyle w:val="Odstavecseseznamem"/>
              <w:numPr>
                <w:ilvl w:val="0"/>
                <w:numId w:val="13"/>
              </w:numPr>
              <w:spacing w:after="60"/>
              <w:ind w:left="313"/>
              <w:rPr>
                <w:rFonts w:asciiTheme="minorHAnsi" w:hAnsiTheme="minorHAnsi"/>
                <w:noProof/>
                <w:sz w:val="22"/>
                <w:szCs w:val="20"/>
              </w:rPr>
            </w:pPr>
            <w:r w:rsidRPr="00C62639">
              <w:rPr>
                <w:rFonts w:asciiTheme="minorHAnsi" w:hAnsiTheme="minorHAnsi"/>
                <w:noProof/>
                <w:sz w:val="22"/>
                <w:szCs w:val="20"/>
              </w:rPr>
              <w:t xml:space="preserve">Organizovaný sběr dat upraven </w:t>
            </w:r>
            <w:r w:rsidR="002B7BC8">
              <w:rPr>
                <w:rFonts w:asciiTheme="minorHAnsi" w:hAnsiTheme="minorHAnsi"/>
                <w:noProof/>
                <w:sz w:val="22"/>
                <w:szCs w:val="20"/>
              </w:rPr>
              <w:t>požadavky dannými právními předpisy</w:t>
            </w:r>
            <w:r w:rsidRPr="00C62639">
              <w:rPr>
                <w:rFonts w:asciiTheme="minorHAnsi" w:hAnsiTheme="minorHAnsi"/>
                <w:noProof/>
                <w:sz w:val="22"/>
                <w:szCs w:val="20"/>
              </w:rPr>
              <w:t xml:space="preserve"> (vybrané údaje z majetkové a provozní evidence, „Porovnání“, hlášení pro ČSÚ, mechanizmy sběru dat o kvalitě pitné vody a hodnotách vyčištěných odpadních vod).</w:t>
            </w:r>
          </w:p>
          <w:p w14:paraId="705891FE" w14:textId="7735E62C" w:rsidR="007D7C8F" w:rsidRPr="00C62639" w:rsidRDefault="007D7C8F" w:rsidP="00762B0A">
            <w:pPr>
              <w:pStyle w:val="Odstavecseseznamem"/>
              <w:numPr>
                <w:ilvl w:val="0"/>
                <w:numId w:val="13"/>
              </w:numPr>
              <w:spacing w:after="60"/>
              <w:ind w:left="313"/>
              <w:rPr>
                <w:rFonts w:asciiTheme="minorHAnsi" w:hAnsiTheme="minorHAnsi"/>
                <w:noProof/>
                <w:sz w:val="22"/>
                <w:szCs w:val="20"/>
              </w:rPr>
            </w:pPr>
            <w:r w:rsidRPr="00C62639">
              <w:rPr>
                <w:rFonts w:asciiTheme="minorHAnsi" w:hAnsiTheme="minorHAnsi"/>
                <w:noProof/>
                <w:sz w:val="22"/>
                <w:szCs w:val="20"/>
              </w:rPr>
              <w:t>Existence dotačních titulů na</w:t>
            </w:r>
            <w:r w:rsidR="00556D78">
              <w:rPr>
                <w:rFonts w:asciiTheme="minorHAnsi" w:hAnsiTheme="minorHAnsi"/>
                <w:noProof/>
                <w:sz w:val="22"/>
                <w:szCs w:val="20"/>
              </w:rPr>
              <w:t xml:space="preserve"> obnovu a</w:t>
            </w:r>
            <w:r w:rsidRPr="00C62639">
              <w:rPr>
                <w:rFonts w:asciiTheme="minorHAnsi" w:hAnsiTheme="minorHAnsi"/>
                <w:noProof/>
                <w:sz w:val="22"/>
                <w:szCs w:val="20"/>
              </w:rPr>
              <w:t xml:space="preserve"> rozvoj VIM.</w:t>
            </w:r>
          </w:p>
        </w:tc>
        <w:tc>
          <w:tcPr>
            <w:tcW w:w="5177" w:type="dxa"/>
            <w:tcBorders>
              <w:top w:val="single" w:sz="4" w:space="0" w:color="B2A1C7"/>
              <w:left w:val="single" w:sz="4" w:space="0" w:color="B2A1C7"/>
              <w:bottom w:val="single" w:sz="4" w:space="0" w:color="B2A1C7"/>
              <w:right w:val="single" w:sz="4" w:space="0" w:color="B2A1C7"/>
            </w:tcBorders>
            <w:shd w:val="clear" w:color="auto" w:fill="auto"/>
            <w:hideMark/>
          </w:tcPr>
          <w:p w14:paraId="10E5C054" w14:textId="77777777" w:rsidR="007D7C8F" w:rsidRPr="00C62639" w:rsidRDefault="007D7C8F" w:rsidP="00762B0A">
            <w:pPr>
              <w:pStyle w:val="Odstavecseseznamem"/>
              <w:numPr>
                <w:ilvl w:val="0"/>
                <w:numId w:val="14"/>
              </w:numPr>
              <w:spacing w:after="60"/>
              <w:ind w:left="317"/>
              <w:rPr>
                <w:rFonts w:asciiTheme="minorHAnsi" w:hAnsiTheme="minorHAnsi"/>
                <w:noProof/>
                <w:sz w:val="22"/>
                <w:szCs w:val="20"/>
              </w:rPr>
            </w:pPr>
            <w:r w:rsidRPr="00C62639">
              <w:rPr>
                <w:rFonts w:asciiTheme="minorHAnsi" w:hAnsiTheme="minorHAnsi"/>
                <w:noProof/>
                <w:sz w:val="22"/>
                <w:szCs w:val="20"/>
              </w:rPr>
              <w:t xml:space="preserve">Vysoký stupeň atomizace trhu (více než 6 660 vlastníků, více než 2 850 provozovatelů). </w:t>
            </w:r>
          </w:p>
          <w:p w14:paraId="590FFE27" w14:textId="77777777" w:rsidR="007D7C8F" w:rsidRPr="00C62639" w:rsidRDefault="007D7C8F" w:rsidP="00762B0A">
            <w:pPr>
              <w:pStyle w:val="Odstavecseseznamem"/>
              <w:numPr>
                <w:ilvl w:val="0"/>
                <w:numId w:val="14"/>
              </w:numPr>
              <w:spacing w:after="60"/>
              <w:ind w:left="317"/>
              <w:rPr>
                <w:rFonts w:asciiTheme="minorHAnsi" w:hAnsiTheme="minorHAnsi"/>
                <w:noProof/>
                <w:sz w:val="22"/>
                <w:szCs w:val="20"/>
              </w:rPr>
            </w:pPr>
            <w:r w:rsidRPr="00C62639">
              <w:rPr>
                <w:rFonts w:asciiTheme="minorHAnsi" w:hAnsiTheme="minorHAnsi"/>
                <w:noProof/>
                <w:sz w:val="22"/>
                <w:szCs w:val="20"/>
              </w:rPr>
              <w:t>Různorodost struktury obchodních vztahů v rámci jednotlivých modelů provozování ovlivňuje možnosti vlastníka rozhodovat o způsobu generování prostředků na obnovu, o jejich výši a době akumulace, která může souviset s délkou trvání smlouvy uzavřené mezi vlastníkem VIM a provozovatelem (oddílný model provozování - včetně vlastnického modelu provozování a provozování s využíváním servisních smluv, smíšený model – včetně samoprovozování, kombinovaný model provozování).</w:t>
            </w:r>
          </w:p>
          <w:p w14:paraId="5595FB61" w14:textId="77777777" w:rsidR="007D7C8F" w:rsidRPr="00C62639" w:rsidRDefault="007D7C8F" w:rsidP="00762B0A">
            <w:pPr>
              <w:pStyle w:val="Odstavecseseznamem"/>
              <w:numPr>
                <w:ilvl w:val="0"/>
                <w:numId w:val="14"/>
              </w:numPr>
              <w:spacing w:after="60"/>
              <w:ind w:left="317"/>
              <w:rPr>
                <w:rFonts w:asciiTheme="minorHAnsi" w:hAnsiTheme="minorHAnsi"/>
                <w:noProof/>
                <w:sz w:val="22"/>
                <w:szCs w:val="20"/>
              </w:rPr>
            </w:pPr>
            <w:r w:rsidRPr="00C62639">
              <w:rPr>
                <w:rFonts w:asciiTheme="minorHAnsi" w:hAnsiTheme="minorHAnsi"/>
                <w:noProof/>
                <w:sz w:val="22"/>
                <w:szCs w:val="20"/>
              </w:rPr>
              <w:t xml:space="preserve">Slabá vyjednávací pozice vlastníka vůči provozovateli zapříčiněná nedostatečnou znalostí práv a </w:t>
            </w:r>
            <w:r w:rsidR="00DC4310" w:rsidRPr="00C62639">
              <w:rPr>
                <w:rFonts w:asciiTheme="minorHAnsi" w:hAnsiTheme="minorHAnsi"/>
                <w:noProof/>
                <w:sz w:val="22"/>
                <w:szCs w:val="20"/>
              </w:rPr>
              <w:t xml:space="preserve">povinností </w:t>
            </w:r>
            <w:r w:rsidRPr="00C62639">
              <w:rPr>
                <w:rFonts w:asciiTheme="minorHAnsi" w:hAnsiTheme="minorHAnsi"/>
                <w:noProof/>
                <w:sz w:val="22"/>
                <w:szCs w:val="20"/>
              </w:rPr>
              <w:t>vlastníka VIM, zejména u menších vlastníků.</w:t>
            </w:r>
          </w:p>
          <w:p w14:paraId="75D99093" w14:textId="7F0E80E4" w:rsidR="007D7C8F" w:rsidRPr="00C62639" w:rsidRDefault="007D7C8F" w:rsidP="00762B0A">
            <w:pPr>
              <w:pStyle w:val="Odstavecseseznamem"/>
              <w:numPr>
                <w:ilvl w:val="0"/>
                <w:numId w:val="14"/>
              </w:numPr>
              <w:spacing w:after="60"/>
              <w:ind w:left="391"/>
              <w:rPr>
                <w:rFonts w:asciiTheme="minorHAnsi" w:hAnsiTheme="minorHAnsi"/>
                <w:noProof/>
                <w:sz w:val="22"/>
                <w:szCs w:val="20"/>
              </w:rPr>
            </w:pPr>
            <w:r w:rsidRPr="00C62639">
              <w:rPr>
                <w:rFonts w:asciiTheme="minorHAnsi" w:hAnsiTheme="minorHAnsi"/>
                <w:noProof/>
                <w:sz w:val="22"/>
                <w:szCs w:val="20"/>
              </w:rPr>
              <w:t xml:space="preserve">Nedodržování </w:t>
            </w:r>
            <w:r w:rsidR="00AD0559">
              <w:rPr>
                <w:rFonts w:asciiTheme="minorHAnsi" w:hAnsiTheme="minorHAnsi"/>
                <w:noProof/>
                <w:sz w:val="22"/>
                <w:szCs w:val="20"/>
              </w:rPr>
              <w:t>zákona</w:t>
            </w:r>
            <w:r w:rsidRPr="00C62639">
              <w:rPr>
                <w:rFonts w:asciiTheme="minorHAnsi" w:hAnsiTheme="minorHAnsi"/>
                <w:noProof/>
                <w:sz w:val="22"/>
                <w:szCs w:val="20"/>
              </w:rPr>
              <w:t xml:space="preserve"> ze strany vlastníků a provozovatelů (zákon o cenách, vyhláška č. 428/2001 Sb., zákon o vodovodech a kanalizacích č. 274/2001 Sb., Koncesní zákon 139/2006 Sb. platný 1. 1. 2014 - 30. 9. 2016, zákon č. 134/2016 Sb., o zadávání veřejných zakázek).</w:t>
            </w:r>
          </w:p>
          <w:p w14:paraId="368C5D86" w14:textId="60C15635" w:rsidR="007D7C8F" w:rsidRPr="00C62639" w:rsidRDefault="007D7C8F" w:rsidP="00762B0A">
            <w:pPr>
              <w:pStyle w:val="Odstavecseseznamem"/>
              <w:numPr>
                <w:ilvl w:val="0"/>
                <w:numId w:val="14"/>
              </w:numPr>
              <w:spacing w:after="60"/>
              <w:ind w:left="317"/>
              <w:rPr>
                <w:rFonts w:asciiTheme="minorHAnsi" w:hAnsiTheme="minorHAnsi"/>
                <w:noProof/>
                <w:sz w:val="22"/>
                <w:szCs w:val="20"/>
              </w:rPr>
            </w:pPr>
            <w:r w:rsidRPr="00C62639">
              <w:rPr>
                <w:rFonts w:asciiTheme="minorHAnsi" w:hAnsiTheme="minorHAnsi"/>
                <w:noProof/>
                <w:sz w:val="22"/>
                <w:szCs w:val="20"/>
              </w:rPr>
              <w:t xml:space="preserve">Neexistence </w:t>
            </w:r>
            <w:r w:rsidR="002B7BC8">
              <w:rPr>
                <w:rFonts w:asciiTheme="minorHAnsi" w:hAnsiTheme="minorHAnsi"/>
                <w:noProof/>
                <w:sz w:val="22"/>
                <w:szCs w:val="20"/>
              </w:rPr>
              <w:t>zákonem dané</w:t>
            </w:r>
            <w:r w:rsidRPr="00C62639">
              <w:rPr>
                <w:rFonts w:asciiTheme="minorHAnsi" w:hAnsiTheme="minorHAnsi"/>
                <w:noProof/>
                <w:sz w:val="22"/>
                <w:szCs w:val="20"/>
              </w:rPr>
              <w:t xml:space="preserve"> úpravy pro stanovení minimální výše nájemného nebo ceny pro vodné a pro stočné s vazbou na dosažení samofinancovatelnosti VIM. </w:t>
            </w:r>
          </w:p>
          <w:p w14:paraId="41ECBCEA" w14:textId="77777777" w:rsidR="007D7C8F" w:rsidRPr="00C62639" w:rsidRDefault="007D7C8F" w:rsidP="00762B0A">
            <w:pPr>
              <w:pStyle w:val="Odstavecseseznamem"/>
              <w:numPr>
                <w:ilvl w:val="0"/>
                <w:numId w:val="14"/>
              </w:numPr>
              <w:spacing w:after="60"/>
              <w:ind w:left="317"/>
              <w:rPr>
                <w:rFonts w:asciiTheme="minorHAnsi" w:hAnsiTheme="minorHAnsi"/>
                <w:noProof/>
                <w:sz w:val="22"/>
                <w:szCs w:val="20"/>
              </w:rPr>
            </w:pPr>
            <w:r w:rsidRPr="00C62639">
              <w:rPr>
                <w:rFonts w:asciiTheme="minorHAnsi" w:hAnsiTheme="minorHAnsi"/>
                <w:noProof/>
                <w:sz w:val="22"/>
                <w:szCs w:val="20"/>
              </w:rPr>
              <w:t xml:space="preserve">Dotace ceny vlastníkem přes položku kalkulační zisk – trend u komunálních vlastníků – spotřebitel nemá informaci o skutečné ceně produktů a zamezuje se dosažení samofinancovatelnosti sektoru. V případě vlastnického modelu provozování dochází tímto způsobem k dotování samotného provozu – zejména u vlastníků s malým počtem připojených osob. </w:t>
            </w:r>
          </w:p>
          <w:p w14:paraId="321831AE" w14:textId="44E416CD" w:rsidR="007D7C8F" w:rsidRPr="00C62639" w:rsidRDefault="007D7C8F" w:rsidP="00762B0A">
            <w:pPr>
              <w:pStyle w:val="Odstavecseseznamem"/>
              <w:numPr>
                <w:ilvl w:val="0"/>
                <w:numId w:val="14"/>
              </w:numPr>
              <w:spacing w:after="60"/>
              <w:ind w:left="317"/>
              <w:rPr>
                <w:rFonts w:asciiTheme="minorHAnsi" w:hAnsiTheme="minorHAnsi"/>
                <w:noProof/>
                <w:sz w:val="22"/>
                <w:szCs w:val="20"/>
              </w:rPr>
            </w:pPr>
            <w:r w:rsidRPr="00C62639">
              <w:rPr>
                <w:rFonts w:asciiTheme="minorHAnsi" w:hAnsiTheme="minorHAnsi"/>
                <w:noProof/>
                <w:sz w:val="22"/>
                <w:szCs w:val="20"/>
              </w:rPr>
              <w:t>Diskutabilní kvalita sbíraných a stávajících dat (ne všichni poskytovatelé dat vyplňují formuláře správně a stejně rozumějí obsahu jednotlivých položek; chybějící data pro kontrolu plánu financování obnovy: proinvestované dotace,</w:t>
            </w:r>
            <w:r w:rsidR="00AB0461">
              <w:rPr>
                <w:rFonts w:asciiTheme="minorHAnsi" w:hAnsiTheme="minorHAnsi"/>
                <w:noProof/>
                <w:sz w:val="22"/>
                <w:szCs w:val="20"/>
              </w:rPr>
              <w:t xml:space="preserve"> stáří majetku, jeho opotřebení,</w:t>
            </w:r>
            <w:r w:rsidRPr="00C62639">
              <w:rPr>
                <w:rFonts w:asciiTheme="minorHAnsi" w:hAnsiTheme="minorHAnsi"/>
                <w:noProof/>
                <w:sz w:val="22"/>
                <w:szCs w:val="20"/>
              </w:rPr>
              <w:t xml:space="preserve"> rozsah objemu plánovaných oprav v daném roce </w:t>
            </w:r>
            <w:r w:rsidR="00AB0461">
              <w:rPr>
                <w:rFonts w:asciiTheme="minorHAnsi" w:hAnsiTheme="minorHAnsi"/>
                <w:noProof/>
                <w:sz w:val="22"/>
                <w:szCs w:val="20"/>
              </w:rPr>
              <w:t>atd.</w:t>
            </w:r>
            <w:r w:rsidRPr="00C62639">
              <w:rPr>
                <w:rFonts w:asciiTheme="minorHAnsi" w:hAnsiTheme="minorHAnsi"/>
                <w:noProof/>
                <w:sz w:val="22"/>
                <w:szCs w:val="20"/>
              </w:rPr>
              <w:t>).</w:t>
            </w:r>
          </w:p>
          <w:p w14:paraId="65369D6D" w14:textId="77777777" w:rsidR="007D7C8F" w:rsidRPr="00C62639" w:rsidRDefault="007D7C8F" w:rsidP="00762B0A">
            <w:pPr>
              <w:pStyle w:val="Odstavecseseznamem"/>
              <w:numPr>
                <w:ilvl w:val="0"/>
                <w:numId w:val="14"/>
              </w:numPr>
              <w:spacing w:after="60"/>
              <w:ind w:left="317"/>
              <w:rPr>
                <w:rFonts w:asciiTheme="minorHAnsi" w:hAnsiTheme="minorHAnsi"/>
                <w:noProof/>
                <w:sz w:val="22"/>
                <w:szCs w:val="20"/>
              </w:rPr>
            </w:pPr>
            <w:r w:rsidRPr="00C62639">
              <w:rPr>
                <w:rFonts w:asciiTheme="minorHAnsi" w:hAnsiTheme="minorHAnsi"/>
                <w:noProof/>
                <w:sz w:val="22"/>
                <w:szCs w:val="20"/>
              </w:rPr>
              <w:lastRenderedPageBreak/>
              <w:t>Nedostatek znalostí a zkušenosti vlastníků jako investora VIM (efektivní investování finančních prostředků do VIM z pohledu životního cyklu majetku).</w:t>
            </w:r>
          </w:p>
          <w:p w14:paraId="7B4247CB" w14:textId="77777777" w:rsidR="007D7C8F" w:rsidRPr="00C62639" w:rsidRDefault="007D7C8F" w:rsidP="00762B0A">
            <w:pPr>
              <w:pStyle w:val="Odstavecseseznamem"/>
              <w:spacing w:after="60"/>
              <w:ind w:left="317"/>
              <w:rPr>
                <w:rFonts w:asciiTheme="minorHAnsi" w:hAnsiTheme="minorHAnsi"/>
                <w:noProof/>
                <w:sz w:val="22"/>
                <w:szCs w:val="20"/>
              </w:rPr>
            </w:pPr>
          </w:p>
        </w:tc>
      </w:tr>
      <w:tr w:rsidR="007D7C8F" w:rsidRPr="00C62639" w14:paraId="692C52AB"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C4BC96"/>
            <w:hideMark/>
          </w:tcPr>
          <w:p w14:paraId="1A70587A" w14:textId="77777777" w:rsidR="007D7C8F" w:rsidRPr="00C62639" w:rsidRDefault="007D7C8F" w:rsidP="0076588B">
            <w:pPr>
              <w:rPr>
                <w:rFonts w:asciiTheme="minorHAnsi" w:hAnsiTheme="minorHAnsi"/>
                <w:b/>
                <w:bCs/>
                <w:smallCaps/>
                <w:noProof/>
                <w:sz w:val="22"/>
                <w:szCs w:val="20"/>
              </w:rPr>
            </w:pPr>
            <w:r w:rsidRPr="00C62639">
              <w:rPr>
                <w:rFonts w:asciiTheme="minorHAnsi" w:hAnsiTheme="minorHAnsi"/>
                <w:b/>
                <w:bCs/>
                <w:smallCaps/>
                <w:noProof/>
                <w:sz w:val="22"/>
                <w:szCs w:val="20"/>
              </w:rPr>
              <w:lastRenderedPageBreak/>
              <w:t>Příležitosti</w:t>
            </w:r>
          </w:p>
        </w:tc>
        <w:tc>
          <w:tcPr>
            <w:tcW w:w="5177" w:type="dxa"/>
            <w:tcBorders>
              <w:top w:val="single" w:sz="4" w:space="0" w:color="B2A1C7"/>
              <w:left w:val="single" w:sz="4" w:space="0" w:color="B2A1C7"/>
              <w:bottom w:val="single" w:sz="4" w:space="0" w:color="B2A1C7"/>
              <w:right w:val="single" w:sz="4" w:space="0" w:color="B2A1C7"/>
            </w:tcBorders>
            <w:shd w:val="clear" w:color="auto" w:fill="C4BC96"/>
            <w:hideMark/>
          </w:tcPr>
          <w:p w14:paraId="62FEEF39" w14:textId="77777777" w:rsidR="007D7C8F" w:rsidRPr="00C62639" w:rsidRDefault="007D7C8F" w:rsidP="0076588B">
            <w:pPr>
              <w:rPr>
                <w:rFonts w:asciiTheme="minorHAnsi" w:hAnsiTheme="minorHAnsi"/>
                <w:b/>
                <w:smallCaps/>
                <w:noProof/>
                <w:sz w:val="22"/>
                <w:szCs w:val="20"/>
              </w:rPr>
            </w:pPr>
            <w:r w:rsidRPr="00C62639">
              <w:rPr>
                <w:rFonts w:asciiTheme="minorHAnsi" w:hAnsiTheme="minorHAnsi"/>
                <w:b/>
                <w:smallCaps/>
                <w:noProof/>
                <w:sz w:val="22"/>
                <w:szCs w:val="20"/>
              </w:rPr>
              <w:t>Hrozby</w:t>
            </w:r>
          </w:p>
        </w:tc>
      </w:tr>
      <w:tr w:rsidR="007D7C8F" w:rsidRPr="00C62639" w14:paraId="7617AE3F"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FFFFFF"/>
            <w:hideMark/>
          </w:tcPr>
          <w:p w14:paraId="646C58B7" w14:textId="77777777" w:rsidR="007D7C8F" w:rsidRPr="00C62639" w:rsidRDefault="007D7C8F" w:rsidP="00762B0A">
            <w:pPr>
              <w:pStyle w:val="Odstavecseseznamem"/>
              <w:numPr>
                <w:ilvl w:val="0"/>
                <w:numId w:val="15"/>
              </w:numPr>
              <w:spacing w:before="0" w:after="60"/>
              <w:ind w:left="313"/>
              <w:rPr>
                <w:rFonts w:asciiTheme="minorHAnsi" w:hAnsiTheme="minorHAnsi"/>
                <w:noProof/>
                <w:sz w:val="22"/>
                <w:szCs w:val="20"/>
              </w:rPr>
            </w:pPr>
            <w:r w:rsidRPr="00C62639">
              <w:rPr>
                <w:rFonts w:asciiTheme="minorHAnsi" w:hAnsiTheme="minorHAnsi"/>
                <w:noProof/>
                <w:sz w:val="22"/>
                <w:szCs w:val="20"/>
              </w:rPr>
              <w:t xml:space="preserve">Dosažení sociálně únosné samofinancovatelnosti infrastruktury (splnění EU směrnic, nastavení odpovědného financování sektoru s ohledem na nezatěžování dalších generací). </w:t>
            </w:r>
          </w:p>
          <w:p w14:paraId="2B944238" w14:textId="77777777" w:rsidR="007D7C8F" w:rsidRPr="00C62639" w:rsidRDefault="007D7C8F" w:rsidP="00762B0A">
            <w:pPr>
              <w:pStyle w:val="Odstavecseseznamem"/>
              <w:numPr>
                <w:ilvl w:val="0"/>
                <w:numId w:val="15"/>
              </w:numPr>
              <w:spacing w:after="60"/>
              <w:ind w:left="313"/>
              <w:rPr>
                <w:rFonts w:asciiTheme="minorHAnsi" w:hAnsiTheme="minorHAnsi"/>
                <w:noProof/>
                <w:sz w:val="22"/>
                <w:szCs w:val="20"/>
              </w:rPr>
            </w:pPr>
            <w:r w:rsidRPr="00C62639">
              <w:rPr>
                <w:rFonts w:asciiTheme="minorHAnsi" w:hAnsiTheme="minorHAnsi"/>
                <w:noProof/>
                <w:sz w:val="22"/>
                <w:szCs w:val="20"/>
              </w:rPr>
              <w:t>Detailnější vypracování podmínek hospodaření s prostředky určenými pro plán financování obnovy.</w:t>
            </w:r>
          </w:p>
          <w:p w14:paraId="71BD1ABC" w14:textId="77777777" w:rsidR="007D7C8F" w:rsidRPr="00C62639" w:rsidRDefault="007D7C8F" w:rsidP="00762B0A">
            <w:pPr>
              <w:pStyle w:val="Odstavecseseznamem"/>
              <w:numPr>
                <w:ilvl w:val="0"/>
                <w:numId w:val="15"/>
              </w:numPr>
              <w:spacing w:after="60"/>
              <w:ind w:left="313"/>
              <w:rPr>
                <w:rFonts w:asciiTheme="minorHAnsi" w:hAnsiTheme="minorHAnsi"/>
                <w:noProof/>
                <w:sz w:val="22"/>
                <w:szCs w:val="20"/>
              </w:rPr>
            </w:pPr>
            <w:r w:rsidRPr="00C62639">
              <w:rPr>
                <w:rFonts w:asciiTheme="minorHAnsi" w:hAnsiTheme="minorHAnsi"/>
                <w:noProof/>
                <w:sz w:val="22"/>
                <w:szCs w:val="20"/>
              </w:rPr>
              <w:t>Zavedení PFO jako investičního nástroje vlastníků VIM za účelem zefektivnění investiční činnosti.</w:t>
            </w:r>
          </w:p>
          <w:p w14:paraId="7EB78791" w14:textId="77777777" w:rsidR="007D7C8F" w:rsidRPr="00C62639" w:rsidRDefault="007D7C8F" w:rsidP="00762B0A">
            <w:pPr>
              <w:pStyle w:val="Odstavecseseznamem"/>
              <w:numPr>
                <w:ilvl w:val="0"/>
                <w:numId w:val="15"/>
              </w:numPr>
              <w:spacing w:after="60"/>
              <w:ind w:left="313"/>
              <w:rPr>
                <w:rFonts w:asciiTheme="minorHAnsi" w:hAnsiTheme="minorHAnsi"/>
                <w:noProof/>
                <w:sz w:val="22"/>
                <w:szCs w:val="20"/>
              </w:rPr>
            </w:pPr>
            <w:r w:rsidRPr="00C62639">
              <w:rPr>
                <w:rFonts w:asciiTheme="minorHAnsi" w:hAnsiTheme="minorHAnsi"/>
                <w:noProof/>
                <w:sz w:val="22"/>
                <w:szCs w:val="20"/>
              </w:rPr>
              <w:t>Zvýšení informovanosti všech zúčastněných stran sektoru o jejich právech a povinnostech.</w:t>
            </w:r>
          </w:p>
          <w:p w14:paraId="61D8CDD2" w14:textId="77777777" w:rsidR="007D7C8F" w:rsidRPr="00C62639" w:rsidRDefault="007D7C8F" w:rsidP="00762B0A">
            <w:pPr>
              <w:pStyle w:val="Odstavecseseznamem"/>
              <w:numPr>
                <w:ilvl w:val="0"/>
                <w:numId w:val="15"/>
              </w:numPr>
              <w:spacing w:after="60"/>
              <w:ind w:left="313"/>
              <w:rPr>
                <w:rFonts w:asciiTheme="minorHAnsi" w:hAnsiTheme="minorHAnsi"/>
                <w:noProof/>
                <w:sz w:val="22"/>
                <w:szCs w:val="20"/>
              </w:rPr>
            </w:pPr>
            <w:r w:rsidRPr="00C62639">
              <w:rPr>
                <w:rFonts w:asciiTheme="minorHAnsi" w:hAnsiTheme="minorHAnsi"/>
                <w:noProof/>
                <w:sz w:val="22"/>
                <w:szCs w:val="20"/>
              </w:rPr>
              <w:t>Zavedení pomocných nástrojů pro úpravu vztahu mezi vlastníky a provozovateli VIM (např. vzor servisní smlouvy, smlouvy s odborným zástupcem).</w:t>
            </w:r>
          </w:p>
          <w:p w14:paraId="555CCCC7" w14:textId="77777777" w:rsidR="007D7C8F" w:rsidRPr="00C62639" w:rsidRDefault="007D7C8F" w:rsidP="00762B0A">
            <w:pPr>
              <w:pStyle w:val="Odstavecseseznamem"/>
              <w:numPr>
                <w:ilvl w:val="0"/>
                <w:numId w:val="15"/>
              </w:numPr>
              <w:spacing w:after="60"/>
              <w:ind w:left="313"/>
              <w:rPr>
                <w:rFonts w:asciiTheme="minorHAnsi" w:hAnsiTheme="minorHAnsi"/>
                <w:noProof/>
                <w:sz w:val="22"/>
                <w:szCs w:val="20"/>
              </w:rPr>
            </w:pPr>
            <w:r w:rsidRPr="00C62639">
              <w:rPr>
                <w:rFonts w:asciiTheme="minorHAnsi" w:hAnsiTheme="minorHAnsi"/>
                <w:noProof/>
                <w:sz w:val="22"/>
                <w:szCs w:val="20"/>
              </w:rPr>
              <w:t>Dodržování stanoveného rozmezí ceny pro vodné a stočné mezi úrovní sociálně únosné ceny a minimální cenou pokrývající veškeré náklady zejména na obnovu VIM (</w:t>
            </w:r>
            <w:r w:rsidR="00DC4310" w:rsidRPr="00C62639">
              <w:rPr>
                <w:rFonts w:asciiTheme="minorHAnsi" w:hAnsiTheme="minorHAnsi"/>
                <w:noProof/>
                <w:sz w:val="22"/>
                <w:szCs w:val="20"/>
              </w:rPr>
              <w:t xml:space="preserve">formou </w:t>
            </w:r>
            <w:r w:rsidRPr="00C62639">
              <w:rPr>
                <w:rFonts w:asciiTheme="minorHAnsi" w:hAnsiTheme="minorHAnsi"/>
                <w:noProof/>
                <w:sz w:val="22"/>
                <w:szCs w:val="20"/>
              </w:rPr>
              <w:t>zakalkulování odpisů a prostředků PFO, které jsou v případě oddílného modelu provozování součástí nájemného).</w:t>
            </w:r>
          </w:p>
          <w:p w14:paraId="2AEA6BF5" w14:textId="77777777" w:rsidR="00556D78" w:rsidRPr="00556D78" w:rsidRDefault="00556D78" w:rsidP="00762B0A">
            <w:pPr>
              <w:pStyle w:val="Odstavecseseznamem"/>
              <w:numPr>
                <w:ilvl w:val="0"/>
                <w:numId w:val="15"/>
              </w:numPr>
              <w:spacing w:after="60"/>
              <w:ind w:left="313"/>
              <w:rPr>
                <w:rFonts w:asciiTheme="minorHAnsi" w:hAnsiTheme="minorHAnsi"/>
                <w:bCs/>
                <w:noProof/>
                <w:sz w:val="22"/>
                <w:szCs w:val="20"/>
              </w:rPr>
            </w:pPr>
            <w:r w:rsidRPr="00C62639">
              <w:rPr>
                <w:rFonts w:asciiTheme="minorHAnsi" w:hAnsiTheme="minorHAnsi"/>
                <w:bCs/>
                <w:noProof/>
                <w:szCs w:val="20"/>
              </w:rPr>
              <w:t>Zvyšování kval</w:t>
            </w:r>
            <w:r>
              <w:rPr>
                <w:rFonts w:asciiTheme="minorHAnsi" w:hAnsiTheme="minorHAnsi"/>
                <w:bCs/>
                <w:noProof/>
                <w:szCs w:val="20"/>
              </w:rPr>
              <w:t>ity dat, spolupráce se subjekty, provádění konzultačních a vzdělávacích aktivit.</w:t>
            </w:r>
          </w:p>
          <w:p w14:paraId="0A538062" w14:textId="7E3C69B2" w:rsidR="007D7C8F" w:rsidRPr="00C62639" w:rsidRDefault="007D7C8F" w:rsidP="00762B0A">
            <w:pPr>
              <w:pStyle w:val="Odstavecseseznamem"/>
              <w:numPr>
                <w:ilvl w:val="0"/>
                <w:numId w:val="15"/>
              </w:numPr>
              <w:spacing w:after="60"/>
              <w:ind w:left="313"/>
              <w:rPr>
                <w:rFonts w:asciiTheme="minorHAnsi" w:hAnsiTheme="minorHAnsi"/>
                <w:bCs/>
                <w:noProof/>
                <w:sz w:val="22"/>
                <w:szCs w:val="20"/>
              </w:rPr>
            </w:pPr>
            <w:r w:rsidRPr="00C62639">
              <w:rPr>
                <w:rFonts w:asciiTheme="minorHAnsi" w:hAnsiTheme="minorHAnsi"/>
                <w:noProof/>
                <w:sz w:val="22"/>
                <w:szCs w:val="20"/>
              </w:rPr>
              <w:t>Zvýšení úrovně znalostí vlastníků o investičním procesu z hlediska prodloužení životního cyklu VIM.</w:t>
            </w:r>
          </w:p>
        </w:tc>
        <w:tc>
          <w:tcPr>
            <w:tcW w:w="5177" w:type="dxa"/>
            <w:tcBorders>
              <w:top w:val="single" w:sz="4" w:space="0" w:color="B2A1C7"/>
              <w:left w:val="single" w:sz="4" w:space="0" w:color="B2A1C7"/>
              <w:bottom w:val="single" w:sz="4" w:space="0" w:color="B2A1C7"/>
              <w:right w:val="single" w:sz="4" w:space="0" w:color="B2A1C7"/>
            </w:tcBorders>
            <w:shd w:val="clear" w:color="auto" w:fill="auto"/>
            <w:hideMark/>
          </w:tcPr>
          <w:p w14:paraId="4070DFB5" w14:textId="77777777" w:rsidR="007D7C8F" w:rsidRPr="00C62639" w:rsidRDefault="007D7C8F" w:rsidP="00762B0A">
            <w:pPr>
              <w:pStyle w:val="Odstavecseseznamem"/>
              <w:numPr>
                <w:ilvl w:val="0"/>
                <w:numId w:val="16"/>
              </w:numPr>
              <w:spacing w:after="60"/>
              <w:ind w:left="317"/>
              <w:rPr>
                <w:rFonts w:asciiTheme="minorHAnsi" w:hAnsiTheme="minorHAnsi"/>
                <w:noProof/>
                <w:sz w:val="22"/>
                <w:szCs w:val="20"/>
              </w:rPr>
            </w:pPr>
            <w:r w:rsidRPr="00C62639">
              <w:rPr>
                <w:rFonts w:asciiTheme="minorHAnsi" w:hAnsiTheme="minorHAnsi"/>
                <w:noProof/>
                <w:sz w:val="22"/>
                <w:szCs w:val="20"/>
              </w:rPr>
              <w:t>Nejednotné chápání termínů (obnova, oprava, porucha…) a nízká úroveň kvality stávajících dat, včetně neznalosti např. informací týkajících se stáří a opotřebení VIM mohou zapříčinit chybné rozhodnutí regulátora.</w:t>
            </w:r>
          </w:p>
          <w:p w14:paraId="4542EDC2" w14:textId="5DD61BD3" w:rsidR="007D7C8F" w:rsidRPr="00C62639" w:rsidRDefault="007D7C8F" w:rsidP="00762B0A">
            <w:pPr>
              <w:pStyle w:val="Odstavecseseznamem"/>
              <w:numPr>
                <w:ilvl w:val="0"/>
                <w:numId w:val="16"/>
              </w:numPr>
              <w:spacing w:after="60"/>
              <w:ind w:left="317"/>
              <w:rPr>
                <w:rFonts w:asciiTheme="minorHAnsi" w:hAnsiTheme="minorHAnsi"/>
                <w:noProof/>
                <w:sz w:val="22"/>
                <w:szCs w:val="20"/>
              </w:rPr>
            </w:pPr>
            <w:r w:rsidRPr="00C62639">
              <w:rPr>
                <w:rFonts w:asciiTheme="minorHAnsi" w:hAnsiTheme="minorHAnsi"/>
                <w:noProof/>
                <w:sz w:val="22"/>
                <w:szCs w:val="20"/>
              </w:rPr>
              <w:t xml:space="preserve">Neexistující </w:t>
            </w:r>
            <w:r w:rsidR="002B7BC8">
              <w:rPr>
                <w:rFonts w:asciiTheme="minorHAnsi" w:hAnsiTheme="minorHAnsi"/>
                <w:noProof/>
                <w:sz w:val="22"/>
                <w:szCs w:val="20"/>
              </w:rPr>
              <w:t>zákonem daná úprava</w:t>
            </w:r>
            <w:r w:rsidRPr="00C62639">
              <w:rPr>
                <w:rFonts w:asciiTheme="minorHAnsi" w:hAnsiTheme="minorHAnsi"/>
                <w:noProof/>
                <w:sz w:val="22"/>
                <w:szCs w:val="20"/>
              </w:rPr>
              <w:t xml:space="preserve"> možností využití zisku z regulované činnosti a přímého omezení možností použití zisku plynoucích z majetkových podílů vlastníků VIM v provozovatelských subjektech (Občanský zákoník a zákon o obchodních korporacích). Ideální stav - použití zisků z regulované činnosti zákonem účelově vázáno na zabezpečení samofinancovatelnosti VIM.</w:t>
            </w:r>
          </w:p>
          <w:p w14:paraId="33A7FE80" w14:textId="77777777" w:rsidR="007D7C8F" w:rsidRPr="00C62639" w:rsidRDefault="007D7C8F" w:rsidP="00762B0A">
            <w:pPr>
              <w:pStyle w:val="Odstavecseseznamem"/>
              <w:numPr>
                <w:ilvl w:val="0"/>
                <w:numId w:val="16"/>
              </w:numPr>
              <w:spacing w:after="60"/>
              <w:ind w:left="317"/>
              <w:rPr>
                <w:rFonts w:asciiTheme="minorHAnsi" w:hAnsiTheme="minorHAnsi"/>
                <w:noProof/>
                <w:sz w:val="22"/>
                <w:szCs w:val="20"/>
              </w:rPr>
            </w:pPr>
            <w:r w:rsidRPr="00C62639">
              <w:rPr>
                <w:rFonts w:asciiTheme="minorHAnsi" w:hAnsiTheme="minorHAnsi"/>
                <w:noProof/>
                <w:sz w:val="22"/>
                <w:szCs w:val="20"/>
              </w:rPr>
              <w:t xml:space="preserve">Působení dotací EU na cenotvorbu, kdy musí být v kalkulaci na určité období použit záporný kalkulační zisk. Dochází k deformaci cen pro vodné a stočné. </w:t>
            </w:r>
          </w:p>
          <w:p w14:paraId="4EDB31DE" w14:textId="77777777" w:rsidR="007D7C8F" w:rsidRPr="00C62639" w:rsidRDefault="007D7C8F" w:rsidP="00762B0A">
            <w:pPr>
              <w:pStyle w:val="Odstavecseseznamem"/>
              <w:numPr>
                <w:ilvl w:val="0"/>
                <w:numId w:val="16"/>
              </w:numPr>
              <w:spacing w:after="60"/>
              <w:ind w:left="317"/>
              <w:rPr>
                <w:rFonts w:asciiTheme="minorHAnsi" w:hAnsiTheme="minorHAnsi"/>
                <w:noProof/>
                <w:sz w:val="22"/>
                <w:szCs w:val="20"/>
              </w:rPr>
            </w:pPr>
            <w:r w:rsidRPr="00C62639">
              <w:rPr>
                <w:rFonts w:asciiTheme="minorHAnsi" w:hAnsiTheme="minorHAnsi"/>
                <w:noProof/>
                <w:sz w:val="22"/>
                <w:szCs w:val="20"/>
              </w:rPr>
              <w:t xml:space="preserve">Rozdílné podmínky účtování o dotacích při zařazování majetku do hmotného investičního majetku mezi podnikatelskými subjekty a municipalitami má za následek, že za tohoto stavu není možné pro účely regulace využívat informace o hodnotě majetku z účetnictví subjektů. </w:t>
            </w:r>
          </w:p>
          <w:p w14:paraId="4A14E26C" w14:textId="77777777" w:rsidR="007D7C8F" w:rsidRPr="00C62639" w:rsidRDefault="007D7C8F" w:rsidP="00762B0A">
            <w:pPr>
              <w:pStyle w:val="Odstavecseseznamem"/>
              <w:numPr>
                <w:ilvl w:val="0"/>
                <w:numId w:val="16"/>
              </w:numPr>
              <w:spacing w:after="60"/>
              <w:ind w:left="317"/>
              <w:rPr>
                <w:rFonts w:asciiTheme="minorHAnsi" w:hAnsiTheme="minorHAnsi"/>
                <w:noProof/>
                <w:sz w:val="22"/>
                <w:szCs w:val="20"/>
              </w:rPr>
            </w:pPr>
            <w:r w:rsidRPr="00C62639">
              <w:rPr>
                <w:rFonts w:asciiTheme="minorHAnsi" w:hAnsiTheme="minorHAnsi"/>
                <w:noProof/>
                <w:sz w:val="22"/>
                <w:szCs w:val="20"/>
              </w:rPr>
              <w:t>Pokud dosažení samofinancovatelnosti bude trvat příliš dlouho, může to vést k opětovnému tlaku sektoru na dotace (na obnovu) a následně ke skokovým nárůstům cen vodného a stočného, které mohou být za sociální únosností. Tento postup může znamenat významné ekonomické zatížení budoucích generací, případně snížení kvality služeb.</w:t>
            </w:r>
          </w:p>
          <w:p w14:paraId="1E3F1BBC" w14:textId="66E9E77B" w:rsidR="007D7C8F" w:rsidRPr="00C62639" w:rsidRDefault="000302AB" w:rsidP="00762B0A">
            <w:pPr>
              <w:pStyle w:val="Odstavecseseznamem"/>
              <w:numPr>
                <w:ilvl w:val="0"/>
                <w:numId w:val="16"/>
              </w:numPr>
              <w:spacing w:after="60"/>
              <w:ind w:left="317"/>
              <w:rPr>
                <w:rFonts w:asciiTheme="minorHAnsi" w:hAnsiTheme="minorHAnsi"/>
                <w:noProof/>
                <w:sz w:val="22"/>
                <w:szCs w:val="20"/>
              </w:rPr>
            </w:pPr>
            <w:r>
              <w:rPr>
                <w:rFonts w:asciiTheme="minorHAnsi" w:hAnsiTheme="minorHAnsi"/>
                <w:noProof/>
                <w:sz w:val="22"/>
                <w:szCs w:val="20"/>
              </w:rPr>
              <w:t>Neúčelové použití</w:t>
            </w:r>
            <w:r w:rsidR="007D7C8F" w:rsidRPr="00C62639">
              <w:rPr>
                <w:rFonts w:asciiTheme="minorHAnsi" w:hAnsiTheme="minorHAnsi"/>
                <w:noProof/>
                <w:sz w:val="22"/>
                <w:szCs w:val="20"/>
              </w:rPr>
              <w:t xml:space="preserve"> prostředků plánu financování obnovy (jakožto veřejných zdrojů) v důsledku neexistence detailních podmínek pro hospodaření s nimi.</w:t>
            </w:r>
          </w:p>
        </w:tc>
      </w:tr>
    </w:tbl>
    <w:p w14:paraId="05849483" w14:textId="77777777" w:rsidR="007D7C8F" w:rsidRPr="00C62639" w:rsidRDefault="007D7C8F" w:rsidP="007D7C8F">
      <w:pPr>
        <w:pStyle w:val="Nadpis3"/>
        <w:rPr>
          <w:rFonts w:asciiTheme="minorHAnsi" w:hAnsiTheme="minorHAnsi"/>
          <w:noProof/>
        </w:rPr>
      </w:pPr>
      <w:bookmarkStart w:id="40" w:name="_Toc502677214"/>
      <w:r w:rsidRPr="00C62639">
        <w:rPr>
          <w:rFonts w:asciiTheme="minorHAnsi" w:hAnsiTheme="minorHAnsi"/>
          <w:noProof/>
        </w:rPr>
        <w:t xml:space="preserve"> </w:t>
      </w:r>
      <w:bookmarkStart w:id="41" w:name="_Toc495564887"/>
      <w:bookmarkStart w:id="42" w:name="_Toc459133209"/>
      <w:bookmarkStart w:id="43" w:name="_Toc505684427"/>
      <w:r w:rsidRPr="00C62639">
        <w:rPr>
          <w:rFonts w:asciiTheme="minorHAnsi" w:hAnsiTheme="minorHAnsi"/>
          <w:noProof/>
        </w:rPr>
        <w:t>Závěr, zhodnocení a návrh dalšího postupu</w:t>
      </w:r>
      <w:bookmarkEnd w:id="40"/>
      <w:bookmarkEnd w:id="41"/>
      <w:bookmarkEnd w:id="42"/>
      <w:bookmarkEnd w:id="43"/>
    </w:p>
    <w:p w14:paraId="4A420F2D" w14:textId="77777777" w:rsidR="007D7C8F" w:rsidRPr="00C62639" w:rsidRDefault="007D7C8F" w:rsidP="007D7C8F">
      <w:pPr>
        <w:pStyle w:val="normlntextvodstavcch"/>
        <w:spacing w:line="264" w:lineRule="auto"/>
        <w:rPr>
          <w:rFonts w:asciiTheme="minorHAnsi" w:hAnsiTheme="minorHAnsi"/>
          <w:i/>
          <w:noProof/>
        </w:rPr>
      </w:pPr>
      <w:r w:rsidRPr="00C62639">
        <w:rPr>
          <w:rFonts w:asciiTheme="minorHAnsi" w:hAnsiTheme="minorHAnsi"/>
          <w:i/>
          <w:noProof/>
        </w:rPr>
        <w:t>Na</w:t>
      </w:r>
      <w:r w:rsidRPr="00C62639">
        <w:rPr>
          <w:rFonts w:asciiTheme="minorHAnsi" w:hAnsiTheme="minorHAnsi"/>
          <w:noProof/>
        </w:rPr>
        <w:t xml:space="preserve"> </w:t>
      </w:r>
      <w:r w:rsidRPr="00C62639">
        <w:rPr>
          <w:rFonts w:asciiTheme="minorHAnsi" w:hAnsiTheme="minorHAnsi"/>
          <w:i/>
          <w:noProof/>
        </w:rPr>
        <w:t xml:space="preserve">základě výsledků benchmarkingu vlastnických subjektů, provedené analýzy SWOT a s přihlédnutím ke stanoveným dlouhodobým cílům regulace – zejména dosažení samofinancovatelnosti infrastruktury by se měl regulátor zaměřit na úpravu podmínek fungování oboru vodovodů a kanalizací tak, aby bylo zefektivňováno vymáhání plnění definovaných povinností vlastníků VIM (bez ohledu na aplikovaný model provozování). </w:t>
      </w:r>
    </w:p>
    <w:p w14:paraId="634D03EB" w14:textId="15EC7CCE" w:rsidR="007D7C8F" w:rsidRPr="00C62639" w:rsidRDefault="007D7C8F" w:rsidP="007D7C8F">
      <w:pPr>
        <w:pStyle w:val="normlntextvodstavcch"/>
        <w:spacing w:line="264" w:lineRule="auto"/>
        <w:rPr>
          <w:rFonts w:asciiTheme="minorHAnsi" w:hAnsiTheme="minorHAnsi"/>
          <w:i/>
          <w:noProof/>
        </w:rPr>
      </w:pPr>
      <w:r w:rsidRPr="00C62639">
        <w:rPr>
          <w:rFonts w:asciiTheme="minorHAnsi" w:hAnsiTheme="minorHAnsi"/>
          <w:i/>
          <w:noProof/>
        </w:rPr>
        <w:lastRenderedPageBreak/>
        <w:t>V zájmu zvýšení vypovídací schopnosti výsledků benchmarkingu, které jsou podkladem pro rozhodovací proces regulátora a v zájmu zlepšení informovanosti odběratele o skutečné ceně služeb, by mělo MZe zpřísnit dohled nad plněním ustanovení §35a, odst. 7, vyhlášky č. 428/2001 Sb. Uvedené ustanovení upravuje povinnost regulovaného subjektu započítat (resp. uvést) všechny skutečné náklady související s poskytováním regulovaných služeb v oboru vodovodů a kanalizací do ceny pro vodné a pro stočné. MF by mělo k řešení problému zvýšení vypovídací schopnosti benchmarkingu zaujmout stejný přístup z hlediska nastavení cenového výměru. Jinak bude muset regulátor respektovat fakt, že neúplné informace mohou ovlivnit relevantnost výstupů benchmarkingu a z toho vyplývající sníženou efektivnost a účinnost jeho rozhodnutí.</w:t>
      </w:r>
      <w:r w:rsidR="00B26631">
        <w:rPr>
          <w:rFonts w:asciiTheme="minorHAnsi" w:hAnsiTheme="minorHAnsi"/>
          <w:i/>
          <w:noProof/>
        </w:rPr>
        <w:t xml:space="preserve"> </w:t>
      </w:r>
    </w:p>
    <w:p w14:paraId="1C9C2EA8" w14:textId="7E885907" w:rsidR="007D7C8F" w:rsidRPr="00C62639" w:rsidRDefault="007D7C8F" w:rsidP="007D7C8F">
      <w:pPr>
        <w:pStyle w:val="normlntextvodstavcch"/>
        <w:spacing w:line="264" w:lineRule="auto"/>
        <w:rPr>
          <w:rFonts w:asciiTheme="minorHAnsi" w:hAnsiTheme="minorHAnsi"/>
          <w:i/>
          <w:noProof/>
        </w:rPr>
      </w:pPr>
      <w:r w:rsidRPr="00C62639">
        <w:rPr>
          <w:rFonts w:asciiTheme="minorHAnsi" w:hAnsiTheme="minorHAnsi"/>
          <w:i/>
          <w:noProof/>
        </w:rPr>
        <w:t>Pro oblast obnovy by měl regulátor ve svých rozhodnutích směřovat k dosažení sociálně únosné samofinancovatelnosti, a to s přihlédnutím k existujícím odlišnostem ekonomických vztahů plynoucích z aplikovaného modelu provozování v oboru VaK. Je nezbytné ve spolupráci s MF definovat metodiku zpracování a používání PFO tak, aby bylo ze zákona povinné vyplňovat PFO dle reálných potřeb obnovy a používat jej jako podstatnou součást investičního procesu vlastníka VIM. Reguláto</w:t>
      </w:r>
      <w:r w:rsidR="00E35DB1">
        <w:rPr>
          <w:rFonts w:asciiTheme="minorHAnsi" w:hAnsiTheme="minorHAnsi"/>
          <w:i/>
          <w:noProof/>
        </w:rPr>
        <w:t xml:space="preserve">r by se měl dále zaměřit </w:t>
      </w:r>
      <w:r w:rsidRPr="00C62639">
        <w:rPr>
          <w:rFonts w:asciiTheme="minorHAnsi" w:hAnsiTheme="minorHAnsi"/>
          <w:i/>
          <w:noProof/>
        </w:rPr>
        <w:t xml:space="preserve"> na realizaci PFO a stanovení jasných pravidel pro použití finančních prostředků vybraných za účelem obnovy (zvláštní účet) a rovněž sledovat, jakým způsobem je s těmito prostředky vlastníky VIM nakládáno. </w:t>
      </w:r>
    </w:p>
    <w:p w14:paraId="2EB6A62B" w14:textId="5797651E" w:rsidR="007D7C8F" w:rsidRPr="00C62639" w:rsidRDefault="007D7C8F" w:rsidP="007D7C8F">
      <w:pPr>
        <w:pStyle w:val="normlntextvodstavcch"/>
        <w:spacing w:line="264" w:lineRule="auto"/>
        <w:rPr>
          <w:rFonts w:asciiTheme="minorHAnsi" w:hAnsiTheme="minorHAnsi"/>
          <w:i/>
          <w:noProof/>
        </w:rPr>
      </w:pPr>
      <w:r w:rsidRPr="00C62639">
        <w:rPr>
          <w:rFonts w:asciiTheme="minorHAnsi" w:hAnsiTheme="minorHAnsi"/>
          <w:i/>
          <w:noProof/>
        </w:rPr>
        <w:t>U smíšeného</w:t>
      </w:r>
      <w:r w:rsidR="00E35DB1">
        <w:rPr>
          <w:rFonts w:asciiTheme="minorHAnsi" w:hAnsiTheme="minorHAnsi"/>
          <w:i/>
          <w:noProof/>
        </w:rPr>
        <w:t xml:space="preserve"> modelu provozování VIM je </w:t>
      </w:r>
      <w:r w:rsidRPr="00C62639">
        <w:rPr>
          <w:rFonts w:asciiTheme="minorHAnsi" w:hAnsiTheme="minorHAnsi"/>
          <w:i/>
          <w:noProof/>
        </w:rPr>
        <w:t xml:space="preserve">nutné </w:t>
      </w:r>
      <w:r w:rsidR="00E35DB1">
        <w:rPr>
          <w:rFonts w:asciiTheme="minorHAnsi" w:hAnsiTheme="minorHAnsi"/>
          <w:i/>
          <w:noProof/>
        </w:rPr>
        <w:t>se zaměřit</w:t>
      </w:r>
      <w:r w:rsidRPr="00C62639">
        <w:rPr>
          <w:rFonts w:asciiTheme="minorHAnsi" w:hAnsiTheme="minorHAnsi"/>
          <w:i/>
          <w:noProof/>
        </w:rPr>
        <w:t xml:space="preserve"> na dosažení stavu, kdy se do kalkulace ceny budou započítávat prostředky obnovy určené v PFO. U oddílného modelu provozování VIM je třeba se zaměřit na výši nájemného a úpravu vztahů mezi vlastníky a provozovateli tak, aby dohodnuté nájemné vždy pokrývalo alespoň náklady vlastníka, a to </w:t>
      </w:r>
      <w:r w:rsidR="00DC4310" w:rsidRPr="00C62639">
        <w:rPr>
          <w:rFonts w:asciiTheme="minorHAnsi" w:hAnsiTheme="minorHAnsi"/>
          <w:i/>
          <w:noProof/>
        </w:rPr>
        <w:t xml:space="preserve">ve </w:t>
      </w:r>
      <w:r w:rsidRPr="00C62639">
        <w:rPr>
          <w:rFonts w:asciiTheme="minorHAnsi" w:hAnsiTheme="minorHAnsi"/>
          <w:i/>
          <w:noProof/>
        </w:rPr>
        <w:t>výši odpisů, prostředků v PFO a režie. Na případný rozvoj VIM použije vlastník zisk, který může tvořit další součást nájmu. Řešením by bylo vypracování principu výpočtu minimálního nájemného.</w:t>
      </w:r>
    </w:p>
    <w:p w14:paraId="30118FDF" w14:textId="77777777" w:rsidR="007D7C8F" w:rsidRPr="00C62639" w:rsidRDefault="007D7C8F" w:rsidP="007D7C8F">
      <w:pPr>
        <w:pStyle w:val="normlntextvodstavcch"/>
        <w:spacing w:line="264" w:lineRule="auto"/>
        <w:rPr>
          <w:rFonts w:asciiTheme="minorHAnsi" w:hAnsiTheme="minorHAnsi"/>
          <w:i/>
          <w:noProof/>
        </w:rPr>
      </w:pPr>
      <w:r w:rsidRPr="00C62639">
        <w:rPr>
          <w:rFonts w:asciiTheme="minorHAnsi" w:hAnsiTheme="minorHAnsi"/>
          <w:i/>
          <w:noProof/>
        </w:rPr>
        <w:t>Zejména u menších komunálních vlastníků, kde dochází k dotování ceny pro vodné a stočné prostřednictvím záporného kalkulačního zisku často i v plné výši úplných vlastních nákladů, by měl regulátor zvážit uložení povinnosti stanovit cenu pokrývající alespoň prostředky obnovy VIM. Takto získané finanční zdroje by měly být použity výlučně na obnovu VIM. Regulátor by se měl tímto problémem, který úzce souvisí s atomizací trhu a s vlivem charakteru řídících a rozhodovacích procesů v komunální sféře, důkladněji zabývat.</w:t>
      </w:r>
    </w:p>
    <w:p w14:paraId="2CC92618" w14:textId="77777777" w:rsidR="007D7C8F" w:rsidRPr="00C62639" w:rsidRDefault="007D7C8F" w:rsidP="007D7C8F">
      <w:pPr>
        <w:pStyle w:val="normlntextvodstavcch"/>
        <w:spacing w:line="264" w:lineRule="auto"/>
        <w:rPr>
          <w:rFonts w:asciiTheme="minorHAnsi" w:hAnsiTheme="minorHAnsi"/>
          <w:i/>
          <w:noProof/>
        </w:rPr>
      </w:pPr>
      <w:r w:rsidRPr="00C62639">
        <w:rPr>
          <w:rFonts w:asciiTheme="minorHAnsi" w:hAnsiTheme="minorHAnsi"/>
          <w:i/>
          <w:noProof/>
        </w:rPr>
        <w:t xml:space="preserve">Dalším problémem je důvěryhodnost informací, které jsou na MZe shromažďovány. Při analýzách bylo častým jevem, že zpracovatel zřejmě ne zcela správně pochopil, co a jak má vlastně vykazovat. Při komunikaci se zpracovateli hlášení se MZe setkalo s problémem nedostatečného předávání informací nejen mezi vlastníky a zpracovateli, ale i mezi zpracovateli jednotlivých hlášení, tedy majetkové a provozní evidence a Porovnání. Jednou možností, jak tento stav změnit, je realizace edukativní činnosti v této oblasti napříč oborem. Další možností je vylepšení jednotlivých funkcionalit aplikací dat sloužících na sběr dat se zaměřením na kontrolu kvality. </w:t>
      </w:r>
    </w:p>
    <w:p w14:paraId="3BC73685" w14:textId="77777777" w:rsidR="00C1539B" w:rsidRPr="00C62639" w:rsidRDefault="00C1539B" w:rsidP="00E1478C">
      <w:pPr>
        <w:spacing w:before="0" w:after="40" w:line="276" w:lineRule="auto"/>
        <w:ind w:firstLine="360"/>
        <w:contextualSpacing w:val="0"/>
        <w:rPr>
          <w:rFonts w:asciiTheme="minorHAnsi" w:hAnsiTheme="minorHAnsi"/>
          <w:i/>
          <w:noProof/>
        </w:rPr>
      </w:pPr>
      <w:r w:rsidRPr="00C62639">
        <w:rPr>
          <w:rFonts w:asciiTheme="minorHAnsi" w:hAnsiTheme="minorHAnsi"/>
          <w:i/>
          <w:noProof/>
        </w:rPr>
        <w:br w:type="page"/>
      </w:r>
    </w:p>
    <w:p w14:paraId="648350F3" w14:textId="77777777" w:rsidR="00E9122F" w:rsidRPr="00C62639" w:rsidRDefault="00F7523D" w:rsidP="00F7523D">
      <w:pPr>
        <w:pStyle w:val="Nadpis1"/>
        <w:rPr>
          <w:rFonts w:asciiTheme="minorHAnsi" w:eastAsia="Calibri" w:hAnsiTheme="minorHAnsi"/>
          <w:noProof/>
        </w:rPr>
      </w:pPr>
      <w:bookmarkStart w:id="44" w:name="_Toc505684428"/>
      <w:r w:rsidRPr="00C62639">
        <w:rPr>
          <w:rFonts w:asciiTheme="minorHAnsi" w:eastAsia="Calibri" w:hAnsiTheme="minorHAnsi"/>
          <w:noProof/>
        </w:rPr>
        <w:lastRenderedPageBreak/>
        <w:t>Benchmarking provozovatelských subjektů 201</w:t>
      </w:r>
      <w:r w:rsidR="00132C97" w:rsidRPr="00C62639">
        <w:rPr>
          <w:rFonts w:asciiTheme="minorHAnsi" w:eastAsia="Calibri" w:hAnsiTheme="minorHAnsi"/>
          <w:noProof/>
        </w:rPr>
        <w:t>6</w:t>
      </w:r>
      <w:bookmarkEnd w:id="44"/>
    </w:p>
    <w:p w14:paraId="1CC562CE" w14:textId="77777777" w:rsidR="00E9122F" w:rsidRPr="00C62639" w:rsidRDefault="0099530A" w:rsidP="0099530A">
      <w:pPr>
        <w:pStyle w:val="Nadpis2"/>
        <w:rPr>
          <w:rFonts w:asciiTheme="minorHAnsi" w:eastAsia="Calibri" w:hAnsiTheme="minorHAnsi"/>
          <w:noProof/>
        </w:rPr>
      </w:pPr>
      <w:bookmarkStart w:id="45" w:name="_Toc505684429"/>
      <w:r w:rsidRPr="00C62639">
        <w:rPr>
          <w:rFonts w:asciiTheme="minorHAnsi" w:eastAsia="Calibri" w:hAnsiTheme="minorHAnsi"/>
          <w:noProof/>
        </w:rPr>
        <w:t>Cíl zprávy</w:t>
      </w:r>
      <w:bookmarkEnd w:id="45"/>
    </w:p>
    <w:p w14:paraId="5B6C3B39" w14:textId="0A4BD043" w:rsidR="00E9122F" w:rsidRPr="00E27252" w:rsidRDefault="004C3A4C" w:rsidP="00E27252">
      <w:pPr>
        <w:pStyle w:val="Normlnzprva"/>
      </w:pPr>
      <w:r w:rsidRPr="00E27252">
        <w:t>Předmětem projektu benchmarkingu provozovatelských subjektů je zjištění</w:t>
      </w:r>
      <w:r w:rsidR="00BD3619" w:rsidRPr="00E27252">
        <w:t xml:space="preserve"> informací o tom, zda provozovatelské subjekty provozují VIM způsobem, který z dlouhodobého hlediska sleduje plnění záměrů regulace oboru VaK</w:t>
      </w:r>
      <w:r w:rsidRPr="00E27252">
        <w:t>. Tyto informace se týkají</w:t>
      </w:r>
      <w:r w:rsidR="00BD3619" w:rsidRPr="00E27252">
        <w:t xml:space="preserve"> zejména cenotvorby, kvality poskytovaných služeb a ochrany životního p</w:t>
      </w:r>
      <w:r w:rsidR="00E27252">
        <w:t>r</w:t>
      </w:r>
      <w:r w:rsidR="00BD3619" w:rsidRPr="00E27252">
        <w:t>ostředí</w:t>
      </w:r>
      <w:r w:rsidRPr="00E27252">
        <w:t>.</w:t>
      </w:r>
      <w:r w:rsidR="00BD3619" w:rsidRPr="00E27252">
        <w:t xml:space="preserve"> </w:t>
      </w:r>
      <w:r w:rsidRPr="00E27252">
        <w:t>B</w:t>
      </w:r>
      <w:r w:rsidR="00BD3619" w:rsidRPr="00E27252">
        <w:t>enchmarking provozovatelských subjektů</w:t>
      </w:r>
      <w:r w:rsidRPr="00E27252">
        <w:t xml:space="preserve"> obsahuje</w:t>
      </w:r>
      <w:r w:rsidR="00BD3619" w:rsidRPr="00E27252">
        <w:t xml:space="preserve"> řadu ukazatelů, které sleduje pro každé Porovnání zvlášť. Cílem bylo v každé skupině určit hodnoty vybraných ukazatelů pro optimální provozovatelský subjekt a zároveň identifikovat subjekty, jejichž výsledky lze považovat za anomálie ve vztahu ke středním hodnotám (průměr, popř. medián) skupiny.</w:t>
      </w:r>
    </w:p>
    <w:p w14:paraId="6228D0FF" w14:textId="77777777" w:rsidR="0099530A" w:rsidRPr="00C62639" w:rsidRDefault="0099530A" w:rsidP="008D2461">
      <w:pPr>
        <w:pStyle w:val="Nadpis2"/>
        <w:rPr>
          <w:rFonts w:asciiTheme="minorHAnsi" w:hAnsiTheme="minorHAnsi"/>
          <w:noProof/>
        </w:rPr>
      </w:pPr>
      <w:bookmarkStart w:id="46" w:name="_Toc505684430"/>
      <w:r w:rsidRPr="00C62639">
        <w:rPr>
          <w:rFonts w:asciiTheme="minorHAnsi" w:hAnsiTheme="minorHAnsi"/>
          <w:noProof/>
        </w:rPr>
        <w:t>Identifikované anomálie</w:t>
      </w:r>
      <w:bookmarkEnd w:id="46"/>
    </w:p>
    <w:p w14:paraId="52E6B7ED" w14:textId="77777777" w:rsidR="00BD3619" w:rsidRPr="00FB2074" w:rsidRDefault="00BD3619" w:rsidP="00E27252">
      <w:pPr>
        <w:pStyle w:val="Normlnzprva"/>
        <w:rPr>
          <w:noProof/>
        </w:rPr>
      </w:pPr>
      <w:r w:rsidRPr="00FB2074">
        <w:rPr>
          <w:noProof/>
        </w:rPr>
        <w:t>Podstatnou součástí ana</w:t>
      </w:r>
      <w:r>
        <w:rPr>
          <w:noProof/>
        </w:rPr>
        <w:t>lýzy byla identifikace anomálií</w:t>
      </w:r>
      <w:r w:rsidRPr="00FB2074">
        <w:rPr>
          <w:noProof/>
        </w:rPr>
        <w:t xml:space="preserve"> týkající se nejen vztahu vlastníka, provozov</w:t>
      </w:r>
      <w:r>
        <w:rPr>
          <w:noProof/>
        </w:rPr>
        <w:t>a</w:t>
      </w:r>
      <w:r w:rsidRPr="00FB2074">
        <w:rPr>
          <w:noProof/>
        </w:rPr>
        <w:t xml:space="preserve">tale a odběratele, </w:t>
      </w:r>
      <w:r>
        <w:rPr>
          <w:noProof/>
        </w:rPr>
        <w:t>ale také činností</w:t>
      </w:r>
      <w:r w:rsidRPr="00FB2074">
        <w:rPr>
          <w:noProof/>
        </w:rPr>
        <w:t xml:space="preserve"> provozovatele, které můžou být </w:t>
      </w:r>
      <w:r>
        <w:rPr>
          <w:noProof/>
        </w:rPr>
        <w:t xml:space="preserve">rizikové z pohledu </w:t>
      </w:r>
      <w:r w:rsidRPr="00FB2074">
        <w:rPr>
          <w:noProof/>
        </w:rPr>
        <w:t xml:space="preserve">plnění záměrů regulace. Vyhledávaní anomálií pokrývalo výrobní, personální, ekonomickou oblast oblast environmentální. </w:t>
      </w:r>
    </w:p>
    <w:p w14:paraId="782AF183" w14:textId="77777777" w:rsidR="00650859" w:rsidRPr="00C62639" w:rsidRDefault="00BD3619" w:rsidP="00E27252">
      <w:pPr>
        <w:pStyle w:val="Normlnzprva"/>
        <w:rPr>
          <w:rFonts w:asciiTheme="minorHAnsi" w:hAnsiTheme="minorHAnsi"/>
          <w:noProof/>
          <w:color w:val="833C0B" w:themeColor="accent2" w:themeShade="80"/>
        </w:rPr>
      </w:pPr>
      <w:r w:rsidRPr="00FB2074">
        <w:rPr>
          <w:noProof/>
        </w:rPr>
        <w:t>Detailnější specifikace a zhodnocení četnosti výskytu jednotlivých anomálií je uvedeno samostatně pro vodovod a kanalizaci.</w:t>
      </w:r>
    </w:p>
    <w:p w14:paraId="22801671" w14:textId="77777777" w:rsidR="0099530A" w:rsidRPr="00C62639" w:rsidRDefault="008D2461" w:rsidP="00650859">
      <w:pPr>
        <w:pStyle w:val="Nadpis3"/>
        <w:rPr>
          <w:rFonts w:asciiTheme="minorHAnsi" w:eastAsia="Calibri Light" w:hAnsiTheme="minorHAnsi"/>
          <w:noProof/>
        </w:rPr>
      </w:pPr>
      <w:bookmarkStart w:id="47" w:name="_Toc505684431"/>
      <w:r w:rsidRPr="00C62639">
        <w:rPr>
          <w:rFonts w:asciiTheme="minorHAnsi" w:eastAsia="Calibri Light" w:hAnsiTheme="minorHAnsi"/>
          <w:noProof/>
        </w:rPr>
        <w:t>Vodovod</w:t>
      </w:r>
      <w:bookmarkEnd w:id="47"/>
    </w:p>
    <w:p w14:paraId="26E9BD9A" w14:textId="300E1B89" w:rsidR="00C53167" w:rsidRPr="00BD3619" w:rsidRDefault="00BD3619" w:rsidP="00BD3619">
      <w:pPr>
        <w:pStyle w:val="Normlnzprva"/>
        <w:rPr>
          <w:noProof/>
        </w:rPr>
      </w:pPr>
      <w:r w:rsidRPr="00FB2074">
        <w:rPr>
          <w:noProof/>
        </w:rPr>
        <w:t>V rámci benchmark</w:t>
      </w:r>
      <w:r>
        <w:rPr>
          <w:noProof/>
        </w:rPr>
        <w:t>ingu provozovatelských subjektů</w:t>
      </w:r>
      <w:r w:rsidRPr="00FB2074">
        <w:rPr>
          <w:noProof/>
        </w:rPr>
        <w:t xml:space="preserve"> v části týkající se vodovodu bylo posuzováno 1582 ks Porovnání, která </w:t>
      </w:r>
      <w:r>
        <w:rPr>
          <w:noProof/>
        </w:rPr>
        <w:t>představují 95,2</w:t>
      </w:r>
      <w:r w:rsidRPr="00FB2074">
        <w:rPr>
          <w:noProof/>
        </w:rPr>
        <w:t xml:space="preserve">% podíl trhu určený na základě množství vody fakturované (tj. 447,10 </w:t>
      </w:r>
      <w:r w:rsidR="00E27252">
        <w:rPr>
          <w:noProof/>
        </w:rPr>
        <w:t>mil. m</w:t>
      </w:r>
      <w:r w:rsidR="00E27252" w:rsidRPr="00E27252">
        <w:rPr>
          <w:noProof/>
          <w:vertAlign w:val="superscript"/>
        </w:rPr>
        <w:t>3</w:t>
      </w:r>
      <w:r w:rsidRPr="00FB2074">
        <w:rPr>
          <w:noProof/>
        </w:rPr>
        <w:t xml:space="preserve"> z celkových 469,48 </w:t>
      </w:r>
      <w:r w:rsidR="00E27252">
        <w:rPr>
          <w:noProof/>
        </w:rPr>
        <w:t>mil. m</w:t>
      </w:r>
      <w:r w:rsidR="00E27252" w:rsidRPr="00E27252">
        <w:rPr>
          <w:noProof/>
          <w:vertAlign w:val="superscript"/>
        </w:rPr>
        <w:t>3</w:t>
      </w:r>
      <w:r w:rsidRPr="00FB2074">
        <w:rPr>
          <w:noProof/>
        </w:rPr>
        <w:t>).</w:t>
      </w:r>
      <w:r w:rsidR="00B26631">
        <w:rPr>
          <w:noProof/>
        </w:rPr>
        <w:t xml:space="preserve"> </w:t>
      </w:r>
      <w:r w:rsidRPr="00FB2074">
        <w:rPr>
          <w:noProof/>
        </w:rPr>
        <w:t>Celk</w:t>
      </w:r>
      <w:r>
        <w:rPr>
          <w:noProof/>
        </w:rPr>
        <w:t>em</w:t>
      </w:r>
      <w:r w:rsidRPr="00FB2074">
        <w:rPr>
          <w:noProof/>
        </w:rPr>
        <w:t xml:space="preserve"> se vyskytuj</w:t>
      </w:r>
      <w:r>
        <w:rPr>
          <w:noProof/>
        </w:rPr>
        <w:t>e alespoň jedna anomálie</w:t>
      </w:r>
      <w:r w:rsidRPr="00FB2074">
        <w:rPr>
          <w:noProof/>
        </w:rPr>
        <w:t xml:space="preserve"> v 79,1 % analyzovaných Porovnání, tj. na 1251 Porovnáních. Z hledis</w:t>
      </w:r>
      <w:r>
        <w:rPr>
          <w:noProof/>
        </w:rPr>
        <w:t>ka o</w:t>
      </w:r>
      <w:r w:rsidR="00E27252">
        <w:rPr>
          <w:noProof/>
        </w:rPr>
        <w:t>b</w:t>
      </w:r>
      <w:r>
        <w:rPr>
          <w:noProof/>
        </w:rPr>
        <w:t>jemu pitné vody fakturované</w:t>
      </w:r>
      <w:r w:rsidRPr="00FB2074">
        <w:rPr>
          <w:noProof/>
        </w:rPr>
        <w:t xml:space="preserve"> je anomáliemi </w:t>
      </w:r>
      <w:r>
        <w:rPr>
          <w:noProof/>
        </w:rPr>
        <w:t>zasažen</w:t>
      </w:r>
      <w:r w:rsidRPr="00FB2074">
        <w:rPr>
          <w:noProof/>
        </w:rPr>
        <w:t xml:space="preserve"> 29,94% podíl analyzovaného trhu (133,85 </w:t>
      </w:r>
      <w:r w:rsidR="00E27252">
        <w:rPr>
          <w:noProof/>
        </w:rPr>
        <w:t>mil. m</w:t>
      </w:r>
      <w:r w:rsidR="00E27252" w:rsidRPr="00E27252">
        <w:rPr>
          <w:noProof/>
          <w:vertAlign w:val="superscript"/>
        </w:rPr>
        <w:t>3</w:t>
      </w:r>
      <w:r w:rsidRPr="00FB2074">
        <w:rPr>
          <w:noProof/>
        </w:rPr>
        <w:t>).</w:t>
      </w:r>
      <w:r>
        <w:rPr>
          <w:noProof/>
        </w:rPr>
        <w:t xml:space="preserve"> </w:t>
      </w:r>
    </w:p>
    <w:p w14:paraId="701B7A89" w14:textId="77777777" w:rsidR="0049509D" w:rsidRDefault="0049509D" w:rsidP="00E75738">
      <w:pPr>
        <w:pStyle w:val="normlntextvodstavcch"/>
        <w:rPr>
          <w:rFonts w:asciiTheme="minorHAnsi" w:hAnsiTheme="minorHAnsi"/>
          <w:noProof/>
          <w:color w:val="833C0B" w:themeColor="accent2" w:themeShade="80"/>
        </w:rPr>
      </w:pPr>
    </w:p>
    <w:p w14:paraId="6938BF72" w14:textId="77777777" w:rsidR="0049509D" w:rsidRDefault="0049509D" w:rsidP="00E75738">
      <w:pPr>
        <w:pStyle w:val="normlntextvodstavcch"/>
        <w:rPr>
          <w:rFonts w:asciiTheme="minorHAnsi" w:hAnsiTheme="minorHAnsi"/>
          <w:noProof/>
          <w:color w:val="833C0B" w:themeColor="accent2" w:themeShade="80"/>
        </w:rPr>
      </w:pPr>
    </w:p>
    <w:p w14:paraId="411564FC" w14:textId="77777777" w:rsidR="0049509D" w:rsidRDefault="0049509D" w:rsidP="00E75738">
      <w:pPr>
        <w:pStyle w:val="normlntextvodstavcch"/>
        <w:rPr>
          <w:rFonts w:asciiTheme="minorHAnsi" w:hAnsiTheme="minorHAnsi"/>
          <w:noProof/>
          <w:color w:val="833C0B" w:themeColor="accent2" w:themeShade="80"/>
        </w:rPr>
      </w:pPr>
    </w:p>
    <w:p w14:paraId="6CCFF8F4" w14:textId="77777777" w:rsidR="0049509D" w:rsidRDefault="0049509D" w:rsidP="00E75738">
      <w:pPr>
        <w:pStyle w:val="normlntextvodstavcch"/>
        <w:rPr>
          <w:rFonts w:asciiTheme="minorHAnsi" w:hAnsiTheme="minorHAnsi"/>
          <w:noProof/>
          <w:color w:val="833C0B" w:themeColor="accent2" w:themeShade="80"/>
        </w:rPr>
      </w:pPr>
    </w:p>
    <w:p w14:paraId="018E8794" w14:textId="77777777" w:rsidR="0049509D" w:rsidRDefault="0049509D" w:rsidP="00E75738">
      <w:pPr>
        <w:pStyle w:val="normlntextvodstavcch"/>
        <w:rPr>
          <w:rFonts w:asciiTheme="minorHAnsi" w:hAnsiTheme="minorHAnsi"/>
          <w:noProof/>
          <w:color w:val="833C0B" w:themeColor="accent2" w:themeShade="80"/>
        </w:rPr>
      </w:pPr>
    </w:p>
    <w:p w14:paraId="53F3F1A3" w14:textId="77777777" w:rsidR="0049509D" w:rsidRDefault="0049509D" w:rsidP="00E75738">
      <w:pPr>
        <w:pStyle w:val="normlntextvodstavcch"/>
        <w:rPr>
          <w:rFonts w:asciiTheme="minorHAnsi" w:hAnsiTheme="minorHAnsi"/>
          <w:noProof/>
          <w:color w:val="833C0B" w:themeColor="accent2" w:themeShade="80"/>
        </w:rPr>
      </w:pPr>
    </w:p>
    <w:p w14:paraId="5089CEE2" w14:textId="77777777" w:rsidR="0049509D" w:rsidRDefault="0049509D" w:rsidP="00E75738">
      <w:pPr>
        <w:pStyle w:val="normlntextvodstavcch"/>
        <w:rPr>
          <w:rFonts w:asciiTheme="minorHAnsi" w:hAnsiTheme="minorHAnsi"/>
          <w:noProof/>
          <w:color w:val="833C0B" w:themeColor="accent2" w:themeShade="80"/>
        </w:rPr>
      </w:pPr>
    </w:p>
    <w:p w14:paraId="51D2A325" w14:textId="77777777" w:rsidR="0049509D" w:rsidRDefault="0049509D" w:rsidP="00E75738">
      <w:pPr>
        <w:pStyle w:val="normlntextvodstavcch"/>
        <w:rPr>
          <w:rFonts w:asciiTheme="minorHAnsi" w:hAnsiTheme="minorHAnsi"/>
          <w:noProof/>
          <w:color w:val="833C0B" w:themeColor="accent2" w:themeShade="80"/>
        </w:rPr>
      </w:pPr>
    </w:p>
    <w:p w14:paraId="14A968C5" w14:textId="4224F79A" w:rsidR="00240BC4" w:rsidRDefault="00240BC4" w:rsidP="0049509D">
      <w:pPr>
        <w:pStyle w:val="normlntextvodstavcch"/>
        <w:rPr>
          <w:rStyle w:val="NormlnzprvaChar"/>
        </w:rPr>
      </w:pPr>
      <w:r>
        <w:rPr>
          <w:noProof/>
          <w:lang w:eastAsia="cs-CZ"/>
        </w:rPr>
        <w:lastRenderedPageBreak/>
        <w:drawing>
          <wp:anchor distT="0" distB="0" distL="114300" distR="114300" simplePos="0" relativeHeight="251698176" behindDoc="0" locked="0" layoutInCell="1" allowOverlap="1" wp14:anchorId="1F3BA4F7" wp14:editId="0435EF56">
            <wp:simplePos x="0" y="0"/>
            <wp:positionH relativeFrom="margin">
              <wp:align>center</wp:align>
            </wp:positionH>
            <wp:positionV relativeFrom="page">
              <wp:posOffset>777372</wp:posOffset>
            </wp:positionV>
            <wp:extent cx="5295265" cy="3193415"/>
            <wp:effectExtent l="0" t="0" r="635" b="6985"/>
            <wp:wrapTopAndBottom/>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18C9A3A0" w14:textId="47D4018A" w:rsidR="00E75738" w:rsidRPr="00E27252" w:rsidRDefault="0049509D" w:rsidP="0049509D">
      <w:pPr>
        <w:pStyle w:val="normlntextvodstavcch"/>
        <w:rPr>
          <w:rStyle w:val="NormlnzprvaChar"/>
        </w:rPr>
      </w:pPr>
      <w:r>
        <w:rPr>
          <w:rFonts w:asciiTheme="minorHAnsi" w:hAnsiTheme="minorHAnsi"/>
          <w:noProof/>
          <w:color w:val="833C0B" w:themeColor="accent2" w:themeShade="80"/>
          <w:lang w:eastAsia="cs-CZ"/>
        </w:rPr>
        <w:drawing>
          <wp:anchor distT="0" distB="0" distL="114300" distR="114300" simplePos="0" relativeHeight="251658752" behindDoc="0" locked="0" layoutInCell="1" allowOverlap="1" wp14:anchorId="7694713A" wp14:editId="37C8C2B2">
            <wp:simplePos x="0" y="0"/>
            <wp:positionH relativeFrom="column">
              <wp:posOffset>-109220</wp:posOffset>
            </wp:positionH>
            <wp:positionV relativeFrom="paragraph">
              <wp:posOffset>3766820</wp:posOffset>
            </wp:positionV>
            <wp:extent cx="6155690" cy="5022850"/>
            <wp:effectExtent l="19050" t="0" r="0" b="0"/>
            <wp:wrapTopAndBottom/>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6155690" cy="5022850"/>
                    </a:xfrm>
                    <a:prstGeom prst="rect">
                      <a:avLst/>
                    </a:prstGeom>
                    <a:noFill/>
                    <a:ln>
                      <a:noFill/>
                    </a:ln>
                  </pic:spPr>
                </pic:pic>
              </a:graphicData>
            </a:graphic>
          </wp:anchor>
        </w:drawing>
      </w:r>
      <w:r w:rsidR="00E75738" w:rsidRPr="00E27252">
        <w:rPr>
          <w:rStyle w:val="NormlnzprvaChar"/>
        </w:rPr>
        <w:t xml:space="preserve">Následující tabulka uvádí četnost výskytu jednotlivých identifikovaných anomálií </w:t>
      </w:r>
      <w:r w:rsidR="00E75738" w:rsidRPr="00E27252">
        <w:rPr>
          <w:rStyle w:val="NormlnzprvaChar"/>
        </w:rPr>
        <w:br/>
        <w:t>u analyzovaných Porovnání:</w:t>
      </w:r>
    </w:p>
    <w:p w14:paraId="0A96FB28" w14:textId="456BA022" w:rsidR="0049509D" w:rsidRPr="00FB2074" w:rsidRDefault="0049509D" w:rsidP="0049509D">
      <w:pPr>
        <w:pStyle w:val="Normlnzprva"/>
        <w:rPr>
          <w:noProof/>
        </w:rPr>
      </w:pPr>
      <w:r w:rsidRPr="00FB2074">
        <w:rPr>
          <w:noProof/>
        </w:rPr>
        <w:lastRenderedPageBreak/>
        <w:t>Z hlediska objem</w:t>
      </w:r>
      <w:r>
        <w:rPr>
          <w:noProof/>
        </w:rPr>
        <w:t>u</w:t>
      </w:r>
      <w:r w:rsidRPr="00FB2074">
        <w:rPr>
          <w:noProof/>
        </w:rPr>
        <w:t xml:space="preserve"> pitné vody fakturované je nejvýznamnější anomálie </w:t>
      </w:r>
      <w:r>
        <w:rPr>
          <w:b/>
          <w:noProof/>
        </w:rPr>
        <w:t>vysoký podíl zisku na ú</w:t>
      </w:r>
      <w:r w:rsidRPr="00FB2074">
        <w:rPr>
          <w:b/>
          <w:noProof/>
        </w:rPr>
        <w:t xml:space="preserve">plných vlastních nákladech </w:t>
      </w:r>
      <w:r w:rsidRPr="00FB2074">
        <w:rPr>
          <w:noProof/>
        </w:rPr>
        <w:t>(hodnota více než 1,5 násobku medianu skupiny z Porovnání s kla</w:t>
      </w:r>
      <w:r>
        <w:rPr>
          <w:noProof/>
        </w:rPr>
        <w:t>dným kalkulačním ziskem), která zasahuje</w:t>
      </w:r>
      <w:r w:rsidRPr="00FB2074">
        <w:rPr>
          <w:noProof/>
        </w:rPr>
        <w:t xml:space="preserve"> 20,35% podíl (90,98 </w:t>
      </w:r>
      <w:r w:rsidR="00E27252">
        <w:rPr>
          <w:noProof/>
        </w:rPr>
        <w:t>mil. m</w:t>
      </w:r>
      <w:r w:rsidR="00E27252" w:rsidRPr="00E27252">
        <w:rPr>
          <w:noProof/>
          <w:vertAlign w:val="superscript"/>
        </w:rPr>
        <w:t>3</w:t>
      </w:r>
      <w:r w:rsidRPr="00FB2074">
        <w:rPr>
          <w:noProof/>
        </w:rPr>
        <w:t>) analyzovaného trhu</w:t>
      </w:r>
      <w:r>
        <w:rPr>
          <w:noProof/>
        </w:rPr>
        <w:t>,</w:t>
      </w:r>
      <w:r w:rsidRPr="00FB2074">
        <w:rPr>
          <w:noProof/>
        </w:rPr>
        <w:t xml:space="preserve"> a to prostřednictvím 243 Porovnání. </w:t>
      </w:r>
      <w:r>
        <w:rPr>
          <w:noProof/>
        </w:rPr>
        <w:t>Vysoký podíl zisku na úplných vlastních nák</w:t>
      </w:r>
      <w:r w:rsidR="00DD5C0A">
        <w:rPr>
          <w:noProof/>
        </w:rPr>
        <w:t>l</w:t>
      </w:r>
      <w:r>
        <w:rPr>
          <w:noProof/>
        </w:rPr>
        <w:t>adech</w:t>
      </w:r>
      <w:r w:rsidR="00B26631">
        <w:rPr>
          <w:noProof/>
        </w:rPr>
        <w:t xml:space="preserve"> </w:t>
      </w:r>
      <w:r>
        <w:rPr>
          <w:noProof/>
        </w:rPr>
        <w:t>se vyskytoval ve všech skupinách kromě II. (např. v I. skupině je identifikováno</w:t>
      </w:r>
      <w:r w:rsidRPr="00FB2074">
        <w:rPr>
          <w:noProof/>
        </w:rPr>
        <w:t xml:space="preserve"> na Porovnání, </w:t>
      </w:r>
      <w:r>
        <w:rPr>
          <w:noProof/>
        </w:rPr>
        <w:t>s fakturovaným množstvím</w:t>
      </w:r>
      <w:r w:rsidRPr="00FB2074">
        <w:rPr>
          <w:noProof/>
        </w:rPr>
        <w:t xml:space="preserve"> 33,81 </w:t>
      </w:r>
      <w:r w:rsidR="00E27252">
        <w:rPr>
          <w:noProof/>
        </w:rPr>
        <w:t>mil. m</w:t>
      </w:r>
      <w:r w:rsidR="00E27252" w:rsidRPr="00E27252">
        <w:rPr>
          <w:noProof/>
          <w:vertAlign w:val="superscript"/>
        </w:rPr>
        <w:t>3</w:t>
      </w:r>
      <w:r w:rsidRPr="00FB2074">
        <w:rPr>
          <w:noProof/>
        </w:rPr>
        <w:t>, tj. 37,16% podíl z hodnoty objemu pitné vody fakturované ovlivněné touto</w:t>
      </w:r>
      <w:r>
        <w:rPr>
          <w:noProof/>
        </w:rPr>
        <w:t xml:space="preserve"> anomálií). I proto je podíl trhu zasažený</w:t>
      </w:r>
      <w:r w:rsidRPr="00FB2074">
        <w:rPr>
          <w:noProof/>
        </w:rPr>
        <w:t xml:space="preserve"> </w:t>
      </w:r>
      <w:r>
        <w:rPr>
          <w:noProof/>
        </w:rPr>
        <w:t>touto anomálií</w:t>
      </w:r>
      <w:r w:rsidRPr="00FB2074">
        <w:rPr>
          <w:noProof/>
        </w:rPr>
        <w:t xml:space="preserve"> tak výrazně vyšší </w:t>
      </w:r>
      <w:r>
        <w:rPr>
          <w:noProof/>
        </w:rPr>
        <w:t>ve srovnání s</w:t>
      </w:r>
      <w:r w:rsidR="00B26631">
        <w:rPr>
          <w:noProof/>
        </w:rPr>
        <w:t xml:space="preserve"> </w:t>
      </w:r>
      <w:r>
        <w:rPr>
          <w:noProof/>
        </w:rPr>
        <w:t>ostatními identifikovanými anomáliemi. Tato anomálie se vyskytuje u Porovnání s vysokým objemem fakturované vody, kde dochází k tzv. úsporám z rozsahu a cena výrazně nepřevyšuje průměr, nebo u Porovnání, kde jsou výrazně nižší jednicové náklady než průměr, což poukazuje spíše na nevykazování souvisejících ekonomicky oprávněných nákladů v plné výši. Další anomálie, a to</w:t>
      </w:r>
      <w:r w:rsidR="00B26631">
        <w:rPr>
          <w:noProof/>
        </w:rPr>
        <w:t xml:space="preserve"> </w:t>
      </w:r>
      <w:r w:rsidRPr="00FB2074">
        <w:rPr>
          <w:b/>
          <w:noProof/>
        </w:rPr>
        <w:t>vysoká cena pro vodné</w:t>
      </w:r>
      <w:r>
        <w:rPr>
          <w:b/>
          <w:noProof/>
        </w:rPr>
        <w:t xml:space="preserve"> </w:t>
      </w:r>
      <w:r w:rsidRPr="00197087">
        <w:rPr>
          <w:noProof/>
        </w:rPr>
        <w:t>(</w:t>
      </w:r>
      <w:r>
        <w:rPr>
          <w:noProof/>
        </w:rPr>
        <w:t>více než 1,5 násobku ceny op</w:t>
      </w:r>
      <w:r w:rsidR="00E27252">
        <w:rPr>
          <w:noProof/>
        </w:rPr>
        <w:t>t</w:t>
      </w:r>
      <w:r>
        <w:rPr>
          <w:noProof/>
        </w:rPr>
        <w:t>imálního Porovnání ve skupině)</w:t>
      </w:r>
      <w:r w:rsidRPr="00FB2074">
        <w:rPr>
          <w:b/>
          <w:noProof/>
        </w:rPr>
        <w:t xml:space="preserve">, </w:t>
      </w:r>
      <w:r w:rsidRPr="00FB2074">
        <w:rPr>
          <w:noProof/>
        </w:rPr>
        <w:t>která byla</w:t>
      </w:r>
      <w:r>
        <w:rPr>
          <w:noProof/>
        </w:rPr>
        <w:t xml:space="preserve"> nalezena v 292 případech, ovlivňuje pouze</w:t>
      </w:r>
      <w:r w:rsidRPr="00FB2074">
        <w:rPr>
          <w:noProof/>
        </w:rPr>
        <w:t xml:space="preserve"> 1,49% (6,65 </w:t>
      </w:r>
      <w:r w:rsidR="00E27252">
        <w:rPr>
          <w:noProof/>
        </w:rPr>
        <w:t>mil. m</w:t>
      </w:r>
      <w:r w:rsidR="00E27252" w:rsidRPr="00E27252">
        <w:rPr>
          <w:noProof/>
          <w:vertAlign w:val="superscript"/>
        </w:rPr>
        <w:t>3</w:t>
      </w:r>
      <w:r>
        <w:rPr>
          <w:noProof/>
        </w:rPr>
        <w:t>) podíl analyzovaného trhu.</w:t>
      </w:r>
    </w:p>
    <w:p w14:paraId="5D2DF2B0" w14:textId="489D740B" w:rsidR="0049509D" w:rsidRPr="00FB2074" w:rsidRDefault="0049509D" w:rsidP="0049509D">
      <w:pPr>
        <w:pStyle w:val="Normlnzprva"/>
        <w:rPr>
          <w:noProof/>
        </w:rPr>
      </w:pPr>
      <w:r w:rsidRPr="00FB2074">
        <w:rPr>
          <w:noProof/>
        </w:rPr>
        <w:t xml:space="preserve">U 722 Porovnání, které </w:t>
      </w:r>
      <w:r>
        <w:rPr>
          <w:noProof/>
        </w:rPr>
        <w:t>představují</w:t>
      </w:r>
      <w:r w:rsidRPr="00FB2074">
        <w:rPr>
          <w:noProof/>
        </w:rPr>
        <w:t xml:space="preserve"> 5,37% podíl analyzovaného trhu</w:t>
      </w:r>
      <w:r>
        <w:rPr>
          <w:noProof/>
        </w:rPr>
        <w:t xml:space="preserve"> </w:t>
      </w:r>
      <w:r w:rsidRPr="00FB2074">
        <w:rPr>
          <w:noProof/>
        </w:rPr>
        <w:t>(24,02 mil.</w:t>
      </w:r>
      <w:r w:rsidR="00E27252">
        <w:rPr>
          <w:noProof/>
        </w:rPr>
        <w:t xml:space="preserve"> m</w:t>
      </w:r>
      <w:r w:rsidR="00E27252" w:rsidRPr="00E27252">
        <w:rPr>
          <w:noProof/>
          <w:vertAlign w:val="superscript"/>
        </w:rPr>
        <w:t>3</w:t>
      </w:r>
      <w:r w:rsidRPr="00FB2074">
        <w:rPr>
          <w:noProof/>
        </w:rPr>
        <w:t xml:space="preserve">), vykazují používaní </w:t>
      </w:r>
      <w:r w:rsidRPr="00FB2074">
        <w:rPr>
          <w:b/>
          <w:noProof/>
        </w:rPr>
        <w:t xml:space="preserve">záporného kalkulačního zisku. </w:t>
      </w:r>
      <w:r w:rsidRPr="00FB2074">
        <w:rPr>
          <w:noProof/>
        </w:rPr>
        <w:t>Tato anomálie indikuje možnost existe</w:t>
      </w:r>
      <w:r>
        <w:rPr>
          <w:noProof/>
        </w:rPr>
        <w:t xml:space="preserve">nce stavu, kdy kalkulace </w:t>
      </w:r>
      <w:r w:rsidRPr="00FB2074">
        <w:rPr>
          <w:noProof/>
        </w:rPr>
        <w:t>ceny pro vodné nepočítá s po</w:t>
      </w:r>
      <w:r>
        <w:rPr>
          <w:noProof/>
        </w:rPr>
        <w:t>krytím veškerých ekonomicky oprá</w:t>
      </w:r>
      <w:r w:rsidRPr="00FB2074">
        <w:rPr>
          <w:noProof/>
        </w:rPr>
        <w:t>vněných nákladů související</w:t>
      </w:r>
      <w:r w:rsidR="00E27252">
        <w:rPr>
          <w:noProof/>
        </w:rPr>
        <w:t>c</w:t>
      </w:r>
      <w:r w:rsidRPr="00FB2074">
        <w:rPr>
          <w:noProof/>
        </w:rPr>
        <w:t>h s provozem a správou v plné výši (tj. dochází k dotování nák</w:t>
      </w:r>
      <w:r w:rsidR="00E27252">
        <w:rPr>
          <w:noProof/>
        </w:rPr>
        <w:t>l</w:t>
      </w:r>
      <w:r w:rsidRPr="00FB2074">
        <w:rPr>
          <w:noProof/>
        </w:rPr>
        <w:t>adů na provoz z jiných zdrojů)</w:t>
      </w:r>
      <w:r>
        <w:rPr>
          <w:noProof/>
        </w:rPr>
        <w:t>, popř. se v daném roce vyskytly některé neočekávané skutečnosti</w:t>
      </w:r>
      <w:r w:rsidRPr="00FB2074">
        <w:rPr>
          <w:noProof/>
        </w:rPr>
        <w:t>.</w:t>
      </w:r>
      <w:r w:rsidR="00B26631">
        <w:rPr>
          <w:noProof/>
        </w:rPr>
        <w:t xml:space="preserve"> </w:t>
      </w:r>
      <w:r w:rsidRPr="00FB2074">
        <w:rPr>
          <w:noProof/>
        </w:rPr>
        <w:t xml:space="preserve">Je nutné si uvědomit, že zjištěné výsledky </w:t>
      </w:r>
      <w:r>
        <w:rPr>
          <w:noProof/>
        </w:rPr>
        <w:t>z</w:t>
      </w:r>
      <w:r w:rsidRPr="00FB2074">
        <w:rPr>
          <w:noProof/>
        </w:rPr>
        <w:t xml:space="preserve">kreslují Porovnání, na kterých byla identifikována anomálie </w:t>
      </w:r>
      <w:r w:rsidRPr="00FB2074">
        <w:rPr>
          <w:b/>
          <w:noProof/>
        </w:rPr>
        <w:t>nevykazování 100% výše všech ekonomicky oprávněných nákladů do ceny pro vodné</w:t>
      </w:r>
      <w:r>
        <w:rPr>
          <w:b/>
          <w:noProof/>
        </w:rPr>
        <w:t>,</w:t>
      </w:r>
      <w:r w:rsidRPr="00FB2074">
        <w:rPr>
          <w:b/>
          <w:noProof/>
        </w:rPr>
        <w:t xml:space="preserve"> </w:t>
      </w:r>
      <w:r w:rsidRPr="00FB2074">
        <w:rPr>
          <w:noProof/>
        </w:rPr>
        <w:t>a</w:t>
      </w:r>
      <w:r w:rsidRPr="00FB2074">
        <w:rPr>
          <w:b/>
          <w:noProof/>
        </w:rPr>
        <w:t xml:space="preserve"> </w:t>
      </w:r>
      <w:r w:rsidRPr="00FB2074">
        <w:rPr>
          <w:noProof/>
        </w:rPr>
        <w:t>to v případě 130 Porovnání (0,88% podíl analyzovaného trhu)</w:t>
      </w:r>
      <w:r w:rsidRPr="00FB2074">
        <w:rPr>
          <w:b/>
          <w:noProof/>
        </w:rPr>
        <w:t xml:space="preserve">. </w:t>
      </w:r>
      <w:r w:rsidRPr="00FB2074">
        <w:rPr>
          <w:noProof/>
        </w:rPr>
        <w:t>Pokud by subjekty do cen</w:t>
      </w:r>
      <w:r>
        <w:rPr>
          <w:noProof/>
        </w:rPr>
        <w:t>y</w:t>
      </w:r>
      <w:r w:rsidRPr="00FB2074">
        <w:rPr>
          <w:noProof/>
        </w:rPr>
        <w:t xml:space="preserve"> pro vodné zahrnuly veškeré ekonomicky oprávněné náklady</w:t>
      </w:r>
      <w:r>
        <w:rPr>
          <w:noProof/>
        </w:rPr>
        <w:t xml:space="preserve"> v plné výši, byl by výskyt záporného kalkulačního zisku</w:t>
      </w:r>
      <w:r w:rsidRPr="00FB2074">
        <w:rPr>
          <w:noProof/>
        </w:rPr>
        <w:t xml:space="preserve"> vyšší. </w:t>
      </w:r>
    </w:p>
    <w:p w14:paraId="46C43CE1" w14:textId="19A6ED0D" w:rsidR="0049509D" w:rsidRPr="00FB2074" w:rsidRDefault="0049509D" w:rsidP="0049509D">
      <w:pPr>
        <w:pStyle w:val="Normlnzprva"/>
        <w:rPr>
          <w:noProof/>
        </w:rPr>
      </w:pPr>
      <w:r w:rsidRPr="00FB2074">
        <w:rPr>
          <w:noProof/>
        </w:rPr>
        <w:t xml:space="preserve">O </w:t>
      </w:r>
      <w:r>
        <w:rPr>
          <w:noProof/>
        </w:rPr>
        <w:t>stavu VIM a kvalitě péče o VIM poskytuje</w:t>
      </w:r>
      <w:r w:rsidRPr="00FB2074">
        <w:rPr>
          <w:noProof/>
        </w:rPr>
        <w:t xml:space="preserve"> obraz </w:t>
      </w:r>
      <w:r>
        <w:rPr>
          <w:noProof/>
        </w:rPr>
        <w:t xml:space="preserve">výskyt </w:t>
      </w:r>
      <w:r w:rsidRPr="00FB2074">
        <w:rPr>
          <w:noProof/>
        </w:rPr>
        <w:t xml:space="preserve">anomálie </w:t>
      </w:r>
      <w:r w:rsidRPr="00FB2074">
        <w:rPr>
          <w:b/>
          <w:noProof/>
        </w:rPr>
        <w:t xml:space="preserve">vysoké ztráty vody </w:t>
      </w:r>
      <w:r w:rsidRPr="00FB2074">
        <w:rPr>
          <w:noProof/>
        </w:rPr>
        <w:t xml:space="preserve">(hodnota více než 1,5 násobek mediánu skupiny z Porovnání, které vykazují ztráty vody nad 4 </w:t>
      </w:r>
      <w:r w:rsidR="00E27252">
        <w:rPr>
          <w:noProof/>
        </w:rPr>
        <w:t xml:space="preserve"> m</w:t>
      </w:r>
      <w:r w:rsidR="00E27252" w:rsidRPr="00E27252">
        <w:rPr>
          <w:noProof/>
          <w:vertAlign w:val="superscript"/>
        </w:rPr>
        <w:t>3</w:t>
      </w:r>
      <w:r w:rsidRPr="00FB2074">
        <w:rPr>
          <w:noProof/>
        </w:rPr>
        <w:t>/km/den).</w:t>
      </w:r>
      <w:r w:rsidR="00B26631">
        <w:rPr>
          <w:noProof/>
        </w:rPr>
        <w:t xml:space="preserve"> </w:t>
      </w:r>
      <w:r w:rsidRPr="00FB2074">
        <w:rPr>
          <w:noProof/>
        </w:rPr>
        <w:t xml:space="preserve">Vliv této anomálie byl identifikován na 4,93% podílu analyzovaného trhu (22,04 </w:t>
      </w:r>
      <w:r w:rsidR="00E27252">
        <w:rPr>
          <w:noProof/>
        </w:rPr>
        <w:t>mil. m</w:t>
      </w:r>
      <w:r w:rsidR="00E27252" w:rsidRPr="00E27252">
        <w:rPr>
          <w:noProof/>
          <w:vertAlign w:val="superscript"/>
        </w:rPr>
        <w:t>3</w:t>
      </w:r>
      <w:r w:rsidRPr="00FB2074">
        <w:rPr>
          <w:noProof/>
        </w:rPr>
        <w:t>),</w:t>
      </w:r>
      <w:r w:rsidR="00B26631">
        <w:rPr>
          <w:noProof/>
        </w:rPr>
        <w:t xml:space="preserve"> </w:t>
      </w:r>
      <w:r w:rsidRPr="00FB2074">
        <w:rPr>
          <w:noProof/>
        </w:rPr>
        <w:t>s</w:t>
      </w:r>
      <w:r>
        <w:rPr>
          <w:noProof/>
        </w:rPr>
        <w:t xml:space="preserve"> </w:t>
      </w:r>
      <w:r w:rsidRPr="00FB2074">
        <w:rPr>
          <w:noProof/>
        </w:rPr>
        <w:t xml:space="preserve">výskytem u 60 Porovnání. </w:t>
      </w:r>
      <w:r>
        <w:rPr>
          <w:noProof/>
        </w:rPr>
        <w:t>Nejčastěji se vyskytuje u menších provozovatelů, kteří</w:t>
      </w:r>
      <w:r w:rsidRPr="00FB2074">
        <w:rPr>
          <w:noProof/>
        </w:rPr>
        <w:t xml:space="preserve"> poskytují služby méně než 10 tis. odběratelům. O nesystemat</w:t>
      </w:r>
      <w:r w:rsidR="00E27252">
        <w:rPr>
          <w:noProof/>
        </w:rPr>
        <w:t>ickém přístupu provozovatelů k ú</w:t>
      </w:r>
      <w:r w:rsidRPr="00FB2074">
        <w:rPr>
          <w:noProof/>
        </w:rPr>
        <w:t xml:space="preserve">držbě a opravám VIM </w:t>
      </w:r>
      <w:r>
        <w:rPr>
          <w:noProof/>
        </w:rPr>
        <w:t xml:space="preserve">a nesledování stavu VIM </w:t>
      </w:r>
      <w:r w:rsidRPr="00FB2074">
        <w:rPr>
          <w:noProof/>
        </w:rPr>
        <w:t xml:space="preserve">svědčí i četnost výskytu anomálie - </w:t>
      </w:r>
      <w:r w:rsidRPr="00FB2074">
        <w:rPr>
          <w:b/>
          <w:noProof/>
        </w:rPr>
        <w:t>nulové ztráty vody</w:t>
      </w:r>
      <w:r w:rsidRPr="00FB2074">
        <w:rPr>
          <w:noProof/>
        </w:rPr>
        <w:t xml:space="preserve">. I když z hlediska objemu pitné vody fakturované </w:t>
      </w:r>
      <w:r>
        <w:rPr>
          <w:noProof/>
        </w:rPr>
        <w:t xml:space="preserve">lze </w:t>
      </w:r>
      <w:r w:rsidRPr="00FB2074">
        <w:rPr>
          <w:noProof/>
        </w:rPr>
        <w:t>t</w:t>
      </w:r>
      <w:r>
        <w:rPr>
          <w:noProof/>
        </w:rPr>
        <w:t>uto</w:t>
      </w:r>
      <w:r w:rsidRPr="00FB2074">
        <w:rPr>
          <w:noProof/>
        </w:rPr>
        <w:t xml:space="preserve"> anomáli</w:t>
      </w:r>
      <w:r>
        <w:rPr>
          <w:noProof/>
        </w:rPr>
        <w:t>i</w:t>
      </w:r>
      <w:r w:rsidRPr="00FB2074">
        <w:rPr>
          <w:noProof/>
        </w:rPr>
        <w:t xml:space="preserve"> považovat za méně významn</w:t>
      </w:r>
      <w:r>
        <w:rPr>
          <w:noProof/>
        </w:rPr>
        <w:t>ou</w:t>
      </w:r>
      <w:r w:rsidRPr="00FB2074">
        <w:rPr>
          <w:noProof/>
        </w:rPr>
        <w:t xml:space="preserve"> (0,92% podíl analyzovaného trhu; 4,12 </w:t>
      </w:r>
      <w:r w:rsidR="00E27252">
        <w:rPr>
          <w:noProof/>
        </w:rPr>
        <w:t>mil. m</w:t>
      </w:r>
      <w:r w:rsidR="00E27252" w:rsidRPr="00E27252">
        <w:rPr>
          <w:noProof/>
          <w:vertAlign w:val="superscript"/>
        </w:rPr>
        <w:t>3</w:t>
      </w:r>
      <w:r w:rsidRPr="00FB2074">
        <w:rPr>
          <w:noProof/>
        </w:rPr>
        <w:t xml:space="preserve">), pro regulátora je důležitá informace, že </w:t>
      </w:r>
      <w:r>
        <w:rPr>
          <w:noProof/>
        </w:rPr>
        <w:t xml:space="preserve">v souvisejících VÚPE nejsou u </w:t>
      </w:r>
      <w:r w:rsidRPr="00FB2074">
        <w:rPr>
          <w:noProof/>
        </w:rPr>
        <w:t>263 Porovnání (16,62</w:t>
      </w:r>
      <w:r w:rsidR="00802AC2">
        <w:rPr>
          <w:noProof/>
        </w:rPr>
        <w:t xml:space="preserve"> </w:t>
      </w:r>
      <w:r w:rsidRPr="00FB2074">
        <w:rPr>
          <w:noProof/>
        </w:rPr>
        <w:t>%</w:t>
      </w:r>
      <w:r>
        <w:rPr>
          <w:noProof/>
        </w:rPr>
        <w:t xml:space="preserve"> všech analyzovaných Porovnání)</w:t>
      </w:r>
      <w:r w:rsidRPr="00FB2074">
        <w:rPr>
          <w:noProof/>
        </w:rPr>
        <w:t xml:space="preserve"> nesled</w:t>
      </w:r>
      <w:r>
        <w:rPr>
          <w:noProof/>
        </w:rPr>
        <w:t>ovány</w:t>
      </w:r>
      <w:r w:rsidRPr="00FB2074">
        <w:rPr>
          <w:noProof/>
        </w:rPr>
        <w:t xml:space="preserve"> ztráty vody</w:t>
      </w:r>
      <w:r>
        <w:rPr>
          <w:noProof/>
        </w:rPr>
        <w:t>.</w:t>
      </w:r>
      <w:r w:rsidRPr="00FB2074">
        <w:rPr>
          <w:noProof/>
        </w:rPr>
        <w:t xml:space="preserve"> Protože </w:t>
      </w:r>
      <w:r>
        <w:rPr>
          <w:noProof/>
        </w:rPr>
        <w:t>plánování</w:t>
      </w:r>
      <w:r w:rsidRPr="00FB2074">
        <w:rPr>
          <w:noProof/>
        </w:rPr>
        <w:t xml:space="preserve"> a realizace oprav je důležitou součástí zajištění kvality poskytovaných služeb a přímo souvisí </w:t>
      </w:r>
      <w:r w:rsidR="00802AC2">
        <w:rPr>
          <w:noProof/>
        </w:rPr>
        <w:t>s</w:t>
      </w:r>
      <w:r w:rsidRPr="00FB2074">
        <w:rPr>
          <w:noProof/>
        </w:rPr>
        <w:t xml:space="preserve"> obnovou VIM a efektivitou provozování, bude se MZe problematikou ztrát </w:t>
      </w:r>
      <w:r>
        <w:rPr>
          <w:noProof/>
        </w:rPr>
        <w:t xml:space="preserve">vody </w:t>
      </w:r>
      <w:r w:rsidRPr="00FB2074">
        <w:rPr>
          <w:noProof/>
        </w:rPr>
        <w:t>v</w:t>
      </w:r>
      <w:r>
        <w:rPr>
          <w:noProof/>
        </w:rPr>
        <w:t xml:space="preserve"> blízké</w:t>
      </w:r>
      <w:r w:rsidRPr="00FB2074">
        <w:rPr>
          <w:noProof/>
        </w:rPr>
        <w:t xml:space="preserve"> době podrobněji</w:t>
      </w:r>
      <w:r w:rsidR="00B26631">
        <w:rPr>
          <w:noProof/>
        </w:rPr>
        <w:t xml:space="preserve"> </w:t>
      </w:r>
      <w:r w:rsidRPr="00FB2074">
        <w:rPr>
          <w:noProof/>
        </w:rPr>
        <w:t xml:space="preserve">zabývat. </w:t>
      </w:r>
    </w:p>
    <w:p w14:paraId="71604FA3" w14:textId="4FA97DFC" w:rsidR="0049509D" w:rsidRPr="00FB2074" w:rsidRDefault="0049509D" w:rsidP="0049509D">
      <w:pPr>
        <w:pStyle w:val="Normlnzprva"/>
        <w:rPr>
          <w:noProof/>
        </w:rPr>
      </w:pPr>
      <w:r w:rsidRPr="00FB2074">
        <w:rPr>
          <w:noProof/>
        </w:rPr>
        <w:t>Kvalitu provozu a poskytovaných služeb lze sledovat i pomocí dalších ukazatelů</w:t>
      </w:r>
      <w:r>
        <w:rPr>
          <w:noProof/>
        </w:rPr>
        <w:t>, kterými jsou</w:t>
      </w:r>
      <w:r w:rsidRPr="00FB2074">
        <w:rPr>
          <w:noProof/>
        </w:rPr>
        <w:t xml:space="preserve"> </w:t>
      </w:r>
      <w:r w:rsidRPr="00FB2074">
        <w:rPr>
          <w:b/>
          <w:noProof/>
        </w:rPr>
        <w:t>podíl</w:t>
      </w:r>
      <w:r w:rsidR="00B26631">
        <w:rPr>
          <w:b/>
          <w:noProof/>
        </w:rPr>
        <w:t xml:space="preserve"> </w:t>
      </w:r>
      <w:r w:rsidRPr="00FB2074">
        <w:rPr>
          <w:b/>
          <w:noProof/>
        </w:rPr>
        <w:t>nevyhovují</w:t>
      </w:r>
      <w:r>
        <w:rPr>
          <w:b/>
          <w:noProof/>
        </w:rPr>
        <w:t>cích fyzikálně chemických vzorků</w:t>
      </w:r>
      <w:r w:rsidRPr="00FB2074">
        <w:rPr>
          <w:b/>
          <w:noProof/>
        </w:rPr>
        <w:t xml:space="preserve"> a podílu nevyho</w:t>
      </w:r>
      <w:r w:rsidR="00E27252">
        <w:rPr>
          <w:b/>
          <w:noProof/>
        </w:rPr>
        <w:t>vujících mikrobiologických a bi</w:t>
      </w:r>
      <w:r w:rsidRPr="00FB2074">
        <w:rPr>
          <w:b/>
          <w:noProof/>
        </w:rPr>
        <w:t>o</w:t>
      </w:r>
      <w:r w:rsidR="00E27252">
        <w:rPr>
          <w:b/>
          <w:noProof/>
        </w:rPr>
        <w:t>lo</w:t>
      </w:r>
      <w:r w:rsidRPr="00FB2074">
        <w:rPr>
          <w:b/>
          <w:noProof/>
        </w:rPr>
        <w:t>gických vzor</w:t>
      </w:r>
      <w:r>
        <w:rPr>
          <w:b/>
          <w:noProof/>
        </w:rPr>
        <w:t>ků</w:t>
      </w:r>
      <w:r w:rsidRPr="00FB2074">
        <w:rPr>
          <w:b/>
          <w:noProof/>
        </w:rPr>
        <w:t>.</w:t>
      </w:r>
      <w:r w:rsidRPr="00FB2074">
        <w:rPr>
          <w:noProof/>
        </w:rPr>
        <w:t xml:space="preserve"> V případě, že podíl u obou ukazatelů </w:t>
      </w:r>
      <w:r w:rsidR="00802AC2">
        <w:rPr>
          <w:noProof/>
        </w:rPr>
        <w:t xml:space="preserve">bude </w:t>
      </w:r>
      <w:r w:rsidRPr="00FB2074">
        <w:rPr>
          <w:noProof/>
        </w:rPr>
        <w:t>dosahovat více než 20</w:t>
      </w:r>
      <w:r>
        <w:rPr>
          <w:noProof/>
        </w:rPr>
        <w:t xml:space="preserve"> </w:t>
      </w:r>
      <w:r w:rsidRPr="00FB2074">
        <w:rPr>
          <w:noProof/>
        </w:rPr>
        <w:t xml:space="preserve">%, lze uvažovat o možném výskytu problémů buď v rámci samotného </w:t>
      </w:r>
      <w:r w:rsidRPr="00FB2074">
        <w:rPr>
          <w:noProof/>
        </w:rPr>
        <w:lastRenderedPageBreak/>
        <w:t>procesu pr</w:t>
      </w:r>
      <w:r>
        <w:rPr>
          <w:noProof/>
        </w:rPr>
        <w:t>ovozování, nebo se může jednat o</w:t>
      </w:r>
      <w:r w:rsidRPr="00FB2074">
        <w:rPr>
          <w:noProof/>
        </w:rPr>
        <w:t> výrazné kolísaní kvality surové vody.</w:t>
      </w:r>
      <w:r w:rsidR="00B26631">
        <w:rPr>
          <w:noProof/>
        </w:rPr>
        <w:t xml:space="preserve"> </w:t>
      </w:r>
      <w:r w:rsidRPr="00FB2074">
        <w:rPr>
          <w:noProof/>
        </w:rPr>
        <w:t>Podle výsledků analýzy musel</w:t>
      </w:r>
      <w:r>
        <w:rPr>
          <w:noProof/>
        </w:rPr>
        <w:t>i</w:t>
      </w:r>
      <w:r w:rsidRPr="00FB2074">
        <w:rPr>
          <w:noProof/>
        </w:rPr>
        <w:t xml:space="preserve"> provozovatelé více řešit kvalitu vody z hlediska fyzikálně chemických limitů (1% podíl analyzovaného trhu; 4,49 </w:t>
      </w:r>
      <w:r w:rsidR="00E27252">
        <w:rPr>
          <w:noProof/>
        </w:rPr>
        <w:t>mil. m</w:t>
      </w:r>
      <w:r w:rsidR="00E27252" w:rsidRPr="00E27252">
        <w:rPr>
          <w:noProof/>
          <w:vertAlign w:val="superscript"/>
        </w:rPr>
        <w:t>3</w:t>
      </w:r>
      <w:r w:rsidRPr="00FB2074">
        <w:rPr>
          <w:noProof/>
        </w:rPr>
        <w:t xml:space="preserve">, výskyt u 174 Porovnání). </w:t>
      </w:r>
    </w:p>
    <w:p w14:paraId="16DC207F" w14:textId="77777777" w:rsidR="0049509D" w:rsidRPr="00FB2074" w:rsidRDefault="0049509D" w:rsidP="0049509D">
      <w:pPr>
        <w:pStyle w:val="Normlnzprva"/>
        <w:rPr>
          <w:noProof/>
        </w:rPr>
      </w:pPr>
      <w:r>
        <w:rPr>
          <w:noProof/>
        </w:rPr>
        <w:t>Ostatní identifikované anomálie</w:t>
      </w:r>
      <w:r w:rsidRPr="00FB2074">
        <w:rPr>
          <w:noProof/>
        </w:rPr>
        <w:t xml:space="preserve"> se týkají výskytu chyb ve vykazování</w:t>
      </w:r>
      <w:r>
        <w:rPr>
          <w:noProof/>
        </w:rPr>
        <w:t>,</w:t>
      </w:r>
      <w:r w:rsidRPr="00FB2074">
        <w:rPr>
          <w:noProof/>
        </w:rPr>
        <w:t xml:space="preserve"> případně nesledování </w:t>
      </w:r>
      <w:r>
        <w:rPr>
          <w:noProof/>
        </w:rPr>
        <w:t xml:space="preserve">některých </w:t>
      </w:r>
      <w:r w:rsidRPr="00FB2074">
        <w:rPr>
          <w:noProof/>
        </w:rPr>
        <w:t xml:space="preserve">údajů. </w:t>
      </w:r>
    </w:p>
    <w:p w14:paraId="15D75A6B" w14:textId="3CD8C5D7" w:rsidR="005203A9" w:rsidRPr="00C62639" w:rsidRDefault="0049509D" w:rsidP="0049509D">
      <w:pPr>
        <w:pStyle w:val="Normlnzprva"/>
        <w:rPr>
          <w:rFonts w:asciiTheme="minorHAnsi" w:hAnsiTheme="minorHAnsi"/>
          <w:noProof/>
          <w:color w:val="833C0B" w:themeColor="accent2" w:themeShade="80"/>
        </w:rPr>
      </w:pPr>
      <w:r w:rsidRPr="00FB2074">
        <w:rPr>
          <w:noProof/>
        </w:rPr>
        <w:t>V následujícím grafu jsou</w:t>
      </w:r>
      <w:r>
        <w:rPr>
          <w:noProof/>
        </w:rPr>
        <w:t xml:space="preserve"> znázorněny jednotlivé anomálie kromě </w:t>
      </w:r>
      <w:r w:rsidRPr="00FB2074">
        <w:rPr>
          <w:noProof/>
        </w:rPr>
        <w:t>n</w:t>
      </w:r>
      <w:r>
        <w:rPr>
          <w:noProof/>
        </w:rPr>
        <w:t xml:space="preserve">ulového vodného celkem a </w:t>
      </w:r>
      <w:r w:rsidRPr="00FB2074">
        <w:rPr>
          <w:noProof/>
        </w:rPr>
        <w:t>n</w:t>
      </w:r>
      <w:r>
        <w:rPr>
          <w:noProof/>
        </w:rPr>
        <w:t>ulového objemu fakturované vody, které není možné vyjádřit</w:t>
      </w:r>
      <w:r w:rsidRPr="00FB2074">
        <w:rPr>
          <w:noProof/>
        </w:rPr>
        <w:t xml:space="preserve"> jako %podíl analyzovaného trhu.</w:t>
      </w:r>
      <w:r w:rsidR="00B26631">
        <w:rPr>
          <w:noProof/>
        </w:rPr>
        <w:t xml:space="preserve"> </w:t>
      </w:r>
    </w:p>
    <w:p w14:paraId="01B469C8" w14:textId="77777777" w:rsidR="00FE213D" w:rsidRPr="00C62639" w:rsidRDefault="00FE213D" w:rsidP="006D36B4">
      <w:pPr>
        <w:pStyle w:val="normlntextvodstavcch"/>
        <w:rPr>
          <w:rFonts w:asciiTheme="minorHAnsi" w:hAnsiTheme="minorHAnsi"/>
          <w:noProof/>
        </w:rPr>
      </w:pPr>
    </w:p>
    <w:p w14:paraId="014AC5E6" w14:textId="77777777" w:rsidR="00C3504E" w:rsidRPr="00C62639" w:rsidRDefault="00C3504E">
      <w:pPr>
        <w:spacing w:before="0" w:after="200" w:line="276" w:lineRule="auto"/>
        <w:contextualSpacing w:val="0"/>
        <w:jc w:val="left"/>
        <w:rPr>
          <w:rFonts w:asciiTheme="minorHAnsi" w:hAnsiTheme="minorHAnsi"/>
          <w:noProof/>
        </w:rPr>
      </w:pPr>
      <w:r w:rsidRPr="00C62639">
        <w:rPr>
          <w:rFonts w:asciiTheme="minorHAnsi" w:hAnsiTheme="minorHAnsi"/>
          <w:noProof/>
          <w:lang w:eastAsia="cs-CZ"/>
        </w:rPr>
        <w:br w:type="page"/>
      </w:r>
    </w:p>
    <w:p w14:paraId="2C96AA6D" w14:textId="01935E80" w:rsidR="00AE2049" w:rsidRPr="00C62639" w:rsidRDefault="00847E78">
      <w:pPr>
        <w:spacing w:before="0" w:after="0"/>
        <w:contextualSpacing w:val="0"/>
        <w:jc w:val="left"/>
        <w:rPr>
          <w:rFonts w:asciiTheme="minorHAnsi" w:hAnsiTheme="minorHAnsi"/>
          <w:noProof/>
          <w:szCs w:val="20"/>
        </w:rPr>
      </w:pPr>
      <w:r>
        <w:rPr>
          <w:noProof/>
          <w:lang w:eastAsia="cs-CZ"/>
        </w:rPr>
        <w:lastRenderedPageBreak/>
        <w:drawing>
          <wp:anchor distT="0" distB="0" distL="114300" distR="114300" simplePos="0" relativeHeight="251684864" behindDoc="0" locked="0" layoutInCell="1" allowOverlap="1" wp14:anchorId="29D2D5F7" wp14:editId="787B2FAD">
            <wp:simplePos x="0" y="0"/>
            <wp:positionH relativeFrom="margin">
              <wp:align>center</wp:align>
            </wp:positionH>
            <wp:positionV relativeFrom="paragraph">
              <wp:posOffset>190</wp:posOffset>
            </wp:positionV>
            <wp:extent cx="6459855" cy="9084310"/>
            <wp:effectExtent l="0" t="0" r="17145" b="2540"/>
            <wp:wrapTopAndBottom/>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5BC721A3" w14:textId="11307ACD" w:rsidR="00CF6D59" w:rsidRPr="00C62639" w:rsidRDefault="00CF6D59" w:rsidP="008D2461">
      <w:pPr>
        <w:pStyle w:val="Nadpis3"/>
        <w:rPr>
          <w:rFonts w:asciiTheme="minorHAnsi" w:hAnsiTheme="minorHAnsi"/>
          <w:noProof/>
        </w:rPr>
      </w:pPr>
      <w:bookmarkStart w:id="48" w:name="_Toc505684432"/>
      <w:r w:rsidRPr="00C62639">
        <w:rPr>
          <w:rFonts w:asciiTheme="minorHAnsi" w:hAnsiTheme="minorHAnsi"/>
          <w:noProof/>
        </w:rPr>
        <w:lastRenderedPageBreak/>
        <w:t>Výskyt anomálii v jednotlivých skupinách provozovatelů</w:t>
      </w:r>
      <w:bookmarkEnd w:id="48"/>
      <w:r w:rsidRPr="00C62639">
        <w:rPr>
          <w:rFonts w:asciiTheme="minorHAnsi" w:hAnsiTheme="minorHAnsi"/>
          <w:noProof/>
        </w:rPr>
        <w:t xml:space="preserve"> </w:t>
      </w:r>
    </w:p>
    <w:p w14:paraId="016257CD" w14:textId="77777777" w:rsidR="009C440F" w:rsidRPr="00C62639" w:rsidRDefault="009C440F" w:rsidP="00CF6D59">
      <w:pPr>
        <w:rPr>
          <w:rFonts w:asciiTheme="minorHAnsi" w:hAnsiTheme="minorHAnsi"/>
        </w:rPr>
      </w:pPr>
      <w:r w:rsidRPr="00C62639">
        <w:rPr>
          <w:rFonts w:asciiTheme="minorHAnsi" w:hAnsiTheme="minorHAnsi"/>
          <w:noProof/>
          <w:lang w:eastAsia="cs-CZ"/>
        </w:rPr>
        <w:drawing>
          <wp:anchor distT="0" distB="0" distL="114300" distR="114300" simplePos="0" relativeHeight="251659776" behindDoc="0" locked="0" layoutInCell="1" allowOverlap="1" wp14:anchorId="44569E07" wp14:editId="49F94C15">
            <wp:simplePos x="0" y="0"/>
            <wp:positionH relativeFrom="column">
              <wp:posOffset>-3175</wp:posOffset>
            </wp:positionH>
            <wp:positionV relativeFrom="paragraph">
              <wp:posOffset>186055</wp:posOffset>
            </wp:positionV>
            <wp:extent cx="5624195" cy="2195195"/>
            <wp:effectExtent l="0" t="0" r="0" b="0"/>
            <wp:wrapTopAndBottom/>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624195" cy="2195195"/>
                    </a:xfrm>
                    <a:prstGeom prst="rect">
                      <a:avLst/>
                    </a:prstGeom>
                    <a:noFill/>
                    <a:ln>
                      <a:noFill/>
                    </a:ln>
                  </pic:spPr>
                </pic:pic>
              </a:graphicData>
            </a:graphic>
          </wp:anchor>
        </w:drawing>
      </w:r>
    </w:p>
    <w:p w14:paraId="34CF0CB8" w14:textId="77777777" w:rsidR="009C440F" w:rsidRPr="00C62639" w:rsidRDefault="009C440F" w:rsidP="00CF6D59">
      <w:pPr>
        <w:rPr>
          <w:rFonts w:asciiTheme="minorHAnsi" w:hAnsiTheme="minorHAnsi"/>
        </w:rPr>
      </w:pPr>
    </w:p>
    <w:p w14:paraId="0627BFFF" w14:textId="48B1C8BB" w:rsidR="00BA08C0" w:rsidRDefault="00BA08C0" w:rsidP="00BA08C0">
      <w:pPr>
        <w:pStyle w:val="Normlnzprva"/>
      </w:pPr>
      <w:r>
        <w:t xml:space="preserve">Nejvíce rizikovou skupinou podle počtu výskytu anomálií i podle podílu fakturované vody celkem za Porovnání s alespoň jednou anomálií na celkovém fakturovaném množství </w:t>
      </w:r>
      <w:r w:rsidR="000E6D3E">
        <w:t>ve skupině se jeví</w:t>
      </w:r>
      <w:r>
        <w:t xml:space="preserve"> VIII</w:t>
      </w:r>
      <w:r w:rsidR="00802AC2">
        <w:t>.</w:t>
      </w:r>
      <w:r>
        <w:t xml:space="preserve"> </w:t>
      </w:r>
      <w:r w:rsidR="000E6D3E">
        <w:t xml:space="preserve">skupina </w:t>
      </w:r>
      <w:r>
        <w:t xml:space="preserve">(počet připojených osob na Porovnání je menší než 300). </w:t>
      </w:r>
      <w:r w:rsidRPr="002D05F7">
        <w:t>Dalšími skupinami, u kterých n</w:t>
      </w:r>
      <w:r>
        <w:t>alezené anomálie ovlivňují více</w:t>
      </w:r>
      <w:r w:rsidRPr="002D05F7">
        <w:t xml:space="preserve"> než 50% podíl objemu pitné vody fakturované ve skupině, jsou VI. a VII skupina provozovatelů. </w:t>
      </w:r>
    </w:p>
    <w:p w14:paraId="3DFD4DC0" w14:textId="61B8BFD4" w:rsidR="00BA08C0" w:rsidRPr="006E7581" w:rsidRDefault="00BA08C0" w:rsidP="00BA08C0">
      <w:pPr>
        <w:pStyle w:val="Normlnzprva"/>
        <w:rPr>
          <w:noProof/>
        </w:rPr>
      </w:pPr>
      <w:r>
        <w:rPr>
          <w:noProof/>
        </w:rPr>
        <w:t>Dále uvedená</w:t>
      </w:r>
      <w:r w:rsidR="00B26631">
        <w:rPr>
          <w:noProof/>
        </w:rPr>
        <w:t xml:space="preserve"> </w:t>
      </w:r>
      <w:r w:rsidRPr="006E7581">
        <w:rPr>
          <w:noProof/>
        </w:rPr>
        <w:t xml:space="preserve">tabulka poskytuje přehled výskytu jednotlivých sledovaných anomálií u skupin, </w:t>
      </w:r>
      <w:r w:rsidR="00802AC2">
        <w:rPr>
          <w:noProof/>
        </w:rPr>
        <w:t xml:space="preserve">ve kterých </w:t>
      </w:r>
      <w:r w:rsidRPr="006E7581">
        <w:rPr>
          <w:noProof/>
        </w:rPr>
        <w:t>bylo nalezeno více než sto anomálií.</w:t>
      </w:r>
      <w:r w:rsidR="00B26631">
        <w:rPr>
          <w:noProof/>
        </w:rPr>
        <w:t xml:space="preserve"> </w:t>
      </w:r>
      <w:r w:rsidRPr="006E7581">
        <w:rPr>
          <w:noProof/>
        </w:rPr>
        <w:t>Jedná se o VI., VII. a VIII. skupinu provoz</w:t>
      </w:r>
      <w:r>
        <w:rPr>
          <w:noProof/>
        </w:rPr>
        <w:t>ovatelů, tj. provozovatelé, kteř</w:t>
      </w:r>
      <w:r w:rsidRPr="006E7581">
        <w:rPr>
          <w:noProof/>
        </w:rPr>
        <w:t>í zásobují</w:t>
      </w:r>
      <w:r w:rsidR="00B26631">
        <w:rPr>
          <w:noProof/>
        </w:rPr>
        <w:t xml:space="preserve"> </w:t>
      </w:r>
      <w:r>
        <w:rPr>
          <w:noProof/>
        </w:rPr>
        <w:t>méně než</w:t>
      </w:r>
      <w:r w:rsidRPr="006E7581">
        <w:rPr>
          <w:noProof/>
        </w:rPr>
        <w:t xml:space="preserve"> 10 tis. obyvatel.</w:t>
      </w:r>
      <w:r w:rsidR="00B26631">
        <w:rPr>
          <w:noProof/>
        </w:rPr>
        <w:t xml:space="preserve"> </w:t>
      </w:r>
      <w:r>
        <w:rPr>
          <w:noProof/>
        </w:rPr>
        <w:t>Celkem za tyto</w:t>
      </w:r>
      <w:r w:rsidR="00B26631">
        <w:rPr>
          <w:noProof/>
        </w:rPr>
        <w:t xml:space="preserve"> </w:t>
      </w:r>
      <w:r>
        <w:rPr>
          <w:noProof/>
        </w:rPr>
        <w:t>tř</w:t>
      </w:r>
      <w:r w:rsidR="00802AC2">
        <w:rPr>
          <w:noProof/>
        </w:rPr>
        <w:t>i</w:t>
      </w:r>
      <w:r w:rsidRPr="006E7581">
        <w:rPr>
          <w:noProof/>
        </w:rPr>
        <w:t xml:space="preserve"> skupin</w:t>
      </w:r>
      <w:r>
        <w:rPr>
          <w:noProof/>
        </w:rPr>
        <w:t xml:space="preserve">y je pitnou vodou zásobeno </w:t>
      </w:r>
      <w:r w:rsidRPr="006E7581">
        <w:rPr>
          <w:noProof/>
        </w:rPr>
        <w:t xml:space="preserve">1,2 mil. obyvatel, kterým bylo v roce 2016 fakturováno 53,12 </w:t>
      </w:r>
      <w:r w:rsidR="00E27252">
        <w:rPr>
          <w:noProof/>
        </w:rPr>
        <w:t>mil. m</w:t>
      </w:r>
      <w:r w:rsidR="00E27252" w:rsidRPr="00E27252">
        <w:rPr>
          <w:noProof/>
          <w:vertAlign w:val="superscript"/>
        </w:rPr>
        <w:t>3</w:t>
      </w:r>
      <w:r w:rsidRPr="006E7581">
        <w:rPr>
          <w:noProof/>
        </w:rPr>
        <w:t xml:space="preserve"> pitné vody (tj. 11,8% podíl analyzovaného trhu 447,10 </w:t>
      </w:r>
      <w:r w:rsidR="00E27252">
        <w:rPr>
          <w:noProof/>
        </w:rPr>
        <w:t>mil. m</w:t>
      </w:r>
      <w:r w:rsidR="00E27252" w:rsidRPr="00E27252">
        <w:rPr>
          <w:noProof/>
          <w:vertAlign w:val="superscript"/>
        </w:rPr>
        <w:t>3</w:t>
      </w:r>
      <w:r w:rsidRPr="006E7581">
        <w:rPr>
          <w:noProof/>
        </w:rPr>
        <w:t>).</w:t>
      </w:r>
    </w:p>
    <w:p w14:paraId="399C921C"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469E05C0"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374F7ED4"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7FC149F4"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353F05A9"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4DC8ED26"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303EB2F5"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706426E9" w14:textId="77777777" w:rsidR="00BA08C0" w:rsidRDefault="00BA08C0" w:rsidP="00384CC9">
      <w:pPr>
        <w:spacing w:before="0" w:after="0"/>
        <w:ind w:firstLine="709"/>
        <w:contextualSpacing w:val="0"/>
        <w:jc w:val="left"/>
        <w:rPr>
          <w:rFonts w:asciiTheme="minorHAnsi" w:hAnsiTheme="minorHAnsi"/>
          <w:noProof/>
          <w:color w:val="833C0B" w:themeColor="accent2" w:themeShade="80"/>
        </w:rPr>
      </w:pPr>
    </w:p>
    <w:p w14:paraId="01F9D4CB" w14:textId="77777777" w:rsidR="00F14B2F" w:rsidRDefault="00BA08C0">
      <w:pPr>
        <w:spacing w:before="0" w:after="0"/>
        <w:contextualSpacing w:val="0"/>
        <w:jc w:val="left"/>
        <w:rPr>
          <w:rFonts w:asciiTheme="minorHAnsi" w:hAnsiTheme="minorHAnsi"/>
          <w:noProof/>
          <w:color w:val="833C0B" w:themeColor="accent2" w:themeShade="80"/>
        </w:rPr>
        <w:sectPr w:rsidR="00F14B2F" w:rsidSect="00FF4564">
          <w:footerReference w:type="default" r:id="rId38"/>
          <w:pgSz w:w="11906" w:h="16838"/>
          <w:pgMar w:top="1418" w:right="1418" w:bottom="1418" w:left="1418" w:header="709" w:footer="709" w:gutter="0"/>
          <w:cols w:space="708"/>
          <w:docGrid w:linePitch="360"/>
        </w:sectPr>
      </w:pPr>
      <w:r>
        <w:rPr>
          <w:rFonts w:asciiTheme="minorHAnsi" w:hAnsiTheme="minorHAnsi"/>
          <w:noProof/>
          <w:color w:val="833C0B" w:themeColor="accent2" w:themeShade="80"/>
        </w:rPr>
        <w:br w:type="page"/>
      </w:r>
    </w:p>
    <w:p w14:paraId="4D35A48A" w14:textId="547F0111" w:rsidR="00BA08C0" w:rsidRDefault="004B51AE" w:rsidP="00F14B2F">
      <w:pPr>
        <w:spacing w:before="0" w:after="0"/>
        <w:contextualSpacing w:val="0"/>
        <w:jc w:val="center"/>
        <w:rPr>
          <w:rFonts w:asciiTheme="minorHAnsi" w:hAnsiTheme="minorHAnsi"/>
          <w:noProof/>
          <w:color w:val="833C0B" w:themeColor="accent2" w:themeShade="80"/>
        </w:rPr>
      </w:pPr>
      <w:r>
        <w:rPr>
          <w:noProof/>
          <w:color w:val="833C0B" w:themeColor="accent2" w:themeShade="80"/>
        </w:rPr>
        <w:lastRenderedPageBreak/>
        <w:object w:dxaOrig="1440" w:dyaOrig="1440" w14:anchorId="4F331151">
          <v:shape id="_x0000_s1028" type="#_x0000_t75" style="position:absolute;left:0;text-align:left;margin-left:-35.3pt;margin-top:23.8pt;width:766.7pt;height:406.95pt;z-index:251689984;mso-position-horizontal-relative:text;mso-position-vertical-relative:text">
            <v:imagedata r:id="rId39" o:title=""/>
            <w10:wrap type="topAndBottom"/>
          </v:shape>
          <o:OLEObject Type="Embed" ProgID="Excel.Sheet.12" ShapeID="_x0000_s1028" DrawAspect="Content" ObjectID="_1585397948" r:id="rId40"/>
        </w:object>
      </w:r>
    </w:p>
    <w:p w14:paraId="07D797FC" w14:textId="70761B2D" w:rsidR="00F14B2F" w:rsidRDefault="00F14B2F" w:rsidP="00384CC9">
      <w:pPr>
        <w:spacing w:before="0" w:after="0"/>
        <w:ind w:firstLine="709"/>
        <w:contextualSpacing w:val="0"/>
        <w:jc w:val="left"/>
        <w:rPr>
          <w:rFonts w:asciiTheme="minorHAnsi" w:hAnsiTheme="minorHAnsi"/>
          <w:noProof/>
          <w:color w:val="833C0B" w:themeColor="accent2" w:themeShade="80"/>
        </w:rPr>
        <w:sectPr w:rsidR="00F14B2F" w:rsidSect="00F14B2F">
          <w:footerReference w:type="default" r:id="rId41"/>
          <w:pgSz w:w="16838" w:h="11906" w:orient="landscape"/>
          <w:pgMar w:top="1418" w:right="1418" w:bottom="1418" w:left="1418" w:header="709" w:footer="709" w:gutter="0"/>
          <w:cols w:space="708"/>
          <w:docGrid w:linePitch="360"/>
        </w:sectPr>
      </w:pPr>
    </w:p>
    <w:p w14:paraId="1DF6318E" w14:textId="562E26DA" w:rsidR="00107DBC" w:rsidRPr="00C62639" w:rsidRDefault="00107DBC" w:rsidP="00384CC9">
      <w:pPr>
        <w:spacing w:before="0" w:after="0"/>
        <w:ind w:firstLine="709"/>
        <w:contextualSpacing w:val="0"/>
        <w:jc w:val="left"/>
        <w:rPr>
          <w:rFonts w:asciiTheme="minorHAnsi" w:hAnsiTheme="minorHAnsi"/>
          <w:noProof/>
          <w:color w:val="833C0B" w:themeColor="accent2" w:themeShade="80"/>
        </w:rPr>
      </w:pPr>
      <w:r w:rsidRPr="00C62639">
        <w:rPr>
          <w:rFonts w:asciiTheme="minorHAnsi" w:hAnsiTheme="minorHAnsi"/>
          <w:noProof/>
          <w:color w:val="833C0B" w:themeColor="accent2" w:themeShade="80"/>
        </w:rPr>
        <w:lastRenderedPageBreak/>
        <w:t xml:space="preserve"> </w:t>
      </w:r>
    </w:p>
    <w:p w14:paraId="08D7CBE3" w14:textId="7392406F" w:rsidR="00B34CEE" w:rsidRPr="00896DC7" w:rsidRDefault="00802AC2" w:rsidP="00CF46DF">
      <w:pPr>
        <w:pStyle w:val="Normlnzprva"/>
        <w:rPr>
          <w:noProof/>
        </w:rPr>
      </w:pPr>
      <w:r>
        <w:rPr>
          <w:noProof/>
        </w:rPr>
        <w:t xml:space="preserve">Z tabulky plyne, že </w:t>
      </w:r>
      <w:r w:rsidR="00CF46DF">
        <w:rPr>
          <w:noProof/>
        </w:rPr>
        <w:t>v případě tří</w:t>
      </w:r>
      <w:r>
        <w:rPr>
          <w:noProof/>
        </w:rPr>
        <w:t xml:space="preserve"> blíže analyzovaných rizikových</w:t>
      </w:r>
      <w:r w:rsidR="00B26631">
        <w:rPr>
          <w:noProof/>
        </w:rPr>
        <w:t xml:space="preserve"> </w:t>
      </w:r>
      <w:r w:rsidR="00CF46DF">
        <w:rPr>
          <w:noProof/>
        </w:rPr>
        <w:t xml:space="preserve">provozovatelských </w:t>
      </w:r>
      <w:r>
        <w:rPr>
          <w:noProof/>
        </w:rPr>
        <w:t xml:space="preserve">skupin </w:t>
      </w:r>
      <w:r w:rsidR="00CF46DF">
        <w:rPr>
          <w:noProof/>
        </w:rPr>
        <w:t>je největším pro</w:t>
      </w:r>
      <w:r>
        <w:rPr>
          <w:noProof/>
        </w:rPr>
        <w:t>bl</w:t>
      </w:r>
      <w:r w:rsidR="00CF46DF">
        <w:rPr>
          <w:noProof/>
        </w:rPr>
        <w:t>émem</w:t>
      </w:r>
      <w:r w:rsidR="00B34CEE" w:rsidRPr="00896DC7">
        <w:rPr>
          <w:noProof/>
        </w:rPr>
        <w:t xml:space="preserve"> používání </w:t>
      </w:r>
      <w:r w:rsidR="00B34CEE" w:rsidRPr="00896DC7">
        <w:rPr>
          <w:b/>
          <w:noProof/>
        </w:rPr>
        <w:t>záporného kalkulačního zisku</w:t>
      </w:r>
      <w:r w:rsidR="00B34CEE" w:rsidRPr="00CF46DF">
        <w:rPr>
          <w:noProof/>
        </w:rPr>
        <w:t xml:space="preserve">. </w:t>
      </w:r>
      <w:r w:rsidR="00CF46DF" w:rsidRPr="00CF46DF">
        <w:rPr>
          <w:noProof/>
        </w:rPr>
        <w:t>Zodpovědné osoby</w:t>
      </w:r>
      <w:r>
        <w:rPr>
          <w:noProof/>
        </w:rPr>
        <w:t xml:space="preserve"> zde</w:t>
      </w:r>
      <w:r w:rsidR="00B26631">
        <w:rPr>
          <w:noProof/>
        </w:rPr>
        <w:t xml:space="preserve"> </w:t>
      </w:r>
      <w:r w:rsidR="00B34CEE" w:rsidRPr="00896DC7">
        <w:rPr>
          <w:noProof/>
        </w:rPr>
        <w:t>nevěnuj</w:t>
      </w:r>
      <w:r w:rsidR="00CF46DF">
        <w:rPr>
          <w:noProof/>
        </w:rPr>
        <w:t>í</w:t>
      </w:r>
      <w:r w:rsidR="00B34CEE" w:rsidRPr="00896DC7">
        <w:rPr>
          <w:noProof/>
        </w:rPr>
        <w:t xml:space="preserve"> náležit</w:t>
      </w:r>
      <w:r w:rsidR="00CF46DF">
        <w:rPr>
          <w:noProof/>
        </w:rPr>
        <w:t>ou</w:t>
      </w:r>
      <w:r w:rsidR="00B34CEE" w:rsidRPr="00896DC7">
        <w:rPr>
          <w:noProof/>
        </w:rPr>
        <w:t xml:space="preserve"> poz</w:t>
      </w:r>
      <w:r w:rsidR="00CF46DF">
        <w:rPr>
          <w:noProof/>
        </w:rPr>
        <w:t>ornost nastavení ceny pro vodné</w:t>
      </w:r>
      <w:r w:rsidR="00B34CEE" w:rsidRPr="00896DC7">
        <w:rPr>
          <w:noProof/>
        </w:rPr>
        <w:t xml:space="preserve"> tak</w:t>
      </w:r>
      <w:r w:rsidR="00CF46DF">
        <w:rPr>
          <w:noProof/>
        </w:rPr>
        <w:t>,</w:t>
      </w:r>
      <w:r w:rsidR="00B34CEE" w:rsidRPr="00896DC7">
        <w:rPr>
          <w:noProof/>
        </w:rPr>
        <w:t xml:space="preserve"> aby pokrývala související ekonomicky oprávněné náklady </w:t>
      </w:r>
      <w:r w:rsidR="00961B0F" w:rsidRPr="00896DC7">
        <w:rPr>
          <w:noProof/>
        </w:rPr>
        <w:t>v plné výši</w:t>
      </w:r>
      <w:r w:rsidR="00CF46DF">
        <w:rPr>
          <w:noProof/>
        </w:rPr>
        <w:t>. D</w:t>
      </w:r>
      <w:r w:rsidR="00B34CEE" w:rsidRPr="00896DC7">
        <w:rPr>
          <w:noProof/>
        </w:rPr>
        <w:t>ochází k dotování nákladů na provoz a správu z jiných finančních zdrojů</w:t>
      </w:r>
      <w:r w:rsidR="00CF46DF">
        <w:rPr>
          <w:noProof/>
        </w:rPr>
        <w:t xml:space="preserve"> než je vodné</w:t>
      </w:r>
      <w:r w:rsidR="00B34CEE" w:rsidRPr="00896DC7">
        <w:rPr>
          <w:noProof/>
        </w:rPr>
        <w:t xml:space="preserve">. </w:t>
      </w:r>
      <w:r w:rsidR="00E27252">
        <w:rPr>
          <w:noProof/>
        </w:rPr>
        <w:t xml:space="preserve">Nejvíce zasaženou </w:t>
      </w:r>
      <w:r w:rsidR="00CF46DF">
        <w:rPr>
          <w:noProof/>
        </w:rPr>
        <w:t>s</w:t>
      </w:r>
      <w:r w:rsidR="00624019">
        <w:rPr>
          <w:noProof/>
        </w:rPr>
        <w:t>k</w:t>
      </w:r>
      <w:r w:rsidR="00CF46DF">
        <w:rPr>
          <w:noProof/>
        </w:rPr>
        <w:t xml:space="preserve">upinou se jeví  </w:t>
      </w:r>
      <w:r w:rsidR="00B34CEE" w:rsidRPr="00896DC7">
        <w:rPr>
          <w:noProof/>
        </w:rPr>
        <w:t>VI.</w:t>
      </w:r>
      <w:r w:rsidR="000E6D3E">
        <w:rPr>
          <w:noProof/>
        </w:rPr>
        <w:t xml:space="preserve"> skupina</w:t>
      </w:r>
      <w:r w:rsidR="00B26631">
        <w:rPr>
          <w:noProof/>
        </w:rPr>
        <w:t xml:space="preserve"> </w:t>
      </w:r>
      <w:r w:rsidR="00CF46DF">
        <w:rPr>
          <w:noProof/>
        </w:rPr>
        <w:t xml:space="preserve">(1 až </w:t>
      </w:r>
      <w:r w:rsidR="00B34CEE" w:rsidRPr="00896DC7">
        <w:rPr>
          <w:noProof/>
        </w:rPr>
        <w:t xml:space="preserve">10 tisíc </w:t>
      </w:r>
      <w:r w:rsidR="00CF46DF">
        <w:rPr>
          <w:noProof/>
        </w:rPr>
        <w:t xml:space="preserve">zásobených </w:t>
      </w:r>
      <w:r w:rsidR="00B34CEE" w:rsidRPr="00896DC7">
        <w:rPr>
          <w:noProof/>
        </w:rPr>
        <w:t>obyvatel</w:t>
      </w:r>
      <w:r>
        <w:rPr>
          <w:noProof/>
        </w:rPr>
        <w:t>), ve které</w:t>
      </w:r>
      <w:r w:rsidR="00961B0F" w:rsidRPr="00896DC7">
        <w:rPr>
          <w:noProof/>
        </w:rPr>
        <w:t xml:space="preserve"> </w:t>
      </w:r>
      <w:r w:rsidR="00CF46DF">
        <w:rPr>
          <w:noProof/>
        </w:rPr>
        <w:t>objem pitné vody fakturované</w:t>
      </w:r>
      <w:r>
        <w:rPr>
          <w:noProof/>
        </w:rPr>
        <w:t xml:space="preserve"> na Porovnáních s touto anomálií</w:t>
      </w:r>
      <w:r w:rsidR="00B26631">
        <w:rPr>
          <w:noProof/>
        </w:rPr>
        <w:t xml:space="preserve"> </w:t>
      </w:r>
      <w:r w:rsidR="00CF46DF">
        <w:rPr>
          <w:noProof/>
        </w:rPr>
        <w:t>činí</w:t>
      </w:r>
      <w:r w:rsidR="00B26631">
        <w:rPr>
          <w:noProof/>
        </w:rPr>
        <w:t xml:space="preserve"> </w:t>
      </w:r>
      <w:r w:rsidR="00B34CEE" w:rsidRPr="00896DC7">
        <w:rPr>
          <w:noProof/>
        </w:rPr>
        <w:t xml:space="preserve">7,21 </w:t>
      </w:r>
      <w:r w:rsidR="00E27252">
        <w:rPr>
          <w:noProof/>
        </w:rPr>
        <w:t>mil. m</w:t>
      </w:r>
      <w:r w:rsidR="00E27252" w:rsidRPr="00E27252">
        <w:rPr>
          <w:noProof/>
          <w:vertAlign w:val="superscript"/>
        </w:rPr>
        <w:t>3</w:t>
      </w:r>
      <w:r w:rsidR="00B34CEE" w:rsidRPr="00896DC7">
        <w:rPr>
          <w:noProof/>
          <w:vertAlign w:val="superscript"/>
        </w:rPr>
        <w:t xml:space="preserve"> </w:t>
      </w:r>
      <w:r w:rsidR="00CF46DF">
        <w:rPr>
          <w:noProof/>
        </w:rPr>
        <w:t>(tj. 1,61% podíl</w:t>
      </w:r>
      <w:r w:rsidR="00B34CEE" w:rsidRPr="00896DC7">
        <w:rPr>
          <w:noProof/>
        </w:rPr>
        <w:t xml:space="preserve"> analyzovaného trh</w:t>
      </w:r>
      <w:r w:rsidR="00CF46DF">
        <w:rPr>
          <w:noProof/>
        </w:rPr>
        <w:t>u). Z hlediska četnosti výskytů</w:t>
      </w:r>
      <w:r w:rsidR="00B34CEE" w:rsidRPr="00896DC7">
        <w:rPr>
          <w:noProof/>
        </w:rPr>
        <w:t xml:space="preserve"> se tato anomálie </w:t>
      </w:r>
      <w:r w:rsidR="00961B0F" w:rsidRPr="00896DC7">
        <w:rPr>
          <w:noProof/>
        </w:rPr>
        <w:t xml:space="preserve">nejvíce </w:t>
      </w:r>
      <w:r w:rsidR="00B34CEE" w:rsidRPr="00896DC7">
        <w:rPr>
          <w:noProof/>
        </w:rPr>
        <w:t>vyskytuje</w:t>
      </w:r>
      <w:r w:rsidR="00B26631">
        <w:rPr>
          <w:noProof/>
        </w:rPr>
        <w:t xml:space="preserve"> </w:t>
      </w:r>
      <w:r w:rsidR="00CF46DF">
        <w:rPr>
          <w:noProof/>
        </w:rPr>
        <w:t>v</w:t>
      </w:r>
      <w:r w:rsidR="00B34CEE" w:rsidRPr="00896DC7">
        <w:rPr>
          <w:noProof/>
        </w:rPr>
        <w:t xml:space="preserve"> VIII. </w:t>
      </w:r>
      <w:r w:rsidR="00CF46DF">
        <w:rPr>
          <w:noProof/>
        </w:rPr>
        <w:t>s</w:t>
      </w:r>
      <w:r w:rsidR="00B34CEE" w:rsidRPr="00896DC7">
        <w:rPr>
          <w:noProof/>
        </w:rPr>
        <w:t>kupin</w:t>
      </w:r>
      <w:r w:rsidR="00CF46DF">
        <w:rPr>
          <w:noProof/>
        </w:rPr>
        <w:t>ě, a to u 371 Porovnání</w:t>
      </w:r>
      <w:r w:rsidR="00B34CEE" w:rsidRPr="00896DC7">
        <w:rPr>
          <w:noProof/>
        </w:rPr>
        <w:t>.</w:t>
      </w:r>
      <w:r w:rsidR="00B26631">
        <w:rPr>
          <w:noProof/>
        </w:rPr>
        <w:t xml:space="preserve"> </w:t>
      </w:r>
      <w:r w:rsidR="00CF46DF">
        <w:rPr>
          <w:noProof/>
        </w:rPr>
        <w:t>Jedná o velmi často po</w:t>
      </w:r>
      <w:r w:rsidR="00B34CEE" w:rsidRPr="00896DC7">
        <w:rPr>
          <w:noProof/>
        </w:rPr>
        <w:t xml:space="preserve">užívaný </w:t>
      </w:r>
      <w:r w:rsidR="00CF46DF">
        <w:rPr>
          <w:noProof/>
        </w:rPr>
        <w:t xml:space="preserve">způsob </w:t>
      </w:r>
      <w:r w:rsidR="00B34CEE" w:rsidRPr="00896DC7">
        <w:rPr>
          <w:noProof/>
        </w:rPr>
        <w:t>snižování ceny pro vodné, zejména u provozovatelů malých celků – pod 300 zásobených obyvatel</w:t>
      </w:r>
      <w:r w:rsidR="00CF46DF">
        <w:rPr>
          <w:noProof/>
        </w:rPr>
        <w:t>.</w:t>
      </w:r>
      <w:r w:rsidR="00B34CEE" w:rsidRPr="00896DC7">
        <w:rPr>
          <w:noProof/>
        </w:rPr>
        <w:t xml:space="preserve"> </w:t>
      </w:r>
      <w:r w:rsidR="00961B0F" w:rsidRPr="00896DC7">
        <w:rPr>
          <w:noProof/>
        </w:rPr>
        <w:t xml:space="preserve">Lze se domnívat, že zjištěný výskyt záporného kalkulačního zisku by byl </w:t>
      </w:r>
      <w:r>
        <w:rPr>
          <w:noProof/>
        </w:rPr>
        <w:t xml:space="preserve">ještě </w:t>
      </w:r>
      <w:r w:rsidR="00961B0F" w:rsidRPr="00896DC7">
        <w:rPr>
          <w:noProof/>
        </w:rPr>
        <w:t>vyšší</w:t>
      </w:r>
      <w:r w:rsidR="00CF46DF">
        <w:rPr>
          <w:noProof/>
        </w:rPr>
        <w:t>,</w:t>
      </w:r>
      <w:r w:rsidR="00961B0F" w:rsidRPr="00896DC7">
        <w:rPr>
          <w:noProof/>
        </w:rPr>
        <w:t xml:space="preserve"> a to na z</w:t>
      </w:r>
      <w:r w:rsidR="00CF46DF">
        <w:rPr>
          <w:noProof/>
        </w:rPr>
        <w:t>ákladě výskytu anomálie svědčící</w:t>
      </w:r>
      <w:r w:rsidR="00961B0F" w:rsidRPr="00896DC7">
        <w:rPr>
          <w:noProof/>
        </w:rPr>
        <w:t xml:space="preserve"> o nízkých jednicových nákladech</w:t>
      </w:r>
      <w:r w:rsidR="00E12CD2">
        <w:rPr>
          <w:noProof/>
        </w:rPr>
        <w:t xml:space="preserve">. </w:t>
      </w:r>
      <w:r>
        <w:rPr>
          <w:noProof/>
        </w:rPr>
        <w:t xml:space="preserve">Tato anomálie může </w:t>
      </w:r>
      <w:r w:rsidR="00CF46DF">
        <w:rPr>
          <w:noProof/>
        </w:rPr>
        <w:t>z</w:t>
      </w:r>
      <w:r w:rsidR="00E12CD2">
        <w:rPr>
          <w:noProof/>
        </w:rPr>
        <w:t>n</w:t>
      </w:r>
      <w:r w:rsidR="00E27252">
        <w:rPr>
          <w:noProof/>
        </w:rPr>
        <w:t>a</w:t>
      </w:r>
      <w:r w:rsidR="00CF46DF">
        <w:rPr>
          <w:noProof/>
        </w:rPr>
        <w:t>men</w:t>
      </w:r>
      <w:r w:rsidR="00E12CD2">
        <w:rPr>
          <w:noProof/>
        </w:rPr>
        <w:t>at</w:t>
      </w:r>
      <w:r w:rsidR="00CF46DF">
        <w:rPr>
          <w:noProof/>
        </w:rPr>
        <w:t>, že na Porovnáních nejsou v</w:t>
      </w:r>
      <w:r w:rsidR="00E12CD2">
        <w:rPr>
          <w:noProof/>
        </w:rPr>
        <w:t>y</w:t>
      </w:r>
      <w:r w:rsidR="00CF46DF">
        <w:rPr>
          <w:noProof/>
        </w:rPr>
        <w:t>kázány veškeré související ekonomicky oprávněné náklady v plné výši</w:t>
      </w:r>
      <w:r w:rsidR="00961B0F" w:rsidRPr="00896DC7">
        <w:rPr>
          <w:noProof/>
        </w:rPr>
        <w:t xml:space="preserve">. </w:t>
      </w:r>
    </w:p>
    <w:p w14:paraId="21EB89DD" w14:textId="52004AA3" w:rsidR="00B34CEE" w:rsidRPr="00E27252" w:rsidRDefault="00961B0F" w:rsidP="00E27252">
      <w:pPr>
        <w:pStyle w:val="Normlnzprva"/>
      </w:pPr>
      <w:r w:rsidRPr="00E27252">
        <w:t>Zajímavý je nález</w:t>
      </w:r>
      <w:r w:rsidR="00B26631" w:rsidRPr="00E27252">
        <w:t xml:space="preserve"> </w:t>
      </w:r>
      <w:r w:rsidR="00B34CEE" w:rsidRPr="00E27252">
        <w:rPr>
          <w:b/>
        </w:rPr>
        <w:t>vysok</w:t>
      </w:r>
      <w:r w:rsidRPr="00E27252">
        <w:rPr>
          <w:b/>
        </w:rPr>
        <w:t>ého</w:t>
      </w:r>
      <w:r w:rsidR="00B34CEE" w:rsidRPr="00E27252">
        <w:rPr>
          <w:b/>
        </w:rPr>
        <w:t xml:space="preserve"> podíl</w:t>
      </w:r>
      <w:r w:rsidRPr="00E27252">
        <w:rPr>
          <w:b/>
        </w:rPr>
        <w:t>u</w:t>
      </w:r>
      <w:r w:rsidR="00B34CEE" w:rsidRPr="00E27252">
        <w:rPr>
          <w:b/>
        </w:rPr>
        <w:t xml:space="preserve"> zisku na úplných vlastních nákladech</w:t>
      </w:r>
      <w:r w:rsidR="00B34CEE" w:rsidRPr="00E27252">
        <w:t xml:space="preserve"> (hodnota více než 1,5 násobek mediánu skupiny z Porovnání s kladným kalkulačním ziskem) a vysoká cena pro vodné (hodnota více než 1,5 násobek </w:t>
      </w:r>
      <w:r w:rsidR="005F5EAF">
        <w:t xml:space="preserve">průměrné ceny pro vodné optimálního provozovatelského subjektu </w:t>
      </w:r>
      <w:r w:rsidR="00B34CEE" w:rsidRPr="00E27252">
        <w:t>skupiny).</w:t>
      </w:r>
      <w:r w:rsidRPr="00E27252">
        <w:t xml:space="preserve"> Tyto anomálie svědčí o rozmanitosti </w:t>
      </w:r>
      <w:r w:rsidR="00E12CD2" w:rsidRPr="00E27252">
        <w:t>přístupů k cenotvorbě po</w:t>
      </w:r>
      <w:r w:rsidR="00E27252">
        <w:t>p</w:t>
      </w:r>
      <w:r w:rsidR="00E12CD2" w:rsidRPr="00E27252">
        <w:t xml:space="preserve">řípadě i </w:t>
      </w:r>
      <w:r w:rsidR="005F5EAF">
        <w:t xml:space="preserve">k </w:t>
      </w:r>
      <w:r w:rsidR="00E12CD2" w:rsidRPr="00E27252">
        <w:t xml:space="preserve">vykazování údajů v Porovnání </w:t>
      </w:r>
      <w:r w:rsidRPr="00E27252">
        <w:t>u všech tří posuzovaných skupin.</w:t>
      </w:r>
      <w:r w:rsidR="00B26631" w:rsidRPr="00E27252">
        <w:t xml:space="preserve"> </w:t>
      </w:r>
      <w:r w:rsidR="00B34CEE" w:rsidRPr="00E27252">
        <w:t xml:space="preserve">Vysoký podíl zisku na úplných vlastních nákladech </w:t>
      </w:r>
      <w:r w:rsidR="00CB3779" w:rsidRPr="00E27252">
        <w:t>se z pohle</w:t>
      </w:r>
      <w:r w:rsidR="00E27252">
        <w:t>du objemu fakturované vody nejví</w:t>
      </w:r>
      <w:r w:rsidR="00CB3779" w:rsidRPr="00E27252">
        <w:t>ce projevil v VI. skupině, kde zasáhl</w:t>
      </w:r>
      <w:r w:rsidR="00B34CEE" w:rsidRPr="00E27252">
        <w:t xml:space="preserve"> 6,69 </w:t>
      </w:r>
      <w:r w:rsidR="00E27252">
        <w:t>mil. m</w:t>
      </w:r>
      <w:r w:rsidR="00E27252" w:rsidRPr="00E27252">
        <w:rPr>
          <w:vertAlign w:val="superscript"/>
        </w:rPr>
        <w:t>3</w:t>
      </w:r>
      <w:r w:rsidR="00B34CEE" w:rsidRPr="00E27252">
        <w:t xml:space="preserve"> (19,73% podíl z objemu vody fakturované ve skupině; 1,5% podíl analyzovaného trhu) vody </w:t>
      </w:r>
      <w:r w:rsidR="00CB3779" w:rsidRPr="00E27252">
        <w:t>pitné fakturované</w:t>
      </w:r>
      <w:r w:rsidR="00B34CEE" w:rsidRPr="00E27252">
        <w:t>.</w:t>
      </w:r>
      <w:r w:rsidR="00B26631" w:rsidRPr="00E27252">
        <w:t xml:space="preserve"> </w:t>
      </w:r>
      <w:r w:rsidR="00E12CD2" w:rsidRPr="00E27252">
        <w:t>Vysokou četností výskytu v</w:t>
      </w:r>
      <w:r w:rsidR="00E27252">
        <w:t>ysokého podílu u zisku na vykázan</w:t>
      </w:r>
      <w:r w:rsidR="00E12CD2" w:rsidRPr="00E27252">
        <w:t>ých úplných vlastních nákladech je</w:t>
      </w:r>
      <w:r w:rsidR="00B34CEE" w:rsidRPr="00E27252">
        <w:t xml:space="preserve"> nejvíce poznamenána VIII. skupina – 190 Porovnání.</w:t>
      </w:r>
      <w:r w:rsidR="00B26631" w:rsidRPr="00E27252">
        <w:t xml:space="preserve"> </w:t>
      </w:r>
      <w:r w:rsidR="00B34CEE" w:rsidRPr="00E27252">
        <w:t xml:space="preserve"> </w:t>
      </w:r>
      <w:r w:rsidR="00E12CD2" w:rsidRPr="00E27252">
        <w:t>Zde je tře</w:t>
      </w:r>
      <w:r w:rsidR="00E27252">
        <w:t>ba opět zopakovat, že výskyt vys</w:t>
      </w:r>
      <w:r w:rsidR="00E12CD2" w:rsidRPr="00E27252">
        <w:t>okého podílu kalkulačního zisku na úplných vlastních nákladech</w:t>
      </w:r>
      <w:r w:rsidR="00B26631" w:rsidRPr="00E27252">
        <w:t xml:space="preserve"> </w:t>
      </w:r>
      <w:r w:rsidR="00E12CD2" w:rsidRPr="00E27252">
        <w:t xml:space="preserve">je ovlivněn </w:t>
      </w:r>
      <w:r w:rsidR="00802AC2" w:rsidRPr="00E27252">
        <w:t>ne</w:t>
      </w:r>
      <w:r w:rsidR="00E12CD2" w:rsidRPr="00E27252">
        <w:t>vykazováním ekonomicky oprávněných nákladů v plné výši</w:t>
      </w:r>
      <w:r w:rsidR="003A6341" w:rsidRPr="00E27252">
        <w:t>.</w:t>
      </w:r>
    </w:p>
    <w:p w14:paraId="0607FB95" w14:textId="77D174C5" w:rsidR="00B34CEE" w:rsidRPr="00896DC7" w:rsidRDefault="00B34CEE" w:rsidP="00E12CD2">
      <w:pPr>
        <w:pStyle w:val="Normlnzprva"/>
        <w:rPr>
          <w:noProof/>
        </w:rPr>
      </w:pPr>
      <w:r w:rsidRPr="00896DC7">
        <w:rPr>
          <w:noProof/>
        </w:rPr>
        <w:t xml:space="preserve">Podle hodnot </w:t>
      </w:r>
      <w:r w:rsidRPr="00896DC7">
        <w:rPr>
          <w:b/>
          <w:noProof/>
        </w:rPr>
        <w:t>podílu nevyhovujících fyzikálně chemických a mikrobi</w:t>
      </w:r>
      <w:r w:rsidR="00E27252">
        <w:rPr>
          <w:b/>
          <w:noProof/>
        </w:rPr>
        <w:t>ologických a biologických vzorků</w:t>
      </w:r>
      <w:r w:rsidRPr="00896DC7">
        <w:rPr>
          <w:noProof/>
        </w:rPr>
        <w:t>, se lze domnívat, že u těchto skupin se vyskytují problémy s dodržo</w:t>
      </w:r>
      <w:r w:rsidR="00E27252">
        <w:rPr>
          <w:noProof/>
        </w:rPr>
        <w:t>váním kvality služeb. Nejčastě</w:t>
      </w:r>
      <w:r w:rsidRPr="00896DC7">
        <w:rPr>
          <w:noProof/>
        </w:rPr>
        <w:t>ji se v ro</w:t>
      </w:r>
      <w:r w:rsidR="003A6341">
        <w:rPr>
          <w:noProof/>
        </w:rPr>
        <w:t>ce 2016 vysoký podíl nevyhovujících</w:t>
      </w:r>
      <w:r w:rsidR="00B26631">
        <w:rPr>
          <w:noProof/>
        </w:rPr>
        <w:t xml:space="preserve"> </w:t>
      </w:r>
      <w:r w:rsidR="003A6341">
        <w:rPr>
          <w:noProof/>
        </w:rPr>
        <w:t>vzorků vyskytoval</w:t>
      </w:r>
      <w:r w:rsidRPr="00896DC7">
        <w:rPr>
          <w:noProof/>
        </w:rPr>
        <w:t xml:space="preserve"> </w:t>
      </w:r>
      <w:r w:rsidR="003A6341">
        <w:rPr>
          <w:noProof/>
        </w:rPr>
        <w:t>u provozovatelů z VIII. skupiny</w:t>
      </w:r>
      <w:r w:rsidRPr="00896DC7">
        <w:rPr>
          <w:noProof/>
        </w:rPr>
        <w:t xml:space="preserve"> zásobujících </w:t>
      </w:r>
      <w:r w:rsidR="003A6341">
        <w:rPr>
          <w:noProof/>
        </w:rPr>
        <w:t>méně než</w:t>
      </w:r>
      <w:r w:rsidRPr="00896DC7">
        <w:rPr>
          <w:noProof/>
        </w:rPr>
        <w:t xml:space="preserve"> 300 obyvatel. </w:t>
      </w:r>
    </w:p>
    <w:p w14:paraId="10E4D9B0" w14:textId="37ABEB3A" w:rsidR="00B34CEE" w:rsidRPr="00896DC7" w:rsidRDefault="00B34CEE" w:rsidP="00E12CD2">
      <w:pPr>
        <w:pStyle w:val="Normlnzprva"/>
        <w:rPr>
          <w:noProof/>
        </w:rPr>
      </w:pPr>
      <w:r w:rsidRPr="00896DC7">
        <w:rPr>
          <w:noProof/>
        </w:rPr>
        <w:t xml:space="preserve">V VIII. skupině je také nejvyšší počet výskytů </w:t>
      </w:r>
      <w:r w:rsidRPr="00896DC7">
        <w:rPr>
          <w:b/>
          <w:noProof/>
        </w:rPr>
        <w:t>nulových ztrát vody</w:t>
      </w:r>
      <w:r w:rsidRPr="00896DC7">
        <w:rPr>
          <w:noProof/>
        </w:rPr>
        <w:t xml:space="preserve"> (190 výskytů; 2,26 </w:t>
      </w:r>
      <w:r w:rsidR="00E27252">
        <w:rPr>
          <w:noProof/>
        </w:rPr>
        <w:t>mil. m</w:t>
      </w:r>
      <w:r w:rsidR="00E27252" w:rsidRPr="00E27252">
        <w:rPr>
          <w:noProof/>
          <w:vertAlign w:val="superscript"/>
        </w:rPr>
        <w:t>3</w:t>
      </w:r>
      <w:r w:rsidRPr="00896DC7">
        <w:rPr>
          <w:noProof/>
        </w:rPr>
        <w:t xml:space="preserve"> fakturované pitné vody</w:t>
      </w:r>
      <w:r w:rsidR="00961B0F" w:rsidRPr="00896DC7">
        <w:rPr>
          <w:noProof/>
        </w:rPr>
        <w:t>)</w:t>
      </w:r>
      <w:r w:rsidRPr="00896DC7">
        <w:rPr>
          <w:noProof/>
        </w:rPr>
        <w:t>. Tato anomálie se vyskytuje i u dalších dvou skupin a má přímý vliv na vypovídací schopnost ukazatele</w:t>
      </w:r>
      <w:r w:rsidRPr="00896DC7">
        <w:rPr>
          <w:b/>
          <w:noProof/>
        </w:rPr>
        <w:t xml:space="preserve"> vysokých ztrát vody </w:t>
      </w:r>
      <w:r w:rsidRPr="00896DC7">
        <w:rPr>
          <w:noProof/>
        </w:rPr>
        <w:t xml:space="preserve">(hodnota více než 1,5 násobek mediánu skupiny z Porovnání, které vykazují ztráty vody nad 4 </w:t>
      </w:r>
      <w:r w:rsidR="00E27252">
        <w:rPr>
          <w:noProof/>
        </w:rPr>
        <w:t xml:space="preserve"> m</w:t>
      </w:r>
      <w:r w:rsidR="00E27252" w:rsidRPr="00E27252">
        <w:rPr>
          <w:noProof/>
          <w:vertAlign w:val="superscript"/>
        </w:rPr>
        <w:t>3</w:t>
      </w:r>
      <w:r w:rsidRPr="00896DC7">
        <w:rPr>
          <w:noProof/>
        </w:rPr>
        <w:t>/km/den</w:t>
      </w:r>
      <w:r w:rsidR="00961B0F" w:rsidRPr="00896DC7">
        <w:rPr>
          <w:noProof/>
        </w:rPr>
        <w:t>)</w:t>
      </w:r>
      <w:r w:rsidRPr="00896DC7">
        <w:rPr>
          <w:noProof/>
        </w:rPr>
        <w:t>.</w:t>
      </w:r>
      <w:r w:rsidR="00961B0F" w:rsidRPr="00896DC7">
        <w:rPr>
          <w:noProof/>
        </w:rPr>
        <w:t xml:space="preserve"> Vysoké ztráty vody </w:t>
      </w:r>
      <w:r w:rsidR="003A6341">
        <w:rPr>
          <w:noProof/>
        </w:rPr>
        <w:t>podle objemu fakturov</w:t>
      </w:r>
      <w:r w:rsidR="00E27252">
        <w:rPr>
          <w:noProof/>
        </w:rPr>
        <w:t>a</w:t>
      </w:r>
      <w:r w:rsidR="003A6341">
        <w:rPr>
          <w:noProof/>
        </w:rPr>
        <w:t>né vody nejvíce zasáhly</w:t>
      </w:r>
      <w:r w:rsidR="00896DC7" w:rsidRPr="00896DC7">
        <w:rPr>
          <w:noProof/>
        </w:rPr>
        <w:t xml:space="preserve"> </w:t>
      </w:r>
      <w:r w:rsidR="003A6341">
        <w:rPr>
          <w:noProof/>
        </w:rPr>
        <w:t xml:space="preserve">Porovnání </w:t>
      </w:r>
      <w:r w:rsidRPr="00896DC7">
        <w:rPr>
          <w:noProof/>
        </w:rPr>
        <w:t>VI. skupin</w:t>
      </w:r>
      <w:r w:rsidR="00896DC7" w:rsidRPr="00896DC7">
        <w:rPr>
          <w:noProof/>
        </w:rPr>
        <w:t>y</w:t>
      </w:r>
      <w:r w:rsidRPr="00896DC7">
        <w:rPr>
          <w:noProof/>
        </w:rPr>
        <w:t xml:space="preserve"> (2,49 </w:t>
      </w:r>
      <w:r w:rsidR="00E27252">
        <w:rPr>
          <w:noProof/>
        </w:rPr>
        <w:t>mil. m</w:t>
      </w:r>
      <w:r w:rsidR="00E27252" w:rsidRPr="00E27252">
        <w:rPr>
          <w:noProof/>
          <w:vertAlign w:val="superscript"/>
        </w:rPr>
        <w:t>3</w:t>
      </w:r>
      <w:r w:rsidRPr="00896DC7">
        <w:rPr>
          <w:noProof/>
        </w:rPr>
        <w:t>; 7,35% podíl z vody f</w:t>
      </w:r>
      <w:r w:rsidR="003A6341">
        <w:rPr>
          <w:noProof/>
        </w:rPr>
        <w:t>akturované ve skupině).</w:t>
      </w:r>
      <w:r w:rsidR="00B26631">
        <w:rPr>
          <w:noProof/>
        </w:rPr>
        <w:t xml:space="preserve"> </w:t>
      </w:r>
      <w:r w:rsidR="003A6341">
        <w:rPr>
          <w:noProof/>
        </w:rPr>
        <w:t>Uvedená fakta</w:t>
      </w:r>
      <w:r w:rsidRPr="00896DC7">
        <w:rPr>
          <w:noProof/>
        </w:rPr>
        <w:t xml:space="preserve"> upozorňují na skutečnost, že v těchto skupi</w:t>
      </w:r>
      <w:r w:rsidR="003A6341">
        <w:rPr>
          <w:noProof/>
        </w:rPr>
        <w:t>nách působí provozovatelé, kteří</w:t>
      </w:r>
      <w:r w:rsidRPr="00896DC7">
        <w:rPr>
          <w:noProof/>
        </w:rPr>
        <w:t xml:space="preserve"> se nedostatečně věnují syste</w:t>
      </w:r>
      <w:r w:rsidR="003A6341">
        <w:rPr>
          <w:noProof/>
        </w:rPr>
        <w:t>matické technické péči</w:t>
      </w:r>
      <w:r w:rsidRPr="00896DC7">
        <w:rPr>
          <w:noProof/>
        </w:rPr>
        <w:t xml:space="preserve"> o provozovaný VIM. </w:t>
      </w:r>
    </w:p>
    <w:p w14:paraId="367FF9CC" w14:textId="77777777" w:rsidR="00B34CEE" w:rsidRPr="00896DC7" w:rsidRDefault="00B34CEE" w:rsidP="00E12CD2">
      <w:pPr>
        <w:pStyle w:val="Normlnzprva"/>
        <w:rPr>
          <w:noProof/>
        </w:rPr>
      </w:pPr>
      <w:r w:rsidRPr="00896DC7">
        <w:rPr>
          <w:noProof/>
        </w:rPr>
        <w:t xml:space="preserve"> </w:t>
      </w:r>
    </w:p>
    <w:p w14:paraId="669EDE2D" w14:textId="77777777" w:rsidR="004501A7" w:rsidRPr="00896DC7" w:rsidRDefault="00B34CEE" w:rsidP="00E27252">
      <w:pPr>
        <w:pStyle w:val="Normlnzprva"/>
        <w:rPr>
          <w:noProof/>
        </w:rPr>
      </w:pPr>
      <w:r w:rsidRPr="00896DC7">
        <w:rPr>
          <w:noProof/>
        </w:rPr>
        <w:t>Pro ucelení přehledu dále uvádíme graf znázorňující situaci v rámci jednotlivých skupin.</w:t>
      </w:r>
    </w:p>
    <w:p w14:paraId="77BE40BB" w14:textId="77777777" w:rsidR="00CF6D59" w:rsidRPr="00C62639" w:rsidRDefault="00B33997">
      <w:pPr>
        <w:spacing w:before="0" w:after="200" w:line="276" w:lineRule="auto"/>
        <w:contextualSpacing w:val="0"/>
        <w:jc w:val="left"/>
        <w:rPr>
          <w:rFonts w:asciiTheme="minorHAnsi" w:hAnsiTheme="minorHAnsi"/>
          <w:noProof/>
        </w:rPr>
      </w:pPr>
      <w:r w:rsidRPr="00C62639">
        <w:rPr>
          <w:rFonts w:asciiTheme="minorHAnsi" w:hAnsiTheme="minorHAnsi"/>
          <w:noProof/>
          <w:lang w:eastAsia="cs-CZ"/>
        </w:rPr>
        <w:lastRenderedPageBreak/>
        <w:drawing>
          <wp:anchor distT="0" distB="0" distL="114300" distR="114300" simplePos="0" relativeHeight="251661824" behindDoc="0" locked="0" layoutInCell="1" allowOverlap="1" wp14:anchorId="0B4D08C8" wp14:editId="3BE3A893">
            <wp:simplePos x="0" y="0"/>
            <wp:positionH relativeFrom="column">
              <wp:posOffset>-258717</wp:posOffset>
            </wp:positionH>
            <wp:positionV relativeFrom="paragraph">
              <wp:posOffset>180340</wp:posOffset>
            </wp:positionV>
            <wp:extent cx="6365174" cy="8490585"/>
            <wp:effectExtent l="0" t="0" r="0" b="5715"/>
            <wp:wrapTopAndBottom/>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Pr="00C62639">
        <w:rPr>
          <w:rFonts w:asciiTheme="minorHAnsi" w:hAnsiTheme="minorHAnsi"/>
          <w:noProof/>
        </w:rPr>
        <w:t xml:space="preserve"> </w:t>
      </w:r>
      <w:r w:rsidR="00CF6D59" w:rsidRPr="00C62639">
        <w:rPr>
          <w:rFonts w:asciiTheme="minorHAnsi" w:hAnsiTheme="minorHAnsi"/>
          <w:noProof/>
        </w:rPr>
        <w:br w:type="page"/>
      </w:r>
    </w:p>
    <w:p w14:paraId="58C644B6" w14:textId="1179FC80" w:rsidR="00FB78FA" w:rsidRPr="00152198" w:rsidRDefault="006E24D8" w:rsidP="006E24D8">
      <w:pPr>
        <w:pStyle w:val="Nadpis3"/>
        <w:rPr>
          <w:rFonts w:asciiTheme="minorHAnsi" w:hAnsiTheme="minorHAnsi"/>
          <w:bCs/>
          <w:noProof/>
        </w:rPr>
      </w:pPr>
      <w:bookmarkStart w:id="49" w:name="_Toc505684433"/>
      <w:r w:rsidRPr="00152198">
        <w:rPr>
          <w:rFonts w:asciiTheme="minorHAnsi" w:hAnsiTheme="minorHAnsi"/>
          <w:bCs/>
          <w:noProof/>
        </w:rPr>
        <w:lastRenderedPageBreak/>
        <w:t>Porovnání optimálních hodnot sledovaných ukazatelů jednotlivých skupin provozovatelských subjektů</w:t>
      </w:r>
      <w:r w:rsidR="004B4141">
        <w:rPr>
          <w:rFonts w:asciiTheme="minorHAnsi" w:hAnsiTheme="minorHAnsi"/>
          <w:bCs/>
          <w:noProof/>
        </w:rPr>
        <w:t xml:space="preserve"> - vodovod</w:t>
      </w:r>
      <w:bookmarkEnd w:id="49"/>
    </w:p>
    <w:p w14:paraId="4946E0D8" w14:textId="13EF4AE2" w:rsidR="00472A24" w:rsidRPr="00C62639" w:rsidRDefault="00472A24" w:rsidP="003A6341">
      <w:pPr>
        <w:pStyle w:val="Normlnzprva"/>
      </w:pPr>
      <w:r w:rsidRPr="00C62639">
        <w:t>V </w:t>
      </w:r>
      <w:r w:rsidR="00B71E5E">
        <w:t>následující tabulce jsou uvedeny</w:t>
      </w:r>
      <w:r w:rsidRPr="00C62639">
        <w:t xml:space="preserve"> optimální hodnoty </w:t>
      </w:r>
      <w:r w:rsidR="00B71E5E">
        <w:t>vybraných</w:t>
      </w:r>
      <w:r w:rsidRPr="00C62639">
        <w:t xml:space="preserve"> ukazatelů definovaného optimálního provozovatele v každé skupině.</w:t>
      </w:r>
      <w:r w:rsidR="00B26631">
        <w:t xml:space="preserve"> </w:t>
      </w:r>
      <w:r w:rsidRPr="00C62639">
        <w:t>Při jejich výpočtu se postupovalo v souladu s platnou metodikou a postupy uvedenými v bodě 3.4 a 3.5</w:t>
      </w:r>
      <w:r w:rsidR="003A6341">
        <w:t>.</w:t>
      </w:r>
    </w:p>
    <w:p w14:paraId="3F2C996F" w14:textId="77777777" w:rsidR="00472A24" w:rsidRPr="00C62639" w:rsidRDefault="00472A24" w:rsidP="003A6341">
      <w:pPr>
        <w:pStyle w:val="Normlnzprva"/>
      </w:pPr>
    </w:p>
    <w:p w14:paraId="2D06FE6F" w14:textId="14B374B5" w:rsidR="00472A24" w:rsidRPr="00C62639" w:rsidRDefault="00472A24" w:rsidP="003A6341">
      <w:pPr>
        <w:pStyle w:val="Normlnzprva"/>
      </w:pPr>
      <w:r w:rsidRPr="00C62639">
        <w:t>Podle průměrných hodnot je možné se pokusit velice zjednodušeně specifikovat charakteristiky optimálního provozovatele pro celý obor vodovodů.</w:t>
      </w:r>
      <w:r w:rsidR="00B26631">
        <w:t xml:space="preserve"> </w:t>
      </w:r>
      <w:r w:rsidRPr="00C62639">
        <w:t>Optimální provozovatel VIM pro pitnou vodu poskytuje své služby za cenu 35,94 Kč/</w:t>
      </w:r>
      <w:r w:rsidR="00E27252">
        <w:t xml:space="preserve"> m</w:t>
      </w:r>
      <w:r w:rsidR="00E27252" w:rsidRPr="00E27252">
        <w:rPr>
          <w:vertAlign w:val="superscript"/>
        </w:rPr>
        <w:t>3</w:t>
      </w:r>
      <w:r w:rsidRPr="00C62639">
        <w:t xml:space="preserve"> </w:t>
      </w:r>
      <w:r w:rsidR="00B71E5E">
        <w:t>s jednotkovými</w:t>
      </w:r>
      <w:r w:rsidRPr="00C62639">
        <w:t xml:space="preserve"> náklad</w:t>
      </w:r>
      <w:r w:rsidR="00B71E5E">
        <w:t>y ve výši</w:t>
      </w:r>
      <w:r w:rsidRPr="00C62639">
        <w:t xml:space="preserve"> 32,84 </w:t>
      </w:r>
      <w:r w:rsidR="00CF1590" w:rsidRPr="00C62639">
        <w:t>K</w:t>
      </w:r>
      <w:r w:rsidRPr="00C62639">
        <w:t>č/</w:t>
      </w:r>
      <w:r w:rsidR="00E27252">
        <w:t xml:space="preserve"> m</w:t>
      </w:r>
      <w:r w:rsidR="00E27252" w:rsidRPr="00E27252">
        <w:rPr>
          <w:vertAlign w:val="superscript"/>
        </w:rPr>
        <w:t>3</w:t>
      </w:r>
      <w:r w:rsidRPr="00C62639">
        <w:t>. N</w:t>
      </w:r>
      <w:r w:rsidR="000F40EB" w:rsidRPr="00C62639">
        <w:t>a</w:t>
      </w:r>
      <w:r w:rsidRPr="00C62639">
        <w:t xml:space="preserve"> jednoho pracovníka společnosti připadá přibližně 1476 zásobených obyvatel a </w:t>
      </w:r>
      <w:r w:rsidR="000F40EB" w:rsidRPr="00C62639">
        <w:t>podíl ztrát vody k vodě určené k realizaci je 10,2</w:t>
      </w:r>
      <w:r w:rsidR="000448AE">
        <w:t xml:space="preserve"> </w:t>
      </w:r>
      <w:r w:rsidR="000F40EB" w:rsidRPr="00C62639">
        <w:t>%. V rámci ceny pro vodné se generují prostředky na obnovu ve výši 2,22 Kč na 1</w:t>
      </w:r>
      <w:r w:rsidR="000448AE">
        <w:t xml:space="preserve"> </w:t>
      </w:r>
      <w:r w:rsidR="000F40EB" w:rsidRPr="00C62639">
        <w:t xml:space="preserve">Kč hodnoty VIM podle VÚME. </w:t>
      </w:r>
    </w:p>
    <w:p w14:paraId="005BAA44" w14:textId="77777777" w:rsidR="005B4273" w:rsidRPr="00C62639" w:rsidRDefault="005B4273" w:rsidP="005B4273">
      <w:pPr>
        <w:rPr>
          <w:rFonts w:asciiTheme="minorHAnsi" w:hAnsiTheme="minorHAnsi"/>
          <w:noProof/>
        </w:rPr>
      </w:pPr>
    </w:p>
    <w:tbl>
      <w:tblPr>
        <w:tblW w:w="5962" w:type="pct"/>
        <w:jc w:val="center"/>
        <w:tblCellMar>
          <w:left w:w="70" w:type="dxa"/>
          <w:right w:w="70" w:type="dxa"/>
        </w:tblCellMar>
        <w:tblLook w:val="04A0" w:firstRow="1" w:lastRow="0" w:firstColumn="1" w:lastColumn="0" w:noHBand="0" w:noVBand="1"/>
      </w:tblPr>
      <w:tblGrid>
        <w:gridCol w:w="1477"/>
        <w:gridCol w:w="1017"/>
        <w:gridCol w:w="1642"/>
        <w:gridCol w:w="934"/>
        <w:gridCol w:w="1618"/>
        <w:gridCol w:w="1272"/>
        <w:gridCol w:w="1421"/>
        <w:gridCol w:w="1434"/>
      </w:tblGrid>
      <w:tr w:rsidR="00472A24" w:rsidRPr="00C62639" w14:paraId="482F652F" w14:textId="77777777" w:rsidTr="0007664A">
        <w:trPr>
          <w:trHeight w:val="1800"/>
          <w:jc w:val="center"/>
        </w:trPr>
        <w:tc>
          <w:tcPr>
            <w:tcW w:w="683" w:type="pct"/>
            <w:tcBorders>
              <w:top w:val="nil"/>
              <w:left w:val="nil"/>
              <w:bottom w:val="single" w:sz="12" w:space="0" w:color="FFFFFF"/>
              <w:right w:val="single" w:sz="4" w:space="0" w:color="FFFFFF"/>
            </w:tcBorders>
            <w:shd w:val="clear" w:color="5B9BD5" w:fill="5B9BD5"/>
            <w:vAlign w:val="center"/>
            <w:hideMark/>
          </w:tcPr>
          <w:p w14:paraId="579FA02F" w14:textId="77777777"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Ukazatel</w:t>
            </w:r>
          </w:p>
        </w:tc>
        <w:tc>
          <w:tcPr>
            <w:tcW w:w="470" w:type="pct"/>
            <w:tcBorders>
              <w:top w:val="nil"/>
              <w:left w:val="single" w:sz="4" w:space="0" w:color="FFFFFF"/>
              <w:bottom w:val="single" w:sz="12" w:space="0" w:color="FFFFFF"/>
              <w:right w:val="single" w:sz="4" w:space="0" w:color="FFFFFF"/>
            </w:tcBorders>
            <w:shd w:val="clear" w:color="5B9BD5" w:fill="5B9BD5"/>
            <w:vAlign w:val="center"/>
            <w:hideMark/>
          </w:tcPr>
          <w:p w14:paraId="21D10EBC" w14:textId="77777777"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Operační koeficient</w:t>
            </w:r>
          </w:p>
        </w:tc>
        <w:tc>
          <w:tcPr>
            <w:tcW w:w="759" w:type="pct"/>
            <w:tcBorders>
              <w:top w:val="nil"/>
              <w:left w:val="single" w:sz="4" w:space="0" w:color="FFFFFF"/>
              <w:bottom w:val="single" w:sz="12" w:space="0" w:color="FFFFFF"/>
              <w:right w:val="single" w:sz="4" w:space="0" w:color="FFFFFF"/>
            </w:tcBorders>
            <w:shd w:val="clear" w:color="5B9BD5" w:fill="5B9BD5"/>
            <w:vAlign w:val="center"/>
            <w:hideMark/>
          </w:tcPr>
          <w:p w14:paraId="6C2EF41F" w14:textId="2E12A575"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Vykázané jednotkové náklady</w:t>
            </w:r>
            <w:r w:rsidR="00B26631">
              <w:rPr>
                <w:rFonts w:asciiTheme="minorHAnsi" w:eastAsia="Times New Roman" w:hAnsiTheme="minorHAnsi"/>
                <w:b/>
                <w:bCs/>
                <w:color w:val="FFFFFF"/>
                <w:sz w:val="20"/>
                <w:lang w:eastAsia="cs-CZ"/>
              </w:rPr>
              <w:t xml:space="preserve"> </w:t>
            </w:r>
            <w:r w:rsidRPr="00C62639">
              <w:rPr>
                <w:rFonts w:asciiTheme="minorHAnsi" w:eastAsia="Times New Roman" w:hAnsiTheme="minorHAnsi"/>
                <w:b/>
                <w:bCs/>
                <w:color w:val="FFFFFF"/>
                <w:sz w:val="20"/>
                <w:lang w:eastAsia="cs-CZ"/>
              </w:rPr>
              <w:t xml:space="preserve">na 1 </w:t>
            </w:r>
            <w:r w:rsidR="00E27252">
              <w:rPr>
                <w:rFonts w:asciiTheme="minorHAnsi" w:eastAsia="Times New Roman" w:hAnsiTheme="minorHAnsi"/>
                <w:b/>
                <w:bCs/>
                <w:color w:val="FFFFFF"/>
                <w:sz w:val="20"/>
                <w:lang w:eastAsia="cs-CZ"/>
              </w:rPr>
              <w:t xml:space="preserve"> m</w:t>
            </w:r>
            <w:r w:rsidR="00E27252" w:rsidRPr="00E27252">
              <w:rPr>
                <w:rFonts w:asciiTheme="minorHAnsi" w:eastAsia="Times New Roman" w:hAnsiTheme="minorHAnsi"/>
                <w:b/>
                <w:bCs/>
                <w:color w:val="FFFFFF"/>
                <w:sz w:val="20"/>
                <w:vertAlign w:val="superscript"/>
                <w:lang w:eastAsia="cs-CZ"/>
              </w:rPr>
              <w:t>3</w:t>
            </w:r>
            <w:r w:rsidRPr="00C62639">
              <w:rPr>
                <w:rFonts w:asciiTheme="minorHAnsi" w:eastAsia="Times New Roman" w:hAnsiTheme="minorHAnsi"/>
                <w:b/>
                <w:bCs/>
                <w:color w:val="FFFFFF"/>
                <w:sz w:val="20"/>
                <w:lang w:eastAsia="cs-CZ"/>
              </w:rPr>
              <w:t xml:space="preserve"> pitné vody</w:t>
            </w:r>
          </w:p>
        </w:tc>
        <w:tc>
          <w:tcPr>
            <w:tcW w:w="432" w:type="pct"/>
            <w:tcBorders>
              <w:top w:val="nil"/>
              <w:left w:val="single" w:sz="4" w:space="0" w:color="FFFFFF"/>
              <w:bottom w:val="single" w:sz="12" w:space="0" w:color="FFFFFF"/>
              <w:right w:val="single" w:sz="4" w:space="0" w:color="FFFFFF"/>
            </w:tcBorders>
            <w:shd w:val="clear" w:color="5B9BD5" w:fill="5B9BD5"/>
            <w:vAlign w:val="center"/>
            <w:hideMark/>
          </w:tcPr>
          <w:p w14:paraId="60584172" w14:textId="77777777"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Cena pro vodné</w:t>
            </w:r>
          </w:p>
        </w:tc>
        <w:tc>
          <w:tcPr>
            <w:tcW w:w="748" w:type="pct"/>
            <w:tcBorders>
              <w:top w:val="nil"/>
              <w:left w:val="single" w:sz="4" w:space="0" w:color="FFFFFF"/>
              <w:bottom w:val="single" w:sz="12" w:space="0" w:color="FFFFFF"/>
              <w:right w:val="single" w:sz="4" w:space="0" w:color="FFFFFF"/>
            </w:tcBorders>
            <w:shd w:val="clear" w:color="5B9BD5" w:fill="5B9BD5"/>
            <w:vAlign w:val="center"/>
            <w:hideMark/>
          </w:tcPr>
          <w:p w14:paraId="34D399BE" w14:textId="77777777"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Podíl generovaných prostředků na obnovu a rozvoj k hodnotě VIM v %</w:t>
            </w:r>
          </w:p>
        </w:tc>
        <w:tc>
          <w:tcPr>
            <w:tcW w:w="588" w:type="pct"/>
            <w:tcBorders>
              <w:top w:val="nil"/>
              <w:left w:val="single" w:sz="4" w:space="0" w:color="FFFFFF"/>
              <w:bottom w:val="single" w:sz="12" w:space="0" w:color="FFFFFF"/>
              <w:right w:val="single" w:sz="4" w:space="0" w:color="FFFFFF"/>
            </w:tcBorders>
            <w:shd w:val="clear" w:color="5B9BD5" w:fill="5B9BD5"/>
            <w:vAlign w:val="center"/>
            <w:hideMark/>
          </w:tcPr>
          <w:p w14:paraId="34BDD402" w14:textId="77777777"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Podíl ztrát vody k vodě určené k realizaci (%)</w:t>
            </w:r>
          </w:p>
        </w:tc>
        <w:tc>
          <w:tcPr>
            <w:tcW w:w="657" w:type="pct"/>
            <w:tcBorders>
              <w:top w:val="nil"/>
              <w:left w:val="single" w:sz="4" w:space="0" w:color="FFFFFF"/>
              <w:bottom w:val="single" w:sz="12" w:space="0" w:color="FFFFFF"/>
              <w:right w:val="single" w:sz="4" w:space="0" w:color="FFFFFF"/>
            </w:tcBorders>
            <w:shd w:val="clear" w:color="5B9BD5" w:fill="5B9BD5"/>
            <w:vAlign w:val="center"/>
            <w:hideMark/>
          </w:tcPr>
          <w:p w14:paraId="717B1D3A" w14:textId="006F67D0"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 xml:space="preserve">Ztráty vody v </w:t>
            </w:r>
            <w:r w:rsidR="00E27252">
              <w:rPr>
                <w:rFonts w:asciiTheme="minorHAnsi" w:eastAsia="Times New Roman" w:hAnsiTheme="minorHAnsi"/>
                <w:b/>
                <w:bCs/>
                <w:color w:val="FFFFFF"/>
                <w:sz w:val="20"/>
                <w:lang w:eastAsia="cs-CZ"/>
              </w:rPr>
              <w:t xml:space="preserve"> m</w:t>
            </w:r>
            <w:r w:rsidR="00E27252" w:rsidRPr="00E27252">
              <w:rPr>
                <w:rFonts w:asciiTheme="minorHAnsi" w:eastAsia="Times New Roman" w:hAnsiTheme="minorHAnsi"/>
                <w:b/>
                <w:bCs/>
                <w:color w:val="FFFFFF"/>
                <w:sz w:val="20"/>
                <w:vertAlign w:val="superscript"/>
                <w:lang w:eastAsia="cs-CZ"/>
              </w:rPr>
              <w:t>3</w:t>
            </w:r>
            <w:r w:rsidRPr="00C62639">
              <w:rPr>
                <w:rFonts w:asciiTheme="minorHAnsi" w:eastAsia="Times New Roman" w:hAnsiTheme="minorHAnsi"/>
                <w:b/>
                <w:bCs/>
                <w:color w:val="FFFFFF"/>
                <w:sz w:val="20"/>
                <w:lang w:eastAsia="cs-CZ"/>
              </w:rPr>
              <w:t xml:space="preserve"> na km přepočtené délky za den</w:t>
            </w:r>
          </w:p>
        </w:tc>
        <w:tc>
          <w:tcPr>
            <w:tcW w:w="663" w:type="pct"/>
            <w:tcBorders>
              <w:top w:val="nil"/>
              <w:left w:val="single" w:sz="4" w:space="0" w:color="FFFFFF"/>
              <w:bottom w:val="single" w:sz="12" w:space="0" w:color="FFFFFF"/>
              <w:right w:val="nil"/>
            </w:tcBorders>
            <w:shd w:val="clear" w:color="5B9BD5" w:fill="5B9BD5"/>
            <w:vAlign w:val="center"/>
            <w:hideMark/>
          </w:tcPr>
          <w:p w14:paraId="1B1D255F" w14:textId="77777777" w:rsidR="007E6A2D" w:rsidRPr="00C62639" w:rsidRDefault="007E6A2D"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Počet zásobených obyvatel na 1 pracovníka</w:t>
            </w:r>
          </w:p>
        </w:tc>
      </w:tr>
      <w:tr w:rsidR="00472A24" w:rsidRPr="00C62639" w14:paraId="12D10CBA" w14:textId="77777777" w:rsidTr="0007664A">
        <w:trPr>
          <w:trHeight w:val="312"/>
          <w:jc w:val="center"/>
        </w:trPr>
        <w:tc>
          <w:tcPr>
            <w:tcW w:w="683" w:type="pct"/>
            <w:tcBorders>
              <w:top w:val="single" w:sz="4" w:space="0" w:color="FFFFFF"/>
              <w:left w:val="nil"/>
              <w:bottom w:val="single" w:sz="4" w:space="0" w:color="FFFFFF"/>
              <w:right w:val="single" w:sz="4" w:space="0" w:color="FFFFFF"/>
            </w:tcBorders>
            <w:shd w:val="clear" w:color="BDD7EE" w:fill="BDD7EE"/>
            <w:noWrap/>
            <w:vAlign w:val="bottom"/>
            <w:hideMark/>
          </w:tcPr>
          <w:p w14:paraId="5D499457"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Skupina I.</w:t>
            </w:r>
          </w:p>
        </w:tc>
        <w:tc>
          <w:tcPr>
            <w:tcW w:w="470" w:type="pct"/>
            <w:tcBorders>
              <w:top w:val="single" w:sz="4" w:space="0" w:color="FFFFFF"/>
              <w:left w:val="nil"/>
              <w:bottom w:val="single" w:sz="4" w:space="0" w:color="FFFFFF"/>
              <w:right w:val="single" w:sz="4" w:space="0" w:color="FFFFFF"/>
            </w:tcBorders>
            <w:shd w:val="clear" w:color="BDD7EE" w:fill="BDD7EE"/>
            <w:noWrap/>
            <w:vAlign w:val="center"/>
            <w:hideMark/>
          </w:tcPr>
          <w:p w14:paraId="6ACCA665"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1,20</w:t>
            </w:r>
          </w:p>
        </w:tc>
        <w:tc>
          <w:tcPr>
            <w:tcW w:w="759" w:type="pct"/>
            <w:tcBorders>
              <w:top w:val="single" w:sz="4" w:space="0" w:color="FFFFFF"/>
              <w:left w:val="nil"/>
              <w:bottom w:val="single" w:sz="4" w:space="0" w:color="FFFFFF"/>
              <w:right w:val="single" w:sz="4" w:space="0" w:color="FFFFFF"/>
            </w:tcBorders>
            <w:shd w:val="clear" w:color="BDD7EE" w:fill="BDD7EE"/>
            <w:noWrap/>
            <w:vAlign w:val="center"/>
            <w:hideMark/>
          </w:tcPr>
          <w:p w14:paraId="481853E5"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33,51</w:t>
            </w:r>
          </w:p>
        </w:tc>
        <w:tc>
          <w:tcPr>
            <w:tcW w:w="432" w:type="pct"/>
            <w:tcBorders>
              <w:top w:val="single" w:sz="4" w:space="0" w:color="FFFFFF"/>
              <w:left w:val="nil"/>
              <w:bottom w:val="single" w:sz="4" w:space="0" w:color="FFFFFF"/>
              <w:right w:val="single" w:sz="4" w:space="0" w:color="FFFFFF"/>
            </w:tcBorders>
            <w:shd w:val="clear" w:color="BDD7EE" w:fill="BDD7EE"/>
            <w:noWrap/>
            <w:vAlign w:val="center"/>
            <w:hideMark/>
          </w:tcPr>
          <w:p w14:paraId="685764E9"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39,56</w:t>
            </w:r>
          </w:p>
        </w:tc>
        <w:tc>
          <w:tcPr>
            <w:tcW w:w="748" w:type="pct"/>
            <w:tcBorders>
              <w:top w:val="single" w:sz="4" w:space="0" w:color="FFFFFF"/>
              <w:left w:val="nil"/>
              <w:bottom w:val="single" w:sz="4" w:space="0" w:color="FFFFFF"/>
              <w:right w:val="single" w:sz="4" w:space="0" w:color="FFFFFF"/>
            </w:tcBorders>
            <w:shd w:val="clear" w:color="BDD7EE" w:fill="BDD7EE"/>
            <w:noWrap/>
            <w:vAlign w:val="center"/>
            <w:hideMark/>
          </w:tcPr>
          <w:p w14:paraId="7BC72DFC"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2,50</w:t>
            </w:r>
          </w:p>
        </w:tc>
        <w:tc>
          <w:tcPr>
            <w:tcW w:w="588" w:type="pct"/>
            <w:tcBorders>
              <w:top w:val="single" w:sz="4" w:space="0" w:color="FFFFFF"/>
              <w:left w:val="nil"/>
              <w:bottom w:val="single" w:sz="4" w:space="0" w:color="FFFFFF"/>
              <w:right w:val="single" w:sz="4" w:space="0" w:color="FFFFFF"/>
            </w:tcBorders>
            <w:shd w:val="clear" w:color="BDD7EE" w:fill="BDD7EE"/>
            <w:noWrap/>
            <w:vAlign w:val="center"/>
            <w:hideMark/>
          </w:tcPr>
          <w:p w14:paraId="233C199B"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17,23</w:t>
            </w:r>
          </w:p>
        </w:tc>
        <w:tc>
          <w:tcPr>
            <w:tcW w:w="657" w:type="pct"/>
            <w:tcBorders>
              <w:top w:val="single" w:sz="4" w:space="0" w:color="FFFFFF"/>
              <w:left w:val="nil"/>
              <w:bottom w:val="single" w:sz="4" w:space="0" w:color="FFFFFF"/>
              <w:right w:val="single" w:sz="4" w:space="0" w:color="FFFFFF"/>
            </w:tcBorders>
            <w:shd w:val="clear" w:color="BDD7EE" w:fill="BDD7EE"/>
            <w:noWrap/>
            <w:vAlign w:val="center"/>
            <w:hideMark/>
          </w:tcPr>
          <w:p w14:paraId="53AF08ED"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5,39</w:t>
            </w:r>
          </w:p>
        </w:tc>
        <w:tc>
          <w:tcPr>
            <w:tcW w:w="663" w:type="pct"/>
            <w:tcBorders>
              <w:top w:val="single" w:sz="4" w:space="0" w:color="FFFFFF"/>
              <w:left w:val="nil"/>
              <w:bottom w:val="single" w:sz="4" w:space="0" w:color="FFFFFF"/>
              <w:right w:val="nil"/>
            </w:tcBorders>
            <w:shd w:val="clear" w:color="BDD7EE" w:fill="BDD7EE"/>
            <w:noWrap/>
            <w:vAlign w:val="center"/>
            <w:hideMark/>
          </w:tcPr>
          <w:p w14:paraId="7CF66015"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1 890,29</w:t>
            </w:r>
          </w:p>
        </w:tc>
      </w:tr>
      <w:tr w:rsidR="00472A24" w:rsidRPr="00C62639" w14:paraId="780F87AC" w14:textId="77777777" w:rsidTr="0007664A">
        <w:trPr>
          <w:trHeight w:val="297"/>
          <w:jc w:val="center"/>
        </w:trPr>
        <w:tc>
          <w:tcPr>
            <w:tcW w:w="683" w:type="pct"/>
            <w:tcBorders>
              <w:top w:val="nil"/>
              <w:left w:val="nil"/>
              <w:bottom w:val="single" w:sz="4" w:space="0" w:color="FFFFFF"/>
              <w:right w:val="single" w:sz="4" w:space="0" w:color="FFFFFF"/>
            </w:tcBorders>
            <w:shd w:val="clear" w:color="DDEBF7" w:fill="DDEBF7"/>
            <w:noWrap/>
            <w:vAlign w:val="bottom"/>
            <w:hideMark/>
          </w:tcPr>
          <w:p w14:paraId="78E20239"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Skupina II.</w:t>
            </w:r>
          </w:p>
        </w:tc>
        <w:tc>
          <w:tcPr>
            <w:tcW w:w="470" w:type="pct"/>
            <w:tcBorders>
              <w:top w:val="nil"/>
              <w:left w:val="nil"/>
              <w:bottom w:val="single" w:sz="4" w:space="0" w:color="FFFFFF"/>
              <w:right w:val="single" w:sz="4" w:space="0" w:color="FFFFFF"/>
            </w:tcBorders>
            <w:shd w:val="clear" w:color="DDEBF7" w:fill="DDEBF7"/>
            <w:noWrap/>
            <w:vAlign w:val="center"/>
            <w:hideMark/>
          </w:tcPr>
          <w:p w14:paraId="117C4FED"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1,10</w:t>
            </w:r>
          </w:p>
        </w:tc>
        <w:tc>
          <w:tcPr>
            <w:tcW w:w="759" w:type="pct"/>
            <w:tcBorders>
              <w:top w:val="nil"/>
              <w:left w:val="nil"/>
              <w:bottom w:val="single" w:sz="4" w:space="0" w:color="FFFFFF"/>
              <w:right w:val="single" w:sz="4" w:space="0" w:color="FFFFFF"/>
            </w:tcBorders>
            <w:shd w:val="clear" w:color="DDEBF7" w:fill="DDEBF7"/>
            <w:noWrap/>
            <w:vAlign w:val="center"/>
            <w:hideMark/>
          </w:tcPr>
          <w:p w14:paraId="6912FD74"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33,65</w:t>
            </w:r>
          </w:p>
        </w:tc>
        <w:tc>
          <w:tcPr>
            <w:tcW w:w="432" w:type="pct"/>
            <w:tcBorders>
              <w:top w:val="nil"/>
              <w:left w:val="nil"/>
              <w:bottom w:val="single" w:sz="4" w:space="0" w:color="FFFFFF"/>
              <w:right w:val="single" w:sz="4" w:space="0" w:color="FFFFFF"/>
            </w:tcBorders>
            <w:shd w:val="clear" w:color="DDEBF7" w:fill="DDEBF7"/>
            <w:noWrap/>
            <w:vAlign w:val="center"/>
            <w:hideMark/>
          </w:tcPr>
          <w:p w14:paraId="18923A7D"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36,89</w:t>
            </w:r>
          </w:p>
        </w:tc>
        <w:tc>
          <w:tcPr>
            <w:tcW w:w="748" w:type="pct"/>
            <w:tcBorders>
              <w:top w:val="nil"/>
              <w:left w:val="nil"/>
              <w:bottom w:val="single" w:sz="4" w:space="0" w:color="FFFFFF"/>
              <w:right w:val="single" w:sz="4" w:space="0" w:color="FFFFFF"/>
            </w:tcBorders>
            <w:shd w:val="clear" w:color="DDEBF7" w:fill="DDEBF7"/>
            <w:noWrap/>
            <w:vAlign w:val="center"/>
            <w:hideMark/>
          </w:tcPr>
          <w:p w14:paraId="3CDA7DBD"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3,19</w:t>
            </w:r>
          </w:p>
        </w:tc>
        <w:tc>
          <w:tcPr>
            <w:tcW w:w="588" w:type="pct"/>
            <w:tcBorders>
              <w:top w:val="nil"/>
              <w:left w:val="nil"/>
              <w:bottom w:val="single" w:sz="4" w:space="0" w:color="FFFFFF"/>
              <w:right w:val="single" w:sz="4" w:space="0" w:color="FFFFFF"/>
            </w:tcBorders>
            <w:shd w:val="clear" w:color="DDEBF7" w:fill="DDEBF7"/>
            <w:noWrap/>
            <w:vAlign w:val="center"/>
            <w:hideMark/>
          </w:tcPr>
          <w:p w14:paraId="25169B92"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12,10</w:t>
            </w:r>
          </w:p>
        </w:tc>
        <w:tc>
          <w:tcPr>
            <w:tcW w:w="657" w:type="pct"/>
            <w:tcBorders>
              <w:top w:val="nil"/>
              <w:left w:val="nil"/>
              <w:bottom w:val="single" w:sz="4" w:space="0" w:color="FFFFFF"/>
              <w:right w:val="single" w:sz="4" w:space="0" w:color="FFFFFF"/>
            </w:tcBorders>
            <w:shd w:val="clear" w:color="DDEBF7" w:fill="DDEBF7"/>
            <w:noWrap/>
            <w:vAlign w:val="center"/>
            <w:hideMark/>
          </w:tcPr>
          <w:p w14:paraId="6F5AF6B2"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5,14</w:t>
            </w:r>
          </w:p>
        </w:tc>
        <w:tc>
          <w:tcPr>
            <w:tcW w:w="663" w:type="pct"/>
            <w:tcBorders>
              <w:top w:val="nil"/>
              <w:left w:val="nil"/>
              <w:bottom w:val="single" w:sz="4" w:space="0" w:color="FFFFFF"/>
              <w:right w:val="nil"/>
            </w:tcBorders>
            <w:shd w:val="clear" w:color="DDEBF7" w:fill="DDEBF7"/>
            <w:noWrap/>
            <w:vAlign w:val="center"/>
            <w:hideMark/>
          </w:tcPr>
          <w:p w14:paraId="0FB6EF85"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1 687,68</w:t>
            </w:r>
          </w:p>
        </w:tc>
      </w:tr>
      <w:tr w:rsidR="00472A24" w:rsidRPr="00C62639" w14:paraId="2D788573" w14:textId="77777777" w:rsidTr="0007664A">
        <w:trPr>
          <w:trHeight w:val="297"/>
          <w:jc w:val="center"/>
        </w:trPr>
        <w:tc>
          <w:tcPr>
            <w:tcW w:w="683" w:type="pct"/>
            <w:tcBorders>
              <w:top w:val="nil"/>
              <w:left w:val="nil"/>
              <w:bottom w:val="single" w:sz="4" w:space="0" w:color="FFFFFF"/>
              <w:right w:val="single" w:sz="4" w:space="0" w:color="FFFFFF"/>
            </w:tcBorders>
            <w:shd w:val="clear" w:color="BDD7EE" w:fill="BDD7EE"/>
            <w:noWrap/>
            <w:vAlign w:val="bottom"/>
            <w:hideMark/>
          </w:tcPr>
          <w:p w14:paraId="06D4C0D5"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Skupina III.</w:t>
            </w:r>
          </w:p>
        </w:tc>
        <w:tc>
          <w:tcPr>
            <w:tcW w:w="470" w:type="pct"/>
            <w:tcBorders>
              <w:top w:val="nil"/>
              <w:left w:val="nil"/>
              <w:bottom w:val="single" w:sz="4" w:space="0" w:color="FFFFFF"/>
              <w:right w:val="single" w:sz="4" w:space="0" w:color="FFFFFF"/>
            </w:tcBorders>
            <w:shd w:val="clear" w:color="BDD7EE" w:fill="BDD7EE"/>
            <w:noWrap/>
            <w:vAlign w:val="center"/>
            <w:hideMark/>
          </w:tcPr>
          <w:p w14:paraId="2AF65BDC"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1,04</w:t>
            </w:r>
          </w:p>
        </w:tc>
        <w:tc>
          <w:tcPr>
            <w:tcW w:w="759" w:type="pct"/>
            <w:tcBorders>
              <w:top w:val="nil"/>
              <w:left w:val="nil"/>
              <w:bottom w:val="single" w:sz="4" w:space="0" w:color="FFFFFF"/>
              <w:right w:val="single" w:sz="4" w:space="0" w:color="FFFFFF"/>
            </w:tcBorders>
            <w:shd w:val="clear" w:color="BDD7EE" w:fill="BDD7EE"/>
            <w:noWrap/>
            <w:vAlign w:val="center"/>
            <w:hideMark/>
          </w:tcPr>
          <w:p w14:paraId="482ECE67"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35,08</w:t>
            </w:r>
          </w:p>
        </w:tc>
        <w:tc>
          <w:tcPr>
            <w:tcW w:w="432" w:type="pct"/>
            <w:tcBorders>
              <w:top w:val="nil"/>
              <w:left w:val="nil"/>
              <w:bottom w:val="single" w:sz="4" w:space="0" w:color="FFFFFF"/>
              <w:right w:val="single" w:sz="4" w:space="0" w:color="FFFFFF"/>
            </w:tcBorders>
            <w:shd w:val="clear" w:color="BDD7EE" w:fill="BDD7EE"/>
            <w:noWrap/>
            <w:vAlign w:val="center"/>
            <w:hideMark/>
          </w:tcPr>
          <w:p w14:paraId="46B12A32"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36,81</w:t>
            </w:r>
          </w:p>
        </w:tc>
        <w:tc>
          <w:tcPr>
            <w:tcW w:w="748" w:type="pct"/>
            <w:tcBorders>
              <w:top w:val="nil"/>
              <w:left w:val="nil"/>
              <w:bottom w:val="single" w:sz="4" w:space="0" w:color="FFFFFF"/>
              <w:right w:val="single" w:sz="4" w:space="0" w:color="FFFFFF"/>
            </w:tcBorders>
            <w:shd w:val="clear" w:color="BDD7EE" w:fill="BDD7EE"/>
            <w:noWrap/>
            <w:vAlign w:val="center"/>
            <w:hideMark/>
          </w:tcPr>
          <w:p w14:paraId="15ACA5C5"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2,25</w:t>
            </w:r>
          </w:p>
        </w:tc>
        <w:tc>
          <w:tcPr>
            <w:tcW w:w="588" w:type="pct"/>
            <w:tcBorders>
              <w:top w:val="nil"/>
              <w:left w:val="nil"/>
              <w:bottom w:val="single" w:sz="4" w:space="0" w:color="FFFFFF"/>
              <w:right w:val="single" w:sz="4" w:space="0" w:color="FFFFFF"/>
            </w:tcBorders>
            <w:shd w:val="clear" w:color="BDD7EE" w:fill="BDD7EE"/>
            <w:noWrap/>
            <w:vAlign w:val="center"/>
            <w:hideMark/>
          </w:tcPr>
          <w:p w14:paraId="1B6035BC"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8,39</w:t>
            </w:r>
          </w:p>
        </w:tc>
        <w:tc>
          <w:tcPr>
            <w:tcW w:w="657" w:type="pct"/>
            <w:tcBorders>
              <w:top w:val="nil"/>
              <w:left w:val="nil"/>
              <w:bottom w:val="single" w:sz="4" w:space="0" w:color="FFFFFF"/>
              <w:right w:val="single" w:sz="4" w:space="0" w:color="FFFFFF"/>
            </w:tcBorders>
            <w:shd w:val="clear" w:color="BDD7EE" w:fill="BDD7EE"/>
            <w:noWrap/>
            <w:vAlign w:val="center"/>
            <w:hideMark/>
          </w:tcPr>
          <w:p w14:paraId="54FA257E"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2,66</w:t>
            </w:r>
          </w:p>
        </w:tc>
        <w:tc>
          <w:tcPr>
            <w:tcW w:w="663" w:type="pct"/>
            <w:tcBorders>
              <w:top w:val="nil"/>
              <w:left w:val="nil"/>
              <w:bottom w:val="single" w:sz="4" w:space="0" w:color="FFFFFF"/>
              <w:right w:val="nil"/>
            </w:tcBorders>
            <w:shd w:val="clear" w:color="BDD7EE" w:fill="BDD7EE"/>
            <w:noWrap/>
            <w:vAlign w:val="center"/>
            <w:hideMark/>
          </w:tcPr>
          <w:p w14:paraId="1B7D3575"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1 282,23</w:t>
            </w:r>
          </w:p>
        </w:tc>
      </w:tr>
      <w:tr w:rsidR="00472A24" w:rsidRPr="00C62639" w14:paraId="3E36A4F5" w14:textId="77777777" w:rsidTr="0007664A">
        <w:trPr>
          <w:trHeight w:val="297"/>
          <w:jc w:val="center"/>
        </w:trPr>
        <w:tc>
          <w:tcPr>
            <w:tcW w:w="683" w:type="pct"/>
            <w:tcBorders>
              <w:top w:val="nil"/>
              <w:left w:val="nil"/>
              <w:bottom w:val="single" w:sz="4" w:space="0" w:color="FFFFFF"/>
              <w:right w:val="single" w:sz="4" w:space="0" w:color="FFFFFF"/>
            </w:tcBorders>
            <w:shd w:val="clear" w:color="DDEBF7" w:fill="DDEBF7"/>
            <w:noWrap/>
            <w:vAlign w:val="bottom"/>
            <w:hideMark/>
          </w:tcPr>
          <w:p w14:paraId="03A44C3F"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Skupina IV.</w:t>
            </w:r>
          </w:p>
        </w:tc>
        <w:tc>
          <w:tcPr>
            <w:tcW w:w="470" w:type="pct"/>
            <w:tcBorders>
              <w:top w:val="nil"/>
              <w:left w:val="nil"/>
              <w:bottom w:val="single" w:sz="4" w:space="0" w:color="FFFFFF"/>
              <w:right w:val="single" w:sz="4" w:space="0" w:color="FFFFFF"/>
            </w:tcBorders>
            <w:shd w:val="clear" w:color="DDEBF7" w:fill="DDEBF7"/>
            <w:noWrap/>
            <w:vAlign w:val="center"/>
            <w:hideMark/>
          </w:tcPr>
          <w:p w14:paraId="510DBA98"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1,06</w:t>
            </w:r>
          </w:p>
        </w:tc>
        <w:tc>
          <w:tcPr>
            <w:tcW w:w="759" w:type="pct"/>
            <w:tcBorders>
              <w:top w:val="nil"/>
              <w:left w:val="nil"/>
              <w:bottom w:val="single" w:sz="4" w:space="0" w:color="FFFFFF"/>
              <w:right w:val="single" w:sz="4" w:space="0" w:color="FFFFFF"/>
            </w:tcBorders>
            <w:shd w:val="clear" w:color="DDEBF7" w:fill="DDEBF7"/>
            <w:noWrap/>
            <w:vAlign w:val="center"/>
            <w:hideMark/>
          </w:tcPr>
          <w:p w14:paraId="16BC2B6B"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36,24</w:t>
            </w:r>
          </w:p>
        </w:tc>
        <w:tc>
          <w:tcPr>
            <w:tcW w:w="432" w:type="pct"/>
            <w:tcBorders>
              <w:top w:val="nil"/>
              <w:left w:val="nil"/>
              <w:bottom w:val="single" w:sz="4" w:space="0" w:color="FFFFFF"/>
              <w:right w:val="single" w:sz="4" w:space="0" w:color="FFFFFF"/>
            </w:tcBorders>
            <w:shd w:val="clear" w:color="DDEBF7" w:fill="DDEBF7"/>
            <w:noWrap/>
            <w:vAlign w:val="center"/>
            <w:hideMark/>
          </w:tcPr>
          <w:p w14:paraId="4BDA6550"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38,14</w:t>
            </w:r>
          </w:p>
        </w:tc>
        <w:tc>
          <w:tcPr>
            <w:tcW w:w="748" w:type="pct"/>
            <w:tcBorders>
              <w:top w:val="nil"/>
              <w:left w:val="nil"/>
              <w:bottom w:val="single" w:sz="4" w:space="0" w:color="FFFFFF"/>
              <w:right w:val="single" w:sz="4" w:space="0" w:color="FFFFFF"/>
            </w:tcBorders>
            <w:shd w:val="clear" w:color="DDEBF7" w:fill="DDEBF7"/>
            <w:noWrap/>
            <w:vAlign w:val="center"/>
            <w:hideMark/>
          </w:tcPr>
          <w:p w14:paraId="146D85CE"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2,39</w:t>
            </w:r>
          </w:p>
        </w:tc>
        <w:tc>
          <w:tcPr>
            <w:tcW w:w="588" w:type="pct"/>
            <w:tcBorders>
              <w:top w:val="nil"/>
              <w:left w:val="nil"/>
              <w:bottom w:val="single" w:sz="4" w:space="0" w:color="FFFFFF"/>
              <w:right w:val="single" w:sz="4" w:space="0" w:color="FFFFFF"/>
            </w:tcBorders>
            <w:shd w:val="clear" w:color="DDEBF7" w:fill="DDEBF7"/>
            <w:noWrap/>
            <w:vAlign w:val="center"/>
            <w:hideMark/>
          </w:tcPr>
          <w:p w14:paraId="48B2FE36"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10,57</w:t>
            </w:r>
          </w:p>
        </w:tc>
        <w:tc>
          <w:tcPr>
            <w:tcW w:w="657" w:type="pct"/>
            <w:tcBorders>
              <w:top w:val="nil"/>
              <w:left w:val="nil"/>
              <w:bottom w:val="single" w:sz="4" w:space="0" w:color="FFFFFF"/>
              <w:right w:val="single" w:sz="4" w:space="0" w:color="FFFFFF"/>
            </w:tcBorders>
            <w:shd w:val="clear" w:color="DDEBF7" w:fill="DDEBF7"/>
            <w:noWrap/>
            <w:vAlign w:val="center"/>
            <w:hideMark/>
          </w:tcPr>
          <w:p w14:paraId="15CF374F"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2,56</w:t>
            </w:r>
          </w:p>
        </w:tc>
        <w:tc>
          <w:tcPr>
            <w:tcW w:w="663" w:type="pct"/>
            <w:tcBorders>
              <w:top w:val="nil"/>
              <w:left w:val="nil"/>
              <w:bottom w:val="single" w:sz="4" w:space="0" w:color="FFFFFF"/>
              <w:right w:val="nil"/>
            </w:tcBorders>
            <w:shd w:val="clear" w:color="DDEBF7" w:fill="DDEBF7"/>
            <w:noWrap/>
            <w:vAlign w:val="center"/>
            <w:hideMark/>
          </w:tcPr>
          <w:p w14:paraId="4989956F"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1 092,14</w:t>
            </w:r>
          </w:p>
        </w:tc>
      </w:tr>
      <w:tr w:rsidR="00472A24" w:rsidRPr="00C62639" w14:paraId="75F97D84" w14:textId="77777777" w:rsidTr="0007664A">
        <w:trPr>
          <w:trHeight w:val="297"/>
          <w:jc w:val="center"/>
        </w:trPr>
        <w:tc>
          <w:tcPr>
            <w:tcW w:w="683" w:type="pct"/>
            <w:tcBorders>
              <w:top w:val="nil"/>
              <w:left w:val="nil"/>
              <w:bottom w:val="single" w:sz="4" w:space="0" w:color="FFFFFF"/>
              <w:right w:val="single" w:sz="4" w:space="0" w:color="FFFFFF"/>
            </w:tcBorders>
            <w:shd w:val="clear" w:color="BDD7EE" w:fill="BDD7EE"/>
            <w:noWrap/>
            <w:vAlign w:val="bottom"/>
            <w:hideMark/>
          </w:tcPr>
          <w:p w14:paraId="5163187B"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Skupina V.</w:t>
            </w:r>
          </w:p>
        </w:tc>
        <w:tc>
          <w:tcPr>
            <w:tcW w:w="470" w:type="pct"/>
            <w:tcBorders>
              <w:top w:val="nil"/>
              <w:left w:val="nil"/>
              <w:bottom w:val="single" w:sz="4" w:space="0" w:color="FFFFFF"/>
              <w:right w:val="single" w:sz="4" w:space="0" w:color="FFFFFF"/>
            </w:tcBorders>
            <w:shd w:val="clear" w:color="BDD7EE" w:fill="BDD7EE"/>
            <w:noWrap/>
            <w:vAlign w:val="center"/>
            <w:hideMark/>
          </w:tcPr>
          <w:p w14:paraId="61AEF97A"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1,06</w:t>
            </w:r>
          </w:p>
        </w:tc>
        <w:tc>
          <w:tcPr>
            <w:tcW w:w="759" w:type="pct"/>
            <w:tcBorders>
              <w:top w:val="nil"/>
              <w:left w:val="nil"/>
              <w:bottom w:val="single" w:sz="4" w:space="0" w:color="FFFFFF"/>
              <w:right w:val="single" w:sz="4" w:space="0" w:color="FFFFFF"/>
            </w:tcBorders>
            <w:shd w:val="clear" w:color="BDD7EE" w:fill="BDD7EE"/>
            <w:noWrap/>
            <w:vAlign w:val="center"/>
            <w:hideMark/>
          </w:tcPr>
          <w:p w14:paraId="10A5B283"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34,39</w:t>
            </w:r>
          </w:p>
        </w:tc>
        <w:tc>
          <w:tcPr>
            <w:tcW w:w="432" w:type="pct"/>
            <w:tcBorders>
              <w:top w:val="nil"/>
              <w:left w:val="nil"/>
              <w:bottom w:val="single" w:sz="4" w:space="0" w:color="FFFFFF"/>
              <w:right w:val="single" w:sz="4" w:space="0" w:color="FFFFFF"/>
            </w:tcBorders>
            <w:shd w:val="clear" w:color="BDD7EE" w:fill="BDD7EE"/>
            <w:noWrap/>
            <w:vAlign w:val="center"/>
            <w:hideMark/>
          </w:tcPr>
          <w:p w14:paraId="3FBE025D"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36,49</w:t>
            </w:r>
          </w:p>
        </w:tc>
        <w:tc>
          <w:tcPr>
            <w:tcW w:w="748" w:type="pct"/>
            <w:tcBorders>
              <w:top w:val="nil"/>
              <w:left w:val="nil"/>
              <w:bottom w:val="single" w:sz="4" w:space="0" w:color="FFFFFF"/>
              <w:right w:val="single" w:sz="4" w:space="0" w:color="FFFFFF"/>
            </w:tcBorders>
            <w:shd w:val="clear" w:color="BDD7EE" w:fill="BDD7EE"/>
            <w:noWrap/>
            <w:vAlign w:val="center"/>
            <w:hideMark/>
          </w:tcPr>
          <w:p w14:paraId="776D7B27"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2,43</w:t>
            </w:r>
          </w:p>
        </w:tc>
        <w:tc>
          <w:tcPr>
            <w:tcW w:w="588" w:type="pct"/>
            <w:tcBorders>
              <w:top w:val="nil"/>
              <w:left w:val="nil"/>
              <w:bottom w:val="single" w:sz="4" w:space="0" w:color="FFFFFF"/>
              <w:right w:val="single" w:sz="4" w:space="0" w:color="FFFFFF"/>
            </w:tcBorders>
            <w:shd w:val="clear" w:color="BDD7EE" w:fill="BDD7EE"/>
            <w:noWrap/>
            <w:vAlign w:val="center"/>
            <w:hideMark/>
          </w:tcPr>
          <w:p w14:paraId="3E1A9169"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10,44</w:t>
            </w:r>
          </w:p>
        </w:tc>
        <w:tc>
          <w:tcPr>
            <w:tcW w:w="657" w:type="pct"/>
            <w:tcBorders>
              <w:top w:val="nil"/>
              <w:left w:val="nil"/>
              <w:bottom w:val="single" w:sz="4" w:space="0" w:color="FFFFFF"/>
              <w:right w:val="single" w:sz="4" w:space="0" w:color="FFFFFF"/>
            </w:tcBorders>
            <w:shd w:val="clear" w:color="BDD7EE" w:fill="BDD7EE"/>
            <w:noWrap/>
            <w:vAlign w:val="center"/>
            <w:hideMark/>
          </w:tcPr>
          <w:p w14:paraId="1C4947EE"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2,72</w:t>
            </w:r>
          </w:p>
        </w:tc>
        <w:tc>
          <w:tcPr>
            <w:tcW w:w="663" w:type="pct"/>
            <w:tcBorders>
              <w:top w:val="nil"/>
              <w:left w:val="nil"/>
              <w:bottom w:val="single" w:sz="4" w:space="0" w:color="FFFFFF"/>
              <w:right w:val="nil"/>
            </w:tcBorders>
            <w:shd w:val="clear" w:color="BDD7EE" w:fill="BDD7EE"/>
            <w:noWrap/>
            <w:vAlign w:val="center"/>
            <w:hideMark/>
          </w:tcPr>
          <w:p w14:paraId="425946AF"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1 598,07</w:t>
            </w:r>
          </w:p>
        </w:tc>
      </w:tr>
      <w:tr w:rsidR="00472A24" w:rsidRPr="00C62639" w14:paraId="6F6606B6" w14:textId="77777777" w:rsidTr="0007664A">
        <w:trPr>
          <w:trHeight w:val="297"/>
          <w:jc w:val="center"/>
        </w:trPr>
        <w:tc>
          <w:tcPr>
            <w:tcW w:w="683" w:type="pct"/>
            <w:tcBorders>
              <w:top w:val="nil"/>
              <w:left w:val="nil"/>
              <w:bottom w:val="single" w:sz="4" w:space="0" w:color="FFFFFF"/>
              <w:right w:val="single" w:sz="4" w:space="0" w:color="FFFFFF"/>
            </w:tcBorders>
            <w:shd w:val="clear" w:color="DDEBF7" w:fill="DDEBF7"/>
            <w:noWrap/>
            <w:vAlign w:val="bottom"/>
            <w:hideMark/>
          </w:tcPr>
          <w:p w14:paraId="7F5117E7"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Skupina VI.</w:t>
            </w:r>
          </w:p>
        </w:tc>
        <w:tc>
          <w:tcPr>
            <w:tcW w:w="470" w:type="pct"/>
            <w:tcBorders>
              <w:top w:val="nil"/>
              <w:left w:val="nil"/>
              <w:bottom w:val="single" w:sz="4" w:space="0" w:color="FFFFFF"/>
              <w:right w:val="single" w:sz="4" w:space="0" w:color="FFFFFF"/>
            </w:tcBorders>
            <w:shd w:val="clear" w:color="DDEBF7" w:fill="DDEBF7"/>
            <w:noWrap/>
            <w:vAlign w:val="center"/>
            <w:hideMark/>
          </w:tcPr>
          <w:p w14:paraId="650EE8EF"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1,06</w:t>
            </w:r>
          </w:p>
        </w:tc>
        <w:tc>
          <w:tcPr>
            <w:tcW w:w="759" w:type="pct"/>
            <w:tcBorders>
              <w:top w:val="nil"/>
              <w:left w:val="nil"/>
              <w:bottom w:val="single" w:sz="4" w:space="0" w:color="FFFFFF"/>
              <w:right w:val="single" w:sz="4" w:space="0" w:color="FFFFFF"/>
            </w:tcBorders>
            <w:shd w:val="clear" w:color="DDEBF7" w:fill="DDEBF7"/>
            <w:noWrap/>
            <w:vAlign w:val="center"/>
            <w:hideMark/>
          </w:tcPr>
          <w:p w14:paraId="080B07F2"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31,93</w:t>
            </w:r>
          </w:p>
        </w:tc>
        <w:tc>
          <w:tcPr>
            <w:tcW w:w="432" w:type="pct"/>
            <w:tcBorders>
              <w:top w:val="nil"/>
              <w:left w:val="nil"/>
              <w:bottom w:val="single" w:sz="4" w:space="0" w:color="FFFFFF"/>
              <w:right w:val="single" w:sz="4" w:space="0" w:color="FFFFFF"/>
            </w:tcBorders>
            <w:shd w:val="clear" w:color="DDEBF7" w:fill="DDEBF7"/>
            <w:noWrap/>
            <w:vAlign w:val="center"/>
            <w:hideMark/>
          </w:tcPr>
          <w:p w14:paraId="2A3C90B4"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34,44</w:t>
            </w:r>
          </w:p>
        </w:tc>
        <w:tc>
          <w:tcPr>
            <w:tcW w:w="748" w:type="pct"/>
            <w:tcBorders>
              <w:top w:val="nil"/>
              <w:left w:val="nil"/>
              <w:bottom w:val="single" w:sz="4" w:space="0" w:color="FFFFFF"/>
              <w:right w:val="single" w:sz="4" w:space="0" w:color="FFFFFF"/>
            </w:tcBorders>
            <w:shd w:val="clear" w:color="DDEBF7" w:fill="DDEBF7"/>
            <w:noWrap/>
            <w:vAlign w:val="center"/>
            <w:hideMark/>
          </w:tcPr>
          <w:p w14:paraId="70880F4C"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1,62</w:t>
            </w:r>
          </w:p>
        </w:tc>
        <w:tc>
          <w:tcPr>
            <w:tcW w:w="588" w:type="pct"/>
            <w:tcBorders>
              <w:top w:val="nil"/>
              <w:left w:val="nil"/>
              <w:bottom w:val="single" w:sz="4" w:space="0" w:color="FFFFFF"/>
              <w:right w:val="single" w:sz="4" w:space="0" w:color="FFFFFF"/>
            </w:tcBorders>
            <w:shd w:val="clear" w:color="DDEBF7" w:fill="DDEBF7"/>
            <w:noWrap/>
            <w:vAlign w:val="center"/>
            <w:hideMark/>
          </w:tcPr>
          <w:p w14:paraId="2EBFC282"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10,33</w:t>
            </w:r>
          </w:p>
        </w:tc>
        <w:tc>
          <w:tcPr>
            <w:tcW w:w="657" w:type="pct"/>
            <w:tcBorders>
              <w:top w:val="nil"/>
              <w:left w:val="nil"/>
              <w:bottom w:val="single" w:sz="4" w:space="0" w:color="FFFFFF"/>
              <w:right w:val="single" w:sz="4" w:space="0" w:color="FFFFFF"/>
            </w:tcBorders>
            <w:shd w:val="clear" w:color="DDEBF7" w:fill="DDEBF7"/>
            <w:noWrap/>
            <w:vAlign w:val="center"/>
            <w:hideMark/>
          </w:tcPr>
          <w:p w14:paraId="0D95BE49"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2,22</w:t>
            </w:r>
          </w:p>
        </w:tc>
        <w:tc>
          <w:tcPr>
            <w:tcW w:w="663" w:type="pct"/>
            <w:tcBorders>
              <w:top w:val="nil"/>
              <w:left w:val="nil"/>
              <w:bottom w:val="single" w:sz="4" w:space="0" w:color="FFFFFF"/>
              <w:right w:val="nil"/>
            </w:tcBorders>
            <w:shd w:val="clear" w:color="DDEBF7" w:fill="DDEBF7"/>
            <w:noWrap/>
            <w:vAlign w:val="center"/>
            <w:hideMark/>
          </w:tcPr>
          <w:p w14:paraId="44B1ADD1"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1 840,69</w:t>
            </w:r>
          </w:p>
        </w:tc>
      </w:tr>
      <w:tr w:rsidR="00472A24" w:rsidRPr="00C62639" w14:paraId="3581CCBE" w14:textId="77777777" w:rsidTr="0007664A">
        <w:trPr>
          <w:trHeight w:val="297"/>
          <w:jc w:val="center"/>
        </w:trPr>
        <w:tc>
          <w:tcPr>
            <w:tcW w:w="683" w:type="pct"/>
            <w:tcBorders>
              <w:top w:val="nil"/>
              <w:left w:val="nil"/>
              <w:bottom w:val="single" w:sz="4" w:space="0" w:color="FFFFFF"/>
              <w:right w:val="single" w:sz="4" w:space="0" w:color="FFFFFF"/>
            </w:tcBorders>
            <w:shd w:val="clear" w:color="BDD7EE" w:fill="BDD7EE"/>
            <w:noWrap/>
            <w:vAlign w:val="bottom"/>
            <w:hideMark/>
          </w:tcPr>
          <w:p w14:paraId="381C6183"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Skupina VII.</w:t>
            </w:r>
          </w:p>
        </w:tc>
        <w:tc>
          <w:tcPr>
            <w:tcW w:w="470" w:type="pct"/>
            <w:tcBorders>
              <w:top w:val="nil"/>
              <w:left w:val="nil"/>
              <w:bottom w:val="single" w:sz="4" w:space="0" w:color="FFFFFF"/>
              <w:right w:val="single" w:sz="4" w:space="0" w:color="FFFFFF"/>
            </w:tcBorders>
            <w:shd w:val="clear" w:color="BDD7EE" w:fill="BDD7EE"/>
            <w:noWrap/>
            <w:vAlign w:val="center"/>
            <w:hideMark/>
          </w:tcPr>
          <w:p w14:paraId="33D5BFEC"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1,10</w:t>
            </w:r>
          </w:p>
        </w:tc>
        <w:tc>
          <w:tcPr>
            <w:tcW w:w="759" w:type="pct"/>
            <w:tcBorders>
              <w:top w:val="nil"/>
              <w:left w:val="nil"/>
              <w:bottom w:val="single" w:sz="4" w:space="0" w:color="FFFFFF"/>
              <w:right w:val="single" w:sz="4" w:space="0" w:color="FFFFFF"/>
            </w:tcBorders>
            <w:shd w:val="clear" w:color="BDD7EE" w:fill="BDD7EE"/>
            <w:noWrap/>
            <w:vAlign w:val="center"/>
            <w:hideMark/>
          </w:tcPr>
          <w:p w14:paraId="2A3098B4"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27,46</w:t>
            </w:r>
          </w:p>
        </w:tc>
        <w:tc>
          <w:tcPr>
            <w:tcW w:w="432" w:type="pct"/>
            <w:tcBorders>
              <w:top w:val="nil"/>
              <w:left w:val="nil"/>
              <w:bottom w:val="single" w:sz="4" w:space="0" w:color="FFFFFF"/>
              <w:right w:val="single" w:sz="4" w:space="0" w:color="FFFFFF"/>
            </w:tcBorders>
            <w:shd w:val="clear" w:color="BDD7EE" w:fill="BDD7EE"/>
            <w:noWrap/>
            <w:vAlign w:val="center"/>
            <w:hideMark/>
          </w:tcPr>
          <w:p w14:paraId="255EEE4F"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31,44</w:t>
            </w:r>
          </w:p>
        </w:tc>
        <w:tc>
          <w:tcPr>
            <w:tcW w:w="748" w:type="pct"/>
            <w:tcBorders>
              <w:top w:val="nil"/>
              <w:left w:val="nil"/>
              <w:bottom w:val="single" w:sz="4" w:space="0" w:color="FFFFFF"/>
              <w:right w:val="single" w:sz="4" w:space="0" w:color="FFFFFF"/>
            </w:tcBorders>
            <w:shd w:val="clear" w:color="BDD7EE" w:fill="BDD7EE"/>
            <w:noWrap/>
            <w:vAlign w:val="center"/>
            <w:hideMark/>
          </w:tcPr>
          <w:p w14:paraId="45E91A06"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1,81</w:t>
            </w:r>
          </w:p>
        </w:tc>
        <w:tc>
          <w:tcPr>
            <w:tcW w:w="588" w:type="pct"/>
            <w:tcBorders>
              <w:top w:val="nil"/>
              <w:left w:val="nil"/>
              <w:bottom w:val="single" w:sz="4" w:space="0" w:color="FFFFFF"/>
              <w:right w:val="single" w:sz="4" w:space="0" w:color="FFFFFF"/>
            </w:tcBorders>
            <w:shd w:val="clear" w:color="BDD7EE" w:fill="BDD7EE"/>
            <w:noWrap/>
            <w:vAlign w:val="center"/>
            <w:hideMark/>
          </w:tcPr>
          <w:p w14:paraId="1A984368"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9,36</w:t>
            </w:r>
          </w:p>
        </w:tc>
        <w:tc>
          <w:tcPr>
            <w:tcW w:w="657" w:type="pct"/>
            <w:tcBorders>
              <w:top w:val="nil"/>
              <w:left w:val="nil"/>
              <w:bottom w:val="single" w:sz="4" w:space="0" w:color="FFFFFF"/>
              <w:right w:val="single" w:sz="4" w:space="0" w:color="FFFFFF"/>
            </w:tcBorders>
            <w:shd w:val="clear" w:color="BDD7EE" w:fill="BDD7EE"/>
            <w:noWrap/>
            <w:vAlign w:val="center"/>
            <w:hideMark/>
          </w:tcPr>
          <w:p w14:paraId="5E5E9D7C"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1,85</w:t>
            </w:r>
          </w:p>
        </w:tc>
        <w:tc>
          <w:tcPr>
            <w:tcW w:w="663" w:type="pct"/>
            <w:tcBorders>
              <w:top w:val="nil"/>
              <w:left w:val="nil"/>
              <w:bottom w:val="single" w:sz="4" w:space="0" w:color="FFFFFF"/>
              <w:right w:val="nil"/>
            </w:tcBorders>
            <w:shd w:val="clear" w:color="BDD7EE" w:fill="BDD7EE"/>
            <w:noWrap/>
            <w:vAlign w:val="center"/>
            <w:hideMark/>
          </w:tcPr>
          <w:p w14:paraId="6ECC7A6E"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1 215,77</w:t>
            </w:r>
          </w:p>
        </w:tc>
      </w:tr>
      <w:tr w:rsidR="00472A24" w:rsidRPr="00C62639" w14:paraId="0CE6C227" w14:textId="77777777" w:rsidTr="0007664A">
        <w:trPr>
          <w:trHeight w:val="312"/>
          <w:jc w:val="center"/>
        </w:trPr>
        <w:tc>
          <w:tcPr>
            <w:tcW w:w="683" w:type="pct"/>
            <w:tcBorders>
              <w:top w:val="nil"/>
              <w:left w:val="nil"/>
              <w:bottom w:val="double" w:sz="6" w:space="0" w:color="auto"/>
              <w:right w:val="single" w:sz="4" w:space="0" w:color="FFFFFF"/>
            </w:tcBorders>
            <w:shd w:val="clear" w:color="DDEBF7" w:fill="DDEBF7"/>
            <w:noWrap/>
            <w:vAlign w:val="bottom"/>
            <w:hideMark/>
          </w:tcPr>
          <w:p w14:paraId="4F985563" w14:textId="77777777" w:rsidR="007E6A2D" w:rsidRPr="00C62639" w:rsidRDefault="007E6A2D" w:rsidP="007E6A2D">
            <w:pPr>
              <w:spacing w:before="0" w:after="0"/>
              <w:contextualSpacing w:val="0"/>
              <w:jc w:val="left"/>
              <w:rPr>
                <w:rFonts w:asciiTheme="minorHAnsi" w:eastAsia="Times New Roman" w:hAnsiTheme="minorHAnsi"/>
                <w:sz w:val="20"/>
                <w:lang w:eastAsia="cs-CZ"/>
              </w:rPr>
            </w:pPr>
            <w:r w:rsidRPr="00C62639">
              <w:rPr>
                <w:rFonts w:asciiTheme="minorHAnsi" w:eastAsia="Times New Roman" w:hAnsiTheme="minorHAnsi"/>
                <w:sz w:val="20"/>
                <w:lang w:eastAsia="cs-CZ"/>
              </w:rPr>
              <w:t xml:space="preserve">Skupina VIII. </w:t>
            </w:r>
          </w:p>
        </w:tc>
        <w:tc>
          <w:tcPr>
            <w:tcW w:w="470" w:type="pct"/>
            <w:tcBorders>
              <w:top w:val="nil"/>
              <w:left w:val="nil"/>
              <w:bottom w:val="double" w:sz="6" w:space="0" w:color="auto"/>
              <w:right w:val="single" w:sz="4" w:space="0" w:color="FFFFFF"/>
            </w:tcBorders>
            <w:shd w:val="clear" w:color="DDEBF7" w:fill="DDEBF7"/>
            <w:noWrap/>
            <w:vAlign w:val="center"/>
            <w:hideMark/>
          </w:tcPr>
          <w:p w14:paraId="221091EE"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1,06</w:t>
            </w:r>
          </w:p>
        </w:tc>
        <w:tc>
          <w:tcPr>
            <w:tcW w:w="759" w:type="pct"/>
            <w:tcBorders>
              <w:top w:val="nil"/>
              <w:left w:val="nil"/>
              <w:bottom w:val="double" w:sz="6" w:space="0" w:color="auto"/>
              <w:right w:val="single" w:sz="4" w:space="0" w:color="FFFFFF"/>
            </w:tcBorders>
            <w:shd w:val="clear" w:color="DDEBF7" w:fill="DDEBF7"/>
            <w:noWrap/>
            <w:vAlign w:val="center"/>
            <w:hideMark/>
          </w:tcPr>
          <w:p w14:paraId="70BB1E91"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30,50</w:t>
            </w:r>
          </w:p>
        </w:tc>
        <w:tc>
          <w:tcPr>
            <w:tcW w:w="432" w:type="pct"/>
            <w:tcBorders>
              <w:top w:val="nil"/>
              <w:left w:val="nil"/>
              <w:bottom w:val="double" w:sz="6" w:space="0" w:color="auto"/>
              <w:right w:val="single" w:sz="4" w:space="0" w:color="FFFFFF"/>
            </w:tcBorders>
            <w:shd w:val="clear" w:color="DDEBF7" w:fill="DDEBF7"/>
            <w:noWrap/>
            <w:vAlign w:val="center"/>
            <w:hideMark/>
          </w:tcPr>
          <w:p w14:paraId="559088FA"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33,72</w:t>
            </w:r>
          </w:p>
        </w:tc>
        <w:tc>
          <w:tcPr>
            <w:tcW w:w="748" w:type="pct"/>
            <w:tcBorders>
              <w:top w:val="nil"/>
              <w:left w:val="nil"/>
              <w:bottom w:val="double" w:sz="6" w:space="0" w:color="auto"/>
              <w:right w:val="single" w:sz="4" w:space="0" w:color="FFFFFF"/>
            </w:tcBorders>
            <w:shd w:val="clear" w:color="DDEBF7" w:fill="DDEBF7"/>
            <w:noWrap/>
            <w:vAlign w:val="center"/>
            <w:hideMark/>
          </w:tcPr>
          <w:p w14:paraId="24E3B2AB"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1,59</w:t>
            </w:r>
          </w:p>
        </w:tc>
        <w:tc>
          <w:tcPr>
            <w:tcW w:w="588" w:type="pct"/>
            <w:tcBorders>
              <w:top w:val="nil"/>
              <w:left w:val="nil"/>
              <w:bottom w:val="double" w:sz="6" w:space="0" w:color="auto"/>
              <w:right w:val="single" w:sz="4" w:space="0" w:color="FFFFFF"/>
            </w:tcBorders>
            <w:shd w:val="clear" w:color="DDEBF7" w:fill="DDEBF7"/>
            <w:noWrap/>
            <w:vAlign w:val="center"/>
            <w:hideMark/>
          </w:tcPr>
          <w:p w14:paraId="4E4A0769"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3,16</w:t>
            </w:r>
          </w:p>
        </w:tc>
        <w:tc>
          <w:tcPr>
            <w:tcW w:w="657" w:type="pct"/>
            <w:tcBorders>
              <w:top w:val="nil"/>
              <w:left w:val="nil"/>
              <w:bottom w:val="double" w:sz="6" w:space="0" w:color="auto"/>
              <w:right w:val="single" w:sz="4" w:space="0" w:color="FFFFFF"/>
            </w:tcBorders>
            <w:shd w:val="clear" w:color="DDEBF7" w:fill="DDEBF7"/>
            <w:noWrap/>
            <w:vAlign w:val="center"/>
            <w:hideMark/>
          </w:tcPr>
          <w:p w14:paraId="090B3751"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0,71</w:t>
            </w:r>
          </w:p>
        </w:tc>
        <w:tc>
          <w:tcPr>
            <w:tcW w:w="663" w:type="pct"/>
            <w:tcBorders>
              <w:top w:val="nil"/>
              <w:left w:val="nil"/>
              <w:bottom w:val="double" w:sz="6" w:space="0" w:color="auto"/>
              <w:right w:val="nil"/>
            </w:tcBorders>
            <w:shd w:val="clear" w:color="DDEBF7" w:fill="DDEBF7"/>
            <w:noWrap/>
            <w:vAlign w:val="center"/>
            <w:hideMark/>
          </w:tcPr>
          <w:p w14:paraId="0E55CEAF" w14:textId="77777777" w:rsidR="007E6A2D" w:rsidRPr="00C62639" w:rsidRDefault="007E6A2D" w:rsidP="007E6A2D">
            <w:pPr>
              <w:spacing w:before="0" w:after="0"/>
              <w:contextualSpacing w:val="0"/>
              <w:jc w:val="center"/>
              <w:rPr>
                <w:rFonts w:asciiTheme="minorHAnsi" w:eastAsia="Times New Roman" w:hAnsiTheme="minorHAnsi"/>
                <w:sz w:val="20"/>
                <w:lang w:eastAsia="cs-CZ"/>
              </w:rPr>
            </w:pPr>
            <w:r w:rsidRPr="00C62639">
              <w:rPr>
                <w:rFonts w:asciiTheme="minorHAnsi" w:eastAsia="Times New Roman" w:hAnsiTheme="minorHAnsi"/>
                <w:sz w:val="20"/>
                <w:lang w:eastAsia="cs-CZ"/>
              </w:rPr>
              <w:t>1 202,01</w:t>
            </w:r>
          </w:p>
        </w:tc>
      </w:tr>
      <w:tr w:rsidR="00472A24" w:rsidRPr="00C62639" w14:paraId="609CB451" w14:textId="77777777" w:rsidTr="0007664A">
        <w:trPr>
          <w:trHeight w:val="668"/>
          <w:jc w:val="center"/>
        </w:trPr>
        <w:tc>
          <w:tcPr>
            <w:tcW w:w="683" w:type="pct"/>
            <w:tcBorders>
              <w:top w:val="single" w:sz="4" w:space="0" w:color="FFFFFF"/>
              <w:left w:val="nil"/>
              <w:bottom w:val="nil"/>
              <w:right w:val="single" w:sz="4" w:space="0" w:color="FFFFFF"/>
            </w:tcBorders>
            <w:shd w:val="clear" w:color="BDD7EE" w:fill="BDD7EE"/>
            <w:vAlign w:val="center"/>
            <w:hideMark/>
          </w:tcPr>
          <w:p w14:paraId="0BB31CF3" w14:textId="7052B9A7" w:rsidR="007E6A2D" w:rsidRPr="00C62639" w:rsidRDefault="007E6A2D" w:rsidP="00662DA6">
            <w:pPr>
              <w:spacing w:before="0" w:after="0"/>
              <w:contextualSpacing w:val="0"/>
              <w:jc w:val="left"/>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průměr</w:t>
            </w:r>
            <w:r w:rsidR="00B26631">
              <w:rPr>
                <w:rFonts w:asciiTheme="minorHAnsi" w:eastAsia="Times New Roman" w:hAnsiTheme="minorHAnsi"/>
                <w:b/>
                <w:bCs/>
                <w:i/>
                <w:iCs/>
                <w:sz w:val="20"/>
                <w:lang w:eastAsia="cs-CZ"/>
              </w:rPr>
              <w:t xml:space="preserve"> </w:t>
            </w:r>
            <w:r w:rsidRPr="00C62639">
              <w:rPr>
                <w:rFonts w:asciiTheme="minorHAnsi" w:eastAsia="Times New Roman" w:hAnsiTheme="minorHAnsi"/>
                <w:b/>
                <w:bCs/>
                <w:i/>
                <w:iCs/>
                <w:sz w:val="20"/>
                <w:lang w:eastAsia="cs-CZ"/>
              </w:rPr>
              <w:t>všech</w:t>
            </w:r>
            <w:r w:rsidR="00662DA6">
              <w:rPr>
                <w:rFonts w:asciiTheme="minorHAnsi" w:eastAsia="Times New Roman" w:hAnsiTheme="minorHAnsi"/>
                <w:b/>
                <w:bCs/>
                <w:i/>
                <w:iCs/>
                <w:sz w:val="20"/>
                <w:lang w:eastAsia="cs-CZ"/>
              </w:rPr>
              <w:t xml:space="preserve"> skupin</w:t>
            </w:r>
          </w:p>
        </w:tc>
        <w:tc>
          <w:tcPr>
            <w:tcW w:w="470" w:type="pct"/>
            <w:tcBorders>
              <w:top w:val="single" w:sz="4" w:space="0" w:color="FFFFFF"/>
              <w:left w:val="single" w:sz="4" w:space="0" w:color="FFFFFF"/>
              <w:bottom w:val="nil"/>
              <w:right w:val="single" w:sz="4" w:space="0" w:color="FFFFFF"/>
            </w:tcBorders>
            <w:shd w:val="clear" w:color="BDD7EE" w:fill="BDD7EE"/>
            <w:noWrap/>
            <w:vAlign w:val="center"/>
            <w:hideMark/>
          </w:tcPr>
          <w:p w14:paraId="716A5464" w14:textId="77777777" w:rsidR="007E6A2D" w:rsidRPr="00C62639" w:rsidRDefault="007E6A2D" w:rsidP="007E6A2D">
            <w:pPr>
              <w:spacing w:before="0" w:after="0"/>
              <w:contextualSpacing w:val="0"/>
              <w:jc w:val="center"/>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1,09</w:t>
            </w:r>
          </w:p>
        </w:tc>
        <w:tc>
          <w:tcPr>
            <w:tcW w:w="759" w:type="pct"/>
            <w:tcBorders>
              <w:top w:val="single" w:sz="4" w:space="0" w:color="FFFFFF"/>
              <w:left w:val="single" w:sz="4" w:space="0" w:color="FFFFFF"/>
              <w:bottom w:val="nil"/>
              <w:right w:val="single" w:sz="4" w:space="0" w:color="FFFFFF"/>
            </w:tcBorders>
            <w:shd w:val="clear" w:color="BDD7EE" w:fill="BDD7EE"/>
            <w:noWrap/>
            <w:vAlign w:val="center"/>
            <w:hideMark/>
          </w:tcPr>
          <w:p w14:paraId="1734706C" w14:textId="77777777" w:rsidR="007E6A2D" w:rsidRPr="00C62639" w:rsidRDefault="007E6A2D" w:rsidP="007E6A2D">
            <w:pPr>
              <w:spacing w:before="0" w:after="0"/>
              <w:contextualSpacing w:val="0"/>
              <w:jc w:val="center"/>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32,84</w:t>
            </w:r>
          </w:p>
        </w:tc>
        <w:tc>
          <w:tcPr>
            <w:tcW w:w="432" w:type="pct"/>
            <w:tcBorders>
              <w:top w:val="single" w:sz="4" w:space="0" w:color="FFFFFF"/>
              <w:left w:val="single" w:sz="4" w:space="0" w:color="FFFFFF"/>
              <w:bottom w:val="nil"/>
              <w:right w:val="single" w:sz="4" w:space="0" w:color="FFFFFF"/>
            </w:tcBorders>
            <w:shd w:val="clear" w:color="BDD7EE" w:fill="BDD7EE"/>
            <w:noWrap/>
            <w:vAlign w:val="center"/>
            <w:hideMark/>
          </w:tcPr>
          <w:p w14:paraId="51C9AEE2" w14:textId="77777777" w:rsidR="007E6A2D" w:rsidRPr="00C62639" w:rsidRDefault="007E6A2D" w:rsidP="007E6A2D">
            <w:pPr>
              <w:spacing w:before="0" w:after="0"/>
              <w:contextualSpacing w:val="0"/>
              <w:jc w:val="center"/>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35,94</w:t>
            </w:r>
          </w:p>
        </w:tc>
        <w:tc>
          <w:tcPr>
            <w:tcW w:w="748" w:type="pct"/>
            <w:tcBorders>
              <w:top w:val="single" w:sz="4" w:space="0" w:color="FFFFFF"/>
              <w:left w:val="single" w:sz="4" w:space="0" w:color="FFFFFF"/>
              <w:bottom w:val="nil"/>
              <w:right w:val="single" w:sz="4" w:space="0" w:color="FFFFFF"/>
            </w:tcBorders>
            <w:shd w:val="clear" w:color="BDD7EE" w:fill="BDD7EE"/>
            <w:noWrap/>
            <w:vAlign w:val="center"/>
            <w:hideMark/>
          </w:tcPr>
          <w:p w14:paraId="4146F12A" w14:textId="77777777" w:rsidR="007E6A2D" w:rsidRPr="00C62639" w:rsidRDefault="007E6A2D" w:rsidP="007E6A2D">
            <w:pPr>
              <w:spacing w:before="0" w:after="0"/>
              <w:contextualSpacing w:val="0"/>
              <w:jc w:val="center"/>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2,22</w:t>
            </w:r>
          </w:p>
        </w:tc>
        <w:tc>
          <w:tcPr>
            <w:tcW w:w="588" w:type="pct"/>
            <w:tcBorders>
              <w:top w:val="single" w:sz="4" w:space="0" w:color="FFFFFF"/>
              <w:left w:val="single" w:sz="4" w:space="0" w:color="FFFFFF"/>
              <w:bottom w:val="nil"/>
              <w:right w:val="single" w:sz="4" w:space="0" w:color="FFFFFF"/>
            </w:tcBorders>
            <w:shd w:val="clear" w:color="BDD7EE" w:fill="BDD7EE"/>
            <w:noWrap/>
            <w:vAlign w:val="center"/>
            <w:hideMark/>
          </w:tcPr>
          <w:p w14:paraId="599EA2A9" w14:textId="77777777" w:rsidR="007E6A2D" w:rsidRPr="00C62639" w:rsidRDefault="007E6A2D" w:rsidP="007E6A2D">
            <w:pPr>
              <w:spacing w:before="0" w:after="0"/>
              <w:contextualSpacing w:val="0"/>
              <w:jc w:val="center"/>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10,20</w:t>
            </w:r>
          </w:p>
        </w:tc>
        <w:tc>
          <w:tcPr>
            <w:tcW w:w="657" w:type="pct"/>
            <w:tcBorders>
              <w:top w:val="single" w:sz="4" w:space="0" w:color="FFFFFF"/>
              <w:left w:val="single" w:sz="4" w:space="0" w:color="FFFFFF"/>
              <w:bottom w:val="nil"/>
              <w:right w:val="single" w:sz="4" w:space="0" w:color="FFFFFF"/>
            </w:tcBorders>
            <w:shd w:val="clear" w:color="BDD7EE" w:fill="BDD7EE"/>
            <w:noWrap/>
            <w:vAlign w:val="center"/>
            <w:hideMark/>
          </w:tcPr>
          <w:p w14:paraId="35D31565" w14:textId="77777777" w:rsidR="007E6A2D" w:rsidRPr="00C62639" w:rsidRDefault="007E6A2D" w:rsidP="007E6A2D">
            <w:pPr>
              <w:spacing w:before="0" w:after="0"/>
              <w:contextualSpacing w:val="0"/>
              <w:jc w:val="center"/>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2,91</w:t>
            </w:r>
          </w:p>
        </w:tc>
        <w:tc>
          <w:tcPr>
            <w:tcW w:w="663" w:type="pct"/>
            <w:tcBorders>
              <w:top w:val="single" w:sz="4" w:space="0" w:color="FFFFFF"/>
              <w:left w:val="single" w:sz="4" w:space="0" w:color="FFFFFF"/>
              <w:bottom w:val="nil"/>
              <w:right w:val="nil"/>
            </w:tcBorders>
            <w:shd w:val="clear" w:color="BDD7EE" w:fill="BDD7EE"/>
            <w:noWrap/>
            <w:vAlign w:val="center"/>
            <w:hideMark/>
          </w:tcPr>
          <w:p w14:paraId="7DE8A206" w14:textId="77777777" w:rsidR="007E6A2D" w:rsidRPr="00C62639" w:rsidRDefault="007E6A2D" w:rsidP="007E6A2D">
            <w:pPr>
              <w:spacing w:before="0" w:after="0"/>
              <w:contextualSpacing w:val="0"/>
              <w:jc w:val="center"/>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1 476,11</w:t>
            </w:r>
          </w:p>
        </w:tc>
      </w:tr>
    </w:tbl>
    <w:p w14:paraId="76BE763E" w14:textId="77777777" w:rsidR="005B4273" w:rsidRPr="00C62639" w:rsidRDefault="005B4273" w:rsidP="005B4273">
      <w:pPr>
        <w:rPr>
          <w:rFonts w:asciiTheme="minorHAnsi" w:hAnsiTheme="minorHAnsi"/>
          <w:noProof/>
        </w:rPr>
      </w:pPr>
    </w:p>
    <w:p w14:paraId="03CB1B2B" w14:textId="77777777" w:rsidR="0099530A" w:rsidRDefault="005B4273" w:rsidP="004B35ED">
      <w:pPr>
        <w:pStyle w:val="Nadpis3"/>
        <w:rPr>
          <w:noProof/>
        </w:rPr>
      </w:pPr>
      <w:r w:rsidRPr="00C62639">
        <w:rPr>
          <w:noProof/>
        </w:rPr>
        <w:br w:type="page"/>
      </w:r>
      <w:bookmarkStart w:id="50" w:name="_Toc505684434"/>
      <w:r w:rsidR="008D2461" w:rsidRPr="00C62639">
        <w:rPr>
          <w:noProof/>
        </w:rPr>
        <w:lastRenderedPageBreak/>
        <w:t>Kanalizace</w:t>
      </w:r>
      <w:bookmarkEnd w:id="50"/>
    </w:p>
    <w:p w14:paraId="21DDF0CD" w14:textId="540C42D5" w:rsidR="004E5FFE" w:rsidRDefault="006F6838" w:rsidP="00C410C4">
      <w:pPr>
        <w:pStyle w:val="Normlnzprva"/>
      </w:pPr>
      <w:r>
        <w:rPr>
          <w:noProof/>
          <w:lang w:eastAsia="cs-CZ"/>
        </w:rPr>
        <w:drawing>
          <wp:anchor distT="0" distB="0" distL="114300" distR="114300" simplePos="0" relativeHeight="251687936" behindDoc="0" locked="0" layoutInCell="1" allowOverlap="0" wp14:anchorId="0730BB0C" wp14:editId="3DE7FA7C">
            <wp:simplePos x="0" y="0"/>
            <wp:positionH relativeFrom="column">
              <wp:posOffset>109220</wp:posOffset>
            </wp:positionH>
            <wp:positionV relativeFrom="paragraph">
              <wp:posOffset>1493608</wp:posOffset>
            </wp:positionV>
            <wp:extent cx="5633720" cy="2370455"/>
            <wp:effectExtent l="0" t="0" r="5080" b="0"/>
            <wp:wrapTopAndBottom/>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4E5FFE" w:rsidRPr="00C410C4">
        <w:t xml:space="preserve">V rámci benchmarkingu provozovatelských subjektů v části týkající se kanalizace bylo posuzováno 1857 ks Porovnání, která představují 92,6% podíl trhu určený na základě množství vody odpadní a srážkové fakturované (tj. 462,85 </w:t>
      </w:r>
      <w:r w:rsidR="00E27252">
        <w:t>mil. m</w:t>
      </w:r>
      <w:r w:rsidR="00E27252" w:rsidRPr="00E27252">
        <w:rPr>
          <w:vertAlign w:val="superscript"/>
        </w:rPr>
        <w:t>3</w:t>
      </w:r>
      <w:r w:rsidR="004E5FFE" w:rsidRPr="00C410C4">
        <w:t xml:space="preserve"> z celkových 499,86 </w:t>
      </w:r>
      <w:r w:rsidR="00E27252">
        <w:t>mil. m</w:t>
      </w:r>
      <w:r w:rsidR="00E27252" w:rsidRPr="00E27252">
        <w:rPr>
          <w:vertAlign w:val="superscript"/>
        </w:rPr>
        <w:t>3</w:t>
      </w:r>
      <w:r w:rsidR="004E5FFE" w:rsidRPr="00C410C4">
        <w:t>).</w:t>
      </w:r>
      <w:r w:rsidR="00B26631">
        <w:t xml:space="preserve"> </w:t>
      </w:r>
      <w:r w:rsidR="004E5FFE" w:rsidRPr="00C410C4">
        <w:t>Celkem se vyskytuje alespoň jedna anomálie v 76,4 % analyzovaných Porovnání, tj. na 1419 Porovnáních. Z hlediska o</w:t>
      </w:r>
      <w:r w:rsidR="00C410C4">
        <w:t>b</w:t>
      </w:r>
      <w:r w:rsidR="004E5FFE" w:rsidRPr="00C410C4">
        <w:t xml:space="preserve">jemu odpadní a srážkové vody fakturované je anomáliemi zasažen 40% podíl analyzovaného trhu (187,18 </w:t>
      </w:r>
      <w:r w:rsidR="00E27252">
        <w:t>mil. m</w:t>
      </w:r>
      <w:r w:rsidR="00E27252" w:rsidRPr="00E27252">
        <w:rPr>
          <w:vertAlign w:val="superscript"/>
        </w:rPr>
        <w:t>3</w:t>
      </w:r>
      <w:r w:rsidR="004E5FFE" w:rsidRPr="00C410C4">
        <w:t xml:space="preserve">). </w:t>
      </w:r>
    </w:p>
    <w:p w14:paraId="6DA921C3" w14:textId="622F84F3" w:rsidR="006F6838" w:rsidRPr="00C410C4" w:rsidRDefault="006F6838" w:rsidP="00C410C4">
      <w:pPr>
        <w:pStyle w:val="Normlnzprva"/>
      </w:pPr>
    </w:p>
    <w:p w14:paraId="22CEABFF" w14:textId="77777777" w:rsidR="006F6838" w:rsidRDefault="006F6838" w:rsidP="00C410C4">
      <w:pPr>
        <w:pStyle w:val="Normlnzprva"/>
      </w:pPr>
    </w:p>
    <w:p w14:paraId="71DC7650" w14:textId="7CD65DFD" w:rsidR="003C5045" w:rsidRPr="00C410C4" w:rsidRDefault="00DD5C0A" w:rsidP="00C410C4">
      <w:pPr>
        <w:pStyle w:val="Normlnzprva"/>
      </w:pPr>
      <w:r w:rsidRPr="00C410C4">
        <w:rPr>
          <w:noProof/>
          <w:lang w:eastAsia="cs-CZ"/>
        </w:rPr>
        <w:drawing>
          <wp:anchor distT="0" distB="0" distL="114300" distR="114300" simplePos="0" relativeHeight="251664896" behindDoc="0" locked="0" layoutInCell="1" allowOverlap="1" wp14:anchorId="1757D320" wp14:editId="3058F495">
            <wp:simplePos x="0" y="0"/>
            <wp:positionH relativeFrom="column">
              <wp:posOffset>-186055</wp:posOffset>
            </wp:positionH>
            <wp:positionV relativeFrom="paragraph">
              <wp:posOffset>3548218</wp:posOffset>
            </wp:positionV>
            <wp:extent cx="6280785" cy="3642360"/>
            <wp:effectExtent l="19050" t="0" r="5715" b="0"/>
            <wp:wrapTopAndBottom/>
            <wp:docPr id="1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6280785" cy="3642360"/>
                    </a:xfrm>
                    <a:prstGeom prst="rect">
                      <a:avLst/>
                    </a:prstGeom>
                    <a:noFill/>
                    <a:ln w="9525">
                      <a:noFill/>
                      <a:miter lim="800000"/>
                      <a:headEnd/>
                      <a:tailEnd/>
                    </a:ln>
                  </pic:spPr>
                </pic:pic>
              </a:graphicData>
            </a:graphic>
          </wp:anchor>
        </w:drawing>
      </w:r>
      <w:r w:rsidR="009E0877" w:rsidRPr="00C410C4">
        <w:t>Následující tabulka uvádí četnost v</w:t>
      </w:r>
      <w:r w:rsidR="00C410C4" w:rsidRPr="00C410C4">
        <w:t>ýskytu jednotliv</w:t>
      </w:r>
      <w:r w:rsidR="00C410C4">
        <w:t>ý</w:t>
      </w:r>
      <w:r w:rsidR="009E0877" w:rsidRPr="00C410C4">
        <w:t xml:space="preserve">ch identifikovaných anomálií u </w:t>
      </w:r>
      <w:r w:rsidR="00F46A27" w:rsidRPr="00C410C4">
        <w:t xml:space="preserve">analyzovaných </w:t>
      </w:r>
      <w:r w:rsidR="009E0877" w:rsidRPr="00C410C4">
        <w:t>Porovnání:</w:t>
      </w:r>
    </w:p>
    <w:p w14:paraId="57B9A1DF" w14:textId="4B33BB1C" w:rsidR="00672C35" w:rsidRPr="00C410C4" w:rsidRDefault="000448AE" w:rsidP="00C410C4">
      <w:pPr>
        <w:pStyle w:val="Normlnzprva"/>
      </w:pPr>
      <w:r w:rsidRPr="00C410C4">
        <w:lastRenderedPageBreak/>
        <w:t xml:space="preserve">Z hlediska </w:t>
      </w:r>
      <w:r w:rsidR="001A7DEE" w:rsidRPr="00C410C4">
        <w:t>objemu fakturované</w:t>
      </w:r>
      <w:r w:rsidRPr="00C410C4">
        <w:t xml:space="preserve"> vody</w:t>
      </w:r>
      <w:r w:rsidR="001A7DEE" w:rsidRPr="00C410C4">
        <w:t xml:space="preserve"> odpadní včetně srážkové byla jako nevýznamnější anomálie </w:t>
      </w:r>
      <w:r w:rsidR="00EA45F0" w:rsidRPr="00C410C4">
        <w:t>identifikována anomálie</w:t>
      </w:r>
      <w:r w:rsidR="0078718D" w:rsidRPr="00C410C4">
        <w:t xml:space="preserve"> vysok</w:t>
      </w:r>
      <w:r w:rsidR="00EA45F0" w:rsidRPr="00C410C4">
        <w:t>ý</w:t>
      </w:r>
      <w:r w:rsidR="0078718D" w:rsidRPr="00C410C4">
        <w:t xml:space="preserve"> podíl zisku na úplných vlastních nákladech</w:t>
      </w:r>
      <w:r w:rsidR="00EA45F0" w:rsidRPr="00C410C4">
        <w:t xml:space="preserve"> (24,36%</w:t>
      </w:r>
      <w:r w:rsidR="00C410C4">
        <w:t xml:space="preserve"> podíl ana</w:t>
      </w:r>
      <w:r w:rsidR="00EA45F0" w:rsidRPr="00C410C4">
        <w:t>l</w:t>
      </w:r>
      <w:r w:rsidR="00C410C4">
        <w:t>yzova</w:t>
      </w:r>
      <w:r w:rsidR="00EA45F0" w:rsidRPr="00C410C4">
        <w:t>ného trhu)</w:t>
      </w:r>
      <w:r w:rsidR="0078718D" w:rsidRPr="00C410C4">
        <w:t xml:space="preserve">. </w:t>
      </w:r>
      <w:r w:rsidR="000E6D3E">
        <w:t>Tato anomálie byla</w:t>
      </w:r>
      <w:r w:rsidR="0078718D" w:rsidRPr="00C410C4">
        <w:t xml:space="preserve"> </w:t>
      </w:r>
      <w:r w:rsidR="00EA45F0" w:rsidRPr="00C410C4">
        <w:t>nalezen</w:t>
      </w:r>
      <w:r w:rsidR="000E6D3E">
        <w:t>a</w:t>
      </w:r>
      <w:r w:rsidR="0078718D" w:rsidRPr="00C410C4">
        <w:t xml:space="preserve"> na 268 Porovnáních</w:t>
      </w:r>
      <w:r w:rsidR="00B91555" w:rsidRPr="00C410C4">
        <w:t xml:space="preserve"> (112,74 </w:t>
      </w:r>
      <w:r w:rsidR="00E27252">
        <w:t>mil. m</w:t>
      </w:r>
      <w:r w:rsidR="00E27252" w:rsidRPr="00E27252">
        <w:rPr>
          <w:vertAlign w:val="superscript"/>
        </w:rPr>
        <w:t>3</w:t>
      </w:r>
      <w:r w:rsidR="00B91555" w:rsidRPr="00C410C4">
        <w:t>).</w:t>
      </w:r>
      <w:r w:rsidR="0078718D" w:rsidRPr="00C410C4">
        <w:t xml:space="preserve"> </w:t>
      </w:r>
      <w:r w:rsidR="00EA45F0" w:rsidRPr="00C410C4">
        <w:t xml:space="preserve">Vysoký podíl zisku na úplných vlastních nákladech se vyskytuje </w:t>
      </w:r>
      <w:r w:rsidR="00B91555" w:rsidRPr="00C410C4">
        <w:t>ve všech skupinách mimo I.</w:t>
      </w:r>
      <w:r w:rsidR="00B26631">
        <w:t xml:space="preserve"> </w:t>
      </w:r>
      <w:r w:rsidR="000E6D3E">
        <w:t>Další anomálie - v</w:t>
      </w:r>
      <w:r w:rsidR="00B91555" w:rsidRPr="00C410C4">
        <w:t>ysoká cena pro stočné, kter</w:t>
      </w:r>
      <w:r w:rsidR="000E6D3E">
        <w:t>á</w:t>
      </w:r>
      <w:r w:rsidR="00B91555" w:rsidRPr="00C410C4">
        <w:t xml:space="preserve"> může korelovat s př</w:t>
      </w:r>
      <w:r w:rsidR="000E6D3E">
        <w:t>edchozí anomálií</w:t>
      </w:r>
      <w:r w:rsidR="00EA45F0" w:rsidRPr="00C410C4">
        <w:t>, se vyskytuje pouze v</w:t>
      </w:r>
      <w:r w:rsidR="00B91555" w:rsidRPr="00C410C4">
        <w:t xml:space="preserve"> 51 případech </w:t>
      </w:r>
      <w:r w:rsidR="00EA45F0" w:rsidRPr="00C410C4">
        <w:t xml:space="preserve">a </w:t>
      </w:r>
      <w:r w:rsidR="00B91555" w:rsidRPr="00C410C4">
        <w:t>u menš</w:t>
      </w:r>
      <w:r w:rsidR="000E6D3E">
        <w:t>ích provozovatelů. Byla nalezena</w:t>
      </w:r>
      <w:r w:rsidR="00B91555" w:rsidRPr="00C410C4">
        <w:t xml:space="preserve"> na podstatně menším</w:t>
      </w:r>
      <w:r w:rsidR="00EA45F0" w:rsidRPr="00C410C4">
        <w:t xml:space="preserve"> </w:t>
      </w:r>
      <w:r w:rsidR="00B91555" w:rsidRPr="00C410C4">
        <w:t>podílu analyzovaného trhu</w:t>
      </w:r>
      <w:r w:rsidR="00EA45F0" w:rsidRPr="00C410C4">
        <w:t>, a to 0,21 %</w:t>
      </w:r>
      <w:r w:rsidR="00B91555" w:rsidRPr="00C410C4">
        <w:t xml:space="preserve">. </w:t>
      </w:r>
    </w:p>
    <w:p w14:paraId="0783CC45" w14:textId="38BF1EC1" w:rsidR="00672C35" w:rsidRPr="00C410C4" w:rsidRDefault="00B91555" w:rsidP="00C410C4">
      <w:pPr>
        <w:pStyle w:val="Normlnzprva"/>
      </w:pPr>
      <w:r w:rsidRPr="00C410C4">
        <w:t>Do skupin</w:t>
      </w:r>
      <w:r w:rsidR="000E6D3E">
        <w:t>y ekonomických anomálii řadíme také</w:t>
      </w:r>
      <w:r w:rsidRPr="00C410C4">
        <w:t xml:space="preserve"> anomálii n</w:t>
      </w:r>
      <w:r w:rsidR="00C410C4">
        <w:t>evykazování 100% výše všech ekonom</w:t>
      </w:r>
      <w:r w:rsidRPr="00C410C4">
        <w:t>icky opráv</w:t>
      </w:r>
      <w:r w:rsidR="00C410C4">
        <w:t>n</w:t>
      </w:r>
      <w:r w:rsidRPr="00C410C4">
        <w:t>ěných nákladů do ceny pro stočné (nízké jednicové náklady, které nedosahují 0,5 násobek jednotkových úplných vlastních nákladů optimální</w:t>
      </w:r>
      <w:r w:rsidR="00EA45F0" w:rsidRPr="00C410C4">
        <w:t>ho subjektu skupiny). Z výskytu této anomálie</w:t>
      </w:r>
      <w:r w:rsidRPr="00C410C4">
        <w:t xml:space="preserve"> lze předpokládat, že provozovatelské subjekty působící na 2,3% podílu analyzovaného trhu (</w:t>
      </w:r>
      <w:r w:rsidR="00EA45F0" w:rsidRPr="00C410C4">
        <w:t xml:space="preserve">tj. </w:t>
      </w:r>
      <w:r w:rsidRPr="00C410C4">
        <w:t xml:space="preserve">10,64 </w:t>
      </w:r>
      <w:r w:rsidR="00E27252">
        <w:t>mil. m</w:t>
      </w:r>
      <w:r w:rsidR="00E27252" w:rsidRPr="00E27252">
        <w:rPr>
          <w:vertAlign w:val="superscript"/>
        </w:rPr>
        <w:t>3</w:t>
      </w:r>
      <w:r w:rsidRPr="00C410C4">
        <w:t>)</w:t>
      </w:r>
      <w:r w:rsidR="00CA545C" w:rsidRPr="00C410C4">
        <w:t xml:space="preserve"> nevychází při sestavování kalkulace ceny pro stočné </w:t>
      </w:r>
      <w:r w:rsidR="00112520" w:rsidRPr="00C410C4">
        <w:t>z</w:t>
      </w:r>
      <w:r w:rsidR="00C410C4">
        <w:t xml:space="preserve"> plné výše ekon</w:t>
      </w:r>
      <w:r w:rsidR="00CA545C" w:rsidRPr="00C410C4">
        <w:t>o</w:t>
      </w:r>
      <w:r w:rsidR="00C410C4">
        <w:t>m</w:t>
      </w:r>
      <w:r w:rsidR="00CA545C" w:rsidRPr="00C410C4">
        <w:t>icky oprávněných nák</w:t>
      </w:r>
      <w:r w:rsidR="00C410C4">
        <w:t>l</w:t>
      </w:r>
      <w:r w:rsidR="00CA545C" w:rsidRPr="00C410C4">
        <w:t>adů souvisejících s poskytováním služeb.</w:t>
      </w:r>
      <w:r w:rsidR="00B26631">
        <w:t xml:space="preserve"> </w:t>
      </w:r>
    </w:p>
    <w:p w14:paraId="664027E4" w14:textId="2B255568" w:rsidR="004E5FFE" w:rsidRPr="00C410C4" w:rsidRDefault="00CA545C" w:rsidP="00C410C4">
      <w:pPr>
        <w:pStyle w:val="Normlnzprva"/>
      </w:pPr>
      <w:r w:rsidRPr="00C410C4">
        <w:t>Tato anomálie má vliv na další anomálii</w:t>
      </w:r>
      <w:r w:rsidR="00112520" w:rsidRPr="00C410C4">
        <w:t>,</w:t>
      </w:r>
      <w:r w:rsidRPr="00C410C4">
        <w:t xml:space="preserve"> </w:t>
      </w:r>
      <w:r w:rsidR="00EA45F0" w:rsidRPr="00C410C4">
        <w:t xml:space="preserve">a to </w:t>
      </w:r>
      <w:r w:rsidRPr="00C410C4">
        <w:t>záporný kalkulační zisk.</w:t>
      </w:r>
      <w:r w:rsidR="00112520" w:rsidRPr="00C410C4">
        <w:t xml:space="preserve"> </w:t>
      </w:r>
      <w:r w:rsidR="00EA45F0" w:rsidRPr="00C410C4">
        <w:t>Záporný kalkulační zisk byl</w:t>
      </w:r>
      <w:r w:rsidRPr="00C410C4">
        <w:t xml:space="preserve"> nalezen u 987 Porovnání a snižuje cenu pro stočné </w:t>
      </w:r>
      <w:r w:rsidR="00112520" w:rsidRPr="00C410C4">
        <w:t>u</w:t>
      </w:r>
      <w:r w:rsidRPr="00C410C4">
        <w:t xml:space="preserve"> 6,37% podílu analyzovaného trhu (tj. 29,50 </w:t>
      </w:r>
      <w:r w:rsidR="00E27252">
        <w:t>mil. m</w:t>
      </w:r>
      <w:r w:rsidR="00E27252" w:rsidRPr="00E27252">
        <w:rPr>
          <w:vertAlign w:val="superscript"/>
        </w:rPr>
        <w:t>3</w:t>
      </w:r>
      <w:r w:rsidRPr="00C410C4">
        <w:t>).</w:t>
      </w:r>
      <w:r w:rsidR="00B26631">
        <w:t xml:space="preserve"> </w:t>
      </w:r>
      <w:r w:rsidRPr="00C410C4">
        <w:t xml:space="preserve">Pokud by se </w:t>
      </w:r>
      <w:r w:rsidR="00672C35" w:rsidRPr="00C410C4">
        <w:t>v an</w:t>
      </w:r>
      <w:r w:rsidR="00C410C4">
        <w:t>a</w:t>
      </w:r>
      <w:r w:rsidR="00672C35" w:rsidRPr="00C410C4">
        <w:t xml:space="preserve">lyzovaných datech </w:t>
      </w:r>
      <w:r w:rsidRPr="00C410C4">
        <w:t>nevyskytoval</w:t>
      </w:r>
      <w:r w:rsidR="00EA45F0" w:rsidRPr="00C410C4">
        <w:t>y</w:t>
      </w:r>
      <w:r w:rsidRPr="00C410C4">
        <w:t xml:space="preserve"> nízké jednicové náklady, lze předpokládat, že četnost výskytu záporné</w:t>
      </w:r>
      <w:r w:rsidR="00112520" w:rsidRPr="00C410C4">
        <w:t>h</w:t>
      </w:r>
      <w:r w:rsidRPr="00C410C4">
        <w:t>o kalkulačního zisku by byla</w:t>
      </w:r>
      <w:r w:rsidR="00672C35" w:rsidRPr="00C410C4">
        <w:t xml:space="preserve"> ještě</w:t>
      </w:r>
      <w:r w:rsidR="00B26631">
        <w:t xml:space="preserve"> </w:t>
      </w:r>
      <w:r w:rsidRPr="00C410C4">
        <w:t>v</w:t>
      </w:r>
      <w:r w:rsidR="00EA45F0" w:rsidRPr="00C410C4">
        <w:t>yšší. Používání záporného kalkulačního zisku signalizuje</w:t>
      </w:r>
      <w:r w:rsidR="00672C35" w:rsidRPr="00C410C4">
        <w:t xml:space="preserve"> snahu snižovat cenu pro stočné. Znamená to</w:t>
      </w:r>
      <w:r w:rsidRPr="00C410C4">
        <w:t>, že dochází k dotaci nákladů spojených s provozem a správou VIM.</w:t>
      </w:r>
      <w:r w:rsidR="00B26631">
        <w:t xml:space="preserve"> </w:t>
      </w:r>
      <w:r w:rsidR="00651900" w:rsidRPr="00C410C4">
        <w:t xml:space="preserve">O problematickém přístupu k tvorbě ceny pro stočné </w:t>
      </w:r>
      <w:r w:rsidR="00672C35" w:rsidRPr="00C410C4">
        <w:t>nebo spíše</w:t>
      </w:r>
      <w:r w:rsidR="00C410C4">
        <w:t xml:space="preserve"> o dotování nákladů na slu</w:t>
      </w:r>
      <w:r w:rsidR="00672C35" w:rsidRPr="00C410C4">
        <w:t>žby související s odváděním a čištěním odpadních a srážk</w:t>
      </w:r>
      <w:r w:rsidR="00C410C4">
        <w:t>ový</w:t>
      </w:r>
      <w:r w:rsidR="00672C35" w:rsidRPr="00C410C4">
        <w:t xml:space="preserve">ch vod </w:t>
      </w:r>
      <w:r w:rsidR="00651900" w:rsidRPr="00C410C4">
        <w:t>svědčí i výskyt nulového stočného celkem (70 Porovnání) a</w:t>
      </w:r>
      <w:r w:rsidR="00B26631">
        <w:t xml:space="preserve"> </w:t>
      </w:r>
      <w:r w:rsidR="00651900" w:rsidRPr="00C410C4">
        <w:t xml:space="preserve">nulového množství odpadní a srážkové vody fakturované (36 Porovnání). </w:t>
      </w:r>
      <w:r w:rsidR="00C410C4">
        <w:t>MZ</w:t>
      </w:r>
      <w:r w:rsidR="00112520" w:rsidRPr="00C410C4">
        <w:t xml:space="preserve">e bude uvedené </w:t>
      </w:r>
      <w:r w:rsidR="004E5FFE" w:rsidRPr="00C410C4">
        <w:t>anomáli</w:t>
      </w:r>
      <w:r w:rsidR="00112520" w:rsidRPr="00C410C4">
        <w:t>e</w:t>
      </w:r>
      <w:r w:rsidR="004E5FFE" w:rsidRPr="00C410C4">
        <w:t xml:space="preserve"> dále sledovat.</w:t>
      </w:r>
    </w:p>
    <w:p w14:paraId="464731D7" w14:textId="081214CA" w:rsidR="00651900" w:rsidRPr="00C410C4" w:rsidRDefault="00672C35" w:rsidP="00C410C4">
      <w:pPr>
        <w:pStyle w:val="Normlnzprva"/>
      </w:pPr>
      <w:r w:rsidRPr="00C410C4">
        <w:t xml:space="preserve"> Lze konstatovat, že jen</w:t>
      </w:r>
      <w:r w:rsidR="00651900" w:rsidRPr="00C410C4">
        <w:t xml:space="preserve"> velice malá část analyzovaného trhu, měla v roce 2017 potíže s dodržováním limitů vyčištěných odpadních vod. Podíl nevyhovujících vzorků odpadních vod vypouštěných z ČOV vyšší než 20</w:t>
      </w:r>
      <w:r w:rsidRPr="00C410C4">
        <w:t xml:space="preserve"> </w:t>
      </w:r>
      <w:r w:rsidR="00651900" w:rsidRPr="00C410C4">
        <w:t xml:space="preserve">% byl nalezen na 0,5% podílu analyzovaného trhu (57 Porovnání; 2,29 </w:t>
      </w:r>
      <w:r w:rsidR="00E27252">
        <w:t>mil. m</w:t>
      </w:r>
      <w:r w:rsidR="00E27252" w:rsidRPr="00E27252">
        <w:rPr>
          <w:vertAlign w:val="superscript"/>
        </w:rPr>
        <w:t>3</w:t>
      </w:r>
      <w:r w:rsidR="00651900" w:rsidRPr="00C410C4">
        <w:t xml:space="preserve"> odpadní a srážkové vody fakturované).</w:t>
      </w:r>
      <w:r w:rsidR="00B26631">
        <w:t xml:space="preserve"> </w:t>
      </w:r>
    </w:p>
    <w:p w14:paraId="344FE10B" w14:textId="77777777" w:rsidR="004E5FFE" w:rsidRPr="00C410C4" w:rsidRDefault="00651900" w:rsidP="00C410C4">
      <w:pPr>
        <w:pStyle w:val="Normlnzprva"/>
      </w:pPr>
      <w:r w:rsidRPr="00C410C4">
        <w:t>Zbylé anomálie se týkají nesrovnalostí ve vykazování d</w:t>
      </w:r>
      <w:r w:rsidR="00112520" w:rsidRPr="00C410C4">
        <w:t xml:space="preserve">at. Je nutné upozornit na častý </w:t>
      </w:r>
      <w:r w:rsidRPr="00C410C4">
        <w:t>výskyt anomálie</w:t>
      </w:r>
      <w:r w:rsidR="00112520" w:rsidRPr="00C410C4">
        <w:t xml:space="preserve"> </w:t>
      </w:r>
      <w:r w:rsidRPr="00C410C4">
        <w:t xml:space="preserve">- nenulové množství odpadní vody odvedené na </w:t>
      </w:r>
      <w:r w:rsidR="00672C35" w:rsidRPr="00C410C4">
        <w:t>ČOV a nulový počet připojených obyvatel</w:t>
      </w:r>
      <w:r w:rsidRPr="00C410C4">
        <w:t xml:space="preserve"> na ČOV (277 Porovnání; 90,09% podíl analyzovaného trhu).</w:t>
      </w:r>
      <w:r w:rsidR="00D14C63" w:rsidRPr="00C410C4">
        <w:t xml:space="preserve"> </w:t>
      </w:r>
      <w:r w:rsidR="004E5FFE" w:rsidRPr="00C410C4">
        <w:t xml:space="preserve">MZe se bude těmito anomáliemi blíže zabývat. </w:t>
      </w:r>
    </w:p>
    <w:p w14:paraId="777937F6" w14:textId="08131C86" w:rsidR="00D14C63" w:rsidRPr="00C410C4" w:rsidRDefault="00D14C63" w:rsidP="00C410C4">
      <w:pPr>
        <w:pStyle w:val="Normlnzprva"/>
      </w:pPr>
      <w:r w:rsidRPr="00C410C4">
        <w:t>V následujícím grafu jsou znázorněny jednotlivé anomálie kromě nulového stočného</w:t>
      </w:r>
      <w:r w:rsidR="00B26631">
        <w:t xml:space="preserve"> </w:t>
      </w:r>
      <w:r w:rsidRPr="00C410C4">
        <w:t>celkem a n</w:t>
      </w:r>
      <w:r w:rsidR="00C410C4">
        <w:t>ulového objemu odpadní a srá</w:t>
      </w:r>
      <w:r w:rsidRPr="00C410C4">
        <w:t>žkové vody fakturované.</w:t>
      </w:r>
    </w:p>
    <w:p w14:paraId="0064D7D3" w14:textId="77777777" w:rsidR="00C73AD7" w:rsidRPr="00C410C4" w:rsidRDefault="00C73AD7" w:rsidP="00C410C4">
      <w:pPr>
        <w:pStyle w:val="Normlnzprva"/>
      </w:pPr>
    </w:p>
    <w:p w14:paraId="37B86C14" w14:textId="77777777" w:rsidR="00A10041" w:rsidRPr="00C62639" w:rsidRDefault="00A10041" w:rsidP="00A10041">
      <w:pPr>
        <w:pStyle w:val="normlntextvodstavcch"/>
        <w:ind w:firstLine="0"/>
        <w:jc w:val="center"/>
        <w:rPr>
          <w:rFonts w:asciiTheme="minorHAnsi" w:hAnsiTheme="minorHAnsi"/>
          <w:noProof/>
        </w:rPr>
      </w:pPr>
    </w:p>
    <w:p w14:paraId="39171E79" w14:textId="77777777" w:rsidR="004B35ED" w:rsidRDefault="004B35ED">
      <w:pPr>
        <w:spacing w:before="0" w:after="0"/>
        <w:contextualSpacing w:val="0"/>
        <w:jc w:val="left"/>
        <w:rPr>
          <w:rFonts w:asciiTheme="minorHAnsi" w:eastAsia="Times New Roman" w:hAnsiTheme="minorHAnsi"/>
          <w:noProof/>
          <w:color w:val="243F60"/>
          <w:szCs w:val="24"/>
        </w:rPr>
      </w:pPr>
      <w:r>
        <w:rPr>
          <w:rFonts w:asciiTheme="minorHAnsi" w:hAnsiTheme="minorHAnsi"/>
          <w:noProof/>
        </w:rPr>
        <w:br w:type="page"/>
      </w:r>
    </w:p>
    <w:p w14:paraId="46F8DCB3" w14:textId="77777777" w:rsidR="004B35ED" w:rsidRDefault="004B35ED">
      <w:pPr>
        <w:spacing w:before="0" w:after="0"/>
        <w:contextualSpacing w:val="0"/>
        <w:jc w:val="left"/>
        <w:rPr>
          <w:rFonts w:asciiTheme="minorHAnsi" w:hAnsiTheme="minorHAnsi"/>
          <w:noProof/>
        </w:rPr>
      </w:pPr>
    </w:p>
    <w:p w14:paraId="5437A993" w14:textId="77777777" w:rsidR="004B35ED" w:rsidRDefault="004B35ED">
      <w:pPr>
        <w:spacing w:before="0" w:after="0"/>
        <w:contextualSpacing w:val="0"/>
        <w:jc w:val="left"/>
        <w:rPr>
          <w:rFonts w:asciiTheme="minorHAnsi" w:hAnsiTheme="minorHAnsi"/>
          <w:noProof/>
        </w:rPr>
      </w:pPr>
    </w:p>
    <w:p w14:paraId="7671517A" w14:textId="77777777" w:rsidR="004B35ED" w:rsidRDefault="004B35ED">
      <w:pPr>
        <w:spacing w:before="0" w:after="0"/>
        <w:contextualSpacing w:val="0"/>
        <w:jc w:val="left"/>
        <w:rPr>
          <w:rFonts w:asciiTheme="minorHAnsi" w:hAnsiTheme="minorHAnsi"/>
          <w:noProof/>
        </w:rPr>
      </w:pPr>
    </w:p>
    <w:p w14:paraId="744FB6CB" w14:textId="77777777" w:rsidR="004B35ED" w:rsidRDefault="004B35ED">
      <w:pPr>
        <w:spacing w:before="0" w:after="0"/>
        <w:contextualSpacing w:val="0"/>
        <w:jc w:val="left"/>
        <w:rPr>
          <w:rFonts w:asciiTheme="minorHAnsi" w:hAnsiTheme="minorHAnsi"/>
          <w:noProof/>
        </w:rPr>
      </w:pPr>
    </w:p>
    <w:p w14:paraId="31248527" w14:textId="77777777" w:rsidR="004B35ED" w:rsidRDefault="004B35ED">
      <w:pPr>
        <w:spacing w:before="0" w:after="0"/>
        <w:contextualSpacing w:val="0"/>
        <w:jc w:val="left"/>
        <w:rPr>
          <w:rFonts w:asciiTheme="minorHAnsi" w:eastAsia="Times New Roman" w:hAnsiTheme="minorHAnsi"/>
          <w:noProof/>
          <w:color w:val="243F60"/>
          <w:szCs w:val="24"/>
        </w:rPr>
      </w:pPr>
      <w:r>
        <w:rPr>
          <w:rFonts w:asciiTheme="minorHAnsi" w:hAnsiTheme="minorHAnsi"/>
          <w:noProof/>
          <w:lang w:eastAsia="cs-CZ"/>
        </w:rPr>
        <w:drawing>
          <wp:anchor distT="0" distB="0" distL="114300" distR="114300" simplePos="0" relativeHeight="251665920" behindDoc="0" locked="0" layoutInCell="1" allowOverlap="1" wp14:anchorId="218E5EC8" wp14:editId="6DD6EDEE">
            <wp:simplePos x="0" y="0"/>
            <wp:positionH relativeFrom="column">
              <wp:posOffset>-73025</wp:posOffset>
            </wp:positionH>
            <wp:positionV relativeFrom="margin">
              <wp:align>center</wp:align>
            </wp:positionV>
            <wp:extent cx="5913755" cy="7708265"/>
            <wp:effectExtent l="19050" t="0" r="0" b="0"/>
            <wp:wrapTopAndBottom/>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913755" cy="7708265"/>
                    </a:xfrm>
                    <a:prstGeom prst="rect">
                      <a:avLst/>
                    </a:prstGeom>
                    <a:noFill/>
                    <a:ln w="9525">
                      <a:noFill/>
                      <a:miter lim="800000"/>
                      <a:headEnd/>
                      <a:tailEnd/>
                    </a:ln>
                  </pic:spPr>
                </pic:pic>
              </a:graphicData>
            </a:graphic>
          </wp:anchor>
        </w:drawing>
      </w:r>
    </w:p>
    <w:p w14:paraId="6115094D" w14:textId="77777777" w:rsidR="004B35ED" w:rsidRDefault="004B35ED">
      <w:pPr>
        <w:spacing w:before="0" w:after="0"/>
        <w:contextualSpacing w:val="0"/>
        <w:jc w:val="left"/>
        <w:rPr>
          <w:rFonts w:asciiTheme="minorHAnsi" w:eastAsia="Times New Roman" w:hAnsiTheme="minorHAnsi"/>
          <w:noProof/>
          <w:color w:val="243F60"/>
          <w:szCs w:val="24"/>
        </w:rPr>
      </w:pPr>
      <w:r>
        <w:rPr>
          <w:rFonts w:asciiTheme="minorHAnsi" w:hAnsiTheme="minorHAnsi"/>
          <w:noProof/>
        </w:rPr>
        <w:br w:type="page"/>
      </w:r>
    </w:p>
    <w:p w14:paraId="7F12AA88" w14:textId="77777777" w:rsidR="00A10041" w:rsidRDefault="00AC7194" w:rsidP="00165BB4">
      <w:pPr>
        <w:pStyle w:val="Nadpis3"/>
        <w:rPr>
          <w:rFonts w:asciiTheme="minorHAnsi" w:hAnsiTheme="minorHAnsi"/>
          <w:noProof/>
        </w:rPr>
      </w:pPr>
      <w:bookmarkStart w:id="51" w:name="_Toc505684435"/>
      <w:r>
        <w:rPr>
          <w:rFonts w:asciiTheme="minorHAnsi" w:hAnsiTheme="minorHAnsi"/>
          <w:noProof/>
          <w:lang w:eastAsia="cs-CZ"/>
        </w:rPr>
        <w:lastRenderedPageBreak/>
        <w:drawing>
          <wp:anchor distT="0" distB="0" distL="114300" distR="114300" simplePos="0" relativeHeight="251666944" behindDoc="0" locked="0" layoutInCell="1" allowOverlap="1" wp14:anchorId="6972A40B" wp14:editId="6E0C1914">
            <wp:simplePos x="0" y="0"/>
            <wp:positionH relativeFrom="margin">
              <wp:align>center</wp:align>
            </wp:positionH>
            <wp:positionV relativeFrom="paragraph">
              <wp:posOffset>341630</wp:posOffset>
            </wp:positionV>
            <wp:extent cx="6658610" cy="2538095"/>
            <wp:effectExtent l="19050" t="0" r="8890" b="0"/>
            <wp:wrapTopAndBottom/>
            <wp:docPr id="26"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658610" cy="2538095"/>
                    </a:xfrm>
                    <a:prstGeom prst="rect">
                      <a:avLst/>
                    </a:prstGeom>
                    <a:noFill/>
                    <a:ln w="9525">
                      <a:noFill/>
                      <a:miter lim="800000"/>
                      <a:headEnd/>
                      <a:tailEnd/>
                    </a:ln>
                  </pic:spPr>
                </pic:pic>
              </a:graphicData>
            </a:graphic>
          </wp:anchor>
        </w:drawing>
      </w:r>
      <w:r w:rsidR="00165BB4" w:rsidRPr="00C62639">
        <w:rPr>
          <w:rFonts w:asciiTheme="minorHAnsi" w:hAnsiTheme="minorHAnsi"/>
          <w:noProof/>
        </w:rPr>
        <w:t>Výskyt anomálii v jednotlivých skupinách provozovatelů</w:t>
      </w:r>
      <w:bookmarkEnd w:id="51"/>
      <w:r w:rsidR="00165BB4" w:rsidRPr="00C62639">
        <w:rPr>
          <w:rFonts w:asciiTheme="minorHAnsi" w:hAnsiTheme="minorHAnsi"/>
          <w:noProof/>
        </w:rPr>
        <w:t xml:space="preserve"> </w:t>
      </w:r>
    </w:p>
    <w:p w14:paraId="0A252243" w14:textId="77777777" w:rsidR="00AC7194" w:rsidRDefault="00AC7194" w:rsidP="00AC7194"/>
    <w:p w14:paraId="4DA02BBF" w14:textId="77777777" w:rsidR="00AC7194" w:rsidRDefault="00AC7194" w:rsidP="00AC7194"/>
    <w:p w14:paraId="14BB1C33" w14:textId="2A7812C8" w:rsidR="00AC7194" w:rsidRPr="00E27252" w:rsidRDefault="00AC7194" w:rsidP="00E27252">
      <w:pPr>
        <w:pStyle w:val="Normlnzprva"/>
      </w:pPr>
      <w:r w:rsidRPr="00E27252">
        <w:t xml:space="preserve">Pokud budeme porovnávat skupiny podle počtu výskytu anomálií a podle podílu odpadní a srážkové vody fakturované zasažené </w:t>
      </w:r>
      <w:r w:rsidR="00CB60B2" w:rsidRPr="00E27252">
        <w:t>anomáliemi</w:t>
      </w:r>
      <w:r w:rsidRPr="00E27252">
        <w:t>, jeví se jako nejvíce problematická VIII. skupina (</w:t>
      </w:r>
      <w:r w:rsidR="00CB60B2" w:rsidRPr="00E27252">
        <w:t xml:space="preserve">méně než </w:t>
      </w:r>
      <w:r w:rsidRPr="00E27252">
        <w:t>300</w:t>
      </w:r>
      <w:r w:rsidR="00CB60B2" w:rsidRPr="00E27252">
        <w:t xml:space="preserve"> osob na Porovnání</w:t>
      </w:r>
      <w:r w:rsidRPr="00E27252">
        <w:t xml:space="preserve">). Dalšími skupinami, u kterých anomálie ovlivňují více než 50% podíl objemu </w:t>
      </w:r>
      <w:r w:rsidR="008F2FA2" w:rsidRPr="00E27252">
        <w:t>odpadní a srážkové</w:t>
      </w:r>
      <w:r w:rsidR="00B26631" w:rsidRPr="00E27252">
        <w:t xml:space="preserve"> </w:t>
      </w:r>
      <w:r w:rsidRPr="00E27252">
        <w:t xml:space="preserve">vody fakturované ve skupině, </w:t>
      </w:r>
      <w:r w:rsidR="008F2FA2" w:rsidRPr="00E27252">
        <w:t>jsou II., V., VI. a VII. skupina</w:t>
      </w:r>
      <w:r w:rsidRPr="00E27252">
        <w:t xml:space="preserve">. </w:t>
      </w:r>
    </w:p>
    <w:p w14:paraId="693593E3" w14:textId="61C4EEC8" w:rsidR="00AC7194" w:rsidRPr="00E27252" w:rsidRDefault="008F2FA2" w:rsidP="00E27252">
      <w:pPr>
        <w:pStyle w:val="Normlnzprva"/>
      </w:pPr>
      <w:r w:rsidRPr="00E27252">
        <w:t>Následující</w:t>
      </w:r>
      <w:r w:rsidR="00AC7194" w:rsidRPr="00E27252">
        <w:t xml:space="preserve"> tabulka poskytuje </w:t>
      </w:r>
      <w:r w:rsidR="00C410C4" w:rsidRPr="00E27252">
        <w:t>p</w:t>
      </w:r>
      <w:r w:rsidR="00AC7194" w:rsidRPr="00E27252">
        <w:t xml:space="preserve">řehled výskytu jednotlivých sledovaných anomálií u skupin, </w:t>
      </w:r>
      <w:r w:rsidRPr="00E27252">
        <w:t>ve kterých</w:t>
      </w:r>
      <w:r w:rsidR="00AC7194" w:rsidRPr="00E27252">
        <w:t xml:space="preserve"> byl</w:t>
      </w:r>
      <w:r w:rsidRPr="00E27252">
        <w:t>a četnost výskytu anomálií více než 100.</w:t>
      </w:r>
      <w:r w:rsidR="00B26631" w:rsidRPr="00E27252">
        <w:t xml:space="preserve"> </w:t>
      </w:r>
      <w:r w:rsidR="00AC7194" w:rsidRPr="00E27252">
        <w:t>Jedná se o VI., VII. a VIII. skupinu provozovatelů, tj. provozovatelé, kteří odvádí a čistí odpadní a srážkovou vodu pro méně než 10 tis. obyvatelů.</w:t>
      </w:r>
      <w:r w:rsidR="00B26631" w:rsidRPr="00E27252">
        <w:t xml:space="preserve"> </w:t>
      </w:r>
      <w:r w:rsidR="00AC7194" w:rsidRPr="00E27252">
        <w:t xml:space="preserve">Služby </w:t>
      </w:r>
      <w:r w:rsidR="000E6D3E">
        <w:t xml:space="preserve">provozovatelských </w:t>
      </w:r>
      <w:r w:rsidR="00AC7194" w:rsidRPr="00E27252">
        <w:t xml:space="preserve">subjektů těchto skupin využívá 1,52 mil. obyvatel, kterým bylo v roce 2016 fakturováno 71,94 </w:t>
      </w:r>
      <w:r w:rsidR="00E27252">
        <w:t>mil. m</w:t>
      </w:r>
      <w:r w:rsidR="00E27252" w:rsidRPr="00E27252">
        <w:rPr>
          <w:vertAlign w:val="superscript"/>
        </w:rPr>
        <w:t>3</w:t>
      </w:r>
      <w:r w:rsidR="00AC7194" w:rsidRPr="00E27252">
        <w:t xml:space="preserve"> odpadní a srážkové vody (tj. 15,54% podíl analyzovaného trhu 462,85 </w:t>
      </w:r>
      <w:r w:rsidR="00E27252">
        <w:t>mil. m</w:t>
      </w:r>
      <w:r w:rsidR="00E27252" w:rsidRPr="00E27252">
        <w:rPr>
          <w:vertAlign w:val="superscript"/>
        </w:rPr>
        <w:t>3</w:t>
      </w:r>
      <w:r w:rsidR="00AC7194" w:rsidRPr="00E27252">
        <w:t>).</w:t>
      </w:r>
    </w:p>
    <w:p w14:paraId="4777509E" w14:textId="77777777" w:rsidR="00AC7194" w:rsidRPr="00AC7194" w:rsidRDefault="00AC7194" w:rsidP="00AC7194"/>
    <w:p w14:paraId="475C9F7B" w14:textId="37770856" w:rsidR="001F460A" w:rsidRDefault="001F460A" w:rsidP="009E0877">
      <w:pPr>
        <w:pStyle w:val="normlntextvodstavcch"/>
        <w:ind w:firstLine="0"/>
        <w:rPr>
          <w:rFonts w:asciiTheme="minorHAnsi" w:hAnsiTheme="minorHAnsi"/>
          <w:noProof/>
          <w:lang w:val="sk-SK" w:eastAsia="sk-SK"/>
        </w:rPr>
      </w:pPr>
    </w:p>
    <w:p w14:paraId="475F029B" w14:textId="77777777" w:rsidR="00FC6468" w:rsidRDefault="00FC6468" w:rsidP="009E0877">
      <w:pPr>
        <w:pStyle w:val="normlntextvodstavcch"/>
        <w:ind w:firstLine="0"/>
        <w:rPr>
          <w:rFonts w:asciiTheme="minorHAnsi" w:hAnsiTheme="minorHAnsi"/>
          <w:noProof/>
          <w:lang w:val="sk-SK" w:eastAsia="sk-SK"/>
        </w:rPr>
      </w:pPr>
    </w:p>
    <w:p w14:paraId="22F3D4BE" w14:textId="77777777" w:rsidR="004B35ED" w:rsidRPr="00C62639" w:rsidRDefault="004B35ED" w:rsidP="009E0877">
      <w:pPr>
        <w:pStyle w:val="normlntextvodstavcch"/>
        <w:ind w:firstLine="0"/>
        <w:rPr>
          <w:rFonts w:asciiTheme="minorHAnsi" w:hAnsiTheme="minorHAnsi"/>
          <w:noProof/>
        </w:rPr>
      </w:pPr>
    </w:p>
    <w:p w14:paraId="06C91D5E" w14:textId="77777777" w:rsidR="00F23EEA" w:rsidRDefault="00F23EEA">
      <w:pPr>
        <w:spacing w:before="0" w:after="0"/>
        <w:contextualSpacing w:val="0"/>
        <w:jc w:val="left"/>
        <w:sectPr w:rsidR="00F23EEA" w:rsidSect="00FF4564">
          <w:footerReference w:type="default" r:id="rId47"/>
          <w:pgSz w:w="11906" w:h="16838"/>
          <w:pgMar w:top="1418" w:right="1418" w:bottom="1418" w:left="1418" w:header="709" w:footer="709" w:gutter="0"/>
          <w:cols w:space="708"/>
          <w:docGrid w:linePitch="360"/>
        </w:sectPr>
      </w:pPr>
    </w:p>
    <w:bookmarkStart w:id="52" w:name="_MON_1579422558"/>
    <w:bookmarkEnd w:id="52"/>
    <w:p w14:paraId="1A32A786" w14:textId="21F1376C" w:rsidR="00F23EEA" w:rsidRDefault="00F14B2F" w:rsidP="003D08FA">
      <w:pPr>
        <w:spacing w:before="0" w:after="0"/>
        <w:contextualSpacing w:val="0"/>
        <w:sectPr w:rsidR="00F23EEA" w:rsidSect="00F23EEA">
          <w:footerReference w:type="default" r:id="rId48"/>
          <w:pgSz w:w="16838" w:h="11906" w:orient="landscape"/>
          <w:pgMar w:top="1418" w:right="1418" w:bottom="1418" w:left="1418" w:header="709" w:footer="709" w:gutter="0"/>
          <w:cols w:space="708"/>
          <w:docGrid w:linePitch="360"/>
        </w:sectPr>
      </w:pPr>
      <w:r>
        <w:object w:dxaOrig="13599" w:dyaOrig="8596" w14:anchorId="15F3A698">
          <v:shape id="_x0000_i1029" type="#_x0000_t75" style="width:681.3pt;height:428.8pt" o:ole="">
            <v:imagedata r:id="rId49" o:title=""/>
          </v:shape>
          <o:OLEObject Type="Embed" ProgID="Excel.Sheet.12" ShapeID="_x0000_i1029" DrawAspect="Content" ObjectID="_1585397944" r:id="rId50"/>
        </w:object>
      </w:r>
    </w:p>
    <w:p w14:paraId="7F354E18" w14:textId="0FE4CED9" w:rsidR="0073489A" w:rsidRPr="00E27252" w:rsidRDefault="00F400D3" w:rsidP="00E27252">
      <w:pPr>
        <w:pStyle w:val="Normlnzprva"/>
      </w:pPr>
      <w:r w:rsidRPr="00E27252">
        <w:lastRenderedPageBreak/>
        <w:t xml:space="preserve">U všech tří provozovatelských skupin se nejvíce </w:t>
      </w:r>
      <w:r w:rsidR="00187982" w:rsidRPr="00E27252">
        <w:t xml:space="preserve">vyskytuje </w:t>
      </w:r>
      <w:r w:rsidRPr="00E27252">
        <w:t>používání záporného kalkul</w:t>
      </w:r>
      <w:r w:rsidR="00AF5B58" w:rsidRPr="00E27252">
        <w:t>a</w:t>
      </w:r>
      <w:r w:rsidRPr="00E27252">
        <w:t>čního zisku</w:t>
      </w:r>
      <w:r w:rsidR="00187982" w:rsidRPr="00E27252">
        <w:t xml:space="preserve">. </w:t>
      </w:r>
      <w:r w:rsidRPr="00E27252">
        <w:t xml:space="preserve">Celková četnost výskytu této anomálie </w:t>
      </w:r>
      <w:r w:rsidR="00187982" w:rsidRPr="00E27252">
        <w:t>v uvedených skupinách</w:t>
      </w:r>
      <w:r w:rsidRPr="00E27252">
        <w:t xml:space="preserve"> </w:t>
      </w:r>
      <w:r w:rsidR="00170DB2" w:rsidRPr="00E27252">
        <w:t>činí 979 výskytů a podíl analyzovaného</w:t>
      </w:r>
      <w:r w:rsidR="00187982" w:rsidRPr="00E27252">
        <w:t xml:space="preserve"> trhu fakturované </w:t>
      </w:r>
      <w:r w:rsidR="00170DB2" w:rsidRPr="00E27252">
        <w:t xml:space="preserve">odpadní a srážkové </w:t>
      </w:r>
      <w:r w:rsidR="00187982" w:rsidRPr="00E27252">
        <w:t>vody zasažený</w:t>
      </w:r>
      <w:r w:rsidR="00170DB2" w:rsidRPr="00E27252">
        <w:t xml:space="preserve"> výskytem této anomálie činí 4,7</w:t>
      </w:r>
      <w:r w:rsidR="00C410C4" w:rsidRPr="00E27252">
        <w:t xml:space="preserve"> %</w:t>
      </w:r>
      <w:r w:rsidR="00B26631" w:rsidRPr="00E27252">
        <w:t xml:space="preserve"> </w:t>
      </w:r>
      <w:r w:rsidR="00170DB2" w:rsidRPr="00E27252">
        <w:t xml:space="preserve">(tj. </w:t>
      </w:r>
      <w:r w:rsidRPr="00E27252">
        <w:t xml:space="preserve">22,04 </w:t>
      </w:r>
      <w:r w:rsidR="00E27252">
        <w:t>mil. m</w:t>
      </w:r>
      <w:r w:rsidR="00E27252" w:rsidRPr="00E27252">
        <w:rPr>
          <w:vertAlign w:val="superscript"/>
        </w:rPr>
        <w:t>3</w:t>
      </w:r>
      <w:r w:rsidRPr="00E27252">
        <w:t>).</w:t>
      </w:r>
      <w:r w:rsidR="00B26631" w:rsidRPr="00E27252">
        <w:t xml:space="preserve"> </w:t>
      </w:r>
      <w:r w:rsidRPr="00E27252">
        <w:t>Lze tedy konstatovat, že záporný kalkul</w:t>
      </w:r>
      <w:r w:rsidR="0073489A" w:rsidRPr="00E27252">
        <w:t>a</w:t>
      </w:r>
      <w:r w:rsidRPr="00E27252">
        <w:t>ční zi</w:t>
      </w:r>
      <w:r w:rsidR="00170DB2" w:rsidRPr="00E27252">
        <w:t>sk je oblíbeným nástrojem</w:t>
      </w:r>
      <w:r w:rsidRPr="00E27252">
        <w:t xml:space="preserve"> snižování ceny pro stočné</w:t>
      </w:r>
      <w:r w:rsidR="008F2FA2" w:rsidRPr="00E27252">
        <w:t xml:space="preserve"> zejména</w:t>
      </w:r>
      <w:r w:rsidR="00C410C4" w:rsidRPr="00E27252">
        <w:t xml:space="preserve"> u </w:t>
      </w:r>
      <w:r w:rsidRPr="00E27252">
        <w:t>menších provozovatelských subjektů</w:t>
      </w:r>
      <w:r w:rsidR="0073489A" w:rsidRPr="00E27252">
        <w:t xml:space="preserve"> (nejč</w:t>
      </w:r>
      <w:r w:rsidRPr="00E27252">
        <w:t xml:space="preserve">astěji subjekty poskytující službu od 1 tis. do 10 tis. obyvatel). </w:t>
      </w:r>
    </w:p>
    <w:p w14:paraId="3B01DD17" w14:textId="2775C4CD" w:rsidR="00F400D3" w:rsidRPr="00E27252" w:rsidRDefault="00170DB2" w:rsidP="00E27252">
      <w:pPr>
        <w:pStyle w:val="Normlnzprva"/>
      </w:pPr>
      <w:r w:rsidRPr="00E27252">
        <w:t>Výskyt anomálie je z</w:t>
      </w:r>
      <w:r w:rsidR="008F2FA2" w:rsidRPr="00E27252">
        <w:t>kreslený dalším nalezeným nedostatkem</w:t>
      </w:r>
      <w:r w:rsidRPr="00E27252">
        <w:t>,</w:t>
      </w:r>
      <w:r w:rsidR="008F2FA2" w:rsidRPr="00E27252">
        <w:t xml:space="preserve"> a to p</w:t>
      </w:r>
      <w:r w:rsidR="0073489A" w:rsidRPr="00E27252">
        <w:t>oužívání</w:t>
      </w:r>
      <w:r w:rsidR="008F2FA2" w:rsidRPr="00E27252">
        <w:t>m</w:t>
      </w:r>
      <w:r w:rsidR="0073489A" w:rsidRPr="00E27252">
        <w:t xml:space="preserve"> nízkých jednicových úplných vlastních nákladů</w:t>
      </w:r>
      <w:r w:rsidRPr="00E27252">
        <w:t>.</w:t>
      </w:r>
      <w:r w:rsidR="0073489A" w:rsidRPr="00E27252">
        <w:t xml:space="preserve"> </w:t>
      </w:r>
      <w:r w:rsidRPr="00E27252">
        <w:t>V uveden</w:t>
      </w:r>
      <w:r w:rsidR="00C410C4" w:rsidRPr="00E27252">
        <w:t>ý</w:t>
      </w:r>
      <w:r w:rsidRPr="00E27252">
        <w:t xml:space="preserve">ch </w:t>
      </w:r>
      <w:r w:rsidR="00360D80" w:rsidRPr="00E27252">
        <w:t>skupinách byly</w:t>
      </w:r>
      <w:r w:rsidRPr="00E27252">
        <w:t xml:space="preserve"> nízké jednicové náklady identifikovány celkem na </w:t>
      </w:r>
      <w:r w:rsidR="0073489A" w:rsidRPr="00E27252">
        <w:t>483 Porovnání</w:t>
      </w:r>
      <w:r w:rsidRPr="00E27252">
        <w:t>ch</w:t>
      </w:r>
      <w:r w:rsidR="008F2FA2" w:rsidRPr="00E27252">
        <w:t xml:space="preserve">. Tato anomálie </w:t>
      </w:r>
      <w:r w:rsidR="0073489A" w:rsidRPr="00E27252">
        <w:t>upozorňuje na problematický přístup k tvorbě ceny pro stočné</w:t>
      </w:r>
      <w:r w:rsidRPr="00E27252">
        <w:t>, popř. v nedostatcích v evidenci souvisejících ekonomicky oprávněných nákladů</w:t>
      </w:r>
      <w:r w:rsidR="0073489A" w:rsidRPr="00E27252">
        <w:t xml:space="preserve">. Nejvíce se vyskytuje v VIII. a VII. skupině (298 a 168 Porovnání; 2,68 a 5,14 </w:t>
      </w:r>
      <w:r w:rsidR="00E27252">
        <w:t>mil. m</w:t>
      </w:r>
      <w:r w:rsidR="00E27252" w:rsidRPr="00E27252">
        <w:rPr>
          <w:vertAlign w:val="superscript"/>
        </w:rPr>
        <w:t>3</w:t>
      </w:r>
      <w:r w:rsidR="0073489A" w:rsidRPr="00E27252">
        <w:t xml:space="preserve"> odpadní a srážkové vody fakturované). Za všechny tři skupiny je to</w:t>
      </w:r>
      <w:r w:rsidR="008F2FA2" w:rsidRPr="00E27252">
        <w:t>uto anomálií zasažen 2,1% podíl a</w:t>
      </w:r>
      <w:r w:rsidR="0073489A" w:rsidRPr="00E27252">
        <w:t>nalyzovaného trhu.</w:t>
      </w:r>
      <w:r w:rsidR="00B26631" w:rsidRPr="00E27252">
        <w:t xml:space="preserve">  </w:t>
      </w:r>
    </w:p>
    <w:p w14:paraId="705DCE10" w14:textId="028E8A72" w:rsidR="0052479E" w:rsidRPr="00C410C4" w:rsidRDefault="0052479E" w:rsidP="00C410C4">
      <w:pPr>
        <w:pStyle w:val="Normlnzprva"/>
      </w:pPr>
      <w:r w:rsidRPr="00C410C4">
        <w:t xml:space="preserve">U </w:t>
      </w:r>
      <w:r w:rsidR="00170DB2" w:rsidRPr="00C410C4">
        <w:t xml:space="preserve">těchto </w:t>
      </w:r>
      <w:r w:rsidRPr="00C410C4">
        <w:t xml:space="preserve">tří </w:t>
      </w:r>
      <w:r w:rsidR="00170DB2" w:rsidRPr="00C410C4">
        <w:t xml:space="preserve">blíže </w:t>
      </w:r>
      <w:r w:rsidRPr="00C410C4">
        <w:t xml:space="preserve">zkoumaných skupin </w:t>
      </w:r>
      <w:r w:rsidR="0073489A" w:rsidRPr="00C410C4">
        <w:t xml:space="preserve">se často vyskytuje anomálie </w:t>
      </w:r>
      <w:r w:rsidRPr="00C410C4">
        <w:t>vysoký podíl zisku na úplných vlastních nákladech (hodnota více než 1,5 násobek mediánu skupiny z Porovnání s kladným kalkulačním ziskem)</w:t>
      </w:r>
      <w:r w:rsidR="0073489A" w:rsidRPr="00C410C4">
        <w:t>.</w:t>
      </w:r>
      <w:r w:rsidR="00B26631">
        <w:t xml:space="preserve"> </w:t>
      </w:r>
      <w:r w:rsidR="00360D80" w:rsidRPr="00C410C4">
        <w:t xml:space="preserve">Tato anomálie se vyskytuje u Porovnání ve VI. skupině s celkovým objemem fakturované odpadní a srážkové vody </w:t>
      </w:r>
      <w:r w:rsidR="0073489A" w:rsidRPr="00C410C4">
        <w:t>8,03</w:t>
      </w:r>
      <w:r w:rsidRPr="00C410C4">
        <w:t xml:space="preserve"> mil.</w:t>
      </w:r>
      <w:r w:rsidR="00E27252">
        <w:t> m</w:t>
      </w:r>
      <w:r w:rsidR="00E27252" w:rsidRPr="00E27252">
        <w:rPr>
          <w:vertAlign w:val="superscript"/>
        </w:rPr>
        <w:t>3</w:t>
      </w:r>
      <w:r w:rsidRPr="00C410C4">
        <w:t xml:space="preserve"> (</w:t>
      </w:r>
      <w:r w:rsidR="0073489A" w:rsidRPr="00C410C4">
        <w:t>16,93</w:t>
      </w:r>
      <w:r w:rsidRPr="00C410C4">
        <w:t xml:space="preserve">% podíl z objemu </w:t>
      </w:r>
      <w:r w:rsidR="0073489A" w:rsidRPr="00C410C4">
        <w:t xml:space="preserve">odpadní a srážkové </w:t>
      </w:r>
      <w:r w:rsidRPr="00C410C4">
        <w:t>vody fakturované ve skupině; 1,</w:t>
      </w:r>
      <w:r w:rsidR="00AF5B58" w:rsidRPr="00C410C4">
        <w:t>73</w:t>
      </w:r>
      <w:r w:rsidRPr="00C410C4">
        <w:t xml:space="preserve">% podíl analyzovaného trhu) Z hlediska četnosti výskytu je nejvíce poznamenána VII. provozovatelská skupina – </w:t>
      </w:r>
      <w:r w:rsidR="00AF5B58" w:rsidRPr="00C410C4">
        <w:t>97</w:t>
      </w:r>
      <w:r w:rsidRPr="00C410C4">
        <w:t xml:space="preserve"> Porovnání.</w:t>
      </w:r>
      <w:r w:rsidR="00B26631">
        <w:t xml:space="preserve"> </w:t>
      </w:r>
      <w:r w:rsidR="00170DB2" w:rsidRPr="00C410C4">
        <w:t>Výskyt v</w:t>
      </w:r>
      <w:r w:rsidR="00360D80" w:rsidRPr="00C410C4">
        <w:t>ysokého</w:t>
      </w:r>
      <w:r w:rsidR="00170DB2" w:rsidRPr="00C410C4">
        <w:t xml:space="preserve"> podíl</w:t>
      </w:r>
      <w:r w:rsidR="00360D80" w:rsidRPr="00C410C4">
        <w:t>u</w:t>
      </w:r>
      <w:r w:rsidR="00170DB2" w:rsidRPr="00C410C4">
        <w:t xml:space="preserve"> zisku na úplných vlastních nákladech je ovlivněn výskyte</w:t>
      </w:r>
      <w:r w:rsidR="00B71E5E" w:rsidRPr="00C410C4">
        <w:t>m ní</w:t>
      </w:r>
      <w:r w:rsidR="00E27252">
        <w:t>zkých jednicových nákladů, tj.</w:t>
      </w:r>
      <w:r w:rsidR="00B71E5E" w:rsidRPr="00C410C4">
        <w:t xml:space="preserve"> nedostateč</w:t>
      </w:r>
      <w:r w:rsidR="00C410C4">
        <w:t>n</w:t>
      </w:r>
      <w:r w:rsidR="00B71E5E" w:rsidRPr="00C410C4">
        <w:t>ou evidencí souvisejících ekonomicky oprávněných nákladů. Souvislost je patrná zejména u</w:t>
      </w:r>
      <w:r w:rsidR="00B26631">
        <w:t xml:space="preserve"> </w:t>
      </w:r>
      <w:r w:rsidR="00B71E5E" w:rsidRPr="00C410C4">
        <w:t>VII. a VIII. skupiny.</w:t>
      </w:r>
    </w:p>
    <w:p w14:paraId="59B71FD7" w14:textId="77777777" w:rsidR="00AF5B58" w:rsidRPr="00C410C4" w:rsidRDefault="00AF5B58" w:rsidP="00C410C4">
      <w:pPr>
        <w:pStyle w:val="Normlnzprva"/>
      </w:pPr>
    </w:p>
    <w:p w14:paraId="614D67D3" w14:textId="0FDE2E6A" w:rsidR="0052479E" w:rsidRPr="00C410C4" w:rsidRDefault="00AF5B58" w:rsidP="00C410C4">
      <w:pPr>
        <w:pStyle w:val="Normlnzprva"/>
      </w:pPr>
      <w:r w:rsidRPr="00C410C4">
        <w:t xml:space="preserve">Další anomálie upozorňují na problémy související se sledováním dat o provozu. Nejčastěji se jedná o nesrovnalost při evidenci odvedených odpadních vod na ČOV a počtu připojených </w:t>
      </w:r>
      <w:r w:rsidR="002726B2" w:rsidRPr="00C410C4">
        <w:t>o</w:t>
      </w:r>
      <w:r w:rsidRPr="00C410C4">
        <w:t>byvatel na ČOV. Nejpočetnější v</w:t>
      </w:r>
      <w:r w:rsidR="00B71E5E" w:rsidRPr="00C410C4">
        <w:t xml:space="preserve">ýskyt evidujeme v VII. </w:t>
      </w:r>
      <w:r w:rsidR="000E6D3E">
        <w:t>s</w:t>
      </w:r>
      <w:r w:rsidR="00B71E5E" w:rsidRPr="00C410C4">
        <w:t xml:space="preserve">kupině, a to </w:t>
      </w:r>
      <w:r w:rsidRPr="00C410C4">
        <w:t xml:space="preserve">125 Porovnání. </w:t>
      </w:r>
    </w:p>
    <w:p w14:paraId="7194F8FE" w14:textId="77777777" w:rsidR="00B71E5E" w:rsidRPr="00C410C4" w:rsidRDefault="00B71E5E" w:rsidP="00C410C4">
      <w:pPr>
        <w:pStyle w:val="Normlnzprva"/>
      </w:pPr>
    </w:p>
    <w:p w14:paraId="7B212553" w14:textId="77999BD1" w:rsidR="0052479E" w:rsidRPr="00C410C4" w:rsidRDefault="0052479E" w:rsidP="00C410C4">
      <w:pPr>
        <w:pStyle w:val="Normlnzprva"/>
      </w:pPr>
      <w:r w:rsidRPr="00C410C4">
        <w:t xml:space="preserve">Pro ucelení přehledu dále uvádíme graf znázorňující situaci </w:t>
      </w:r>
      <w:r w:rsidR="00DD233A" w:rsidRPr="00C410C4">
        <w:t>u</w:t>
      </w:r>
      <w:r w:rsidR="00B26631">
        <w:t xml:space="preserve"> </w:t>
      </w:r>
      <w:r w:rsidRPr="00C410C4">
        <w:t>jednotlivých skupin.</w:t>
      </w:r>
    </w:p>
    <w:p w14:paraId="41A1E780" w14:textId="77777777" w:rsidR="00A10041" w:rsidRPr="00C62639" w:rsidRDefault="00A10041" w:rsidP="00187982">
      <w:pPr>
        <w:pStyle w:val="Normlnzprva"/>
        <w:rPr>
          <w:noProof/>
        </w:rPr>
      </w:pPr>
    </w:p>
    <w:p w14:paraId="7B3AE733" w14:textId="77777777" w:rsidR="00A10041" w:rsidRPr="00C62639" w:rsidRDefault="00A10041" w:rsidP="007F51D9">
      <w:pPr>
        <w:pStyle w:val="normlntextvodstavcch"/>
        <w:ind w:firstLine="0"/>
        <w:jc w:val="left"/>
        <w:rPr>
          <w:rFonts w:asciiTheme="minorHAnsi" w:hAnsiTheme="minorHAnsi"/>
          <w:noProof/>
        </w:rPr>
      </w:pPr>
    </w:p>
    <w:p w14:paraId="1DC4773B" w14:textId="77777777" w:rsidR="00FB77F8" w:rsidRPr="00C62639" w:rsidRDefault="00FB77F8" w:rsidP="00CC3B49">
      <w:pPr>
        <w:pStyle w:val="normlntextvodstavcch"/>
        <w:ind w:firstLine="0"/>
        <w:rPr>
          <w:rFonts w:asciiTheme="minorHAnsi" w:hAnsiTheme="minorHAnsi"/>
          <w:noProof/>
        </w:rPr>
      </w:pPr>
    </w:p>
    <w:p w14:paraId="151ED4E6" w14:textId="072117FC" w:rsidR="0052479E" w:rsidRDefault="00240BC4">
      <w:pPr>
        <w:spacing w:before="0" w:after="0"/>
        <w:contextualSpacing w:val="0"/>
        <w:jc w:val="left"/>
        <w:rPr>
          <w:rFonts w:asciiTheme="minorHAnsi" w:eastAsia="Times New Roman" w:hAnsiTheme="minorHAnsi"/>
          <w:noProof/>
          <w:color w:val="243F60"/>
          <w:szCs w:val="24"/>
        </w:rPr>
      </w:pPr>
      <w:bookmarkStart w:id="53" w:name="_Toc459133206"/>
      <w:bookmarkStart w:id="54" w:name="_Toc495564970"/>
      <w:r>
        <w:rPr>
          <w:noProof/>
          <w:lang w:eastAsia="cs-CZ"/>
        </w:rPr>
        <w:lastRenderedPageBreak/>
        <w:drawing>
          <wp:anchor distT="0" distB="0" distL="114300" distR="114300" simplePos="0" relativeHeight="251700224" behindDoc="0" locked="0" layoutInCell="1" allowOverlap="1" wp14:anchorId="1BA1C0CB" wp14:editId="6702C5AE">
            <wp:simplePos x="0" y="0"/>
            <wp:positionH relativeFrom="margin">
              <wp:posOffset>-245337</wp:posOffset>
            </wp:positionH>
            <wp:positionV relativeFrom="paragraph">
              <wp:posOffset>426</wp:posOffset>
            </wp:positionV>
            <wp:extent cx="6250305" cy="9007305"/>
            <wp:effectExtent l="0" t="0" r="0" b="3810"/>
            <wp:wrapTopAndBottom/>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r w:rsidR="0052479E">
        <w:rPr>
          <w:rFonts w:asciiTheme="minorHAnsi" w:hAnsiTheme="minorHAnsi"/>
          <w:noProof/>
        </w:rPr>
        <w:br w:type="page"/>
      </w:r>
      <w:bookmarkStart w:id="55" w:name="_GoBack"/>
      <w:bookmarkEnd w:id="55"/>
    </w:p>
    <w:p w14:paraId="5ADA3373" w14:textId="018F6A41" w:rsidR="00DB6454" w:rsidRDefault="00DB6454" w:rsidP="00DB6454">
      <w:pPr>
        <w:pStyle w:val="Nadpis3"/>
        <w:rPr>
          <w:rFonts w:asciiTheme="minorHAnsi" w:hAnsiTheme="minorHAnsi"/>
          <w:noProof/>
        </w:rPr>
      </w:pPr>
      <w:bookmarkStart w:id="56" w:name="_Toc505684436"/>
      <w:r w:rsidRPr="00C62639">
        <w:rPr>
          <w:rFonts w:asciiTheme="minorHAnsi" w:hAnsiTheme="minorHAnsi"/>
          <w:noProof/>
        </w:rPr>
        <w:lastRenderedPageBreak/>
        <w:t>Porovnání optimálních hodnot sledovaných ukazatelů jednotlivých skupin provozovatelských subjektů</w:t>
      </w:r>
      <w:r w:rsidR="00B26631">
        <w:rPr>
          <w:rFonts w:asciiTheme="minorHAnsi" w:hAnsiTheme="minorHAnsi"/>
          <w:noProof/>
        </w:rPr>
        <w:t xml:space="preserve"> </w:t>
      </w:r>
      <w:r w:rsidRPr="00C62639">
        <w:rPr>
          <w:rFonts w:asciiTheme="minorHAnsi" w:hAnsiTheme="minorHAnsi"/>
          <w:noProof/>
        </w:rPr>
        <w:t>- kanalizace</w:t>
      </w:r>
      <w:bookmarkEnd w:id="56"/>
    </w:p>
    <w:p w14:paraId="7FF4AFF2" w14:textId="77777777" w:rsidR="00D16669" w:rsidRDefault="00D16669" w:rsidP="00D16669"/>
    <w:p w14:paraId="690EC9B4" w14:textId="78F61E39" w:rsidR="00D16669" w:rsidRPr="00C410C4" w:rsidRDefault="00D16669" w:rsidP="00C410C4">
      <w:pPr>
        <w:pStyle w:val="Normlnzprva"/>
      </w:pPr>
      <w:r w:rsidRPr="00C410C4">
        <w:t>V </w:t>
      </w:r>
      <w:r w:rsidR="00B71E5E" w:rsidRPr="00C410C4">
        <w:t>následující tabulce jsou uvedeny</w:t>
      </w:r>
      <w:r w:rsidRPr="00C410C4">
        <w:t xml:space="preserve"> optimální hodnoty </w:t>
      </w:r>
      <w:r w:rsidR="00B71E5E" w:rsidRPr="00C410C4">
        <w:t xml:space="preserve">vybraných </w:t>
      </w:r>
      <w:r w:rsidRPr="00C410C4">
        <w:t>ukazatelů definovaného optimálního provozovatele v každé skupině.</w:t>
      </w:r>
      <w:r w:rsidR="00B26631">
        <w:t xml:space="preserve"> </w:t>
      </w:r>
      <w:r w:rsidRPr="00C410C4">
        <w:t xml:space="preserve">Při jejich výpočtu se postupovalo v souladu s platnou metodikou a postupy uvedenými v bodě 3.4 a 3.5. </w:t>
      </w:r>
    </w:p>
    <w:p w14:paraId="775CE2B7" w14:textId="77777777" w:rsidR="00D16669" w:rsidRPr="00C410C4" w:rsidRDefault="00D16669" w:rsidP="00C410C4">
      <w:pPr>
        <w:pStyle w:val="Normlnzprva"/>
      </w:pPr>
    </w:p>
    <w:p w14:paraId="41728F00" w14:textId="0CC63D1A" w:rsidR="00D16669" w:rsidRPr="00C410C4" w:rsidRDefault="00D16669" w:rsidP="00C410C4">
      <w:pPr>
        <w:pStyle w:val="Normlnzprva"/>
      </w:pPr>
      <w:r w:rsidRPr="00C410C4">
        <w:t>Podle průměrných hodnot je možné se pokusit velice zjednodušeně specifikovat charakteristiky optimálního provozovatele pro celý obor kanalizací.</w:t>
      </w:r>
      <w:r w:rsidR="00B26631">
        <w:t xml:space="preserve"> </w:t>
      </w:r>
      <w:r w:rsidRPr="00C410C4">
        <w:t>Optimální provozovatel VIM pro odpadní a srážkovou vodu poskytuje své služby za cenu 35,</w:t>
      </w:r>
      <w:r w:rsidR="00662DA6" w:rsidRPr="00C410C4">
        <w:t>76</w:t>
      </w:r>
      <w:r w:rsidRPr="00C410C4">
        <w:t xml:space="preserve"> Kč/</w:t>
      </w:r>
      <w:r w:rsidR="00E27252">
        <w:t xml:space="preserve"> m</w:t>
      </w:r>
      <w:r w:rsidR="00E27252" w:rsidRPr="00E27252">
        <w:rPr>
          <w:vertAlign w:val="superscript"/>
        </w:rPr>
        <w:t>3</w:t>
      </w:r>
      <w:r w:rsidR="00B71E5E" w:rsidRPr="00C410C4">
        <w:t xml:space="preserve"> s</w:t>
      </w:r>
      <w:r w:rsidRPr="00C410C4">
        <w:t xml:space="preserve"> jednotkový</w:t>
      </w:r>
      <w:r w:rsidR="00B71E5E" w:rsidRPr="00C410C4">
        <w:t xml:space="preserve">mi </w:t>
      </w:r>
      <w:r w:rsidRPr="00C410C4">
        <w:t>náklad</w:t>
      </w:r>
      <w:r w:rsidR="00B71E5E" w:rsidRPr="00C410C4">
        <w:t>y ve výši</w:t>
      </w:r>
      <w:r w:rsidRPr="00C410C4">
        <w:t xml:space="preserve"> 32,</w:t>
      </w:r>
      <w:r w:rsidR="00662DA6" w:rsidRPr="00C410C4">
        <w:t>34</w:t>
      </w:r>
      <w:r w:rsidRPr="00C410C4">
        <w:t xml:space="preserve"> Kč/</w:t>
      </w:r>
      <w:r w:rsidR="00E27252">
        <w:t xml:space="preserve"> m</w:t>
      </w:r>
      <w:r w:rsidR="00E27252" w:rsidRPr="00E27252">
        <w:rPr>
          <w:vertAlign w:val="superscript"/>
        </w:rPr>
        <w:t>3</w:t>
      </w:r>
      <w:r w:rsidRPr="00C410C4">
        <w:t xml:space="preserve">. Na jednoho pracovníka společnosti připadá přibližně </w:t>
      </w:r>
      <w:r w:rsidR="00662DA6" w:rsidRPr="00C410C4">
        <w:t>78,70</w:t>
      </w:r>
      <w:r w:rsidRPr="00C410C4">
        <w:t xml:space="preserve"> </w:t>
      </w:r>
      <w:r w:rsidR="00662DA6" w:rsidRPr="00C410C4">
        <w:t xml:space="preserve">tis. </w:t>
      </w:r>
      <w:r w:rsidR="00E27252">
        <w:t xml:space="preserve"> m</w:t>
      </w:r>
      <w:r w:rsidR="00E27252" w:rsidRPr="00E27252">
        <w:rPr>
          <w:vertAlign w:val="superscript"/>
        </w:rPr>
        <w:t>3</w:t>
      </w:r>
      <w:r w:rsidR="00662DA6" w:rsidRPr="00C410C4">
        <w:t xml:space="preserve"> vypouštěné odpadní a srážkové vody. P</w:t>
      </w:r>
      <w:r w:rsidRPr="00C410C4">
        <w:t xml:space="preserve">odíl </w:t>
      </w:r>
      <w:r w:rsidR="00662DA6" w:rsidRPr="00C410C4">
        <w:t xml:space="preserve">čištěných odpadních vod </w:t>
      </w:r>
      <w:r w:rsidRPr="00C410C4">
        <w:t xml:space="preserve">je </w:t>
      </w:r>
      <w:r w:rsidR="00662DA6" w:rsidRPr="00C410C4">
        <w:t>99,96</w:t>
      </w:r>
      <w:r w:rsidR="0094649F" w:rsidRPr="00C410C4">
        <w:t xml:space="preserve"> </w:t>
      </w:r>
      <w:r w:rsidRPr="00C410C4">
        <w:t xml:space="preserve">%. V rámci ceny pro </w:t>
      </w:r>
      <w:r w:rsidR="00662DA6" w:rsidRPr="00C410C4">
        <w:t xml:space="preserve">stočné </w:t>
      </w:r>
      <w:r w:rsidRPr="00C410C4">
        <w:t>se generují prostředky na obnovu ve výši 2,</w:t>
      </w:r>
      <w:r w:rsidR="00662DA6" w:rsidRPr="00C410C4">
        <w:t>09</w:t>
      </w:r>
      <w:r w:rsidRPr="00C410C4">
        <w:t xml:space="preserve"> Kč na 1</w:t>
      </w:r>
      <w:r w:rsidR="0094649F" w:rsidRPr="00C410C4">
        <w:t xml:space="preserve"> </w:t>
      </w:r>
      <w:r w:rsidRPr="00C410C4">
        <w:t xml:space="preserve">Kč hodnoty VIM podle VÚME. </w:t>
      </w:r>
    </w:p>
    <w:p w14:paraId="62E4CB0A" w14:textId="77777777" w:rsidR="00D16669" w:rsidRDefault="00D16669" w:rsidP="00B71E5E">
      <w:pPr>
        <w:pStyle w:val="Normlnzprva"/>
      </w:pPr>
    </w:p>
    <w:p w14:paraId="7E4E28E1" w14:textId="77777777" w:rsidR="00D16669" w:rsidRPr="00D16669" w:rsidRDefault="00D16669" w:rsidP="00D16669"/>
    <w:tbl>
      <w:tblPr>
        <w:tblW w:w="5000" w:type="pct"/>
        <w:jc w:val="center"/>
        <w:tblCellMar>
          <w:left w:w="70" w:type="dxa"/>
          <w:right w:w="70" w:type="dxa"/>
        </w:tblCellMar>
        <w:tblLook w:val="04A0" w:firstRow="1" w:lastRow="0" w:firstColumn="1" w:lastColumn="0" w:noHBand="0" w:noVBand="1"/>
      </w:tblPr>
      <w:tblGrid>
        <w:gridCol w:w="1296"/>
        <w:gridCol w:w="1296"/>
        <w:gridCol w:w="1296"/>
        <w:gridCol w:w="1296"/>
        <w:gridCol w:w="1296"/>
        <w:gridCol w:w="1295"/>
        <w:gridCol w:w="1295"/>
      </w:tblGrid>
      <w:tr w:rsidR="00662DA6" w:rsidRPr="00662DA6" w14:paraId="40BEA658" w14:textId="77777777" w:rsidTr="00662DA6">
        <w:trPr>
          <w:trHeight w:val="1545"/>
          <w:jc w:val="center"/>
        </w:trPr>
        <w:tc>
          <w:tcPr>
            <w:tcW w:w="714" w:type="pct"/>
            <w:tcBorders>
              <w:top w:val="nil"/>
              <w:left w:val="nil"/>
              <w:bottom w:val="single" w:sz="12" w:space="0" w:color="FFFFFF"/>
              <w:right w:val="single" w:sz="4" w:space="0" w:color="FFFFFF"/>
            </w:tcBorders>
            <w:shd w:val="clear" w:color="ED7D31" w:fill="ED7D31"/>
            <w:vAlign w:val="center"/>
            <w:hideMark/>
          </w:tcPr>
          <w:p w14:paraId="17832F4F" w14:textId="77777777" w:rsidR="00662DA6" w:rsidRPr="00662DA6" w:rsidRDefault="00662DA6"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Ukazatel</w:t>
            </w:r>
          </w:p>
        </w:tc>
        <w:tc>
          <w:tcPr>
            <w:tcW w:w="714" w:type="pct"/>
            <w:tcBorders>
              <w:top w:val="nil"/>
              <w:left w:val="nil"/>
              <w:bottom w:val="single" w:sz="12" w:space="0" w:color="FFFFFF"/>
              <w:right w:val="single" w:sz="4" w:space="0" w:color="FFFFFF"/>
            </w:tcBorders>
            <w:shd w:val="clear" w:color="ED7D31" w:fill="ED7D31"/>
            <w:vAlign w:val="center"/>
            <w:hideMark/>
          </w:tcPr>
          <w:p w14:paraId="1EBAAF03" w14:textId="77777777" w:rsidR="00662DA6" w:rsidRPr="00662DA6" w:rsidRDefault="00662DA6"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Operační koeficient</w:t>
            </w:r>
          </w:p>
        </w:tc>
        <w:tc>
          <w:tcPr>
            <w:tcW w:w="714" w:type="pct"/>
            <w:tcBorders>
              <w:top w:val="nil"/>
              <w:left w:val="nil"/>
              <w:bottom w:val="single" w:sz="12" w:space="0" w:color="FFFFFF"/>
              <w:right w:val="single" w:sz="4" w:space="0" w:color="FFFFFF"/>
            </w:tcBorders>
            <w:shd w:val="clear" w:color="ED7D31" w:fill="ED7D31"/>
            <w:vAlign w:val="center"/>
            <w:hideMark/>
          </w:tcPr>
          <w:p w14:paraId="7AD8BA3D" w14:textId="4EEEAFF4" w:rsidR="00662DA6" w:rsidRPr="00662DA6" w:rsidRDefault="00662DA6"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 xml:space="preserve">Vykázané jednotkové náklady na 1 </w:t>
            </w:r>
            <w:r w:rsidR="00E27252">
              <w:rPr>
                <w:rFonts w:asciiTheme="majorHAnsi" w:eastAsia="Times New Roman" w:hAnsiTheme="majorHAnsi"/>
                <w:b/>
                <w:bCs/>
                <w:color w:val="FFFFFF"/>
                <w:sz w:val="18"/>
                <w:lang w:eastAsia="cs-CZ"/>
              </w:rPr>
              <w:t xml:space="preserve"> m</w:t>
            </w:r>
            <w:r w:rsidR="00E27252" w:rsidRPr="00E27252">
              <w:rPr>
                <w:rFonts w:asciiTheme="majorHAnsi" w:eastAsia="Times New Roman" w:hAnsiTheme="majorHAnsi"/>
                <w:b/>
                <w:bCs/>
                <w:color w:val="FFFFFF"/>
                <w:sz w:val="18"/>
                <w:vertAlign w:val="superscript"/>
                <w:lang w:eastAsia="cs-CZ"/>
              </w:rPr>
              <w:t>3</w:t>
            </w:r>
            <w:r w:rsidRPr="00662DA6">
              <w:rPr>
                <w:rFonts w:asciiTheme="majorHAnsi" w:eastAsia="Times New Roman" w:hAnsiTheme="majorHAnsi"/>
                <w:b/>
                <w:bCs/>
                <w:color w:val="FFFFFF"/>
                <w:sz w:val="18"/>
                <w:lang w:eastAsia="cs-CZ"/>
              </w:rPr>
              <w:t xml:space="preserve"> odpadní vody</w:t>
            </w:r>
          </w:p>
        </w:tc>
        <w:tc>
          <w:tcPr>
            <w:tcW w:w="714" w:type="pct"/>
            <w:tcBorders>
              <w:top w:val="nil"/>
              <w:left w:val="nil"/>
              <w:bottom w:val="single" w:sz="12" w:space="0" w:color="FFFFFF"/>
              <w:right w:val="single" w:sz="4" w:space="0" w:color="FFFFFF"/>
            </w:tcBorders>
            <w:shd w:val="clear" w:color="ED7D31" w:fill="ED7D31"/>
            <w:vAlign w:val="center"/>
            <w:hideMark/>
          </w:tcPr>
          <w:p w14:paraId="676DA02E" w14:textId="77777777" w:rsidR="00662DA6" w:rsidRPr="00662DA6" w:rsidRDefault="00662DA6"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Cena pro stočné</w:t>
            </w:r>
          </w:p>
        </w:tc>
        <w:tc>
          <w:tcPr>
            <w:tcW w:w="714" w:type="pct"/>
            <w:tcBorders>
              <w:top w:val="nil"/>
              <w:left w:val="nil"/>
              <w:bottom w:val="single" w:sz="12" w:space="0" w:color="FFFFFF"/>
              <w:right w:val="single" w:sz="4" w:space="0" w:color="FFFFFF"/>
            </w:tcBorders>
            <w:shd w:val="clear" w:color="ED7D31" w:fill="ED7D31"/>
            <w:vAlign w:val="center"/>
            <w:hideMark/>
          </w:tcPr>
          <w:p w14:paraId="73A705CF" w14:textId="77777777" w:rsidR="00662DA6" w:rsidRPr="00662DA6" w:rsidRDefault="00662DA6"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Podíl generovaných prostředků na obnovu a rozvoj k hodnotě VIM</w:t>
            </w:r>
          </w:p>
        </w:tc>
        <w:tc>
          <w:tcPr>
            <w:tcW w:w="714" w:type="pct"/>
            <w:tcBorders>
              <w:top w:val="nil"/>
              <w:left w:val="nil"/>
              <w:bottom w:val="single" w:sz="12" w:space="0" w:color="FFFFFF"/>
              <w:right w:val="single" w:sz="4" w:space="0" w:color="FFFFFF"/>
            </w:tcBorders>
            <w:shd w:val="clear" w:color="ED7D31" w:fill="ED7D31"/>
            <w:vAlign w:val="center"/>
            <w:hideMark/>
          </w:tcPr>
          <w:p w14:paraId="6996D520" w14:textId="157451D2" w:rsidR="00662DA6" w:rsidRPr="00662DA6" w:rsidRDefault="00662DA6"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 xml:space="preserve">Vypouštěné odpadní vody včetně srážkových na pracovníka společnosti </w:t>
            </w:r>
            <w:r w:rsidRPr="00662DA6">
              <w:rPr>
                <w:rFonts w:asciiTheme="majorHAnsi" w:eastAsia="Times New Roman" w:hAnsiTheme="majorHAnsi"/>
                <w:b/>
                <w:bCs/>
                <w:color w:val="FFFFFF"/>
                <w:sz w:val="18"/>
                <w:lang w:eastAsia="cs-CZ"/>
              </w:rPr>
              <w:br/>
              <w:t xml:space="preserve">(tis. </w:t>
            </w:r>
            <w:r w:rsidR="00E27252">
              <w:rPr>
                <w:rFonts w:asciiTheme="majorHAnsi" w:eastAsia="Times New Roman" w:hAnsiTheme="majorHAnsi"/>
                <w:b/>
                <w:bCs/>
                <w:color w:val="FFFFFF"/>
                <w:sz w:val="18"/>
                <w:lang w:eastAsia="cs-CZ"/>
              </w:rPr>
              <w:t xml:space="preserve"> m</w:t>
            </w:r>
            <w:r w:rsidR="00E27252" w:rsidRPr="00E27252">
              <w:rPr>
                <w:rFonts w:asciiTheme="majorHAnsi" w:eastAsia="Times New Roman" w:hAnsiTheme="majorHAnsi"/>
                <w:b/>
                <w:bCs/>
                <w:color w:val="FFFFFF"/>
                <w:sz w:val="18"/>
                <w:vertAlign w:val="superscript"/>
                <w:lang w:eastAsia="cs-CZ"/>
              </w:rPr>
              <w:t>3</w:t>
            </w:r>
            <w:r w:rsidRPr="00662DA6">
              <w:rPr>
                <w:rFonts w:asciiTheme="majorHAnsi" w:eastAsia="Times New Roman" w:hAnsiTheme="majorHAnsi"/>
                <w:b/>
                <w:bCs/>
                <w:color w:val="FFFFFF"/>
                <w:sz w:val="18"/>
                <w:lang w:eastAsia="cs-CZ"/>
              </w:rPr>
              <w:t>/zam.)</w:t>
            </w:r>
          </w:p>
        </w:tc>
        <w:tc>
          <w:tcPr>
            <w:tcW w:w="714" w:type="pct"/>
            <w:tcBorders>
              <w:top w:val="nil"/>
              <w:left w:val="nil"/>
              <w:bottom w:val="single" w:sz="12" w:space="0" w:color="FFFFFF"/>
              <w:right w:val="nil"/>
            </w:tcBorders>
            <w:shd w:val="clear" w:color="ED7D31" w:fill="ED7D31"/>
            <w:vAlign w:val="center"/>
            <w:hideMark/>
          </w:tcPr>
          <w:p w14:paraId="5A7B2170" w14:textId="77777777" w:rsidR="00662DA6" w:rsidRPr="00662DA6" w:rsidRDefault="00662DA6"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Podíl čištěných odpadních vod</w:t>
            </w:r>
          </w:p>
        </w:tc>
      </w:tr>
      <w:tr w:rsidR="00662DA6" w:rsidRPr="00662DA6" w14:paraId="32ECAC5D" w14:textId="77777777" w:rsidTr="00662DA6">
        <w:trPr>
          <w:trHeight w:val="315"/>
          <w:jc w:val="center"/>
        </w:trPr>
        <w:tc>
          <w:tcPr>
            <w:tcW w:w="714" w:type="pct"/>
            <w:tcBorders>
              <w:top w:val="single" w:sz="4" w:space="0" w:color="FFFFFF"/>
              <w:left w:val="nil"/>
              <w:bottom w:val="single" w:sz="4" w:space="0" w:color="FFFFFF"/>
              <w:right w:val="single" w:sz="4" w:space="0" w:color="FFFFFF"/>
            </w:tcBorders>
            <w:shd w:val="clear" w:color="F8CBAD" w:fill="F8CBAD"/>
            <w:noWrap/>
            <w:vAlign w:val="center"/>
            <w:hideMark/>
          </w:tcPr>
          <w:p w14:paraId="6D0063F2"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Skupina I.</w:t>
            </w:r>
          </w:p>
        </w:tc>
        <w:tc>
          <w:tcPr>
            <w:tcW w:w="714" w:type="pct"/>
            <w:tcBorders>
              <w:top w:val="single" w:sz="4" w:space="0" w:color="FFFFFF"/>
              <w:left w:val="nil"/>
              <w:bottom w:val="single" w:sz="4" w:space="0" w:color="FFFFFF"/>
              <w:right w:val="single" w:sz="4" w:space="0" w:color="FFFFFF"/>
            </w:tcBorders>
            <w:shd w:val="clear" w:color="F8CBAD" w:fill="F8CBAD"/>
            <w:noWrap/>
            <w:vAlign w:val="center"/>
            <w:hideMark/>
          </w:tcPr>
          <w:p w14:paraId="43071CEC"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1,12</w:t>
            </w:r>
          </w:p>
        </w:tc>
        <w:tc>
          <w:tcPr>
            <w:tcW w:w="714" w:type="pct"/>
            <w:tcBorders>
              <w:top w:val="single" w:sz="4" w:space="0" w:color="FFFFFF"/>
              <w:left w:val="nil"/>
              <w:bottom w:val="single" w:sz="4" w:space="0" w:color="FFFFFF"/>
              <w:right w:val="single" w:sz="4" w:space="0" w:color="FFFFFF"/>
            </w:tcBorders>
            <w:shd w:val="clear" w:color="F8CBAD" w:fill="F8CBAD"/>
            <w:noWrap/>
            <w:vAlign w:val="center"/>
            <w:hideMark/>
          </w:tcPr>
          <w:p w14:paraId="02ED53B1"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33,49</w:t>
            </w:r>
          </w:p>
        </w:tc>
        <w:tc>
          <w:tcPr>
            <w:tcW w:w="714" w:type="pct"/>
            <w:tcBorders>
              <w:top w:val="single" w:sz="4" w:space="0" w:color="FFFFFF"/>
              <w:left w:val="nil"/>
              <w:bottom w:val="single" w:sz="4" w:space="0" w:color="FFFFFF"/>
              <w:right w:val="single" w:sz="4" w:space="0" w:color="FFFFFF"/>
            </w:tcBorders>
            <w:shd w:val="clear" w:color="F8CBAD" w:fill="F8CBAD"/>
            <w:noWrap/>
            <w:vAlign w:val="center"/>
            <w:hideMark/>
          </w:tcPr>
          <w:p w14:paraId="65B06B7D"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37,34</w:t>
            </w:r>
          </w:p>
        </w:tc>
        <w:tc>
          <w:tcPr>
            <w:tcW w:w="714" w:type="pct"/>
            <w:tcBorders>
              <w:top w:val="single" w:sz="4" w:space="0" w:color="FFFFFF"/>
              <w:left w:val="nil"/>
              <w:bottom w:val="single" w:sz="4" w:space="0" w:color="FFFFFF"/>
              <w:right w:val="single" w:sz="4" w:space="0" w:color="FFFFFF"/>
            </w:tcBorders>
            <w:shd w:val="clear" w:color="F8CBAD" w:fill="F8CBAD"/>
            <w:noWrap/>
            <w:vAlign w:val="center"/>
            <w:hideMark/>
          </w:tcPr>
          <w:p w14:paraId="3C189179"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2,21</w:t>
            </w:r>
          </w:p>
        </w:tc>
        <w:tc>
          <w:tcPr>
            <w:tcW w:w="714" w:type="pct"/>
            <w:tcBorders>
              <w:top w:val="single" w:sz="4" w:space="0" w:color="FFFFFF"/>
              <w:left w:val="nil"/>
              <w:bottom w:val="single" w:sz="4" w:space="0" w:color="FFFFFF"/>
              <w:right w:val="single" w:sz="4" w:space="0" w:color="FFFFFF"/>
            </w:tcBorders>
            <w:shd w:val="clear" w:color="F8CBAD" w:fill="F8CBAD"/>
            <w:noWrap/>
            <w:vAlign w:val="center"/>
            <w:hideMark/>
          </w:tcPr>
          <w:p w14:paraId="1591B17E"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140,28</w:t>
            </w:r>
          </w:p>
        </w:tc>
        <w:tc>
          <w:tcPr>
            <w:tcW w:w="714" w:type="pct"/>
            <w:tcBorders>
              <w:top w:val="single" w:sz="4" w:space="0" w:color="FFFFFF"/>
              <w:left w:val="nil"/>
              <w:bottom w:val="single" w:sz="4" w:space="0" w:color="FFFFFF"/>
              <w:right w:val="nil"/>
            </w:tcBorders>
            <w:shd w:val="clear" w:color="F8CBAD" w:fill="F8CBAD"/>
            <w:noWrap/>
            <w:vAlign w:val="center"/>
            <w:hideMark/>
          </w:tcPr>
          <w:p w14:paraId="1152DCC8"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99,28</w:t>
            </w:r>
          </w:p>
        </w:tc>
      </w:tr>
      <w:tr w:rsidR="00662DA6" w:rsidRPr="00662DA6" w14:paraId="56412DF5" w14:textId="77777777" w:rsidTr="00662DA6">
        <w:trPr>
          <w:trHeight w:val="300"/>
          <w:jc w:val="center"/>
        </w:trPr>
        <w:tc>
          <w:tcPr>
            <w:tcW w:w="714" w:type="pct"/>
            <w:tcBorders>
              <w:top w:val="nil"/>
              <w:left w:val="nil"/>
              <w:bottom w:val="single" w:sz="4" w:space="0" w:color="FFFFFF"/>
              <w:right w:val="single" w:sz="4" w:space="0" w:color="FFFFFF"/>
            </w:tcBorders>
            <w:shd w:val="clear" w:color="FCE4D6" w:fill="FCE4D6"/>
            <w:noWrap/>
            <w:vAlign w:val="center"/>
            <w:hideMark/>
          </w:tcPr>
          <w:p w14:paraId="3C9D3F1B"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Skupina II.</w:t>
            </w:r>
          </w:p>
        </w:tc>
        <w:tc>
          <w:tcPr>
            <w:tcW w:w="714" w:type="pct"/>
            <w:tcBorders>
              <w:top w:val="nil"/>
              <w:left w:val="nil"/>
              <w:bottom w:val="single" w:sz="4" w:space="0" w:color="FFFFFF"/>
              <w:right w:val="single" w:sz="4" w:space="0" w:color="FFFFFF"/>
            </w:tcBorders>
            <w:shd w:val="clear" w:color="FCE4D6" w:fill="FCE4D6"/>
            <w:noWrap/>
            <w:vAlign w:val="center"/>
            <w:hideMark/>
          </w:tcPr>
          <w:p w14:paraId="778AC80C"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1,19</w:t>
            </w:r>
          </w:p>
        </w:tc>
        <w:tc>
          <w:tcPr>
            <w:tcW w:w="714" w:type="pct"/>
            <w:tcBorders>
              <w:top w:val="nil"/>
              <w:left w:val="nil"/>
              <w:bottom w:val="single" w:sz="4" w:space="0" w:color="FFFFFF"/>
              <w:right w:val="single" w:sz="4" w:space="0" w:color="FFFFFF"/>
            </w:tcBorders>
            <w:shd w:val="clear" w:color="FCE4D6" w:fill="FCE4D6"/>
            <w:noWrap/>
            <w:vAlign w:val="center"/>
            <w:hideMark/>
          </w:tcPr>
          <w:p w14:paraId="22295B03"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28,24</w:t>
            </w:r>
          </w:p>
        </w:tc>
        <w:tc>
          <w:tcPr>
            <w:tcW w:w="714" w:type="pct"/>
            <w:tcBorders>
              <w:top w:val="nil"/>
              <w:left w:val="nil"/>
              <w:bottom w:val="single" w:sz="4" w:space="0" w:color="FFFFFF"/>
              <w:right w:val="single" w:sz="4" w:space="0" w:color="FFFFFF"/>
            </w:tcBorders>
            <w:shd w:val="clear" w:color="FCE4D6" w:fill="FCE4D6"/>
            <w:noWrap/>
            <w:vAlign w:val="center"/>
            <w:hideMark/>
          </w:tcPr>
          <w:p w14:paraId="2795563C"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33,15</w:t>
            </w:r>
          </w:p>
        </w:tc>
        <w:tc>
          <w:tcPr>
            <w:tcW w:w="714" w:type="pct"/>
            <w:tcBorders>
              <w:top w:val="nil"/>
              <w:left w:val="nil"/>
              <w:bottom w:val="single" w:sz="4" w:space="0" w:color="FFFFFF"/>
              <w:right w:val="single" w:sz="4" w:space="0" w:color="FFFFFF"/>
            </w:tcBorders>
            <w:shd w:val="clear" w:color="FCE4D6" w:fill="FCE4D6"/>
            <w:noWrap/>
            <w:vAlign w:val="center"/>
            <w:hideMark/>
          </w:tcPr>
          <w:p w14:paraId="271A14F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2,48</w:t>
            </w:r>
          </w:p>
        </w:tc>
        <w:tc>
          <w:tcPr>
            <w:tcW w:w="714" w:type="pct"/>
            <w:tcBorders>
              <w:top w:val="nil"/>
              <w:left w:val="nil"/>
              <w:bottom w:val="single" w:sz="4" w:space="0" w:color="FFFFFF"/>
              <w:right w:val="single" w:sz="4" w:space="0" w:color="FFFFFF"/>
            </w:tcBorders>
            <w:shd w:val="clear" w:color="FCE4D6" w:fill="FCE4D6"/>
            <w:noWrap/>
            <w:vAlign w:val="center"/>
            <w:hideMark/>
          </w:tcPr>
          <w:p w14:paraId="2EA3010D"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99,21</w:t>
            </w:r>
          </w:p>
        </w:tc>
        <w:tc>
          <w:tcPr>
            <w:tcW w:w="714" w:type="pct"/>
            <w:tcBorders>
              <w:top w:val="nil"/>
              <w:left w:val="nil"/>
              <w:bottom w:val="single" w:sz="4" w:space="0" w:color="FFFFFF"/>
              <w:right w:val="nil"/>
            </w:tcBorders>
            <w:shd w:val="clear" w:color="FCE4D6" w:fill="FCE4D6"/>
            <w:noWrap/>
            <w:vAlign w:val="center"/>
            <w:hideMark/>
          </w:tcPr>
          <w:p w14:paraId="3E6C27D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98,59</w:t>
            </w:r>
          </w:p>
        </w:tc>
      </w:tr>
      <w:tr w:rsidR="00662DA6" w:rsidRPr="00662DA6" w14:paraId="315ED113" w14:textId="77777777" w:rsidTr="00662DA6">
        <w:trPr>
          <w:trHeight w:val="300"/>
          <w:jc w:val="center"/>
        </w:trPr>
        <w:tc>
          <w:tcPr>
            <w:tcW w:w="714" w:type="pct"/>
            <w:tcBorders>
              <w:top w:val="nil"/>
              <w:left w:val="nil"/>
              <w:bottom w:val="single" w:sz="4" w:space="0" w:color="FFFFFF"/>
              <w:right w:val="single" w:sz="4" w:space="0" w:color="FFFFFF"/>
            </w:tcBorders>
            <w:shd w:val="clear" w:color="F8CBAD" w:fill="F8CBAD"/>
            <w:noWrap/>
            <w:vAlign w:val="center"/>
            <w:hideMark/>
          </w:tcPr>
          <w:p w14:paraId="1D8CFB74"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Skupina III.</w:t>
            </w:r>
          </w:p>
        </w:tc>
        <w:tc>
          <w:tcPr>
            <w:tcW w:w="714" w:type="pct"/>
            <w:tcBorders>
              <w:top w:val="nil"/>
              <w:left w:val="nil"/>
              <w:bottom w:val="single" w:sz="4" w:space="0" w:color="FFFFFF"/>
              <w:right w:val="single" w:sz="4" w:space="0" w:color="FFFFFF"/>
            </w:tcBorders>
            <w:shd w:val="clear" w:color="F8CBAD" w:fill="F8CBAD"/>
            <w:noWrap/>
            <w:vAlign w:val="center"/>
            <w:hideMark/>
          </w:tcPr>
          <w:p w14:paraId="449756C0"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1,10</w:t>
            </w:r>
          </w:p>
        </w:tc>
        <w:tc>
          <w:tcPr>
            <w:tcW w:w="714" w:type="pct"/>
            <w:tcBorders>
              <w:top w:val="nil"/>
              <w:left w:val="nil"/>
              <w:bottom w:val="single" w:sz="4" w:space="0" w:color="FFFFFF"/>
              <w:right w:val="single" w:sz="4" w:space="0" w:color="FFFFFF"/>
            </w:tcBorders>
            <w:shd w:val="clear" w:color="F8CBAD" w:fill="F8CBAD"/>
            <w:noWrap/>
            <w:vAlign w:val="center"/>
            <w:hideMark/>
          </w:tcPr>
          <w:p w14:paraId="7CE7D3C5"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33,50</w:t>
            </w:r>
          </w:p>
        </w:tc>
        <w:tc>
          <w:tcPr>
            <w:tcW w:w="714" w:type="pct"/>
            <w:tcBorders>
              <w:top w:val="nil"/>
              <w:left w:val="nil"/>
              <w:bottom w:val="single" w:sz="4" w:space="0" w:color="FFFFFF"/>
              <w:right w:val="single" w:sz="4" w:space="0" w:color="FFFFFF"/>
            </w:tcBorders>
            <w:shd w:val="clear" w:color="F8CBAD" w:fill="F8CBAD"/>
            <w:noWrap/>
            <w:vAlign w:val="center"/>
            <w:hideMark/>
          </w:tcPr>
          <w:p w14:paraId="64B42C78"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36,73</w:t>
            </w:r>
          </w:p>
        </w:tc>
        <w:tc>
          <w:tcPr>
            <w:tcW w:w="714" w:type="pct"/>
            <w:tcBorders>
              <w:top w:val="nil"/>
              <w:left w:val="nil"/>
              <w:bottom w:val="single" w:sz="4" w:space="0" w:color="FFFFFF"/>
              <w:right w:val="single" w:sz="4" w:space="0" w:color="FFFFFF"/>
            </w:tcBorders>
            <w:shd w:val="clear" w:color="F8CBAD" w:fill="F8CBAD"/>
            <w:noWrap/>
            <w:vAlign w:val="center"/>
            <w:hideMark/>
          </w:tcPr>
          <w:p w14:paraId="6F1AD3D4"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1,98</w:t>
            </w:r>
          </w:p>
        </w:tc>
        <w:tc>
          <w:tcPr>
            <w:tcW w:w="714" w:type="pct"/>
            <w:tcBorders>
              <w:top w:val="nil"/>
              <w:left w:val="nil"/>
              <w:bottom w:val="single" w:sz="4" w:space="0" w:color="FFFFFF"/>
              <w:right w:val="single" w:sz="4" w:space="0" w:color="FFFFFF"/>
            </w:tcBorders>
            <w:shd w:val="clear" w:color="F8CBAD" w:fill="F8CBAD"/>
            <w:noWrap/>
            <w:vAlign w:val="center"/>
            <w:hideMark/>
          </w:tcPr>
          <w:p w14:paraId="733D5CDB"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90,59</w:t>
            </w:r>
          </w:p>
        </w:tc>
        <w:tc>
          <w:tcPr>
            <w:tcW w:w="714" w:type="pct"/>
            <w:tcBorders>
              <w:top w:val="nil"/>
              <w:left w:val="nil"/>
              <w:bottom w:val="single" w:sz="4" w:space="0" w:color="FFFFFF"/>
              <w:right w:val="nil"/>
            </w:tcBorders>
            <w:shd w:val="clear" w:color="F8CBAD" w:fill="F8CBAD"/>
            <w:noWrap/>
            <w:vAlign w:val="center"/>
            <w:hideMark/>
          </w:tcPr>
          <w:p w14:paraId="14202CAE"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100,00</w:t>
            </w:r>
          </w:p>
        </w:tc>
      </w:tr>
      <w:tr w:rsidR="00662DA6" w:rsidRPr="00662DA6" w14:paraId="33C6EE2B" w14:textId="77777777" w:rsidTr="00662DA6">
        <w:trPr>
          <w:trHeight w:val="300"/>
          <w:jc w:val="center"/>
        </w:trPr>
        <w:tc>
          <w:tcPr>
            <w:tcW w:w="714" w:type="pct"/>
            <w:tcBorders>
              <w:top w:val="nil"/>
              <w:left w:val="nil"/>
              <w:bottom w:val="single" w:sz="4" w:space="0" w:color="FFFFFF"/>
              <w:right w:val="single" w:sz="4" w:space="0" w:color="FFFFFF"/>
            </w:tcBorders>
            <w:shd w:val="clear" w:color="FCE4D6" w:fill="FCE4D6"/>
            <w:noWrap/>
            <w:vAlign w:val="center"/>
            <w:hideMark/>
          </w:tcPr>
          <w:p w14:paraId="1D8792C8"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Skupina IV.</w:t>
            </w:r>
          </w:p>
        </w:tc>
        <w:tc>
          <w:tcPr>
            <w:tcW w:w="714" w:type="pct"/>
            <w:tcBorders>
              <w:top w:val="nil"/>
              <w:left w:val="nil"/>
              <w:bottom w:val="single" w:sz="4" w:space="0" w:color="FFFFFF"/>
              <w:right w:val="single" w:sz="4" w:space="0" w:color="FFFFFF"/>
            </w:tcBorders>
            <w:shd w:val="clear" w:color="FCE4D6" w:fill="FCE4D6"/>
            <w:noWrap/>
            <w:vAlign w:val="center"/>
            <w:hideMark/>
          </w:tcPr>
          <w:p w14:paraId="7516C411"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1,08</w:t>
            </w:r>
          </w:p>
        </w:tc>
        <w:tc>
          <w:tcPr>
            <w:tcW w:w="714" w:type="pct"/>
            <w:tcBorders>
              <w:top w:val="nil"/>
              <w:left w:val="nil"/>
              <w:bottom w:val="single" w:sz="4" w:space="0" w:color="FFFFFF"/>
              <w:right w:val="single" w:sz="4" w:space="0" w:color="FFFFFF"/>
            </w:tcBorders>
            <w:shd w:val="clear" w:color="FCE4D6" w:fill="FCE4D6"/>
            <w:noWrap/>
            <w:vAlign w:val="center"/>
            <w:hideMark/>
          </w:tcPr>
          <w:p w14:paraId="056CAFF9"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33,64</w:t>
            </w:r>
          </w:p>
        </w:tc>
        <w:tc>
          <w:tcPr>
            <w:tcW w:w="714" w:type="pct"/>
            <w:tcBorders>
              <w:top w:val="nil"/>
              <w:left w:val="nil"/>
              <w:bottom w:val="single" w:sz="4" w:space="0" w:color="FFFFFF"/>
              <w:right w:val="single" w:sz="4" w:space="0" w:color="FFFFFF"/>
            </w:tcBorders>
            <w:shd w:val="clear" w:color="FCE4D6" w:fill="FCE4D6"/>
            <w:noWrap/>
            <w:vAlign w:val="center"/>
            <w:hideMark/>
          </w:tcPr>
          <w:p w14:paraId="35A7973C"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36,23</w:t>
            </w:r>
          </w:p>
        </w:tc>
        <w:tc>
          <w:tcPr>
            <w:tcW w:w="714" w:type="pct"/>
            <w:tcBorders>
              <w:top w:val="nil"/>
              <w:left w:val="nil"/>
              <w:bottom w:val="single" w:sz="4" w:space="0" w:color="FFFFFF"/>
              <w:right w:val="single" w:sz="4" w:space="0" w:color="FFFFFF"/>
            </w:tcBorders>
            <w:shd w:val="clear" w:color="FCE4D6" w:fill="FCE4D6"/>
            <w:noWrap/>
            <w:vAlign w:val="center"/>
            <w:hideMark/>
          </w:tcPr>
          <w:p w14:paraId="79619FFA"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1,91</w:t>
            </w:r>
          </w:p>
        </w:tc>
        <w:tc>
          <w:tcPr>
            <w:tcW w:w="714" w:type="pct"/>
            <w:tcBorders>
              <w:top w:val="nil"/>
              <w:left w:val="nil"/>
              <w:bottom w:val="single" w:sz="4" w:space="0" w:color="FFFFFF"/>
              <w:right w:val="single" w:sz="4" w:space="0" w:color="FFFFFF"/>
            </w:tcBorders>
            <w:shd w:val="clear" w:color="FCE4D6" w:fill="FCE4D6"/>
            <w:noWrap/>
            <w:vAlign w:val="center"/>
            <w:hideMark/>
          </w:tcPr>
          <w:p w14:paraId="3143291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63,26</w:t>
            </w:r>
          </w:p>
        </w:tc>
        <w:tc>
          <w:tcPr>
            <w:tcW w:w="714" w:type="pct"/>
            <w:tcBorders>
              <w:top w:val="nil"/>
              <w:left w:val="nil"/>
              <w:bottom w:val="single" w:sz="4" w:space="0" w:color="FFFFFF"/>
              <w:right w:val="nil"/>
            </w:tcBorders>
            <w:shd w:val="clear" w:color="FCE4D6" w:fill="FCE4D6"/>
            <w:noWrap/>
            <w:vAlign w:val="center"/>
            <w:hideMark/>
          </w:tcPr>
          <w:p w14:paraId="788C272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99,96</w:t>
            </w:r>
          </w:p>
        </w:tc>
      </w:tr>
      <w:tr w:rsidR="00662DA6" w:rsidRPr="00662DA6" w14:paraId="382D8833" w14:textId="77777777" w:rsidTr="00662DA6">
        <w:trPr>
          <w:trHeight w:val="300"/>
          <w:jc w:val="center"/>
        </w:trPr>
        <w:tc>
          <w:tcPr>
            <w:tcW w:w="714" w:type="pct"/>
            <w:tcBorders>
              <w:top w:val="nil"/>
              <w:left w:val="nil"/>
              <w:bottom w:val="single" w:sz="4" w:space="0" w:color="FFFFFF"/>
              <w:right w:val="single" w:sz="4" w:space="0" w:color="FFFFFF"/>
            </w:tcBorders>
            <w:shd w:val="clear" w:color="F8CBAD" w:fill="F8CBAD"/>
            <w:noWrap/>
            <w:vAlign w:val="center"/>
            <w:hideMark/>
          </w:tcPr>
          <w:p w14:paraId="71ABA9C8"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Skupina V.</w:t>
            </w:r>
          </w:p>
        </w:tc>
        <w:tc>
          <w:tcPr>
            <w:tcW w:w="714" w:type="pct"/>
            <w:tcBorders>
              <w:top w:val="nil"/>
              <w:left w:val="nil"/>
              <w:bottom w:val="single" w:sz="4" w:space="0" w:color="FFFFFF"/>
              <w:right w:val="single" w:sz="4" w:space="0" w:color="FFFFFF"/>
            </w:tcBorders>
            <w:shd w:val="clear" w:color="F8CBAD" w:fill="F8CBAD"/>
            <w:noWrap/>
            <w:vAlign w:val="center"/>
            <w:hideMark/>
          </w:tcPr>
          <w:p w14:paraId="619D466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1,07</w:t>
            </w:r>
          </w:p>
        </w:tc>
        <w:tc>
          <w:tcPr>
            <w:tcW w:w="714" w:type="pct"/>
            <w:tcBorders>
              <w:top w:val="nil"/>
              <w:left w:val="nil"/>
              <w:bottom w:val="single" w:sz="4" w:space="0" w:color="FFFFFF"/>
              <w:right w:val="single" w:sz="4" w:space="0" w:color="FFFFFF"/>
            </w:tcBorders>
            <w:shd w:val="clear" w:color="F8CBAD" w:fill="F8CBAD"/>
            <w:noWrap/>
            <w:vAlign w:val="center"/>
            <w:hideMark/>
          </w:tcPr>
          <w:p w14:paraId="69A2DB38"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31,72</w:t>
            </w:r>
          </w:p>
        </w:tc>
        <w:tc>
          <w:tcPr>
            <w:tcW w:w="714" w:type="pct"/>
            <w:tcBorders>
              <w:top w:val="nil"/>
              <w:left w:val="nil"/>
              <w:bottom w:val="single" w:sz="4" w:space="0" w:color="FFFFFF"/>
              <w:right w:val="single" w:sz="4" w:space="0" w:color="FFFFFF"/>
            </w:tcBorders>
            <w:shd w:val="clear" w:color="F8CBAD" w:fill="F8CBAD"/>
            <w:noWrap/>
            <w:vAlign w:val="center"/>
            <w:hideMark/>
          </w:tcPr>
          <w:p w14:paraId="27C0F293"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34,18</w:t>
            </w:r>
          </w:p>
        </w:tc>
        <w:tc>
          <w:tcPr>
            <w:tcW w:w="714" w:type="pct"/>
            <w:tcBorders>
              <w:top w:val="nil"/>
              <w:left w:val="nil"/>
              <w:bottom w:val="single" w:sz="4" w:space="0" w:color="FFFFFF"/>
              <w:right w:val="single" w:sz="4" w:space="0" w:color="FFFFFF"/>
            </w:tcBorders>
            <w:shd w:val="clear" w:color="F8CBAD" w:fill="F8CBAD"/>
            <w:noWrap/>
            <w:vAlign w:val="center"/>
            <w:hideMark/>
          </w:tcPr>
          <w:p w14:paraId="3026B53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2,50</w:t>
            </w:r>
          </w:p>
        </w:tc>
        <w:tc>
          <w:tcPr>
            <w:tcW w:w="714" w:type="pct"/>
            <w:tcBorders>
              <w:top w:val="nil"/>
              <w:left w:val="nil"/>
              <w:bottom w:val="single" w:sz="4" w:space="0" w:color="FFFFFF"/>
              <w:right w:val="single" w:sz="4" w:space="0" w:color="FFFFFF"/>
            </w:tcBorders>
            <w:shd w:val="clear" w:color="F8CBAD" w:fill="F8CBAD"/>
            <w:noWrap/>
            <w:vAlign w:val="center"/>
            <w:hideMark/>
          </w:tcPr>
          <w:p w14:paraId="5802C13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67,54</w:t>
            </w:r>
          </w:p>
        </w:tc>
        <w:tc>
          <w:tcPr>
            <w:tcW w:w="714" w:type="pct"/>
            <w:tcBorders>
              <w:top w:val="nil"/>
              <w:left w:val="nil"/>
              <w:bottom w:val="single" w:sz="4" w:space="0" w:color="FFFFFF"/>
              <w:right w:val="nil"/>
            </w:tcBorders>
            <w:shd w:val="clear" w:color="F8CBAD" w:fill="F8CBAD"/>
            <w:noWrap/>
            <w:vAlign w:val="center"/>
            <w:hideMark/>
          </w:tcPr>
          <w:p w14:paraId="7CBB4AB2"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99,97</w:t>
            </w:r>
          </w:p>
        </w:tc>
      </w:tr>
      <w:tr w:rsidR="00662DA6" w:rsidRPr="00662DA6" w14:paraId="5E3E63E1" w14:textId="77777777" w:rsidTr="00662DA6">
        <w:trPr>
          <w:trHeight w:val="300"/>
          <w:jc w:val="center"/>
        </w:trPr>
        <w:tc>
          <w:tcPr>
            <w:tcW w:w="714" w:type="pct"/>
            <w:tcBorders>
              <w:top w:val="nil"/>
              <w:left w:val="nil"/>
              <w:bottom w:val="single" w:sz="4" w:space="0" w:color="FFFFFF"/>
              <w:right w:val="single" w:sz="4" w:space="0" w:color="FFFFFF"/>
            </w:tcBorders>
            <w:shd w:val="clear" w:color="FCE4D6" w:fill="FCE4D6"/>
            <w:noWrap/>
            <w:vAlign w:val="center"/>
            <w:hideMark/>
          </w:tcPr>
          <w:p w14:paraId="45CED7FB"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Skupina VI.</w:t>
            </w:r>
          </w:p>
        </w:tc>
        <w:tc>
          <w:tcPr>
            <w:tcW w:w="714" w:type="pct"/>
            <w:tcBorders>
              <w:top w:val="nil"/>
              <w:left w:val="nil"/>
              <w:bottom w:val="single" w:sz="4" w:space="0" w:color="FFFFFF"/>
              <w:right w:val="single" w:sz="4" w:space="0" w:color="FFFFFF"/>
            </w:tcBorders>
            <w:shd w:val="clear" w:color="FCE4D6" w:fill="FCE4D6"/>
            <w:noWrap/>
            <w:vAlign w:val="center"/>
            <w:hideMark/>
          </w:tcPr>
          <w:p w14:paraId="2B408EA7"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1,08</w:t>
            </w:r>
          </w:p>
        </w:tc>
        <w:tc>
          <w:tcPr>
            <w:tcW w:w="714" w:type="pct"/>
            <w:tcBorders>
              <w:top w:val="nil"/>
              <w:left w:val="nil"/>
              <w:bottom w:val="single" w:sz="4" w:space="0" w:color="FFFFFF"/>
              <w:right w:val="single" w:sz="4" w:space="0" w:color="FFFFFF"/>
            </w:tcBorders>
            <w:shd w:val="clear" w:color="FCE4D6" w:fill="FCE4D6"/>
            <w:noWrap/>
            <w:vAlign w:val="center"/>
            <w:hideMark/>
          </w:tcPr>
          <w:p w14:paraId="66AD67AB"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31,12</w:t>
            </w:r>
          </w:p>
        </w:tc>
        <w:tc>
          <w:tcPr>
            <w:tcW w:w="714" w:type="pct"/>
            <w:tcBorders>
              <w:top w:val="nil"/>
              <w:left w:val="nil"/>
              <w:bottom w:val="single" w:sz="4" w:space="0" w:color="FFFFFF"/>
              <w:right w:val="single" w:sz="4" w:space="0" w:color="FFFFFF"/>
            </w:tcBorders>
            <w:shd w:val="clear" w:color="FCE4D6" w:fill="FCE4D6"/>
            <w:noWrap/>
            <w:vAlign w:val="center"/>
            <w:hideMark/>
          </w:tcPr>
          <w:p w14:paraId="256F0482"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33,94</w:t>
            </w:r>
          </w:p>
        </w:tc>
        <w:tc>
          <w:tcPr>
            <w:tcW w:w="714" w:type="pct"/>
            <w:tcBorders>
              <w:top w:val="nil"/>
              <w:left w:val="nil"/>
              <w:bottom w:val="single" w:sz="4" w:space="0" w:color="FFFFFF"/>
              <w:right w:val="single" w:sz="4" w:space="0" w:color="FFFFFF"/>
            </w:tcBorders>
            <w:shd w:val="clear" w:color="FCE4D6" w:fill="FCE4D6"/>
            <w:noWrap/>
            <w:vAlign w:val="center"/>
            <w:hideMark/>
          </w:tcPr>
          <w:p w14:paraId="2F0CAC98"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1,71</w:t>
            </w:r>
          </w:p>
        </w:tc>
        <w:tc>
          <w:tcPr>
            <w:tcW w:w="714" w:type="pct"/>
            <w:tcBorders>
              <w:top w:val="nil"/>
              <w:left w:val="nil"/>
              <w:bottom w:val="single" w:sz="4" w:space="0" w:color="FFFFFF"/>
              <w:right w:val="single" w:sz="4" w:space="0" w:color="FFFFFF"/>
            </w:tcBorders>
            <w:shd w:val="clear" w:color="FCE4D6" w:fill="FCE4D6"/>
            <w:noWrap/>
            <w:vAlign w:val="center"/>
            <w:hideMark/>
          </w:tcPr>
          <w:p w14:paraId="144613FF"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79,89</w:t>
            </w:r>
          </w:p>
        </w:tc>
        <w:tc>
          <w:tcPr>
            <w:tcW w:w="714" w:type="pct"/>
            <w:tcBorders>
              <w:top w:val="nil"/>
              <w:left w:val="nil"/>
              <w:bottom w:val="single" w:sz="4" w:space="0" w:color="FFFFFF"/>
              <w:right w:val="nil"/>
            </w:tcBorders>
            <w:shd w:val="clear" w:color="FCE4D6" w:fill="FCE4D6"/>
            <w:noWrap/>
            <w:vAlign w:val="center"/>
            <w:hideMark/>
          </w:tcPr>
          <w:p w14:paraId="5F79C9C5"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99,87</w:t>
            </w:r>
          </w:p>
        </w:tc>
      </w:tr>
      <w:tr w:rsidR="00662DA6" w:rsidRPr="00662DA6" w14:paraId="1BE3CB24" w14:textId="77777777" w:rsidTr="00662DA6">
        <w:trPr>
          <w:trHeight w:val="300"/>
          <w:jc w:val="center"/>
        </w:trPr>
        <w:tc>
          <w:tcPr>
            <w:tcW w:w="714" w:type="pct"/>
            <w:tcBorders>
              <w:top w:val="nil"/>
              <w:left w:val="nil"/>
              <w:bottom w:val="single" w:sz="4" w:space="0" w:color="FFFFFF"/>
              <w:right w:val="single" w:sz="4" w:space="0" w:color="FFFFFF"/>
            </w:tcBorders>
            <w:shd w:val="clear" w:color="F8CBAD" w:fill="F8CBAD"/>
            <w:noWrap/>
            <w:vAlign w:val="center"/>
            <w:hideMark/>
          </w:tcPr>
          <w:p w14:paraId="1A8A9C5C"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Skupina VII.</w:t>
            </w:r>
          </w:p>
        </w:tc>
        <w:tc>
          <w:tcPr>
            <w:tcW w:w="714" w:type="pct"/>
            <w:tcBorders>
              <w:top w:val="nil"/>
              <w:left w:val="nil"/>
              <w:bottom w:val="single" w:sz="4" w:space="0" w:color="FFFFFF"/>
              <w:right w:val="single" w:sz="4" w:space="0" w:color="FFFFFF"/>
            </w:tcBorders>
            <w:shd w:val="clear" w:color="F8CBAD" w:fill="F8CBAD"/>
            <w:noWrap/>
            <w:vAlign w:val="center"/>
            <w:hideMark/>
          </w:tcPr>
          <w:p w14:paraId="529D454B"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1,15</w:t>
            </w:r>
          </w:p>
        </w:tc>
        <w:tc>
          <w:tcPr>
            <w:tcW w:w="714" w:type="pct"/>
            <w:tcBorders>
              <w:top w:val="nil"/>
              <w:left w:val="nil"/>
              <w:bottom w:val="single" w:sz="4" w:space="0" w:color="FFFFFF"/>
              <w:right w:val="single" w:sz="4" w:space="0" w:color="FFFFFF"/>
            </w:tcBorders>
            <w:shd w:val="clear" w:color="F8CBAD" w:fill="F8CBAD"/>
            <w:noWrap/>
            <w:vAlign w:val="center"/>
            <w:hideMark/>
          </w:tcPr>
          <w:p w14:paraId="76784036"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30,16</w:t>
            </w:r>
          </w:p>
        </w:tc>
        <w:tc>
          <w:tcPr>
            <w:tcW w:w="714" w:type="pct"/>
            <w:tcBorders>
              <w:top w:val="nil"/>
              <w:left w:val="nil"/>
              <w:bottom w:val="single" w:sz="4" w:space="0" w:color="FFFFFF"/>
              <w:right w:val="single" w:sz="4" w:space="0" w:color="FFFFFF"/>
            </w:tcBorders>
            <w:shd w:val="clear" w:color="F8CBAD" w:fill="F8CBAD"/>
            <w:noWrap/>
            <w:vAlign w:val="center"/>
            <w:hideMark/>
          </w:tcPr>
          <w:p w14:paraId="7E443C05"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35,89</w:t>
            </w:r>
          </w:p>
        </w:tc>
        <w:tc>
          <w:tcPr>
            <w:tcW w:w="714" w:type="pct"/>
            <w:tcBorders>
              <w:top w:val="nil"/>
              <w:left w:val="nil"/>
              <w:bottom w:val="single" w:sz="4" w:space="0" w:color="FFFFFF"/>
              <w:right w:val="single" w:sz="4" w:space="0" w:color="FFFFFF"/>
            </w:tcBorders>
            <w:shd w:val="clear" w:color="F8CBAD" w:fill="F8CBAD"/>
            <w:noWrap/>
            <w:vAlign w:val="center"/>
            <w:hideMark/>
          </w:tcPr>
          <w:p w14:paraId="1ABF74F2"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2,24</w:t>
            </w:r>
          </w:p>
        </w:tc>
        <w:tc>
          <w:tcPr>
            <w:tcW w:w="714" w:type="pct"/>
            <w:tcBorders>
              <w:top w:val="nil"/>
              <w:left w:val="nil"/>
              <w:bottom w:val="single" w:sz="4" w:space="0" w:color="FFFFFF"/>
              <w:right w:val="single" w:sz="4" w:space="0" w:color="FFFFFF"/>
            </w:tcBorders>
            <w:shd w:val="clear" w:color="F8CBAD" w:fill="F8CBAD"/>
            <w:noWrap/>
            <w:vAlign w:val="center"/>
            <w:hideMark/>
          </w:tcPr>
          <w:p w14:paraId="3DF61565"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60,71</w:t>
            </w:r>
          </w:p>
        </w:tc>
        <w:tc>
          <w:tcPr>
            <w:tcW w:w="714" w:type="pct"/>
            <w:tcBorders>
              <w:top w:val="nil"/>
              <w:left w:val="nil"/>
              <w:bottom w:val="single" w:sz="4" w:space="0" w:color="FFFFFF"/>
              <w:right w:val="nil"/>
            </w:tcBorders>
            <w:shd w:val="clear" w:color="F8CBAD" w:fill="F8CBAD"/>
            <w:noWrap/>
            <w:vAlign w:val="center"/>
            <w:hideMark/>
          </w:tcPr>
          <w:p w14:paraId="249FA759"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100,00</w:t>
            </w:r>
          </w:p>
        </w:tc>
      </w:tr>
      <w:tr w:rsidR="00662DA6" w:rsidRPr="00662DA6" w14:paraId="61E8A25C" w14:textId="77777777" w:rsidTr="00662DA6">
        <w:trPr>
          <w:trHeight w:val="300"/>
          <w:jc w:val="center"/>
        </w:trPr>
        <w:tc>
          <w:tcPr>
            <w:tcW w:w="714" w:type="pct"/>
            <w:tcBorders>
              <w:top w:val="single" w:sz="4" w:space="0" w:color="FFFFFF"/>
              <w:left w:val="nil"/>
              <w:bottom w:val="single" w:sz="4" w:space="0" w:color="auto"/>
              <w:right w:val="single" w:sz="4" w:space="0" w:color="FFFFFF"/>
            </w:tcBorders>
            <w:shd w:val="clear" w:color="FCE4D6" w:fill="FCE4D6"/>
            <w:noWrap/>
            <w:vAlign w:val="center"/>
            <w:hideMark/>
          </w:tcPr>
          <w:p w14:paraId="0CF4D456" w14:textId="77777777" w:rsidR="00662DA6" w:rsidRPr="00662DA6" w:rsidRDefault="00662DA6" w:rsidP="00662DA6">
            <w:pPr>
              <w:spacing w:before="0" w:after="0"/>
              <w:contextualSpacing w:val="0"/>
              <w:jc w:val="left"/>
              <w:rPr>
                <w:rFonts w:asciiTheme="majorHAnsi" w:eastAsia="Times New Roman" w:hAnsiTheme="majorHAnsi"/>
                <w:color w:val="000000"/>
                <w:sz w:val="18"/>
                <w:lang w:eastAsia="cs-CZ"/>
              </w:rPr>
            </w:pPr>
            <w:r w:rsidRPr="00662DA6">
              <w:rPr>
                <w:rFonts w:asciiTheme="majorHAnsi" w:eastAsia="Times New Roman" w:hAnsiTheme="majorHAnsi"/>
                <w:color w:val="000000"/>
                <w:sz w:val="18"/>
                <w:lang w:eastAsia="cs-CZ"/>
              </w:rPr>
              <w:t xml:space="preserve">Skupina VIII. </w:t>
            </w:r>
          </w:p>
        </w:tc>
        <w:tc>
          <w:tcPr>
            <w:tcW w:w="714" w:type="pct"/>
            <w:tcBorders>
              <w:top w:val="single" w:sz="4" w:space="0" w:color="FFFFFF"/>
              <w:left w:val="nil"/>
              <w:bottom w:val="single" w:sz="4" w:space="0" w:color="auto"/>
              <w:right w:val="single" w:sz="4" w:space="0" w:color="FFFFFF"/>
            </w:tcBorders>
            <w:shd w:val="clear" w:color="FCE4D6" w:fill="FCE4D6"/>
            <w:noWrap/>
            <w:vAlign w:val="center"/>
            <w:hideMark/>
          </w:tcPr>
          <w:p w14:paraId="278299D2"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1,08</w:t>
            </w:r>
          </w:p>
        </w:tc>
        <w:tc>
          <w:tcPr>
            <w:tcW w:w="714" w:type="pct"/>
            <w:tcBorders>
              <w:top w:val="single" w:sz="4" w:space="0" w:color="FFFFFF"/>
              <w:left w:val="nil"/>
              <w:bottom w:val="single" w:sz="4" w:space="0" w:color="auto"/>
              <w:right w:val="single" w:sz="4" w:space="0" w:color="FFFFFF"/>
            </w:tcBorders>
            <w:shd w:val="clear" w:color="FCE4D6" w:fill="FCE4D6"/>
            <w:noWrap/>
            <w:vAlign w:val="center"/>
            <w:hideMark/>
          </w:tcPr>
          <w:p w14:paraId="5853D811"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32,96</w:t>
            </w:r>
          </w:p>
        </w:tc>
        <w:tc>
          <w:tcPr>
            <w:tcW w:w="714" w:type="pct"/>
            <w:tcBorders>
              <w:top w:val="single" w:sz="4" w:space="0" w:color="FFFFFF"/>
              <w:left w:val="nil"/>
              <w:bottom w:val="single" w:sz="4" w:space="0" w:color="auto"/>
              <w:right w:val="single" w:sz="4" w:space="0" w:color="FFFFFF"/>
            </w:tcBorders>
            <w:shd w:val="clear" w:color="FCE4D6" w:fill="FCE4D6"/>
            <w:noWrap/>
            <w:vAlign w:val="center"/>
            <w:hideMark/>
          </w:tcPr>
          <w:p w14:paraId="2394E8A8"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35,64</w:t>
            </w:r>
          </w:p>
        </w:tc>
        <w:tc>
          <w:tcPr>
            <w:tcW w:w="714" w:type="pct"/>
            <w:tcBorders>
              <w:top w:val="single" w:sz="4" w:space="0" w:color="FFFFFF"/>
              <w:left w:val="nil"/>
              <w:bottom w:val="single" w:sz="4" w:space="0" w:color="auto"/>
              <w:right w:val="single" w:sz="4" w:space="0" w:color="FFFFFF"/>
            </w:tcBorders>
            <w:shd w:val="clear" w:color="FCE4D6" w:fill="FCE4D6"/>
            <w:noWrap/>
            <w:vAlign w:val="center"/>
            <w:hideMark/>
          </w:tcPr>
          <w:p w14:paraId="22AE3EC3"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1,95</w:t>
            </w:r>
          </w:p>
        </w:tc>
        <w:tc>
          <w:tcPr>
            <w:tcW w:w="714" w:type="pct"/>
            <w:tcBorders>
              <w:top w:val="single" w:sz="4" w:space="0" w:color="FFFFFF"/>
              <w:left w:val="nil"/>
              <w:bottom w:val="single" w:sz="4" w:space="0" w:color="auto"/>
              <w:right w:val="single" w:sz="4" w:space="0" w:color="FFFFFF"/>
            </w:tcBorders>
            <w:shd w:val="clear" w:color="FCE4D6" w:fill="FCE4D6"/>
            <w:noWrap/>
            <w:vAlign w:val="center"/>
            <w:hideMark/>
          </w:tcPr>
          <w:p w14:paraId="11AA8E7E"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77,51</w:t>
            </w:r>
          </w:p>
        </w:tc>
        <w:tc>
          <w:tcPr>
            <w:tcW w:w="714" w:type="pct"/>
            <w:tcBorders>
              <w:top w:val="single" w:sz="4" w:space="0" w:color="FFFFFF"/>
              <w:left w:val="nil"/>
              <w:bottom w:val="single" w:sz="4" w:space="0" w:color="auto"/>
              <w:right w:val="nil"/>
            </w:tcBorders>
            <w:shd w:val="clear" w:color="FCE4D6" w:fill="FCE4D6"/>
            <w:noWrap/>
            <w:vAlign w:val="center"/>
            <w:hideMark/>
          </w:tcPr>
          <w:p w14:paraId="57292E78" w14:textId="77777777" w:rsidR="00662DA6" w:rsidRPr="00662DA6" w:rsidRDefault="00662DA6" w:rsidP="00662DA6">
            <w:pPr>
              <w:spacing w:before="0" w:after="0"/>
              <w:contextualSpacing w:val="0"/>
              <w:jc w:val="center"/>
              <w:rPr>
                <w:rFonts w:asciiTheme="majorHAnsi" w:eastAsia="Times New Roman" w:hAnsiTheme="majorHAnsi"/>
                <w:sz w:val="18"/>
                <w:lang w:eastAsia="cs-CZ"/>
              </w:rPr>
            </w:pPr>
            <w:r w:rsidRPr="00662DA6">
              <w:rPr>
                <w:rFonts w:asciiTheme="majorHAnsi" w:eastAsia="Times New Roman" w:hAnsiTheme="majorHAnsi"/>
                <w:sz w:val="18"/>
                <w:lang w:eastAsia="cs-CZ"/>
              </w:rPr>
              <w:t>100,00</w:t>
            </w:r>
          </w:p>
        </w:tc>
      </w:tr>
      <w:tr w:rsidR="00662DA6" w:rsidRPr="00662DA6" w14:paraId="3AD492B8" w14:textId="77777777" w:rsidTr="00662DA6">
        <w:trPr>
          <w:trHeight w:val="300"/>
          <w:jc w:val="center"/>
        </w:trPr>
        <w:tc>
          <w:tcPr>
            <w:tcW w:w="714" w:type="pct"/>
            <w:tcBorders>
              <w:top w:val="single" w:sz="4" w:space="0" w:color="auto"/>
              <w:left w:val="nil"/>
              <w:bottom w:val="nil"/>
              <w:right w:val="single" w:sz="4" w:space="0" w:color="FFFFFF"/>
            </w:tcBorders>
            <w:shd w:val="clear" w:color="F8CBAD" w:fill="F8CBAD"/>
            <w:noWrap/>
            <w:vAlign w:val="center"/>
            <w:hideMark/>
          </w:tcPr>
          <w:p w14:paraId="34A98B6C" w14:textId="77777777" w:rsidR="00662DA6" w:rsidRDefault="00662DA6" w:rsidP="00662DA6">
            <w:pPr>
              <w:spacing w:before="0" w:after="0"/>
              <w:contextualSpacing w:val="0"/>
              <w:jc w:val="left"/>
              <w:rPr>
                <w:rFonts w:asciiTheme="majorHAnsi" w:eastAsia="Times New Roman" w:hAnsiTheme="majorHAnsi"/>
                <w:b/>
                <w:i/>
                <w:color w:val="000000"/>
                <w:sz w:val="18"/>
                <w:lang w:eastAsia="cs-CZ"/>
              </w:rPr>
            </w:pPr>
            <w:r>
              <w:rPr>
                <w:rFonts w:asciiTheme="majorHAnsi" w:eastAsia="Times New Roman" w:hAnsiTheme="majorHAnsi"/>
                <w:b/>
                <w:i/>
                <w:color w:val="000000"/>
                <w:sz w:val="18"/>
                <w:lang w:eastAsia="cs-CZ"/>
              </w:rPr>
              <w:t>P</w:t>
            </w:r>
            <w:r w:rsidRPr="00662DA6">
              <w:rPr>
                <w:rFonts w:asciiTheme="majorHAnsi" w:eastAsia="Times New Roman" w:hAnsiTheme="majorHAnsi"/>
                <w:b/>
                <w:i/>
                <w:color w:val="000000"/>
                <w:sz w:val="18"/>
                <w:lang w:eastAsia="cs-CZ"/>
              </w:rPr>
              <w:t>růměr</w:t>
            </w:r>
            <w:r>
              <w:rPr>
                <w:rFonts w:asciiTheme="majorHAnsi" w:eastAsia="Times New Roman" w:hAnsiTheme="majorHAnsi"/>
                <w:b/>
                <w:i/>
                <w:color w:val="000000"/>
                <w:sz w:val="18"/>
                <w:lang w:eastAsia="cs-CZ"/>
              </w:rPr>
              <w:t xml:space="preserve"> </w:t>
            </w:r>
          </w:p>
          <w:p w14:paraId="67568C91" w14:textId="77777777" w:rsidR="00662DA6" w:rsidRPr="00662DA6" w:rsidRDefault="00662DA6" w:rsidP="00662DA6">
            <w:pPr>
              <w:spacing w:before="0" w:after="0"/>
              <w:contextualSpacing w:val="0"/>
              <w:jc w:val="left"/>
              <w:rPr>
                <w:rFonts w:asciiTheme="majorHAnsi" w:eastAsia="Times New Roman" w:hAnsiTheme="majorHAnsi"/>
                <w:b/>
                <w:i/>
                <w:color w:val="000000"/>
                <w:sz w:val="18"/>
                <w:lang w:eastAsia="cs-CZ"/>
              </w:rPr>
            </w:pPr>
            <w:r>
              <w:rPr>
                <w:rFonts w:asciiTheme="majorHAnsi" w:eastAsia="Times New Roman" w:hAnsiTheme="majorHAnsi"/>
                <w:b/>
                <w:i/>
                <w:color w:val="000000"/>
                <w:sz w:val="18"/>
                <w:lang w:eastAsia="cs-CZ"/>
              </w:rPr>
              <w:t>všech skupin</w:t>
            </w:r>
          </w:p>
        </w:tc>
        <w:tc>
          <w:tcPr>
            <w:tcW w:w="714" w:type="pct"/>
            <w:tcBorders>
              <w:top w:val="single" w:sz="4" w:space="0" w:color="auto"/>
              <w:left w:val="nil"/>
              <w:bottom w:val="nil"/>
              <w:right w:val="single" w:sz="4" w:space="0" w:color="FFFFFF"/>
            </w:tcBorders>
            <w:shd w:val="clear" w:color="F8CBAD" w:fill="F8CBAD"/>
            <w:noWrap/>
            <w:vAlign w:val="center"/>
            <w:hideMark/>
          </w:tcPr>
          <w:p w14:paraId="7E5B8AD0" w14:textId="77777777" w:rsidR="00662DA6" w:rsidRPr="00662DA6" w:rsidRDefault="00662DA6" w:rsidP="00662DA6">
            <w:pPr>
              <w:spacing w:before="0" w:after="0"/>
              <w:contextualSpacing w:val="0"/>
              <w:jc w:val="center"/>
              <w:rPr>
                <w:rFonts w:asciiTheme="majorHAnsi" w:eastAsia="Times New Roman" w:hAnsiTheme="majorHAnsi"/>
                <w:b/>
                <w:i/>
                <w:color w:val="000000"/>
                <w:sz w:val="18"/>
                <w:lang w:eastAsia="cs-CZ"/>
              </w:rPr>
            </w:pPr>
            <w:r w:rsidRPr="00662DA6">
              <w:rPr>
                <w:rFonts w:asciiTheme="majorHAnsi" w:eastAsia="Times New Roman" w:hAnsiTheme="majorHAnsi"/>
                <w:b/>
                <w:i/>
                <w:color w:val="000000"/>
                <w:sz w:val="18"/>
                <w:lang w:eastAsia="cs-CZ"/>
              </w:rPr>
              <w:t>1,11</w:t>
            </w:r>
          </w:p>
        </w:tc>
        <w:tc>
          <w:tcPr>
            <w:tcW w:w="714" w:type="pct"/>
            <w:tcBorders>
              <w:top w:val="single" w:sz="4" w:space="0" w:color="auto"/>
              <w:left w:val="nil"/>
              <w:bottom w:val="nil"/>
              <w:right w:val="single" w:sz="4" w:space="0" w:color="FFFFFF"/>
            </w:tcBorders>
            <w:shd w:val="clear" w:color="F8CBAD" w:fill="F8CBAD"/>
            <w:noWrap/>
            <w:vAlign w:val="center"/>
            <w:hideMark/>
          </w:tcPr>
          <w:p w14:paraId="18E93C3C" w14:textId="77777777" w:rsidR="00662DA6" w:rsidRPr="00662DA6" w:rsidRDefault="00662DA6" w:rsidP="00662DA6">
            <w:pPr>
              <w:spacing w:before="0" w:after="0"/>
              <w:contextualSpacing w:val="0"/>
              <w:jc w:val="center"/>
              <w:rPr>
                <w:rFonts w:asciiTheme="majorHAnsi" w:eastAsia="Times New Roman" w:hAnsiTheme="majorHAnsi"/>
                <w:b/>
                <w:i/>
                <w:color w:val="000000"/>
                <w:sz w:val="18"/>
                <w:lang w:eastAsia="cs-CZ"/>
              </w:rPr>
            </w:pPr>
            <w:r w:rsidRPr="00662DA6">
              <w:rPr>
                <w:rFonts w:asciiTheme="majorHAnsi" w:eastAsia="Times New Roman" w:hAnsiTheme="majorHAnsi"/>
                <w:b/>
                <w:i/>
                <w:color w:val="000000"/>
                <w:sz w:val="18"/>
                <w:lang w:eastAsia="cs-CZ"/>
              </w:rPr>
              <w:t>32,34</w:t>
            </w:r>
          </w:p>
        </w:tc>
        <w:tc>
          <w:tcPr>
            <w:tcW w:w="714" w:type="pct"/>
            <w:tcBorders>
              <w:top w:val="single" w:sz="4" w:space="0" w:color="auto"/>
              <w:left w:val="nil"/>
              <w:bottom w:val="nil"/>
              <w:right w:val="single" w:sz="4" w:space="0" w:color="FFFFFF"/>
            </w:tcBorders>
            <w:shd w:val="clear" w:color="F8CBAD" w:fill="F8CBAD"/>
            <w:noWrap/>
            <w:vAlign w:val="center"/>
            <w:hideMark/>
          </w:tcPr>
          <w:p w14:paraId="46B88836" w14:textId="77777777" w:rsidR="00662DA6" w:rsidRPr="00662DA6" w:rsidRDefault="00662DA6" w:rsidP="00662DA6">
            <w:pPr>
              <w:spacing w:before="0" w:after="0"/>
              <w:contextualSpacing w:val="0"/>
              <w:jc w:val="center"/>
              <w:rPr>
                <w:rFonts w:asciiTheme="majorHAnsi" w:eastAsia="Times New Roman" w:hAnsiTheme="majorHAnsi"/>
                <w:b/>
                <w:i/>
                <w:color w:val="000000"/>
                <w:sz w:val="18"/>
                <w:lang w:eastAsia="cs-CZ"/>
              </w:rPr>
            </w:pPr>
            <w:r w:rsidRPr="00662DA6">
              <w:rPr>
                <w:rFonts w:asciiTheme="majorHAnsi" w:eastAsia="Times New Roman" w:hAnsiTheme="majorHAnsi"/>
                <w:b/>
                <w:i/>
                <w:color w:val="000000"/>
                <w:sz w:val="18"/>
                <w:lang w:eastAsia="cs-CZ"/>
              </w:rPr>
              <w:t>35,76</w:t>
            </w:r>
          </w:p>
        </w:tc>
        <w:tc>
          <w:tcPr>
            <w:tcW w:w="714" w:type="pct"/>
            <w:tcBorders>
              <w:top w:val="single" w:sz="4" w:space="0" w:color="auto"/>
              <w:left w:val="nil"/>
              <w:bottom w:val="nil"/>
              <w:right w:val="single" w:sz="4" w:space="0" w:color="FFFFFF"/>
            </w:tcBorders>
            <w:shd w:val="clear" w:color="F8CBAD" w:fill="F8CBAD"/>
            <w:noWrap/>
            <w:vAlign w:val="center"/>
            <w:hideMark/>
          </w:tcPr>
          <w:p w14:paraId="304E6539" w14:textId="77777777" w:rsidR="00662DA6" w:rsidRPr="00662DA6" w:rsidRDefault="00662DA6" w:rsidP="00662DA6">
            <w:pPr>
              <w:spacing w:before="0" w:after="0"/>
              <w:contextualSpacing w:val="0"/>
              <w:jc w:val="center"/>
              <w:rPr>
                <w:rFonts w:asciiTheme="majorHAnsi" w:eastAsia="Times New Roman" w:hAnsiTheme="majorHAnsi"/>
                <w:b/>
                <w:i/>
                <w:color w:val="000000"/>
                <w:sz w:val="18"/>
                <w:lang w:eastAsia="cs-CZ"/>
              </w:rPr>
            </w:pPr>
            <w:r w:rsidRPr="00662DA6">
              <w:rPr>
                <w:rFonts w:asciiTheme="majorHAnsi" w:eastAsia="Times New Roman" w:hAnsiTheme="majorHAnsi"/>
                <w:b/>
                <w:i/>
                <w:color w:val="000000"/>
                <w:sz w:val="18"/>
                <w:lang w:eastAsia="cs-CZ"/>
              </w:rPr>
              <w:t>2,09</w:t>
            </w:r>
          </w:p>
        </w:tc>
        <w:tc>
          <w:tcPr>
            <w:tcW w:w="714" w:type="pct"/>
            <w:tcBorders>
              <w:top w:val="single" w:sz="4" w:space="0" w:color="auto"/>
              <w:left w:val="nil"/>
              <w:bottom w:val="nil"/>
              <w:right w:val="single" w:sz="4" w:space="0" w:color="FFFFFF"/>
            </w:tcBorders>
            <w:shd w:val="clear" w:color="F8CBAD" w:fill="F8CBAD"/>
            <w:noWrap/>
            <w:vAlign w:val="center"/>
            <w:hideMark/>
          </w:tcPr>
          <w:p w14:paraId="4A8DFADF" w14:textId="77777777" w:rsidR="00662DA6" w:rsidRPr="00662DA6" w:rsidRDefault="00662DA6" w:rsidP="00662DA6">
            <w:pPr>
              <w:spacing w:before="0" w:after="0"/>
              <w:contextualSpacing w:val="0"/>
              <w:jc w:val="center"/>
              <w:rPr>
                <w:rFonts w:asciiTheme="majorHAnsi" w:eastAsia="Times New Roman" w:hAnsiTheme="majorHAnsi"/>
                <w:b/>
                <w:i/>
                <w:color w:val="000000"/>
                <w:sz w:val="18"/>
                <w:lang w:eastAsia="cs-CZ"/>
              </w:rPr>
            </w:pPr>
            <w:r w:rsidRPr="00662DA6">
              <w:rPr>
                <w:rFonts w:asciiTheme="majorHAnsi" w:eastAsia="Times New Roman" w:hAnsiTheme="majorHAnsi"/>
                <w:b/>
                <w:i/>
                <w:color w:val="000000"/>
                <w:sz w:val="18"/>
                <w:lang w:eastAsia="cs-CZ"/>
              </w:rPr>
              <w:t>78,70</w:t>
            </w:r>
          </w:p>
        </w:tc>
        <w:tc>
          <w:tcPr>
            <w:tcW w:w="714" w:type="pct"/>
            <w:tcBorders>
              <w:top w:val="single" w:sz="4" w:space="0" w:color="auto"/>
              <w:left w:val="nil"/>
              <w:bottom w:val="nil"/>
              <w:right w:val="nil"/>
            </w:tcBorders>
            <w:shd w:val="clear" w:color="F8CBAD" w:fill="F8CBAD"/>
            <w:noWrap/>
            <w:vAlign w:val="center"/>
            <w:hideMark/>
          </w:tcPr>
          <w:p w14:paraId="43DE1B92" w14:textId="77777777" w:rsidR="00662DA6" w:rsidRPr="00662DA6" w:rsidRDefault="00662DA6" w:rsidP="00662DA6">
            <w:pPr>
              <w:spacing w:before="0" w:after="0"/>
              <w:contextualSpacing w:val="0"/>
              <w:jc w:val="center"/>
              <w:rPr>
                <w:rFonts w:asciiTheme="majorHAnsi" w:eastAsia="Times New Roman" w:hAnsiTheme="majorHAnsi"/>
                <w:b/>
                <w:i/>
                <w:color w:val="000000"/>
                <w:sz w:val="18"/>
                <w:lang w:eastAsia="cs-CZ"/>
              </w:rPr>
            </w:pPr>
            <w:r w:rsidRPr="00662DA6">
              <w:rPr>
                <w:rFonts w:asciiTheme="majorHAnsi" w:eastAsia="Times New Roman" w:hAnsiTheme="majorHAnsi"/>
                <w:b/>
                <w:i/>
                <w:color w:val="000000"/>
                <w:sz w:val="18"/>
                <w:lang w:eastAsia="cs-CZ"/>
              </w:rPr>
              <w:t>99,96</w:t>
            </w:r>
          </w:p>
        </w:tc>
      </w:tr>
    </w:tbl>
    <w:p w14:paraId="080D7F27" w14:textId="5A1F5092" w:rsidR="007D7C8F" w:rsidRPr="00C62639" w:rsidRDefault="00DB6454" w:rsidP="00662DA6">
      <w:pPr>
        <w:pStyle w:val="Normlnzprva"/>
        <w:rPr>
          <w:noProof/>
        </w:rPr>
      </w:pPr>
      <w:r w:rsidRPr="00C62639">
        <w:rPr>
          <w:noProof/>
        </w:rPr>
        <w:br w:type="page"/>
      </w:r>
      <w:bookmarkEnd w:id="53"/>
      <w:bookmarkEnd w:id="54"/>
    </w:p>
    <w:p w14:paraId="7A27C240" w14:textId="77777777" w:rsidR="0026569A" w:rsidRDefault="007D7C8F" w:rsidP="0026569A">
      <w:pPr>
        <w:pStyle w:val="Nadpis2"/>
        <w:rPr>
          <w:rFonts w:asciiTheme="minorHAnsi" w:eastAsia="Calibri Light" w:hAnsiTheme="minorHAnsi"/>
          <w:noProof/>
        </w:rPr>
      </w:pPr>
      <w:r w:rsidRPr="00C62639">
        <w:rPr>
          <w:rFonts w:asciiTheme="minorHAnsi" w:hAnsiTheme="minorHAnsi"/>
          <w:noProof/>
        </w:rPr>
        <w:lastRenderedPageBreak/>
        <w:t xml:space="preserve"> </w:t>
      </w:r>
      <w:bookmarkStart w:id="57" w:name="_Toc505684437"/>
      <w:r w:rsidR="0026569A" w:rsidRPr="00C62639">
        <w:rPr>
          <w:rFonts w:asciiTheme="minorHAnsi" w:eastAsia="Calibri Light" w:hAnsiTheme="minorHAnsi"/>
          <w:noProof/>
        </w:rPr>
        <w:t xml:space="preserve">Závěry benchmarkingového projektu </w:t>
      </w:r>
      <w:r w:rsidR="0026569A">
        <w:rPr>
          <w:rFonts w:asciiTheme="minorHAnsi" w:eastAsia="Calibri Light" w:hAnsiTheme="minorHAnsi"/>
          <w:noProof/>
        </w:rPr>
        <w:t>provozovatelských</w:t>
      </w:r>
      <w:r w:rsidR="0026569A" w:rsidRPr="00C62639">
        <w:rPr>
          <w:rFonts w:asciiTheme="minorHAnsi" w:eastAsia="Calibri Light" w:hAnsiTheme="minorHAnsi"/>
          <w:noProof/>
        </w:rPr>
        <w:t xml:space="preserve"> subjektů </w:t>
      </w:r>
      <w:r w:rsidR="0026569A">
        <w:rPr>
          <w:rFonts w:asciiTheme="minorHAnsi" w:eastAsia="Calibri Light" w:hAnsiTheme="minorHAnsi"/>
          <w:noProof/>
        </w:rPr>
        <w:br/>
      </w:r>
      <w:r w:rsidR="0026569A" w:rsidRPr="00C62639">
        <w:rPr>
          <w:rFonts w:asciiTheme="minorHAnsi" w:eastAsia="Calibri Light" w:hAnsiTheme="minorHAnsi"/>
          <w:noProof/>
        </w:rPr>
        <w:t>za rok 2016</w:t>
      </w:r>
      <w:bookmarkEnd w:id="57"/>
    </w:p>
    <w:p w14:paraId="48334E92" w14:textId="625414AC" w:rsidR="0026569A" w:rsidRPr="0026569A" w:rsidRDefault="0026569A" w:rsidP="0026569A">
      <w:pPr>
        <w:pStyle w:val="Nadpis3"/>
        <w:rPr>
          <w:rFonts w:asciiTheme="minorHAnsi" w:eastAsia="Calibri Light" w:hAnsiTheme="minorHAnsi"/>
          <w:noProof/>
        </w:rPr>
      </w:pPr>
      <w:bookmarkStart w:id="58" w:name="_Toc505684438"/>
      <w:r>
        <w:t>SWOT analýza</w:t>
      </w:r>
      <w:bookmarkEnd w:id="58"/>
    </w:p>
    <w:tbl>
      <w:tblPr>
        <w:tblW w:w="10842" w:type="dxa"/>
        <w:jc w:val="center"/>
        <w:tblBorders>
          <w:top w:val="single" w:sz="6" w:space="0" w:color="B2A1C7"/>
          <w:left w:val="single" w:sz="6" w:space="0" w:color="B2A1C7"/>
          <w:bottom w:val="single" w:sz="6" w:space="0" w:color="B2A1C7"/>
          <w:right w:val="single" w:sz="6" w:space="0" w:color="B2A1C7"/>
          <w:insideH w:val="single" w:sz="6" w:space="0" w:color="B2A1C7"/>
          <w:insideV w:val="single" w:sz="6" w:space="0" w:color="B2A1C7"/>
        </w:tblBorders>
        <w:tblLook w:val="04A0" w:firstRow="1" w:lastRow="0" w:firstColumn="1" w:lastColumn="0" w:noHBand="0" w:noVBand="1"/>
      </w:tblPr>
      <w:tblGrid>
        <w:gridCol w:w="5240"/>
        <w:gridCol w:w="5602"/>
      </w:tblGrid>
      <w:tr w:rsidR="00D94D79" w:rsidRPr="00C62639" w14:paraId="2071AD45" w14:textId="77777777" w:rsidTr="00762B0A">
        <w:trPr>
          <w:jc w:val="center"/>
        </w:trPr>
        <w:tc>
          <w:tcPr>
            <w:tcW w:w="5240" w:type="dxa"/>
            <w:shd w:val="clear" w:color="auto" w:fill="B2A1C7"/>
          </w:tcPr>
          <w:p w14:paraId="3DABACEC" w14:textId="77777777" w:rsidR="00D94D79" w:rsidRPr="00C62639" w:rsidRDefault="00D94D79" w:rsidP="00762B0A">
            <w:pPr>
              <w:spacing w:before="0" w:after="0"/>
              <w:rPr>
                <w:rFonts w:asciiTheme="minorHAnsi" w:hAnsiTheme="minorHAnsi"/>
                <w:bCs/>
                <w:smallCaps/>
                <w:noProof/>
                <w:color w:val="FFFFFF"/>
                <w:szCs w:val="20"/>
              </w:rPr>
            </w:pPr>
            <w:r w:rsidRPr="00C62639">
              <w:rPr>
                <w:rFonts w:asciiTheme="minorHAnsi" w:hAnsiTheme="minorHAnsi"/>
                <w:bCs/>
                <w:smallCaps/>
                <w:noProof/>
                <w:color w:val="FFFFFF"/>
                <w:szCs w:val="20"/>
              </w:rPr>
              <w:t>Silné stránky</w:t>
            </w:r>
          </w:p>
        </w:tc>
        <w:tc>
          <w:tcPr>
            <w:tcW w:w="5602" w:type="dxa"/>
            <w:shd w:val="clear" w:color="auto" w:fill="B2A1C7"/>
          </w:tcPr>
          <w:p w14:paraId="7E15ABED" w14:textId="77777777" w:rsidR="00D94D79" w:rsidRPr="00C62639" w:rsidRDefault="00D94D79" w:rsidP="00762B0A">
            <w:pPr>
              <w:spacing w:before="0" w:after="0"/>
              <w:rPr>
                <w:rFonts w:asciiTheme="minorHAnsi" w:hAnsiTheme="minorHAnsi"/>
                <w:b/>
                <w:bCs/>
                <w:smallCaps/>
                <w:noProof/>
                <w:color w:val="FFFFFF"/>
                <w:szCs w:val="20"/>
              </w:rPr>
            </w:pPr>
            <w:r w:rsidRPr="00C62639">
              <w:rPr>
                <w:rFonts w:asciiTheme="minorHAnsi" w:hAnsiTheme="minorHAnsi"/>
                <w:b/>
                <w:bCs/>
                <w:smallCaps/>
                <w:noProof/>
                <w:color w:val="FFFFFF"/>
                <w:szCs w:val="20"/>
              </w:rPr>
              <w:t>Slabé stránky</w:t>
            </w:r>
          </w:p>
        </w:tc>
      </w:tr>
      <w:tr w:rsidR="00D94D79" w:rsidRPr="00C62639" w14:paraId="703C2506" w14:textId="77777777" w:rsidTr="00762B0A">
        <w:trPr>
          <w:jc w:val="center"/>
        </w:trPr>
        <w:tc>
          <w:tcPr>
            <w:tcW w:w="5240" w:type="dxa"/>
            <w:tcBorders>
              <w:bottom w:val="single" w:sz="6" w:space="0" w:color="B2A1C7"/>
            </w:tcBorders>
            <w:shd w:val="clear" w:color="auto" w:fill="FFFFFF"/>
          </w:tcPr>
          <w:p w14:paraId="4DBA3E52" w14:textId="77777777" w:rsidR="000A6C56" w:rsidRPr="00C62639" w:rsidRDefault="000A6C56" w:rsidP="000A6C56">
            <w:pPr>
              <w:pStyle w:val="Odstavecseseznamem"/>
              <w:numPr>
                <w:ilvl w:val="0"/>
                <w:numId w:val="19"/>
              </w:numPr>
              <w:spacing w:before="0" w:after="60"/>
              <w:rPr>
                <w:rFonts w:asciiTheme="minorHAnsi" w:hAnsiTheme="minorHAnsi"/>
                <w:noProof/>
                <w:sz w:val="22"/>
                <w:szCs w:val="20"/>
              </w:rPr>
            </w:pPr>
            <w:r w:rsidRPr="00C62639">
              <w:rPr>
                <w:rFonts w:asciiTheme="minorHAnsi" w:hAnsiTheme="minorHAnsi"/>
                <w:noProof/>
                <w:sz w:val="22"/>
                <w:szCs w:val="20"/>
              </w:rPr>
              <w:t xml:space="preserve">Rozvinutá síť VIM a </w:t>
            </w:r>
            <w:r>
              <w:rPr>
                <w:rFonts w:asciiTheme="minorHAnsi" w:hAnsiTheme="minorHAnsi"/>
                <w:noProof/>
                <w:sz w:val="22"/>
                <w:szCs w:val="20"/>
              </w:rPr>
              <w:t>prozatím postačující množství přírodních</w:t>
            </w:r>
            <w:r w:rsidRPr="00C62639">
              <w:rPr>
                <w:rFonts w:asciiTheme="minorHAnsi" w:hAnsiTheme="minorHAnsi"/>
                <w:noProof/>
                <w:sz w:val="22"/>
                <w:szCs w:val="20"/>
              </w:rPr>
              <w:t xml:space="preserve"> vodních zdrojů.</w:t>
            </w:r>
          </w:p>
          <w:p w14:paraId="56A5A0CA" w14:textId="3E74D084" w:rsidR="00D94D79" w:rsidRPr="00C62639" w:rsidRDefault="002B7BC8" w:rsidP="000A6C56">
            <w:pPr>
              <w:pStyle w:val="Odstavecseseznamem"/>
              <w:numPr>
                <w:ilvl w:val="0"/>
                <w:numId w:val="19"/>
              </w:numPr>
              <w:spacing w:before="60" w:after="60"/>
              <w:contextualSpacing w:val="0"/>
              <w:rPr>
                <w:rFonts w:asciiTheme="minorHAnsi" w:hAnsiTheme="minorHAnsi"/>
                <w:bCs/>
                <w:noProof/>
                <w:szCs w:val="20"/>
              </w:rPr>
            </w:pPr>
            <w:r>
              <w:rPr>
                <w:rFonts w:asciiTheme="minorHAnsi" w:hAnsiTheme="minorHAnsi"/>
                <w:bCs/>
                <w:noProof/>
                <w:szCs w:val="20"/>
              </w:rPr>
              <w:t>Zákonný</w:t>
            </w:r>
            <w:r w:rsidR="00D94D79" w:rsidRPr="00C62639">
              <w:rPr>
                <w:rFonts w:asciiTheme="minorHAnsi" w:hAnsiTheme="minorHAnsi"/>
                <w:bCs/>
                <w:noProof/>
                <w:szCs w:val="20"/>
              </w:rPr>
              <w:t xml:space="preserve"> rámec upravující práva a povinnosti vlastníků a provozovatelů VIM.</w:t>
            </w:r>
          </w:p>
          <w:p w14:paraId="0F7E7FA4" w14:textId="77777777" w:rsidR="00D94D79" w:rsidRPr="00C62639" w:rsidRDefault="00D94D79" w:rsidP="000A6C56">
            <w:pPr>
              <w:pStyle w:val="Odstavecseseznamem"/>
              <w:numPr>
                <w:ilvl w:val="0"/>
                <w:numId w:val="19"/>
              </w:numPr>
              <w:spacing w:before="60" w:after="60"/>
              <w:contextualSpacing w:val="0"/>
              <w:rPr>
                <w:rFonts w:asciiTheme="minorHAnsi" w:hAnsiTheme="minorHAnsi"/>
                <w:bCs/>
                <w:noProof/>
                <w:szCs w:val="20"/>
              </w:rPr>
            </w:pPr>
            <w:r w:rsidRPr="00C62639">
              <w:rPr>
                <w:rFonts w:asciiTheme="minorHAnsi" w:hAnsiTheme="minorHAnsi"/>
                <w:bCs/>
                <w:noProof/>
                <w:szCs w:val="20"/>
              </w:rPr>
              <w:t>Vysoké % napojení obyvatelstva k vodovodu a ke kanalizaci pro veřejnou potřebu.</w:t>
            </w:r>
          </w:p>
          <w:p w14:paraId="02F371DA" w14:textId="795681B0" w:rsidR="00D94D79" w:rsidRPr="00C62639" w:rsidRDefault="002B7BC8" w:rsidP="000A6C56">
            <w:pPr>
              <w:pStyle w:val="Odstavecseseznamem"/>
              <w:numPr>
                <w:ilvl w:val="0"/>
                <w:numId w:val="19"/>
              </w:numPr>
              <w:spacing w:before="60" w:after="60"/>
              <w:contextualSpacing w:val="0"/>
              <w:rPr>
                <w:rFonts w:asciiTheme="minorHAnsi" w:hAnsiTheme="minorHAnsi"/>
                <w:bCs/>
                <w:noProof/>
                <w:szCs w:val="20"/>
              </w:rPr>
            </w:pPr>
            <w:r>
              <w:rPr>
                <w:rFonts w:asciiTheme="minorHAnsi" w:hAnsiTheme="minorHAnsi"/>
                <w:bCs/>
                <w:noProof/>
                <w:szCs w:val="20"/>
              </w:rPr>
              <w:t>Zákonem</w:t>
            </w:r>
            <w:r w:rsidR="00D94D79" w:rsidRPr="00C62639">
              <w:rPr>
                <w:rFonts w:asciiTheme="minorHAnsi" w:hAnsiTheme="minorHAnsi"/>
                <w:bCs/>
                <w:noProof/>
                <w:szCs w:val="20"/>
              </w:rPr>
              <w:t xml:space="preserve"> zaveden systém cenotvorby, který umožňuje pokrývat všechny </w:t>
            </w:r>
            <w:r w:rsidR="000A6C56">
              <w:rPr>
                <w:rFonts w:asciiTheme="minorHAnsi" w:hAnsiTheme="minorHAnsi"/>
                <w:bCs/>
                <w:noProof/>
                <w:szCs w:val="20"/>
              </w:rPr>
              <w:t xml:space="preserve">ekonomicky oprávněné </w:t>
            </w:r>
            <w:r w:rsidR="00D94D79" w:rsidRPr="00C62639">
              <w:rPr>
                <w:rFonts w:asciiTheme="minorHAnsi" w:hAnsiTheme="minorHAnsi"/>
                <w:bCs/>
                <w:noProof/>
                <w:szCs w:val="20"/>
              </w:rPr>
              <w:t xml:space="preserve">náklady </w:t>
            </w:r>
            <w:r w:rsidR="000A6C56">
              <w:rPr>
                <w:rFonts w:asciiTheme="minorHAnsi" w:hAnsiTheme="minorHAnsi"/>
                <w:bCs/>
                <w:noProof/>
                <w:szCs w:val="20"/>
              </w:rPr>
              <w:t xml:space="preserve">a prostředky na obnovu VIM </w:t>
            </w:r>
            <w:r w:rsidR="00D94D79" w:rsidRPr="00C62639">
              <w:rPr>
                <w:rFonts w:asciiTheme="minorHAnsi" w:hAnsiTheme="minorHAnsi"/>
                <w:bCs/>
                <w:noProof/>
                <w:szCs w:val="20"/>
              </w:rPr>
              <w:t>z ceny vodného a stočného</w:t>
            </w:r>
            <w:r w:rsidR="00B26631">
              <w:rPr>
                <w:rFonts w:asciiTheme="minorHAnsi" w:hAnsiTheme="minorHAnsi"/>
                <w:bCs/>
                <w:noProof/>
                <w:szCs w:val="20"/>
              </w:rPr>
              <w:t xml:space="preserve"> </w:t>
            </w:r>
            <w:r w:rsidR="00D94D79" w:rsidRPr="00C62639">
              <w:rPr>
                <w:rFonts w:asciiTheme="minorHAnsi" w:hAnsiTheme="minorHAnsi"/>
                <w:bCs/>
                <w:noProof/>
                <w:szCs w:val="20"/>
              </w:rPr>
              <w:t xml:space="preserve">- předpoklad pro dosažení samofinancovatelnosti vodovodů a kanalizací. </w:t>
            </w:r>
          </w:p>
          <w:p w14:paraId="50635F4F" w14:textId="77777777" w:rsidR="00D94D79" w:rsidRPr="00C62639" w:rsidRDefault="00D94D79" w:rsidP="000A6C56">
            <w:pPr>
              <w:pStyle w:val="Odstavecseseznamem"/>
              <w:numPr>
                <w:ilvl w:val="0"/>
                <w:numId w:val="19"/>
              </w:numPr>
              <w:spacing w:before="60" w:after="60"/>
              <w:contextualSpacing w:val="0"/>
              <w:rPr>
                <w:rFonts w:asciiTheme="minorHAnsi" w:hAnsiTheme="minorHAnsi"/>
                <w:bCs/>
                <w:noProof/>
                <w:szCs w:val="20"/>
              </w:rPr>
            </w:pPr>
            <w:r w:rsidRPr="00C62639">
              <w:rPr>
                <w:rFonts w:asciiTheme="minorHAnsi" w:hAnsiTheme="minorHAnsi"/>
                <w:bCs/>
                <w:noProof/>
                <w:szCs w:val="20"/>
              </w:rPr>
              <w:t>Zavedení nového nástroje v cenovém výměru „smlouva mezi vlastníkem a nájemcem o přenechání části zisku nájemci“ (poprvé v cenovém výměru pro rok 2017).</w:t>
            </w:r>
          </w:p>
          <w:p w14:paraId="0F4C2C80" w14:textId="058A3829" w:rsidR="00D94D79" w:rsidRPr="00C62639" w:rsidRDefault="00D94D79" w:rsidP="000A6C56">
            <w:pPr>
              <w:pStyle w:val="Odstavecseseznamem"/>
              <w:numPr>
                <w:ilvl w:val="0"/>
                <w:numId w:val="19"/>
              </w:numPr>
              <w:spacing w:before="60" w:after="60"/>
              <w:contextualSpacing w:val="0"/>
              <w:rPr>
                <w:rFonts w:asciiTheme="minorHAnsi" w:hAnsiTheme="minorHAnsi"/>
                <w:noProof/>
                <w:szCs w:val="20"/>
              </w:rPr>
            </w:pPr>
            <w:r w:rsidRPr="002B7BC8">
              <w:rPr>
                <w:rFonts w:asciiTheme="minorHAnsi" w:hAnsiTheme="minorHAnsi"/>
                <w:bCs/>
                <w:noProof/>
                <w:szCs w:val="24"/>
              </w:rPr>
              <w:t xml:space="preserve">Organizovaný sběr dat upraven </w:t>
            </w:r>
            <w:r w:rsidR="002B7BC8" w:rsidRPr="002B7BC8">
              <w:rPr>
                <w:rFonts w:asciiTheme="minorHAnsi" w:hAnsiTheme="minorHAnsi"/>
                <w:noProof/>
                <w:szCs w:val="24"/>
              </w:rPr>
              <w:t>požadavky dannými právními předpisy</w:t>
            </w:r>
            <w:r w:rsidR="002B7BC8" w:rsidRPr="002B7BC8">
              <w:rPr>
                <w:rFonts w:asciiTheme="minorHAnsi" w:hAnsiTheme="minorHAnsi"/>
                <w:bCs/>
                <w:noProof/>
                <w:szCs w:val="24"/>
              </w:rPr>
              <w:t xml:space="preserve"> </w:t>
            </w:r>
            <w:r w:rsidRPr="002B7BC8">
              <w:rPr>
                <w:rFonts w:asciiTheme="minorHAnsi" w:hAnsiTheme="minorHAnsi"/>
                <w:bCs/>
                <w:noProof/>
                <w:szCs w:val="24"/>
              </w:rPr>
              <w:t>(vybrané údaje z majetkové a provozní evidence</w:t>
            </w:r>
            <w:r w:rsidRPr="00C62639">
              <w:rPr>
                <w:rFonts w:asciiTheme="minorHAnsi" w:hAnsiTheme="minorHAnsi"/>
                <w:bCs/>
                <w:noProof/>
                <w:szCs w:val="20"/>
              </w:rPr>
              <w:t>, „Porovnání“, hlášení pro ČSÚ, mechanizmy sběru dat o kvalitě pitné vody a hodnotách vyčištěných odpadních vod).</w:t>
            </w:r>
          </w:p>
          <w:p w14:paraId="7853E9F6" w14:textId="06BA4323" w:rsidR="00D94D79" w:rsidRPr="00C62639" w:rsidRDefault="00D94D79" w:rsidP="000A6C56">
            <w:pPr>
              <w:pStyle w:val="Odstavecseseznamem"/>
              <w:numPr>
                <w:ilvl w:val="0"/>
                <w:numId w:val="19"/>
              </w:numPr>
              <w:spacing w:before="60" w:after="60"/>
              <w:contextualSpacing w:val="0"/>
              <w:rPr>
                <w:rFonts w:asciiTheme="minorHAnsi" w:hAnsiTheme="minorHAnsi"/>
                <w:noProof/>
                <w:color w:val="943634"/>
                <w:szCs w:val="20"/>
              </w:rPr>
            </w:pPr>
            <w:r w:rsidRPr="00C62639">
              <w:rPr>
                <w:rFonts w:asciiTheme="minorHAnsi" w:hAnsiTheme="minorHAnsi"/>
                <w:bCs/>
                <w:noProof/>
                <w:szCs w:val="20"/>
              </w:rPr>
              <w:t xml:space="preserve">Existence dotačních titulů na </w:t>
            </w:r>
            <w:r w:rsidR="000A6C56">
              <w:rPr>
                <w:rFonts w:asciiTheme="minorHAnsi" w:hAnsiTheme="minorHAnsi"/>
                <w:bCs/>
                <w:noProof/>
                <w:szCs w:val="20"/>
              </w:rPr>
              <w:t xml:space="preserve">obnovu a </w:t>
            </w:r>
            <w:r w:rsidRPr="00C62639">
              <w:rPr>
                <w:rFonts w:asciiTheme="minorHAnsi" w:hAnsiTheme="minorHAnsi"/>
                <w:bCs/>
                <w:noProof/>
                <w:szCs w:val="20"/>
              </w:rPr>
              <w:t xml:space="preserve">rozvoj VIM. </w:t>
            </w:r>
          </w:p>
        </w:tc>
        <w:tc>
          <w:tcPr>
            <w:tcW w:w="5602" w:type="dxa"/>
            <w:tcBorders>
              <w:bottom w:val="single" w:sz="6" w:space="0" w:color="B2A1C7"/>
            </w:tcBorders>
            <w:shd w:val="clear" w:color="auto" w:fill="auto"/>
          </w:tcPr>
          <w:p w14:paraId="46437CCD" w14:textId="77777777" w:rsidR="00D94D79" w:rsidRPr="00C62639" w:rsidRDefault="00D94D79" w:rsidP="00762B0A">
            <w:pPr>
              <w:pStyle w:val="Odstavecseseznamem"/>
              <w:numPr>
                <w:ilvl w:val="0"/>
                <w:numId w:val="20"/>
              </w:numPr>
              <w:spacing w:before="0" w:after="0" w:line="274" w:lineRule="auto"/>
              <w:ind w:left="358"/>
              <w:contextualSpacing w:val="0"/>
              <w:rPr>
                <w:rFonts w:asciiTheme="minorHAnsi" w:hAnsiTheme="minorHAnsi"/>
                <w:noProof/>
                <w:szCs w:val="20"/>
              </w:rPr>
            </w:pPr>
            <w:r w:rsidRPr="00C62639">
              <w:rPr>
                <w:rFonts w:asciiTheme="minorHAnsi" w:hAnsiTheme="minorHAnsi"/>
                <w:noProof/>
                <w:szCs w:val="20"/>
              </w:rPr>
              <w:t xml:space="preserve">Vysoký stupeň atomizace trhu (více než 6 660 vlastníků, více než 2 850 provozovatelů). </w:t>
            </w:r>
          </w:p>
          <w:p w14:paraId="261796D2" w14:textId="77777777" w:rsidR="00D94D79" w:rsidRPr="00C62639" w:rsidRDefault="00D94D79" w:rsidP="00762B0A">
            <w:pPr>
              <w:pStyle w:val="Odstavecseseznamem"/>
              <w:numPr>
                <w:ilvl w:val="0"/>
                <w:numId w:val="20"/>
              </w:numPr>
              <w:spacing w:before="0" w:after="0" w:line="274" w:lineRule="auto"/>
              <w:ind w:left="312" w:hanging="357"/>
              <w:contextualSpacing w:val="0"/>
              <w:rPr>
                <w:rFonts w:asciiTheme="minorHAnsi" w:hAnsiTheme="minorHAnsi"/>
                <w:noProof/>
                <w:szCs w:val="20"/>
              </w:rPr>
            </w:pPr>
            <w:r w:rsidRPr="00C62639">
              <w:rPr>
                <w:rFonts w:asciiTheme="minorHAnsi" w:hAnsiTheme="minorHAnsi"/>
                <w:noProof/>
                <w:szCs w:val="20"/>
              </w:rPr>
              <w:t>Různorodost struktury obchodních vztahů v rámci jednotlivých modelů provozování ovlivňuje možnosti vlastníka rozhodovat o způsobu generování prostředků na obnovu, o jejich výši a době akumulace, která může souviset s délkou trvání smlouvy uzavřené mezi vlastníkem VIM a provozovatelem (oddílný model provozování - včetně vlastnického modelu provozování a provozování s využíváním servisních smluv, smíšený model – včetně samoprovozování, kombinovaný model provozování).</w:t>
            </w:r>
          </w:p>
          <w:p w14:paraId="7201C1AA" w14:textId="77777777" w:rsidR="00D94D79" w:rsidRPr="00C62639" w:rsidRDefault="00D94D79" w:rsidP="00762B0A">
            <w:pPr>
              <w:pStyle w:val="Odstavecseseznamem"/>
              <w:numPr>
                <w:ilvl w:val="0"/>
                <w:numId w:val="20"/>
              </w:numPr>
              <w:spacing w:before="0" w:after="0"/>
              <w:ind w:left="312" w:hanging="357"/>
              <w:contextualSpacing w:val="0"/>
              <w:rPr>
                <w:rFonts w:asciiTheme="minorHAnsi" w:hAnsiTheme="minorHAnsi"/>
                <w:noProof/>
                <w:szCs w:val="20"/>
              </w:rPr>
            </w:pPr>
            <w:r w:rsidRPr="00C62639">
              <w:rPr>
                <w:rFonts w:asciiTheme="minorHAnsi" w:hAnsiTheme="minorHAnsi"/>
                <w:noProof/>
                <w:szCs w:val="20"/>
              </w:rPr>
              <w:t>Slabá vyjednávací pozice vlastníka vůči provozovateli zapříčiněná nedostatečnou znalostí práv a povinností vlastníka VIM (zejména u menších vlastníků).</w:t>
            </w:r>
          </w:p>
          <w:p w14:paraId="486F8C9F" w14:textId="3FD0FC91" w:rsidR="00D94D79" w:rsidRPr="00C62639" w:rsidRDefault="00D94D79" w:rsidP="00762B0A">
            <w:pPr>
              <w:pStyle w:val="Odstavecseseznamem"/>
              <w:numPr>
                <w:ilvl w:val="0"/>
                <w:numId w:val="20"/>
              </w:numPr>
              <w:spacing w:before="0" w:after="0"/>
              <w:ind w:left="312" w:hanging="357"/>
              <w:contextualSpacing w:val="0"/>
              <w:rPr>
                <w:rFonts w:asciiTheme="minorHAnsi" w:hAnsiTheme="minorHAnsi"/>
                <w:noProof/>
                <w:szCs w:val="20"/>
              </w:rPr>
            </w:pPr>
            <w:r w:rsidRPr="00C62639">
              <w:rPr>
                <w:rFonts w:asciiTheme="minorHAnsi" w:hAnsiTheme="minorHAnsi"/>
                <w:noProof/>
                <w:szCs w:val="20"/>
              </w:rPr>
              <w:t xml:space="preserve">Nedodržování </w:t>
            </w:r>
            <w:r w:rsidR="00087EF5">
              <w:rPr>
                <w:rFonts w:asciiTheme="minorHAnsi" w:hAnsiTheme="minorHAnsi"/>
                <w:noProof/>
                <w:szCs w:val="20"/>
              </w:rPr>
              <w:t>zákonných požadavků</w:t>
            </w:r>
            <w:r w:rsidRPr="00C62639">
              <w:rPr>
                <w:rFonts w:asciiTheme="minorHAnsi" w:hAnsiTheme="minorHAnsi"/>
                <w:noProof/>
                <w:szCs w:val="20"/>
              </w:rPr>
              <w:t xml:space="preserve"> ze strany vlastníků a provozovatelů (zákon o cenách, vyhláška č. 428/2001 Sb., zákon o vodovodech a kanalizacích č. 274/2001 Sb., Koncesní zákon 139/2006 Sb. platný 1. 1. 2014 - 30. 9. 2016, zákon č. 134/2016 Sb., o zadávání veřejných zakázek).</w:t>
            </w:r>
          </w:p>
          <w:p w14:paraId="7A727EF5" w14:textId="4310054D" w:rsidR="00D94D79" w:rsidRPr="00C62639" w:rsidRDefault="00D94D79" w:rsidP="00762B0A">
            <w:pPr>
              <w:pStyle w:val="Odstavecseseznamem"/>
              <w:numPr>
                <w:ilvl w:val="0"/>
                <w:numId w:val="20"/>
              </w:numPr>
              <w:spacing w:before="0" w:after="0"/>
              <w:ind w:left="312" w:hanging="357"/>
              <w:contextualSpacing w:val="0"/>
              <w:rPr>
                <w:rFonts w:asciiTheme="minorHAnsi" w:hAnsiTheme="minorHAnsi"/>
                <w:noProof/>
                <w:szCs w:val="20"/>
              </w:rPr>
            </w:pPr>
            <w:r w:rsidRPr="00C62639">
              <w:rPr>
                <w:rFonts w:asciiTheme="minorHAnsi" w:hAnsiTheme="minorHAnsi"/>
                <w:noProof/>
                <w:szCs w:val="20"/>
              </w:rPr>
              <w:t xml:space="preserve">Neexistence </w:t>
            </w:r>
            <w:r w:rsidR="002B7BC8">
              <w:rPr>
                <w:rFonts w:asciiTheme="minorHAnsi" w:hAnsiTheme="minorHAnsi"/>
                <w:noProof/>
                <w:szCs w:val="20"/>
              </w:rPr>
              <w:t>zákonem dané</w:t>
            </w:r>
            <w:r w:rsidRPr="00C62639">
              <w:rPr>
                <w:rFonts w:asciiTheme="minorHAnsi" w:hAnsiTheme="minorHAnsi"/>
                <w:noProof/>
                <w:szCs w:val="20"/>
              </w:rPr>
              <w:t xml:space="preserve"> úpravy pro stanovení minimální výše nájemného nebo ceny pro vodné a pro stočné s vazbou na dosažení samofinancovatelnosti VIM. Nedostatečný dozor nad dodržováním </w:t>
            </w:r>
            <w:r w:rsidR="00087EF5">
              <w:rPr>
                <w:rFonts w:asciiTheme="minorHAnsi" w:hAnsiTheme="minorHAnsi"/>
                <w:noProof/>
                <w:szCs w:val="20"/>
              </w:rPr>
              <w:t>požadavků daných právními předpisy</w:t>
            </w:r>
            <w:r w:rsidRPr="00C62639">
              <w:rPr>
                <w:rFonts w:asciiTheme="minorHAnsi" w:hAnsiTheme="minorHAnsi"/>
                <w:noProof/>
                <w:szCs w:val="20"/>
              </w:rPr>
              <w:t xml:space="preserve"> (cenotvorba, plán financování obnovy a jeho realizace, kalkulace neoprávněných nákladů, servisní smlouvy).</w:t>
            </w:r>
          </w:p>
          <w:p w14:paraId="157D7CFC" w14:textId="77777777" w:rsidR="00D94D79" w:rsidRPr="00C62639" w:rsidRDefault="00D94D79" w:rsidP="00762B0A">
            <w:pPr>
              <w:pStyle w:val="Odstavecseseznamem"/>
              <w:numPr>
                <w:ilvl w:val="0"/>
                <w:numId w:val="20"/>
              </w:numPr>
              <w:spacing w:before="0" w:after="0"/>
              <w:ind w:left="312" w:hanging="357"/>
              <w:contextualSpacing w:val="0"/>
              <w:rPr>
                <w:rFonts w:asciiTheme="minorHAnsi" w:hAnsiTheme="minorHAnsi"/>
                <w:noProof/>
                <w:szCs w:val="20"/>
              </w:rPr>
            </w:pPr>
            <w:r w:rsidRPr="00C62639">
              <w:rPr>
                <w:rFonts w:asciiTheme="minorHAnsi" w:hAnsiTheme="minorHAnsi"/>
                <w:noProof/>
                <w:szCs w:val="20"/>
              </w:rPr>
              <w:t xml:space="preserve">Dotace ceny vlastníkem přes položku kalkulační zisk – trend u komunálních vlastníků – spotřebitel nemá informaci o skutečné ceně produktů. Tento postup zamezuje dosažení samofinancovatelnosti sektoru. V případě vlastnického modelu provozování dochází tímto způsobem k dotování samotného provozu – zejména u vlastníků s malým počtem připojených osob. </w:t>
            </w:r>
          </w:p>
          <w:p w14:paraId="0A308C51" w14:textId="77777777" w:rsidR="00D94D79" w:rsidRPr="00C62639" w:rsidRDefault="00D94D79" w:rsidP="00762B0A">
            <w:pPr>
              <w:pStyle w:val="Odstavecseseznamem"/>
              <w:numPr>
                <w:ilvl w:val="0"/>
                <w:numId w:val="20"/>
              </w:numPr>
              <w:spacing w:after="60"/>
              <w:ind w:left="317"/>
              <w:contextualSpacing w:val="0"/>
              <w:rPr>
                <w:rFonts w:asciiTheme="minorHAnsi" w:hAnsiTheme="minorHAnsi"/>
                <w:noProof/>
                <w:szCs w:val="20"/>
              </w:rPr>
            </w:pPr>
            <w:r w:rsidRPr="00C62639">
              <w:rPr>
                <w:rFonts w:asciiTheme="minorHAnsi" w:hAnsiTheme="minorHAnsi"/>
                <w:noProof/>
                <w:szCs w:val="20"/>
              </w:rPr>
              <w:lastRenderedPageBreak/>
              <w:t>Diskutabilní kvalita sbíraných a stávajících dat (ne všichni poskytovatelé dat vyplňují formuláře správně a stejně rozumějí obsahu jednotlivých položek; chybějící data pro kontrolu plánu financování obnovy: proinvestované dotace, stáří majetku, jeho opotřebení; rozsah objemu plánovaných oprav v daném roce …).</w:t>
            </w:r>
          </w:p>
          <w:p w14:paraId="0383BED2" w14:textId="77777777" w:rsidR="00D94D79" w:rsidRPr="00C62639" w:rsidRDefault="00D94D79" w:rsidP="00762B0A">
            <w:pPr>
              <w:spacing w:after="60"/>
              <w:ind w:left="-43"/>
              <w:contextualSpacing w:val="0"/>
              <w:rPr>
                <w:rFonts w:asciiTheme="minorHAnsi" w:hAnsiTheme="minorHAnsi"/>
                <w:noProof/>
                <w:szCs w:val="20"/>
              </w:rPr>
            </w:pPr>
          </w:p>
        </w:tc>
      </w:tr>
      <w:tr w:rsidR="00D94D79" w:rsidRPr="00C62639" w14:paraId="121A11F6" w14:textId="77777777" w:rsidTr="00762B0A">
        <w:trPr>
          <w:jc w:val="center"/>
        </w:trPr>
        <w:tc>
          <w:tcPr>
            <w:tcW w:w="5240" w:type="dxa"/>
            <w:shd w:val="clear" w:color="auto" w:fill="C4BC96"/>
          </w:tcPr>
          <w:p w14:paraId="4E6553DC" w14:textId="77777777" w:rsidR="00D94D79" w:rsidRPr="00C62639" w:rsidRDefault="00D94D79" w:rsidP="00AE02CA">
            <w:pPr>
              <w:rPr>
                <w:rFonts w:asciiTheme="minorHAnsi" w:hAnsiTheme="minorHAnsi"/>
                <w:bCs/>
                <w:smallCaps/>
                <w:noProof/>
                <w:szCs w:val="20"/>
              </w:rPr>
            </w:pPr>
            <w:r w:rsidRPr="00C62639">
              <w:rPr>
                <w:rFonts w:asciiTheme="minorHAnsi" w:hAnsiTheme="minorHAnsi"/>
                <w:bCs/>
                <w:smallCaps/>
                <w:noProof/>
                <w:szCs w:val="20"/>
              </w:rPr>
              <w:lastRenderedPageBreak/>
              <w:t>Příležitosti</w:t>
            </w:r>
          </w:p>
        </w:tc>
        <w:tc>
          <w:tcPr>
            <w:tcW w:w="5602" w:type="dxa"/>
            <w:shd w:val="clear" w:color="auto" w:fill="C4BC96"/>
          </w:tcPr>
          <w:p w14:paraId="204F025B" w14:textId="77777777" w:rsidR="00D94D79" w:rsidRPr="00C62639" w:rsidRDefault="00D94D79" w:rsidP="00AE02CA">
            <w:pPr>
              <w:rPr>
                <w:rFonts w:asciiTheme="minorHAnsi" w:hAnsiTheme="minorHAnsi"/>
                <w:b/>
                <w:smallCaps/>
                <w:noProof/>
                <w:szCs w:val="20"/>
              </w:rPr>
            </w:pPr>
            <w:r w:rsidRPr="00C62639">
              <w:rPr>
                <w:rFonts w:asciiTheme="minorHAnsi" w:hAnsiTheme="minorHAnsi"/>
                <w:smallCaps/>
                <w:noProof/>
                <w:szCs w:val="20"/>
              </w:rPr>
              <w:t>Hrozby</w:t>
            </w:r>
          </w:p>
        </w:tc>
      </w:tr>
      <w:tr w:rsidR="00D94D79" w:rsidRPr="00C62639" w14:paraId="4DCD492F" w14:textId="77777777" w:rsidTr="00762B0A">
        <w:trPr>
          <w:jc w:val="center"/>
        </w:trPr>
        <w:tc>
          <w:tcPr>
            <w:tcW w:w="5240" w:type="dxa"/>
            <w:shd w:val="clear" w:color="auto" w:fill="FFFFFF"/>
          </w:tcPr>
          <w:p w14:paraId="0D2FC6FD" w14:textId="77777777" w:rsidR="00D94D79" w:rsidRPr="00C62639" w:rsidRDefault="00D94D79" w:rsidP="00762B0A">
            <w:pPr>
              <w:pStyle w:val="Odstavecseseznamem"/>
              <w:numPr>
                <w:ilvl w:val="0"/>
                <w:numId w:val="21"/>
              </w:numPr>
              <w:spacing w:before="60" w:after="60"/>
              <w:contextualSpacing w:val="0"/>
              <w:rPr>
                <w:rFonts w:asciiTheme="minorHAnsi" w:hAnsiTheme="minorHAnsi"/>
                <w:bCs/>
                <w:noProof/>
                <w:szCs w:val="20"/>
              </w:rPr>
            </w:pPr>
            <w:r w:rsidRPr="00C62639">
              <w:rPr>
                <w:rFonts w:asciiTheme="minorHAnsi" w:hAnsiTheme="minorHAnsi"/>
                <w:bCs/>
                <w:noProof/>
                <w:szCs w:val="20"/>
              </w:rPr>
              <w:t xml:space="preserve">Dosažení sociálně únosné samofinancovatelnosti infrastruktury (splnění EU směrnic, nastavení odpovědného financování sektoru s ohledem na nezatěžování dalších generací). </w:t>
            </w:r>
          </w:p>
          <w:p w14:paraId="7CF1895C" w14:textId="77777777" w:rsidR="00D94D79" w:rsidRPr="00C62639" w:rsidRDefault="00D94D79" w:rsidP="00762B0A">
            <w:pPr>
              <w:pStyle w:val="Odstavecseseznamem"/>
              <w:numPr>
                <w:ilvl w:val="0"/>
                <w:numId w:val="21"/>
              </w:numPr>
              <w:spacing w:before="60" w:after="60"/>
              <w:contextualSpacing w:val="0"/>
              <w:rPr>
                <w:rFonts w:asciiTheme="minorHAnsi" w:hAnsiTheme="minorHAnsi"/>
                <w:bCs/>
                <w:noProof/>
                <w:szCs w:val="20"/>
              </w:rPr>
            </w:pPr>
            <w:r w:rsidRPr="00C62639">
              <w:rPr>
                <w:rFonts w:asciiTheme="minorHAnsi" w:hAnsiTheme="minorHAnsi"/>
                <w:bCs/>
                <w:noProof/>
                <w:szCs w:val="20"/>
              </w:rPr>
              <w:t>Detailnější vypracování podmínek hospodaření s prostředky určenými pro plán financování obnovy.</w:t>
            </w:r>
          </w:p>
          <w:p w14:paraId="592F8A21" w14:textId="77777777" w:rsidR="00D94D79" w:rsidRPr="00C62639" w:rsidRDefault="00D94D79" w:rsidP="00762B0A">
            <w:pPr>
              <w:pStyle w:val="Odstavecseseznamem"/>
              <w:numPr>
                <w:ilvl w:val="0"/>
                <w:numId w:val="21"/>
              </w:numPr>
              <w:spacing w:before="60" w:after="60"/>
              <w:contextualSpacing w:val="0"/>
              <w:rPr>
                <w:rFonts w:asciiTheme="minorHAnsi" w:hAnsiTheme="minorHAnsi"/>
                <w:bCs/>
                <w:noProof/>
                <w:szCs w:val="20"/>
              </w:rPr>
            </w:pPr>
            <w:r w:rsidRPr="00C62639">
              <w:rPr>
                <w:rFonts w:asciiTheme="minorHAnsi" w:hAnsiTheme="minorHAnsi"/>
                <w:bCs/>
                <w:noProof/>
                <w:szCs w:val="20"/>
              </w:rPr>
              <w:t>Zvýšení informovanosti všech zúčastněných stran sektoru o jejich právech a povinnostech.</w:t>
            </w:r>
          </w:p>
          <w:p w14:paraId="0FD2E9A2" w14:textId="77777777" w:rsidR="00D94D79" w:rsidRPr="00C62639" w:rsidRDefault="00D94D79" w:rsidP="00762B0A">
            <w:pPr>
              <w:pStyle w:val="Odstavecseseznamem"/>
              <w:numPr>
                <w:ilvl w:val="0"/>
                <w:numId w:val="21"/>
              </w:numPr>
              <w:spacing w:before="60" w:after="60"/>
              <w:contextualSpacing w:val="0"/>
              <w:rPr>
                <w:rFonts w:asciiTheme="minorHAnsi" w:hAnsiTheme="minorHAnsi"/>
                <w:bCs/>
                <w:noProof/>
                <w:szCs w:val="20"/>
              </w:rPr>
            </w:pPr>
            <w:r w:rsidRPr="00C62639">
              <w:rPr>
                <w:rFonts w:asciiTheme="minorHAnsi" w:hAnsiTheme="minorHAnsi"/>
                <w:bCs/>
                <w:noProof/>
                <w:szCs w:val="20"/>
              </w:rPr>
              <w:t>Zavedení pomocných nástrojů pro úpravu vztahu mezi vlastníky a provozovateli VIM (např. vzor servisní smlouvy, smlouvy s odborným zástupcem).</w:t>
            </w:r>
          </w:p>
          <w:p w14:paraId="2959B6EE" w14:textId="77777777" w:rsidR="00D94D79" w:rsidRPr="00C62639" w:rsidRDefault="00D94D79" w:rsidP="00762B0A">
            <w:pPr>
              <w:pStyle w:val="Odstavecseseznamem"/>
              <w:numPr>
                <w:ilvl w:val="0"/>
                <w:numId w:val="21"/>
              </w:numPr>
              <w:spacing w:before="60" w:after="60"/>
              <w:contextualSpacing w:val="0"/>
              <w:rPr>
                <w:rFonts w:asciiTheme="minorHAnsi" w:hAnsiTheme="minorHAnsi"/>
                <w:bCs/>
                <w:noProof/>
                <w:szCs w:val="20"/>
              </w:rPr>
            </w:pPr>
            <w:r w:rsidRPr="00C62639">
              <w:rPr>
                <w:rFonts w:asciiTheme="minorHAnsi" w:hAnsiTheme="minorHAnsi"/>
                <w:bCs/>
                <w:noProof/>
                <w:szCs w:val="20"/>
              </w:rPr>
              <w:t>Dodržování stanoveného rozmezí ceny pro vodné a stočné mezi úrovní sociálně únosné ceny a minimální cenou pokrývající veškeré provozní náklady a kapitálové náklady související s obnovou VIM (formou zakalkulování odpisů a prostředků PFO, které jsou v případě oddílného modelu provozování součástí nájemného).</w:t>
            </w:r>
          </w:p>
          <w:p w14:paraId="71CBA272" w14:textId="77777777" w:rsidR="00D94D79" w:rsidRPr="00C62639" w:rsidRDefault="00D94D79" w:rsidP="00762B0A">
            <w:pPr>
              <w:pStyle w:val="Odstavecseseznamem"/>
              <w:numPr>
                <w:ilvl w:val="0"/>
                <w:numId w:val="21"/>
              </w:numPr>
              <w:spacing w:before="60" w:after="60"/>
              <w:contextualSpacing w:val="0"/>
              <w:rPr>
                <w:rFonts w:asciiTheme="minorHAnsi" w:hAnsiTheme="minorHAnsi"/>
                <w:bCs/>
                <w:noProof/>
                <w:color w:val="000000"/>
                <w:szCs w:val="20"/>
              </w:rPr>
            </w:pPr>
            <w:r w:rsidRPr="00C62639">
              <w:rPr>
                <w:rFonts w:asciiTheme="minorHAnsi" w:hAnsiTheme="minorHAnsi"/>
                <w:bCs/>
                <w:noProof/>
                <w:color w:val="000000"/>
                <w:szCs w:val="20"/>
              </w:rPr>
              <w:t xml:space="preserve">Novelizace vyhlášky č. 428/2001 Sb., zejména příloha č. 20, v rámci které došlo k odstranění rozdílného přístupu pro poskytování informací o nákladové struktuře ceny pro vodné a stočné mezi subjekty aplikujícími smíšený a oddílný model provozování (informace o jednotlivých složkách nájemného hrazeného vlastníkům VIM; platnost povinnosti od 1. září 2019). </w:t>
            </w:r>
          </w:p>
          <w:p w14:paraId="2C23F563" w14:textId="10CE1140" w:rsidR="00D94D79" w:rsidRPr="00C62639" w:rsidRDefault="00D94D79" w:rsidP="00762B0A">
            <w:pPr>
              <w:pStyle w:val="Odstavecseseznamem"/>
              <w:numPr>
                <w:ilvl w:val="0"/>
                <w:numId w:val="21"/>
              </w:numPr>
              <w:spacing w:before="60" w:after="60"/>
              <w:contextualSpacing w:val="0"/>
              <w:rPr>
                <w:rFonts w:asciiTheme="minorHAnsi" w:hAnsiTheme="minorHAnsi"/>
                <w:bCs/>
                <w:noProof/>
                <w:szCs w:val="20"/>
              </w:rPr>
            </w:pPr>
            <w:r w:rsidRPr="00C62639">
              <w:rPr>
                <w:rFonts w:asciiTheme="minorHAnsi" w:hAnsiTheme="minorHAnsi"/>
                <w:bCs/>
                <w:noProof/>
                <w:szCs w:val="20"/>
              </w:rPr>
              <w:t>Zvyšování kval</w:t>
            </w:r>
            <w:r w:rsidR="000A6C56">
              <w:rPr>
                <w:rFonts w:asciiTheme="minorHAnsi" w:hAnsiTheme="minorHAnsi"/>
                <w:bCs/>
                <w:noProof/>
                <w:szCs w:val="20"/>
              </w:rPr>
              <w:t>ity dat, spolupráce se subjekty, provádění kon</w:t>
            </w:r>
            <w:r w:rsidR="000835BA">
              <w:rPr>
                <w:rFonts w:asciiTheme="minorHAnsi" w:hAnsiTheme="minorHAnsi"/>
                <w:bCs/>
                <w:noProof/>
                <w:szCs w:val="20"/>
              </w:rPr>
              <w:t>zultačních a vzdělávacích aktivit.</w:t>
            </w:r>
          </w:p>
        </w:tc>
        <w:tc>
          <w:tcPr>
            <w:tcW w:w="5602" w:type="dxa"/>
            <w:shd w:val="clear" w:color="auto" w:fill="auto"/>
          </w:tcPr>
          <w:p w14:paraId="7A89A81C" w14:textId="77777777" w:rsidR="00D94D79" w:rsidRPr="00C62639" w:rsidRDefault="00D94D79" w:rsidP="00762B0A">
            <w:pPr>
              <w:pStyle w:val="Odstavecseseznamem"/>
              <w:numPr>
                <w:ilvl w:val="0"/>
                <w:numId w:val="22"/>
              </w:numPr>
              <w:spacing w:before="60" w:after="60"/>
              <w:contextualSpacing w:val="0"/>
              <w:rPr>
                <w:rFonts w:asciiTheme="minorHAnsi" w:hAnsiTheme="minorHAnsi"/>
                <w:noProof/>
                <w:szCs w:val="20"/>
              </w:rPr>
            </w:pPr>
            <w:r w:rsidRPr="00C62639">
              <w:rPr>
                <w:rFonts w:asciiTheme="minorHAnsi" w:hAnsiTheme="minorHAnsi"/>
                <w:noProof/>
                <w:szCs w:val="20"/>
              </w:rPr>
              <w:t>Nejednotné chápání termínů (obnova, oprava, porucha…) a nízká úroveň kvality stávajících dat včetně neznalosti některých informací (např. týkajících se stáří a opotřebení VIM) mohou zapříčinit chybné rozhodnutí regulátora.</w:t>
            </w:r>
          </w:p>
          <w:p w14:paraId="0E032F83" w14:textId="49942F00" w:rsidR="00D94D79" w:rsidRPr="00C62639" w:rsidRDefault="00D94D79" w:rsidP="00762B0A">
            <w:pPr>
              <w:pStyle w:val="Odstavecseseznamem"/>
              <w:numPr>
                <w:ilvl w:val="0"/>
                <w:numId w:val="22"/>
              </w:numPr>
              <w:spacing w:before="60" w:after="60"/>
              <w:contextualSpacing w:val="0"/>
              <w:rPr>
                <w:rFonts w:asciiTheme="minorHAnsi" w:hAnsiTheme="minorHAnsi"/>
                <w:noProof/>
                <w:szCs w:val="20"/>
              </w:rPr>
            </w:pPr>
            <w:r w:rsidRPr="00C62639">
              <w:rPr>
                <w:rFonts w:asciiTheme="minorHAnsi" w:hAnsiTheme="minorHAnsi"/>
                <w:noProof/>
                <w:szCs w:val="20"/>
              </w:rPr>
              <w:t xml:space="preserve">Neexistující </w:t>
            </w:r>
            <w:r w:rsidR="002B7BC8">
              <w:rPr>
                <w:rFonts w:asciiTheme="minorHAnsi" w:hAnsiTheme="minorHAnsi"/>
                <w:noProof/>
                <w:szCs w:val="20"/>
              </w:rPr>
              <w:t>zákonem daná úprava</w:t>
            </w:r>
            <w:r w:rsidRPr="00C62639">
              <w:rPr>
                <w:rFonts w:asciiTheme="minorHAnsi" w:hAnsiTheme="minorHAnsi"/>
                <w:noProof/>
                <w:szCs w:val="20"/>
              </w:rPr>
              <w:t xml:space="preserve"> úprava možností využití zisku z regulované činnosti a možností použití zisku plynoucích z majetkových podílů vlastníků VIM v provozovatelských subjektech (Občanský zákoník a zákon o obchodních korporacích).</w:t>
            </w:r>
            <w:r w:rsidR="00B26631">
              <w:rPr>
                <w:rFonts w:asciiTheme="minorHAnsi" w:hAnsiTheme="minorHAnsi"/>
                <w:noProof/>
                <w:szCs w:val="20"/>
              </w:rPr>
              <w:t xml:space="preserve"> </w:t>
            </w:r>
            <w:r w:rsidRPr="00C62639">
              <w:rPr>
                <w:rFonts w:asciiTheme="minorHAnsi" w:hAnsiTheme="minorHAnsi"/>
                <w:noProof/>
                <w:szCs w:val="20"/>
              </w:rPr>
              <w:t>Ideální stav - použití zisků z regulované činnosti zákonem účelově vázáno na zabezpečení samofinancovatelnosti VIM.</w:t>
            </w:r>
          </w:p>
          <w:p w14:paraId="2B427973" w14:textId="77777777" w:rsidR="00D94D79" w:rsidRPr="00C62639" w:rsidRDefault="00D94D79" w:rsidP="00762B0A">
            <w:pPr>
              <w:pStyle w:val="Odstavecseseznamem"/>
              <w:numPr>
                <w:ilvl w:val="0"/>
                <w:numId w:val="22"/>
              </w:numPr>
              <w:spacing w:before="60" w:after="60"/>
              <w:contextualSpacing w:val="0"/>
              <w:rPr>
                <w:rFonts w:asciiTheme="minorHAnsi" w:hAnsiTheme="minorHAnsi"/>
                <w:noProof/>
                <w:szCs w:val="20"/>
              </w:rPr>
            </w:pPr>
            <w:r w:rsidRPr="00C62639">
              <w:rPr>
                <w:rFonts w:asciiTheme="minorHAnsi" w:hAnsiTheme="minorHAnsi"/>
                <w:noProof/>
                <w:szCs w:val="20"/>
              </w:rPr>
              <w:t xml:space="preserve">Působení dotací EU na cenotvorbu, kdy musí být v kalkulaci na určité období použit záporný kalkulační zisk. Dochází k deformaci cen pro vodné a stočné. </w:t>
            </w:r>
          </w:p>
          <w:p w14:paraId="303A07D8" w14:textId="653937B5" w:rsidR="00D94D79" w:rsidRPr="00C62639" w:rsidRDefault="00D94D79" w:rsidP="00762B0A">
            <w:pPr>
              <w:pStyle w:val="Odstavecseseznamem"/>
              <w:numPr>
                <w:ilvl w:val="0"/>
                <w:numId w:val="22"/>
              </w:numPr>
              <w:spacing w:before="60" w:after="60"/>
              <w:contextualSpacing w:val="0"/>
              <w:rPr>
                <w:rFonts w:asciiTheme="minorHAnsi" w:hAnsiTheme="minorHAnsi"/>
                <w:noProof/>
                <w:szCs w:val="20"/>
              </w:rPr>
            </w:pPr>
            <w:r w:rsidRPr="00C62639">
              <w:rPr>
                <w:rFonts w:asciiTheme="minorHAnsi" w:hAnsiTheme="minorHAnsi"/>
                <w:noProof/>
                <w:szCs w:val="20"/>
              </w:rPr>
              <w:t>Rozdílné podmínky podnikatelských subjektů a municipalit v účtování o dotacích při zařazování</w:t>
            </w:r>
            <w:r w:rsidR="00B26631">
              <w:rPr>
                <w:rFonts w:asciiTheme="minorHAnsi" w:hAnsiTheme="minorHAnsi"/>
                <w:noProof/>
                <w:szCs w:val="20"/>
              </w:rPr>
              <w:t xml:space="preserve"> </w:t>
            </w:r>
            <w:r w:rsidRPr="00C62639">
              <w:rPr>
                <w:rFonts w:asciiTheme="minorHAnsi" w:hAnsiTheme="minorHAnsi"/>
                <w:noProof/>
                <w:szCs w:val="20"/>
              </w:rPr>
              <w:t xml:space="preserve">majetku do hmotného investičního majetku mají za následek, že není možné pro účely regulace využívat informace o hodnotě majetku z účetnictví subjektů. </w:t>
            </w:r>
          </w:p>
          <w:p w14:paraId="3D4BC5DB" w14:textId="77777777" w:rsidR="00D94D79" w:rsidRPr="00C62639" w:rsidRDefault="00D94D79" w:rsidP="00762B0A">
            <w:pPr>
              <w:pStyle w:val="Odstavecseseznamem"/>
              <w:numPr>
                <w:ilvl w:val="0"/>
                <w:numId w:val="22"/>
              </w:numPr>
              <w:spacing w:before="60" w:after="60"/>
              <w:contextualSpacing w:val="0"/>
              <w:rPr>
                <w:rFonts w:asciiTheme="minorHAnsi" w:hAnsiTheme="minorHAnsi"/>
                <w:noProof/>
                <w:szCs w:val="20"/>
              </w:rPr>
            </w:pPr>
            <w:r w:rsidRPr="00C62639">
              <w:rPr>
                <w:rFonts w:asciiTheme="minorHAnsi" w:hAnsiTheme="minorHAnsi"/>
                <w:noProof/>
                <w:szCs w:val="20"/>
              </w:rPr>
              <w:t>Pokud dosažení samofinancovatelnosti bude trvat příliš dlouho, může to vést k opětovnému tlaku sektoru na dotace (na obnovu) a následně ke skokovým nárůstům cen vodného a stočného, které mohou být za sociální únosností. Tento postup může znamenat významné ekonomické zatížení budoucích generací, případně snížení kvality služeb.</w:t>
            </w:r>
          </w:p>
          <w:p w14:paraId="1EF23AFA" w14:textId="66E1A1A4" w:rsidR="00D94D79" w:rsidRPr="00C62639" w:rsidRDefault="0089218F" w:rsidP="00762B0A">
            <w:pPr>
              <w:pStyle w:val="Odstavecseseznamem"/>
              <w:numPr>
                <w:ilvl w:val="0"/>
                <w:numId w:val="22"/>
              </w:numPr>
              <w:spacing w:before="60" w:after="60"/>
              <w:contextualSpacing w:val="0"/>
              <w:rPr>
                <w:rFonts w:asciiTheme="minorHAnsi" w:hAnsiTheme="minorHAnsi"/>
                <w:noProof/>
                <w:szCs w:val="20"/>
              </w:rPr>
            </w:pPr>
            <w:r>
              <w:rPr>
                <w:rFonts w:asciiTheme="minorHAnsi" w:hAnsiTheme="minorHAnsi"/>
                <w:noProof/>
                <w:szCs w:val="20"/>
              </w:rPr>
              <w:t>Neúčelové použití</w:t>
            </w:r>
            <w:r w:rsidR="00D94D79" w:rsidRPr="00C62639">
              <w:rPr>
                <w:rFonts w:asciiTheme="minorHAnsi" w:hAnsiTheme="minorHAnsi"/>
                <w:noProof/>
                <w:szCs w:val="20"/>
              </w:rPr>
              <w:t xml:space="preserve"> prostředků plánu financování obnovy (jakožto veřejných zdrojů) v důsledku neexistence detailních podmínek pro hospodaření s nimi.</w:t>
            </w:r>
          </w:p>
        </w:tc>
      </w:tr>
    </w:tbl>
    <w:p w14:paraId="577D6B09" w14:textId="77777777" w:rsidR="00D94D79" w:rsidRPr="00C62639" w:rsidRDefault="00D94D79" w:rsidP="00D94D79">
      <w:pPr>
        <w:rPr>
          <w:rFonts w:asciiTheme="minorHAnsi" w:hAnsiTheme="minorHAnsi"/>
          <w:noProof/>
        </w:rPr>
      </w:pPr>
    </w:p>
    <w:p w14:paraId="018025BE" w14:textId="328C2716" w:rsidR="007D7C8F" w:rsidRPr="00C62639" w:rsidRDefault="007D7C8F" w:rsidP="0026569A">
      <w:pPr>
        <w:pStyle w:val="Nadpis3"/>
        <w:rPr>
          <w:noProof/>
        </w:rPr>
      </w:pPr>
      <w:r w:rsidRPr="00C62639">
        <w:rPr>
          <w:noProof/>
        </w:rPr>
        <w:t xml:space="preserve"> </w:t>
      </w:r>
      <w:bookmarkStart w:id="59" w:name="_Toc474143441"/>
      <w:bookmarkStart w:id="60" w:name="_Toc495564971"/>
      <w:bookmarkStart w:id="61" w:name="_Toc505684439"/>
      <w:r w:rsidRPr="00C62639">
        <w:rPr>
          <w:noProof/>
        </w:rPr>
        <w:t>Závěr, zhodnocení a návrh dalšího postupu</w:t>
      </w:r>
      <w:bookmarkEnd w:id="59"/>
      <w:bookmarkEnd w:id="60"/>
      <w:bookmarkEnd w:id="61"/>
    </w:p>
    <w:p w14:paraId="2C34ABF6" w14:textId="475AC1F0" w:rsidR="00D94D79" w:rsidRPr="00A340F8" w:rsidRDefault="00D94D79" w:rsidP="00A340F8">
      <w:pPr>
        <w:pStyle w:val="Normlnzprva"/>
        <w:rPr>
          <w:i/>
        </w:rPr>
      </w:pPr>
      <w:r w:rsidRPr="00A340F8">
        <w:rPr>
          <w:i/>
        </w:rPr>
        <w:t>Výsledky provedené analýzy SWOT a výstupy z benchmarki</w:t>
      </w:r>
      <w:r w:rsidR="00643A44">
        <w:rPr>
          <w:i/>
        </w:rPr>
        <w:t>ngu potvrdily a upřesnily poznatky</w:t>
      </w:r>
      <w:r w:rsidRPr="00A340F8">
        <w:rPr>
          <w:i/>
        </w:rPr>
        <w:t xml:space="preserve"> benchmarkingu provozov</w:t>
      </w:r>
      <w:r w:rsidR="00643A44">
        <w:rPr>
          <w:i/>
        </w:rPr>
        <w:t>atelských subjektů za rok 2015, který identifikoval hlavní problémové oblasti provozování VIM. Těmito oblastmi jsou</w:t>
      </w:r>
      <w:r w:rsidR="00345EA5">
        <w:rPr>
          <w:i/>
        </w:rPr>
        <w:t xml:space="preserve">: </w:t>
      </w:r>
      <w:r w:rsidR="00643A44">
        <w:rPr>
          <w:i/>
        </w:rPr>
        <w:t xml:space="preserve">zahrnování ekonomicky oprávněných nákladů v plné výši </w:t>
      </w:r>
      <w:r w:rsidR="00345EA5">
        <w:rPr>
          <w:i/>
        </w:rPr>
        <w:t xml:space="preserve">a prostředků obnovy VIM </w:t>
      </w:r>
      <w:r w:rsidR="00643A44">
        <w:rPr>
          <w:i/>
        </w:rPr>
        <w:t xml:space="preserve">do ceny pro vodné a stočné, </w:t>
      </w:r>
      <w:r w:rsidR="00345EA5">
        <w:rPr>
          <w:i/>
        </w:rPr>
        <w:t xml:space="preserve">stanovení </w:t>
      </w:r>
      <w:r w:rsidR="00643A44">
        <w:rPr>
          <w:i/>
        </w:rPr>
        <w:t>výše nájemného</w:t>
      </w:r>
      <w:r w:rsidR="00345EA5">
        <w:rPr>
          <w:i/>
        </w:rPr>
        <w:t xml:space="preserve"> VIM tak, aby pokrývalo</w:t>
      </w:r>
      <w:r w:rsidR="00643A44">
        <w:rPr>
          <w:i/>
        </w:rPr>
        <w:t xml:space="preserve"> </w:t>
      </w:r>
      <w:r w:rsidR="00345EA5">
        <w:rPr>
          <w:i/>
        </w:rPr>
        <w:t xml:space="preserve">jeho </w:t>
      </w:r>
      <w:r w:rsidR="00643A44">
        <w:rPr>
          <w:i/>
        </w:rPr>
        <w:t xml:space="preserve">obnovu </w:t>
      </w:r>
      <w:r w:rsidR="00345EA5">
        <w:rPr>
          <w:i/>
        </w:rPr>
        <w:t xml:space="preserve">a související náklady vlastníka a </w:t>
      </w:r>
      <w:r w:rsidR="00643A44">
        <w:rPr>
          <w:i/>
        </w:rPr>
        <w:t>provádění systematické údržby VIM prostřednictvím</w:t>
      </w:r>
      <w:r w:rsidR="00345EA5">
        <w:rPr>
          <w:i/>
        </w:rPr>
        <w:t xml:space="preserve"> tlaku na snižování ztrát pitné vody a počtu poruch na síti.</w:t>
      </w:r>
      <w:r w:rsidR="00643A44">
        <w:rPr>
          <w:i/>
        </w:rPr>
        <w:t xml:space="preserve">  </w:t>
      </w:r>
      <w:r w:rsidRPr="00A340F8">
        <w:rPr>
          <w:i/>
        </w:rPr>
        <w:t xml:space="preserve"> </w:t>
      </w:r>
      <w:r w:rsidR="00345EA5">
        <w:rPr>
          <w:i/>
        </w:rPr>
        <w:t>V</w:t>
      </w:r>
      <w:r w:rsidRPr="00A340F8">
        <w:rPr>
          <w:i/>
        </w:rPr>
        <w:t xml:space="preserve">ypovídací schopnost </w:t>
      </w:r>
      <w:r w:rsidR="00345EA5">
        <w:rPr>
          <w:i/>
        </w:rPr>
        <w:t xml:space="preserve">výsledků </w:t>
      </w:r>
      <w:r w:rsidRPr="00A340F8">
        <w:rPr>
          <w:i/>
        </w:rPr>
        <w:t xml:space="preserve">se oproti předchozímu roku značně zvýšila vzhledem k velikosti podílu analyzovaného trhu (více než 90 %) a je možné je použít jako podklad a výchozí bod pro řešení některých problémů oboru VaK s cílem dosáhnout </w:t>
      </w:r>
      <w:r w:rsidR="00542FE3" w:rsidRPr="00A340F8">
        <w:rPr>
          <w:i/>
        </w:rPr>
        <w:t xml:space="preserve">stanovených dlouhodobých záměrů </w:t>
      </w:r>
      <w:r w:rsidRPr="00A340F8">
        <w:rPr>
          <w:i/>
        </w:rPr>
        <w:t>regulace.</w:t>
      </w:r>
      <w:r w:rsidR="00B26631">
        <w:rPr>
          <w:i/>
        </w:rPr>
        <w:t xml:space="preserve"> </w:t>
      </w:r>
      <w:r w:rsidRPr="00A340F8">
        <w:rPr>
          <w:i/>
        </w:rPr>
        <w:t xml:space="preserve"> </w:t>
      </w:r>
    </w:p>
    <w:p w14:paraId="3B649449" w14:textId="6C7442B4" w:rsidR="009F676F" w:rsidRDefault="00D94D79" w:rsidP="00A340F8">
      <w:pPr>
        <w:pStyle w:val="Normlnzprva"/>
        <w:rPr>
          <w:i/>
        </w:rPr>
      </w:pPr>
      <w:r w:rsidRPr="00A340F8">
        <w:rPr>
          <w:i/>
        </w:rPr>
        <w:t xml:space="preserve">V rámci provedené analýzy byla znovu řešena problematika zjištění </w:t>
      </w:r>
      <w:r w:rsidR="00721529">
        <w:rPr>
          <w:i/>
        </w:rPr>
        <w:t xml:space="preserve">informací o </w:t>
      </w:r>
      <w:r w:rsidRPr="00A340F8">
        <w:rPr>
          <w:i/>
        </w:rPr>
        <w:t>finanční náročnosti oboru VaK</w:t>
      </w:r>
      <w:r w:rsidR="00721529">
        <w:rPr>
          <w:i/>
        </w:rPr>
        <w:t xml:space="preserve"> a o </w:t>
      </w:r>
      <w:r w:rsidR="00A3128B">
        <w:rPr>
          <w:i/>
        </w:rPr>
        <w:t>úrovni dosažení</w:t>
      </w:r>
      <w:r w:rsidRPr="00A340F8">
        <w:rPr>
          <w:i/>
        </w:rPr>
        <w:t xml:space="preserve"> samofinancovatelnosti VIM. </w:t>
      </w:r>
    </w:p>
    <w:p w14:paraId="090196C7" w14:textId="3E55CB89" w:rsidR="00D94D79" w:rsidRPr="00A340F8" w:rsidRDefault="00D94D79" w:rsidP="009F676F">
      <w:pPr>
        <w:pStyle w:val="Normlnzprva"/>
        <w:rPr>
          <w:i/>
        </w:rPr>
      </w:pPr>
      <w:r w:rsidRPr="00A340F8">
        <w:rPr>
          <w:i/>
        </w:rPr>
        <w:t xml:space="preserve">Hlavní problém spočívá v tom, že v souladu se Zákonem č. 526/1990 Sb., o cenách a Cenovým výměrem MF cenová kalkulace nemusí obsahovat ekonomicky </w:t>
      </w:r>
      <w:r w:rsidR="009F676F">
        <w:rPr>
          <w:i/>
        </w:rPr>
        <w:t xml:space="preserve">oprávněné náklady v plné výši, k čemuž v praxi dochází. Tato skutečnost pak významně zkresluje informace o nákladovosti oboru VaK. </w:t>
      </w:r>
      <w:r w:rsidRPr="00A340F8">
        <w:rPr>
          <w:i/>
        </w:rPr>
        <w:t xml:space="preserve">V zájmu zvýšení vypovídací schopnosti výsledků benchmarkingu, které jsou podkladem pro rozhodovací proces regulátora, a v zájmu zlepšení informovanosti odběratele o skutečné ceně služeb by mělo MZe zpřísnit dohled nad plněním ustanovení §35a, odst. 7, vyhlášky č. 428/2001 Sb. Uvedené ustanovení upravuje povinnost regulovaného subjektu započítat (resp. uvést) veškeré </w:t>
      </w:r>
      <w:r w:rsidR="009F676F">
        <w:rPr>
          <w:i/>
        </w:rPr>
        <w:t>ekonomicky oprávněné</w:t>
      </w:r>
      <w:r w:rsidRPr="00A340F8">
        <w:rPr>
          <w:i/>
        </w:rPr>
        <w:t xml:space="preserve"> náklady související s poskytováním regulovaných služeb v oboru vodovodů a kanalizací do ceny pro vodné a pro stočné.</w:t>
      </w:r>
      <w:r w:rsidR="00B26631">
        <w:rPr>
          <w:i/>
        </w:rPr>
        <w:t xml:space="preserve"> </w:t>
      </w:r>
      <w:r w:rsidRPr="00A340F8">
        <w:rPr>
          <w:i/>
        </w:rPr>
        <w:t xml:space="preserve">Případné snížení ceny by mělo být prováděno pouze </w:t>
      </w:r>
      <w:r w:rsidR="00542FE3" w:rsidRPr="00A340F8">
        <w:rPr>
          <w:i/>
        </w:rPr>
        <w:t xml:space="preserve">s </w:t>
      </w:r>
      <w:r w:rsidRPr="00A340F8">
        <w:rPr>
          <w:i/>
        </w:rPr>
        <w:t xml:space="preserve">využitím kalkulační položky Kalkulační zisk. MF by mělo k řešení problému zvýšení vypovídací schopnosti benchmarkingu zaujmout stejné stanovisko a v tomto smyslu přistoupit k úpravě cenového výměru. </w:t>
      </w:r>
    </w:p>
    <w:p w14:paraId="1D02026C" w14:textId="54041348" w:rsidR="00D94D79" w:rsidRPr="00A340F8" w:rsidRDefault="00CD7F36" w:rsidP="00A340F8">
      <w:pPr>
        <w:pStyle w:val="Normlnzprva"/>
        <w:rPr>
          <w:i/>
        </w:rPr>
      </w:pPr>
      <w:r>
        <w:rPr>
          <w:i/>
        </w:rPr>
        <w:t>Kontrola</w:t>
      </w:r>
      <w:r w:rsidR="00D94D79" w:rsidRPr="00A340F8">
        <w:rPr>
          <w:i/>
        </w:rPr>
        <w:t xml:space="preserve"> samofinancovatelnosti oboru je sledován</w:t>
      </w:r>
      <w:r w:rsidR="009F676F">
        <w:rPr>
          <w:i/>
        </w:rPr>
        <w:t>a</w:t>
      </w:r>
      <w:r w:rsidR="00D94D79" w:rsidRPr="00A340F8">
        <w:rPr>
          <w:i/>
        </w:rPr>
        <w:t xml:space="preserve"> </w:t>
      </w:r>
      <w:r w:rsidR="0094649F" w:rsidRPr="00A340F8">
        <w:rPr>
          <w:i/>
        </w:rPr>
        <w:t>za pomoci ukazatele</w:t>
      </w:r>
      <w:r w:rsidR="00D94D79" w:rsidRPr="00A340F8">
        <w:rPr>
          <w:i/>
        </w:rPr>
        <w:t xml:space="preserve"> operační koeficient. Pokud je jeho hodnota rovna neb</w:t>
      </w:r>
      <w:r w:rsidR="0094649F" w:rsidRPr="00A340F8">
        <w:rPr>
          <w:i/>
        </w:rPr>
        <w:t xml:space="preserve">o je vyšší než 1, lze </w:t>
      </w:r>
      <w:r w:rsidR="00D94D79" w:rsidRPr="00A340F8">
        <w:rPr>
          <w:i/>
        </w:rPr>
        <w:t>uvažovat, že je</w:t>
      </w:r>
      <w:r w:rsidR="0094649F" w:rsidRPr="00A340F8">
        <w:rPr>
          <w:i/>
        </w:rPr>
        <w:t xml:space="preserve"> </w:t>
      </w:r>
      <w:r w:rsidR="00D94D79" w:rsidRPr="00A340F8">
        <w:rPr>
          <w:i/>
        </w:rPr>
        <w:t>zabezpečeno pokrytí souvisejících nákladů a příslušné části výdajů na obnovu VIM pro daný rok z vodného a stočného.</w:t>
      </w:r>
      <w:r w:rsidR="00B26631">
        <w:rPr>
          <w:i/>
        </w:rPr>
        <w:t xml:space="preserve"> </w:t>
      </w:r>
      <w:r w:rsidR="00D94D79" w:rsidRPr="00A340F8">
        <w:rPr>
          <w:i/>
        </w:rPr>
        <w:t>Z výsledků provedeného benchmarkingu vyplývá, že v každé hodnocené skupině provozovatelů se vyskytovaly subjekty, které dosahovaly hodnotu operačního koeficientu rovnu nebo větší než 1. Součástí tohoto ukazatele je i kalkulační zisk, který v některých případech dosahoval vysokého podílu na hodnotě úplných vlastních nákladů (ve vztahu k ostatním analyzovaným Porovnáním příslušné skupiny).</w:t>
      </w:r>
      <w:r w:rsidR="00B26631">
        <w:rPr>
          <w:i/>
        </w:rPr>
        <w:t xml:space="preserve"> </w:t>
      </w:r>
      <w:r w:rsidR="00D94D79" w:rsidRPr="00A340F8">
        <w:rPr>
          <w:i/>
        </w:rPr>
        <w:t xml:space="preserve">Regulátor by se měl blíže zabývat problematikou nalezení odpovídající (požadované) hodnoty operačního koeficientu a případné maximální výše podílu kalkulačního zisku na úplných vlastních nákladech. </w:t>
      </w:r>
      <w:r w:rsidR="0094649F" w:rsidRPr="00A340F8">
        <w:rPr>
          <w:i/>
        </w:rPr>
        <w:t>To vše za podmínky vykazování veškerých souvisejících ekonomicky oprávněných nákladů v plné výši.</w:t>
      </w:r>
    </w:p>
    <w:p w14:paraId="7123B090" w14:textId="6A8533BB" w:rsidR="00D94D79" w:rsidRPr="00A340F8" w:rsidRDefault="00D94D79" w:rsidP="00A340F8">
      <w:pPr>
        <w:pStyle w:val="Normlnzprva"/>
        <w:rPr>
          <w:i/>
        </w:rPr>
      </w:pPr>
      <w:r w:rsidRPr="00A340F8">
        <w:rPr>
          <w:i/>
        </w:rPr>
        <w:lastRenderedPageBreak/>
        <w:t xml:space="preserve">Přestože v minulém roce došlo k aplikaci nástroje na zlepšení transparentnosti vztahů mezi vlastníky a provozovateli v oddílném a vlastnickém modelu ve formě povinnosti uzavření dohody mezi vlastníkem a provozovatelem o </w:t>
      </w:r>
      <w:r w:rsidR="00E47448" w:rsidRPr="00A340F8">
        <w:rPr>
          <w:i/>
        </w:rPr>
        <w:t>rozdělení</w:t>
      </w:r>
      <w:r w:rsidRPr="00A340F8">
        <w:rPr>
          <w:i/>
        </w:rPr>
        <w:t xml:space="preserve"> přiměřeného zisku</w:t>
      </w:r>
      <w:r w:rsidR="00E47448" w:rsidRPr="00A340F8">
        <w:rPr>
          <w:i/>
        </w:rPr>
        <w:t>,</w:t>
      </w:r>
      <w:r w:rsidRPr="00A340F8">
        <w:rPr>
          <w:i/>
        </w:rPr>
        <w:t xml:space="preserve"> je nezbytné se i nadále zabývat problematikou stanovení výše nájemného a účelové vázanosti</w:t>
      </w:r>
      <w:r w:rsidRPr="00A340F8">
        <w:t xml:space="preserve"> </w:t>
      </w:r>
      <w:r w:rsidRPr="00A340F8">
        <w:rPr>
          <w:i/>
        </w:rPr>
        <w:t>takto získaných prostředků pro potřeby správy, obnovy a dalšího rozvoje VIM. Detailnější informace o kalkulaci nájemného budou MZe přístupné až v roce 2020, a to na základě novely vyhlášky 428/2001 Sb.</w:t>
      </w:r>
      <w:r w:rsidR="00B26631">
        <w:rPr>
          <w:i/>
        </w:rPr>
        <w:t xml:space="preserve">  </w:t>
      </w:r>
    </w:p>
    <w:p w14:paraId="01398186" w14:textId="13C3644A" w:rsidR="00D94D79" w:rsidRPr="00A340F8" w:rsidRDefault="00D94D79" w:rsidP="00A340F8">
      <w:pPr>
        <w:pStyle w:val="Normlnzprva"/>
        <w:rPr>
          <w:i/>
        </w:rPr>
      </w:pPr>
      <w:r w:rsidRPr="00A340F8">
        <w:rPr>
          <w:i/>
        </w:rPr>
        <w:t>Za účelem zlepšení služeb a prodloužení životnosti existující</w:t>
      </w:r>
      <w:r w:rsidR="00542FE3" w:rsidRPr="00A340F8">
        <w:rPr>
          <w:i/>
        </w:rPr>
        <w:t>ho</w:t>
      </w:r>
      <w:r w:rsidRPr="00A340F8">
        <w:rPr>
          <w:i/>
        </w:rPr>
        <w:t xml:space="preserve"> VIM by se měla regulace </w:t>
      </w:r>
      <w:r w:rsidR="00E47448" w:rsidRPr="00A340F8">
        <w:rPr>
          <w:i/>
        </w:rPr>
        <w:t xml:space="preserve">zaměřit na stanovení </w:t>
      </w:r>
      <w:r w:rsidR="005407D9" w:rsidRPr="00A340F8">
        <w:rPr>
          <w:i/>
        </w:rPr>
        <w:t xml:space="preserve">hraničního </w:t>
      </w:r>
      <w:r w:rsidRPr="00A340F8">
        <w:rPr>
          <w:i/>
        </w:rPr>
        <w:t>množství nefakturované pitné vody, případně ztrát</w:t>
      </w:r>
      <w:r w:rsidR="00E47448" w:rsidRPr="00A340F8">
        <w:rPr>
          <w:i/>
        </w:rPr>
        <w:t xml:space="preserve"> pitné vody, která již signalizuje špatný stav VIM</w:t>
      </w:r>
      <w:r w:rsidRPr="00A340F8">
        <w:rPr>
          <w:i/>
        </w:rPr>
        <w:t>. Tímto způsobem by regulátor vytvořil tlak na realizaci pravidelné údržby a plánovaných oprav provozovaného VIM. Množství dat, která byla podrobena analýze, poskytuje dostatečné podklady pro podrobnější zhodnocení situace a pro kvantifikaci tohoto benchmarkingového cíle.</w:t>
      </w:r>
      <w:r w:rsidR="00B26631">
        <w:rPr>
          <w:i/>
        </w:rPr>
        <w:t xml:space="preserve"> </w:t>
      </w:r>
    </w:p>
    <w:p w14:paraId="162A92E0" w14:textId="74A88A4D" w:rsidR="00D94D79" w:rsidRPr="00A340F8" w:rsidRDefault="00D94D79" w:rsidP="00A340F8">
      <w:pPr>
        <w:pStyle w:val="Normlnzprva"/>
        <w:rPr>
          <w:i/>
        </w:rPr>
      </w:pPr>
      <w:r w:rsidRPr="00A340F8">
        <w:rPr>
          <w:i/>
        </w:rPr>
        <w:t>Jak bylo potvrzeno při přípravě dat, je nutné dále pokračovat v komunikaci se zpracovateli jednotlivých hlášení s cílem vyjasnění obsahové náplně některých vykazovaných údajů.</w:t>
      </w:r>
      <w:r w:rsidR="00B26631">
        <w:rPr>
          <w:i/>
        </w:rPr>
        <w:t xml:space="preserve"> </w:t>
      </w:r>
      <w:r w:rsidRPr="00A340F8">
        <w:rPr>
          <w:i/>
        </w:rPr>
        <w:t>Nadále je nutno systematicky pracovat na zpřístupnění vý</w:t>
      </w:r>
      <w:r w:rsidR="005407D9" w:rsidRPr="00A340F8">
        <w:rPr>
          <w:i/>
        </w:rPr>
        <w:t>sledků benchmarkingu veřejnosti.</w:t>
      </w:r>
      <w:r w:rsidRPr="00A340F8">
        <w:rPr>
          <w:i/>
        </w:rPr>
        <w:t xml:space="preserve"> </w:t>
      </w:r>
      <w:r w:rsidR="005407D9" w:rsidRPr="00A340F8">
        <w:rPr>
          <w:i/>
        </w:rPr>
        <w:t xml:space="preserve">Dále </w:t>
      </w:r>
      <w:r w:rsidRPr="00A340F8">
        <w:rPr>
          <w:i/>
        </w:rPr>
        <w:t>MZe plánuje v průběhu roku 2018 spustit webovou aplikaci,</w:t>
      </w:r>
      <w:r w:rsidR="005407D9" w:rsidRPr="00A340F8">
        <w:rPr>
          <w:i/>
        </w:rPr>
        <w:t xml:space="preserve"> zpřístupňující zájemcům vybrané informace z Porovnání zahrnutých do benchmarkingu a s nimi souvisejících VÚME a VÚPE. </w:t>
      </w:r>
      <w:r w:rsidRPr="00A340F8">
        <w:rPr>
          <w:i/>
        </w:rPr>
        <w:t xml:space="preserve">Regulátor by měl vytvářet a rozvíjet platformu, která by s jednotlivými účastníky regulace projednávala zjištění analýz, poskytovala prostor ke zpětné vazbě, vytvářela prostor pro diskusi o plánovaných změnách (zejména </w:t>
      </w:r>
      <w:r w:rsidR="00AD0559">
        <w:rPr>
          <w:i/>
        </w:rPr>
        <w:t>zákonného</w:t>
      </w:r>
      <w:r w:rsidRPr="00A340F8">
        <w:rPr>
          <w:i/>
        </w:rPr>
        <w:t xml:space="preserve"> rámce upravujícího fungování oboru) a o dalším možném vývoji regulace, který by zabezpečil plnění stanovených dlouhodobých záměrů. </w:t>
      </w:r>
    </w:p>
    <w:p w14:paraId="7A5160C2" w14:textId="77777777" w:rsidR="005407D9" w:rsidRDefault="005407D9" w:rsidP="00D94D79">
      <w:pPr>
        <w:pStyle w:val="normlntextvodstavcch"/>
        <w:rPr>
          <w:rFonts w:asciiTheme="minorHAnsi" w:hAnsiTheme="minorHAnsi"/>
          <w:i/>
          <w:noProof/>
        </w:rPr>
      </w:pPr>
    </w:p>
    <w:p w14:paraId="1EF9DF76" w14:textId="77777777" w:rsidR="00656165" w:rsidRPr="00C62639" w:rsidRDefault="00656165">
      <w:pPr>
        <w:spacing w:before="0" w:after="200" w:line="276" w:lineRule="auto"/>
        <w:contextualSpacing w:val="0"/>
        <w:jc w:val="left"/>
        <w:rPr>
          <w:rFonts w:asciiTheme="minorHAnsi" w:hAnsiTheme="minorHAnsi"/>
          <w:i/>
          <w:noProof/>
        </w:rPr>
      </w:pPr>
    </w:p>
    <w:p w14:paraId="72FCC02D" w14:textId="77777777" w:rsidR="00A91BF5" w:rsidRDefault="00A91BF5">
      <w:pPr>
        <w:spacing w:before="0" w:after="0"/>
        <w:contextualSpacing w:val="0"/>
        <w:jc w:val="left"/>
        <w:rPr>
          <w:rFonts w:asciiTheme="minorHAnsi" w:eastAsia="Times New Roman" w:hAnsiTheme="minorHAnsi"/>
          <w:noProof/>
          <w:color w:val="365F91"/>
          <w:sz w:val="32"/>
          <w:szCs w:val="32"/>
        </w:rPr>
      </w:pPr>
      <w:r>
        <w:rPr>
          <w:rFonts w:asciiTheme="minorHAnsi" w:hAnsiTheme="minorHAnsi"/>
          <w:noProof/>
        </w:rPr>
        <w:br w:type="page"/>
      </w:r>
    </w:p>
    <w:p w14:paraId="72FE802A" w14:textId="4C40F4D0" w:rsidR="00656165" w:rsidRPr="00C62639" w:rsidRDefault="00F958DD" w:rsidP="00F958DD">
      <w:pPr>
        <w:pStyle w:val="Nadpis1"/>
        <w:rPr>
          <w:rFonts w:asciiTheme="minorHAnsi" w:hAnsiTheme="minorHAnsi"/>
          <w:noProof/>
        </w:rPr>
      </w:pPr>
      <w:bookmarkStart w:id="62" w:name="_Toc505684440"/>
      <w:r w:rsidRPr="00C62639">
        <w:rPr>
          <w:rFonts w:asciiTheme="minorHAnsi" w:hAnsiTheme="minorHAnsi"/>
          <w:noProof/>
        </w:rPr>
        <w:lastRenderedPageBreak/>
        <w:t>Posouzení závěrů a jejich porovnání se záměry regulace</w:t>
      </w:r>
      <w:bookmarkEnd w:id="62"/>
    </w:p>
    <w:p w14:paraId="2887C458" w14:textId="2E13D6AA" w:rsidR="000D4CE9" w:rsidRPr="00A340F8" w:rsidRDefault="000D4CE9" w:rsidP="00A340F8">
      <w:pPr>
        <w:pStyle w:val="Normlnzprva"/>
      </w:pPr>
      <w:r w:rsidRPr="00A340F8">
        <w:t>Při realizaci obou benchmarkingových projektů byl</w:t>
      </w:r>
      <w:r w:rsidR="00597925" w:rsidRPr="00A340F8">
        <w:t>y</w:t>
      </w:r>
      <w:r w:rsidRPr="00A340F8">
        <w:t xml:space="preserve"> nalezeny anomálie, kter</w:t>
      </w:r>
      <w:r w:rsidR="005407D9" w:rsidRPr="00A340F8">
        <w:t>é</w:t>
      </w:r>
      <w:r w:rsidRPr="00A340F8">
        <w:t xml:space="preserve"> naznačují nebo přímo označují problémy </w:t>
      </w:r>
      <w:r w:rsidR="00DD39C4" w:rsidRPr="00A340F8">
        <w:t>související s plněním</w:t>
      </w:r>
      <w:r w:rsidRPr="00A340F8">
        <w:t xml:space="preserve"> dlouhodobých záměrů regulátora. Nebyla nalezena anomálie, která by upozorňovala na jinou</w:t>
      </w:r>
      <w:r w:rsidR="005407D9" w:rsidRPr="00A340F8">
        <w:t>,</w:t>
      </w:r>
      <w:r w:rsidRPr="00A340F8">
        <w:t xml:space="preserve"> re</w:t>
      </w:r>
      <w:r w:rsidR="005407D9" w:rsidRPr="00A340F8">
        <w:t>g</w:t>
      </w:r>
      <w:r w:rsidRPr="00A340F8">
        <w:t>ulátorem prozatím nesledovanou</w:t>
      </w:r>
      <w:r w:rsidR="005407D9" w:rsidRPr="00A340F8">
        <w:t>,</w:t>
      </w:r>
      <w:r w:rsidRPr="00A340F8">
        <w:t xml:space="preserve"> oblast. </w:t>
      </w:r>
    </w:p>
    <w:p w14:paraId="7B842BD2" w14:textId="529F9901" w:rsidR="000D4CE9" w:rsidRPr="00A340F8" w:rsidRDefault="000D4CE9" w:rsidP="00A340F8">
      <w:pPr>
        <w:pStyle w:val="Normlnzprva"/>
      </w:pPr>
      <w:r w:rsidRPr="00A340F8">
        <w:t>V porovnání s předchozím cyklem benchmarkingu je v</w:t>
      </w:r>
      <w:r w:rsidR="005407D9" w:rsidRPr="00A340F8">
        <w:t> </w:t>
      </w:r>
      <w:r w:rsidRPr="00A340F8">
        <w:t>roce</w:t>
      </w:r>
      <w:r w:rsidR="005407D9" w:rsidRPr="00A340F8">
        <w:t xml:space="preserve"> 2016</w:t>
      </w:r>
      <w:r w:rsidRPr="00A340F8">
        <w:t xml:space="preserve"> výrazný rozdíl v množství analyzovaných dat</w:t>
      </w:r>
      <w:r w:rsidR="00160B72" w:rsidRPr="00A340F8">
        <w:t>. Provedené analýzy potvrdil</w:t>
      </w:r>
      <w:r w:rsidR="004A0B2F" w:rsidRPr="00A340F8">
        <w:t>y</w:t>
      </w:r>
      <w:r w:rsidR="00160B72" w:rsidRPr="00A340F8">
        <w:t>, upřesnil</w:t>
      </w:r>
      <w:r w:rsidR="004A0B2F" w:rsidRPr="00A340F8">
        <w:t>y a případně poskytly nové</w:t>
      </w:r>
      <w:r w:rsidR="00160B72" w:rsidRPr="00A340F8">
        <w:t xml:space="preserve"> informace o stavu oboru vodovodů a kanalizací. Protože analyzovaná data mapují více než 90% po</w:t>
      </w:r>
      <w:r w:rsidR="00A340F8">
        <w:t>díl trhu (stanoveného na základě</w:t>
      </w:r>
      <w:r w:rsidR="00160B72" w:rsidRPr="00A340F8">
        <w:t xml:space="preserve"> objemu fakturované vody) je možné výsledky benchmarkingu použít jak</w:t>
      </w:r>
      <w:r w:rsidR="004A0B2F" w:rsidRPr="00A340F8">
        <w:t>o výchozí</w:t>
      </w:r>
      <w:r w:rsidR="00160B72" w:rsidRPr="00A340F8">
        <w:t xml:space="preserve"> informace pro další postup regulátora. </w:t>
      </w:r>
    </w:p>
    <w:p w14:paraId="18921EE9" w14:textId="00CEB09A" w:rsidR="007D222B" w:rsidRPr="00A340F8" w:rsidRDefault="00160B72" w:rsidP="00A340F8">
      <w:pPr>
        <w:pStyle w:val="Normlnzprva"/>
      </w:pPr>
      <w:r w:rsidRPr="00A340F8">
        <w:t xml:space="preserve">Z hlediska regulátora </w:t>
      </w:r>
      <w:r w:rsidR="00A340F8">
        <w:t>jsou</w:t>
      </w:r>
      <w:r w:rsidR="00E16DA9" w:rsidRPr="00A340F8">
        <w:t xml:space="preserve"> </w:t>
      </w:r>
      <w:r w:rsidR="00AD0559">
        <w:t xml:space="preserve">za </w:t>
      </w:r>
      <w:r w:rsidR="00E16DA9" w:rsidRPr="00A340F8">
        <w:t>nejvýznamnější považovány anomálie</w:t>
      </w:r>
      <w:r w:rsidRPr="00A340F8">
        <w:t xml:space="preserve"> </w:t>
      </w:r>
      <w:r w:rsidR="00F958DD" w:rsidRPr="00A340F8">
        <w:t>nedostatečn</w:t>
      </w:r>
      <w:r w:rsidR="00E16DA9" w:rsidRPr="00A340F8">
        <w:t>á</w:t>
      </w:r>
      <w:r w:rsidRPr="00A340F8">
        <w:t xml:space="preserve"> tvorb</w:t>
      </w:r>
      <w:r w:rsidR="00E16DA9" w:rsidRPr="00A340F8">
        <w:t>a</w:t>
      </w:r>
      <w:r w:rsidRPr="00A340F8">
        <w:t xml:space="preserve"> </w:t>
      </w:r>
      <w:r w:rsidR="00F958DD" w:rsidRPr="00A340F8">
        <w:t>prostředků obnovy VIM</w:t>
      </w:r>
      <w:r w:rsidR="007049F3" w:rsidRPr="00A340F8">
        <w:t>,</w:t>
      </w:r>
      <w:r w:rsidR="00B26631">
        <w:t xml:space="preserve"> </w:t>
      </w:r>
      <w:r w:rsidR="00F958DD" w:rsidRPr="00A340F8">
        <w:t>využívaní záporného kalkulačního zisku</w:t>
      </w:r>
      <w:r w:rsidRPr="00A340F8">
        <w:t>,</w:t>
      </w:r>
      <w:r w:rsidR="00B26631">
        <w:t xml:space="preserve"> </w:t>
      </w:r>
      <w:r w:rsidR="00F958DD" w:rsidRPr="00A340F8">
        <w:t>záporného nebo nulového nájemného v případě oddílného modelu provozování</w:t>
      </w:r>
      <w:r w:rsidR="00E16DA9" w:rsidRPr="00A340F8">
        <w:t>, nevykazování úplných vlastních nákladů v plné výši a velice různorodé</w:t>
      </w:r>
      <w:r w:rsidRPr="00A340F8">
        <w:t xml:space="preserve"> hodnot</w:t>
      </w:r>
      <w:r w:rsidR="00E16DA9" w:rsidRPr="00A340F8">
        <w:t>y</w:t>
      </w:r>
      <w:r w:rsidRPr="00A340F8">
        <w:t xml:space="preserve"> ztrát </w:t>
      </w:r>
      <w:r w:rsidR="00E16DA9" w:rsidRPr="00A340F8">
        <w:t xml:space="preserve">pitné vody vykazované ve VÚPE </w:t>
      </w:r>
      <w:r w:rsidRPr="00A340F8">
        <w:t>napří</w:t>
      </w:r>
      <w:r w:rsidR="00E16DA9" w:rsidRPr="00A340F8">
        <w:t>č celým analyzovaným souborem da</w:t>
      </w:r>
      <w:r w:rsidRPr="00A340F8">
        <w:t xml:space="preserve">t. </w:t>
      </w:r>
    </w:p>
    <w:p w14:paraId="38B8A1CB" w14:textId="68D23488" w:rsidR="00841B0E" w:rsidRPr="00A340F8" w:rsidRDefault="00E16DA9" w:rsidP="00A340F8">
      <w:pPr>
        <w:pStyle w:val="Normlnzprva"/>
      </w:pPr>
      <w:r w:rsidRPr="00A340F8">
        <w:t xml:space="preserve">Regulátor </w:t>
      </w:r>
      <w:r w:rsidR="00160B72" w:rsidRPr="00A340F8">
        <w:t>by se</w:t>
      </w:r>
      <w:r w:rsidRPr="00A340F8">
        <w:t xml:space="preserve"> měl</w:t>
      </w:r>
      <w:r w:rsidR="00160B72" w:rsidRPr="00A340F8">
        <w:t xml:space="preserve"> </w:t>
      </w:r>
      <w:r w:rsidR="00841B0E" w:rsidRPr="00A340F8">
        <w:t xml:space="preserve">v případě vlastníků VIM </w:t>
      </w:r>
      <w:r w:rsidR="00597925" w:rsidRPr="00A340F8">
        <w:t>aktivněji a detailně zabývat</w:t>
      </w:r>
      <w:r w:rsidR="00160B72" w:rsidRPr="00A340F8">
        <w:t xml:space="preserve"> řešením problematiky obnovy </w:t>
      </w:r>
      <w:r w:rsidR="00597925" w:rsidRPr="00A340F8">
        <w:t xml:space="preserve">VIM </w:t>
      </w:r>
      <w:r w:rsidR="00160B72" w:rsidRPr="00A340F8">
        <w:t xml:space="preserve">(s procesem souvisí </w:t>
      </w:r>
      <w:r w:rsidR="00ED36DA" w:rsidRPr="00A340F8">
        <w:t>anomálie nedostatečná tvo</w:t>
      </w:r>
      <w:r w:rsidR="0003741C" w:rsidRPr="00A340F8">
        <w:t>r</w:t>
      </w:r>
      <w:r w:rsidR="00ED36DA" w:rsidRPr="00A340F8">
        <w:t>ba prostředků na</w:t>
      </w:r>
      <w:r w:rsidR="00ED36DA" w:rsidRPr="00841B0E">
        <w:rPr>
          <w:noProof/>
        </w:rPr>
        <w:t xml:space="preserve"> </w:t>
      </w:r>
      <w:r w:rsidR="00ED36DA" w:rsidRPr="00A340F8">
        <w:t>obnovu VIM, využívání záporného kalkulačního zisku a záporn</w:t>
      </w:r>
      <w:r w:rsidR="003868EC" w:rsidRPr="00A340F8">
        <w:t>ého nebo nulového nájemného)</w:t>
      </w:r>
      <w:r w:rsidRPr="00A340F8">
        <w:t>. M</w:t>
      </w:r>
      <w:r w:rsidR="00841B0E" w:rsidRPr="00A340F8">
        <w:t xml:space="preserve">ěl </w:t>
      </w:r>
      <w:r w:rsidRPr="00A340F8">
        <w:t xml:space="preserve">by </w:t>
      </w:r>
      <w:r w:rsidR="00841B0E" w:rsidRPr="00A340F8">
        <w:t>definovat doporučení</w:t>
      </w:r>
      <w:r w:rsidRPr="00A340F8">
        <w:t>,</w:t>
      </w:r>
      <w:r w:rsidR="00841B0E" w:rsidRPr="00A340F8">
        <w:t xml:space="preserve"> jak mají vlastníc</w:t>
      </w:r>
      <w:r w:rsidRPr="00A340F8">
        <w:t>i VIM postupovat při plnění cíle</w:t>
      </w:r>
      <w:r w:rsidR="00597925" w:rsidRPr="00A340F8">
        <w:t xml:space="preserve"> generování dostatečného množ</w:t>
      </w:r>
      <w:r w:rsidR="00841B0E" w:rsidRPr="00A340F8">
        <w:t xml:space="preserve">ství prostředků na obnovu. </w:t>
      </w:r>
    </w:p>
    <w:p w14:paraId="1E23B7B9" w14:textId="2261BADD" w:rsidR="00AF0B45" w:rsidRPr="00A340F8" w:rsidRDefault="00841B0E" w:rsidP="00A340F8">
      <w:pPr>
        <w:pStyle w:val="Normlnzprva"/>
      </w:pPr>
      <w:r w:rsidRPr="00A340F8">
        <w:t xml:space="preserve">Pro plnění záměru dosažení kvality služeb v případě pitné vody </w:t>
      </w:r>
      <w:r w:rsidR="00E16DA9" w:rsidRPr="00A340F8">
        <w:t xml:space="preserve">a zlepšení stavu související VIM </w:t>
      </w:r>
      <w:r w:rsidRPr="00A340F8">
        <w:t>je důležit</w:t>
      </w:r>
      <w:r w:rsidR="00E16DA9" w:rsidRPr="00A340F8">
        <w:t>é, aby se regulátor blíže věnova</w:t>
      </w:r>
      <w:r w:rsidRPr="00A340F8">
        <w:t>l r</w:t>
      </w:r>
      <w:r w:rsidR="00E16DA9" w:rsidRPr="00A340F8">
        <w:t>o</w:t>
      </w:r>
      <w:r w:rsidRPr="00A340F8">
        <w:t>zsáhlé problematice ztrát pitné vody.</w:t>
      </w:r>
      <w:r w:rsidR="003868EC" w:rsidRPr="00A340F8">
        <w:t xml:space="preserve"> </w:t>
      </w:r>
    </w:p>
    <w:p w14:paraId="5B4BF8EA" w14:textId="640F68DC" w:rsidR="00160B72" w:rsidRPr="00A340F8" w:rsidRDefault="00E16DA9" w:rsidP="00A340F8">
      <w:pPr>
        <w:pStyle w:val="Normlnzprva"/>
      </w:pPr>
      <w:r w:rsidRPr="00A340F8">
        <w:t>Jako součást řešení v</w:t>
      </w:r>
      <w:r w:rsidR="00A340F8">
        <w:t>ýše uvedených doporučení</w:t>
      </w:r>
      <w:r w:rsidRPr="00A340F8">
        <w:t xml:space="preserve"> </w:t>
      </w:r>
      <w:r w:rsidR="00160B72" w:rsidRPr="00A340F8">
        <w:t xml:space="preserve">bude nutné v uvedených oblastech </w:t>
      </w:r>
      <w:r w:rsidRPr="00A340F8">
        <w:t xml:space="preserve">kvantitativně a kvalitativně </w:t>
      </w:r>
      <w:r w:rsidR="00160B72" w:rsidRPr="00A340F8">
        <w:t>stanovit požadovaný cílový stav</w:t>
      </w:r>
      <w:r w:rsidRPr="00A340F8">
        <w:t>, a to na základě podrobnějších analýz zaměřených na konkrétní oblast</w:t>
      </w:r>
      <w:r w:rsidR="00160B72" w:rsidRPr="00A340F8">
        <w:t>. Ten</w:t>
      </w:r>
      <w:r w:rsidRPr="00A340F8">
        <w:t>to cílový stav</w:t>
      </w:r>
      <w:r w:rsidR="00160B72" w:rsidRPr="00A340F8">
        <w:t xml:space="preserve"> bude součástí specifikace cílů regulace a </w:t>
      </w:r>
      <w:r w:rsidRPr="00A340F8">
        <w:t>je</w:t>
      </w:r>
      <w:r w:rsidR="005169F2" w:rsidRPr="00A340F8">
        <w:t>ho dosahování</w:t>
      </w:r>
      <w:r w:rsidR="00AF0B45" w:rsidRPr="00A340F8">
        <w:t xml:space="preserve"> bude sledováno </w:t>
      </w:r>
      <w:r w:rsidRPr="00A340F8">
        <w:t>systematickým benchmarkingem v následujících obdobích.</w:t>
      </w:r>
    </w:p>
    <w:p w14:paraId="0C991881" w14:textId="77777777" w:rsidR="00160B72" w:rsidRPr="00F92E2F" w:rsidRDefault="00160B72" w:rsidP="005407D9">
      <w:pPr>
        <w:pStyle w:val="Normlnzprva"/>
        <w:rPr>
          <w:noProof/>
          <w:color w:val="385623" w:themeColor="accent6" w:themeShade="80"/>
        </w:rPr>
      </w:pPr>
    </w:p>
    <w:p w14:paraId="684DCB20" w14:textId="77777777" w:rsidR="00B53683" w:rsidRDefault="00B53683" w:rsidP="00B53683">
      <w:pPr>
        <w:pStyle w:val="normlntextvodstavcch"/>
        <w:rPr>
          <w:rFonts w:asciiTheme="minorHAnsi" w:hAnsiTheme="minorHAnsi"/>
          <w:noProof/>
          <w:color w:val="385623" w:themeColor="accent6" w:themeShade="80"/>
        </w:rPr>
      </w:pPr>
    </w:p>
    <w:p w14:paraId="0B7688A8" w14:textId="77777777" w:rsidR="003A6341" w:rsidRDefault="003A6341" w:rsidP="00B53683">
      <w:pPr>
        <w:pStyle w:val="normlntextvodstavcch"/>
        <w:rPr>
          <w:rFonts w:asciiTheme="minorHAnsi" w:hAnsiTheme="minorHAnsi"/>
          <w:noProof/>
          <w:color w:val="385623" w:themeColor="accent6" w:themeShade="80"/>
        </w:rPr>
      </w:pPr>
    </w:p>
    <w:p w14:paraId="5D655C70" w14:textId="77777777" w:rsidR="003A6341" w:rsidRDefault="003A6341" w:rsidP="00B53683">
      <w:pPr>
        <w:pStyle w:val="normlntextvodstavcch"/>
        <w:rPr>
          <w:rFonts w:asciiTheme="minorHAnsi" w:hAnsiTheme="minorHAnsi"/>
          <w:noProof/>
          <w:color w:val="385623" w:themeColor="accent6" w:themeShade="80"/>
        </w:rPr>
      </w:pPr>
    </w:p>
    <w:p w14:paraId="14981280" w14:textId="77777777" w:rsidR="003A6341" w:rsidRDefault="003A6341" w:rsidP="00B53683">
      <w:pPr>
        <w:pStyle w:val="normlntextvodstavcch"/>
        <w:rPr>
          <w:rFonts w:asciiTheme="minorHAnsi" w:hAnsiTheme="minorHAnsi"/>
          <w:noProof/>
          <w:color w:val="385623" w:themeColor="accent6" w:themeShade="80"/>
        </w:rPr>
      </w:pPr>
    </w:p>
    <w:p w14:paraId="290A7BDD" w14:textId="77777777" w:rsidR="003A6341" w:rsidRDefault="003A6341" w:rsidP="00B53683">
      <w:pPr>
        <w:pStyle w:val="normlntextvodstavcch"/>
        <w:rPr>
          <w:rFonts w:asciiTheme="minorHAnsi" w:hAnsiTheme="minorHAnsi"/>
          <w:noProof/>
          <w:color w:val="385623" w:themeColor="accent6" w:themeShade="80"/>
        </w:rPr>
      </w:pPr>
    </w:p>
    <w:p w14:paraId="123E8C14" w14:textId="77777777" w:rsidR="003A6341" w:rsidRDefault="003A6341" w:rsidP="00B53683">
      <w:pPr>
        <w:pStyle w:val="normlntextvodstavcch"/>
        <w:rPr>
          <w:rFonts w:asciiTheme="minorHAnsi" w:hAnsiTheme="minorHAnsi"/>
          <w:noProof/>
          <w:color w:val="385623" w:themeColor="accent6" w:themeShade="80"/>
        </w:rPr>
      </w:pPr>
    </w:p>
    <w:p w14:paraId="049096FD" w14:textId="77777777" w:rsidR="003A6341" w:rsidRPr="00F92E2F" w:rsidRDefault="003A6341" w:rsidP="00B53683">
      <w:pPr>
        <w:pStyle w:val="normlntextvodstavcch"/>
        <w:rPr>
          <w:rFonts w:asciiTheme="minorHAnsi" w:hAnsiTheme="minorHAnsi"/>
          <w:noProof/>
          <w:color w:val="385623" w:themeColor="accent6" w:themeShade="80"/>
        </w:rPr>
      </w:pPr>
    </w:p>
    <w:p w14:paraId="39FD1278" w14:textId="77777777" w:rsidR="00B53683" w:rsidRPr="00C62639" w:rsidRDefault="00B53683" w:rsidP="00B53683">
      <w:pPr>
        <w:pStyle w:val="normlntextvodstavcch"/>
        <w:rPr>
          <w:rFonts w:asciiTheme="minorHAnsi" w:hAnsiTheme="minorHAnsi"/>
          <w:noProof/>
        </w:rPr>
      </w:pPr>
    </w:p>
    <w:p w14:paraId="1F18629D" w14:textId="77777777" w:rsidR="00B53683" w:rsidRPr="00B26631" w:rsidRDefault="00B53683" w:rsidP="00C6248D">
      <w:pPr>
        <w:pStyle w:val="normlntextvodstavcch"/>
        <w:rPr>
          <w:rFonts w:asciiTheme="minorHAnsi" w:hAnsiTheme="minorHAnsi"/>
          <w:i/>
          <w:noProof/>
          <w:u w:val="single"/>
        </w:rPr>
      </w:pPr>
      <w:r w:rsidRPr="00B26631">
        <w:rPr>
          <w:rFonts w:asciiTheme="minorHAnsi" w:hAnsiTheme="minorHAnsi"/>
          <w:i/>
          <w:noProof/>
          <w:u w:val="single"/>
        </w:rPr>
        <w:lastRenderedPageBreak/>
        <w:t>Poděkování</w:t>
      </w:r>
    </w:p>
    <w:p w14:paraId="058BE9CB" w14:textId="77777777" w:rsidR="00B53683" w:rsidRPr="00C62639" w:rsidRDefault="00B53683" w:rsidP="00B53683">
      <w:pPr>
        <w:pStyle w:val="normlntextvodstavcch"/>
        <w:rPr>
          <w:rFonts w:asciiTheme="minorHAnsi" w:hAnsiTheme="minorHAnsi"/>
          <w:noProof/>
        </w:rPr>
      </w:pPr>
    </w:p>
    <w:p w14:paraId="6394D288" w14:textId="2FC5A74A" w:rsidR="00B53683" w:rsidRPr="00C62639" w:rsidRDefault="00B53683" w:rsidP="00B53683">
      <w:pPr>
        <w:pStyle w:val="normlntextvodstavcch"/>
        <w:rPr>
          <w:rFonts w:asciiTheme="minorHAnsi" w:hAnsiTheme="minorHAnsi"/>
          <w:noProof/>
        </w:rPr>
      </w:pPr>
      <w:r w:rsidRPr="00B26631">
        <w:rPr>
          <w:rFonts w:asciiTheme="minorHAnsi" w:hAnsiTheme="minorHAnsi"/>
          <w:noProof/>
        </w:rPr>
        <w:t>Děkujeme všem</w:t>
      </w:r>
      <w:r w:rsidR="00B26631" w:rsidRPr="00B26631">
        <w:rPr>
          <w:rFonts w:asciiTheme="minorHAnsi" w:hAnsiTheme="minorHAnsi"/>
          <w:noProof/>
        </w:rPr>
        <w:t xml:space="preserve"> zpracovatelům zasílaných hlášení a dále všem subjektů</w:t>
      </w:r>
      <w:r w:rsidR="00B26631">
        <w:rPr>
          <w:rFonts w:asciiTheme="minorHAnsi" w:hAnsiTheme="minorHAnsi"/>
          <w:noProof/>
        </w:rPr>
        <w:t>m</w:t>
      </w:r>
      <w:r w:rsidR="00B26631" w:rsidRPr="00B26631">
        <w:rPr>
          <w:rFonts w:asciiTheme="minorHAnsi" w:hAnsiTheme="minorHAnsi"/>
          <w:noProof/>
        </w:rPr>
        <w:t>, které nám zaslal</w:t>
      </w:r>
      <w:r w:rsidR="00B26631">
        <w:rPr>
          <w:rFonts w:asciiTheme="minorHAnsi" w:hAnsiTheme="minorHAnsi"/>
          <w:noProof/>
        </w:rPr>
        <w:t>y</w:t>
      </w:r>
      <w:r w:rsidR="00B26631" w:rsidRPr="00B26631">
        <w:rPr>
          <w:rFonts w:asciiTheme="minorHAnsi" w:hAnsiTheme="minorHAnsi"/>
          <w:noProof/>
        </w:rPr>
        <w:t xml:space="preserve"> podnětné připomínky</w:t>
      </w:r>
      <w:r w:rsidRPr="00B26631">
        <w:rPr>
          <w:rFonts w:asciiTheme="minorHAnsi" w:hAnsiTheme="minorHAnsi"/>
          <w:noProof/>
        </w:rPr>
        <w:t>.</w:t>
      </w:r>
      <w:r w:rsidR="00B26631">
        <w:rPr>
          <w:rFonts w:asciiTheme="minorHAnsi" w:hAnsiTheme="minorHAnsi"/>
          <w:noProof/>
        </w:rPr>
        <w:t xml:space="preserve"> </w:t>
      </w:r>
      <w:r w:rsidRPr="00B26631">
        <w:rPr>
          <w:rFonts w:asciiTheme="minorHAnsi" w:hAnsiTheme="minorHAnsi"/>
          <w:noProof/>
        </w:rPr>
        <w:t>Těšíme se na další diskuzi a náměty pro zlepšení benchmarkingu</w:t>
      </w:r>
      <w:r w:rsidRPr="00C62639">
        <w:rPr>
          <w:rFonts w:asciiTheme="minorHAnsi" w:hAnsiTheme="minorHAnsi"/>
          <w:noProof/>
        </w:rPr>
        <w:t xml:space="preserve"> oboru VaK. Kontakty na všechny členy našeho týmu naleznete na stránkách MZe.</w:t>
      </w:r>
    </w:p>
    <w:p w14:paraId="5F5D97AD" w14:textId="77777777" w:rsidR="00B53683" w:rsidRPr="00C62639" w:rsidRDefault="00B53683" w:rsidP="00B53683">
      <w:pPr>
        <w:pStyle w:val="normlntextvodstavcch"/>
        <w:rPr>
          <w:rFonts w:asciiTheme="minorHAnsi" w:hAnsiTheme="minorHAnsi"/>
          <w:noProof/>
        </w:rPr>
      </w:pPr>
    </w:p>
    <w:p w14:paraId="2490B3BF" w14:textId="77777777" w:rsidR="00B53683" w:rsidRPr="00C62639" w:rsidRDefault="00B53683" w:rsidP="00B53683">
      <w:pPr>
        <w:pStyle w:val="normlntextvodstavcch"/>
        <w:rPr>
          <w:rFonts w:asciiTheme="minorHAnsi" w:hAnsiTheme="minorHAnsi"/>
          <w:noProof/>
        </w:rPr>
      </w:pPr>
    </w:p>
    <w:p w14:paraId="5E4C6F71" w14:textId="77777777" w:rsidR="007B1B6C" w:rsidRPr="00C62639" w:rsidRDefault="00B53683" w:rsidP="007B1B6C">
      <w:pPr>
        <w:pStyle w:val="normlntextvodstavcch"/>
        <w:ind w:left="3545" w:firstLine="0"/>
        <w:rPr>
          <w:rFonts w:asciiTheme="minorHAnsi" w:hAnsiTheme="minorHAnsi"/>
          <w:noProof/>
        </w:rPr>
      </w:pPr>
      <w:r w:rsidRPr="00B26631">
        <w:rPr>
          <w:rFonts w:asciiTheme="minorHAnsi" w:hAnsiTheme="minorHAnsi"/>
          <w:noProof/>
        </w:rPr>
        <w:t>Tým oddělení analytického a benchmarkingu MZe</w:t>
      </w:r>
    </w:p>
    <w:p w14:paraId="355C1FB6" w14:textId="01BD58A9" w:rsidR="00B53683" w:rsidRPr="00C62639" w:rsidRDefault="00B87BD4" w:rsidP="007B1B6C">
      <w:pPr>
        <w:pStyle w:val="normlntextvodstavcch"/>
        <w:ind w:left="3545" w:firstLine="0"/>
        <w:rPr>
          <w:rFonts w:asciiTheme="minorHAnsi" w:hAnsiTheme="minorHAnsi"/>
          <w:noProof/>
        </w:rPr>
      </w:pPr>
      <w:r w:rsidRPr="00C62639">
        <w:rPr>
          <w:rFonts w:asciiTheme="minorHAnsi" w:hAnsiTheme="minorHAnsi"/>
          <w:noProof/>
        </w:rPr>
        <w:t xml:space="preserve">V Praze, </w:t>
      </w:r>
      <w:r w:rsidR="00A91BF5">
        <w:rPr>
          <w:rFonts w:asciiTheme="minorHAnsi" w:hAnsiTheme="minorHAnsi"/>
          <w:noProof/>
        </w:rPr>
        <w:t>22</w:t>
      </w:r>
      <w:r w:rsidR="00521787" w:rsidRPr="00C62639">
        <w:rPr>
          <w:rFonts w:asciiTheme="minorHAnsi" w:hAnsiTheme="minorHAnsi"/>
          <w:noProof/>
        </w:rPr>
        <w:t>.</w:t>
      </w:r>
      <w:r w:rsidR="003A6341">
        <w:rPr>
          <w:rFonts w:asciiTheme="minorHAnsi" w:hAnsiTheme="minorHAnsi"/>
          <w:noProof/>
        </w:rPr>
        <w:t xml:space="preserve"> 1</w:t>
      </w:r>
      <w:r w:rsidR="00B53683" w:rsidRPr="00C62639">
        <w:rPr>
          <w:rFonts w:asciiTheme="minorHAnsi" w:hAnsiTheme="minorHAnsi"/>
          <w:noProof/>
        </w:rPr>
        <w:t>.</w:t>
      </w:r>
      <w:r w:rsidR="003A6341">
        <w:rPr>
          <w:rFonts w:asciiTheme="minorHAnsi" w:hAnsiTheme="minorHAnsi"/>
          <w:noProof/>
        </w:rPr>
        <w:t xml:space="preserve"> </w:t>
      </w:r>
      <w:r w:rsidR="00B53683" w:rsidRPr="00C62639">
        <w:rPr>
          <w:rFonts w:asciiTheme="minorHAnsi" w:hAnsiTheme="minorHAnsi"/>
          <w:noProof/>
        </w:rPr>
        <w:t>201</w:t>
      </w:r>
      <w:r w:rsidR="00191E74">
        <w:rPr>
          <w:rFonts w:asciiTheme="minorHAnsi" w:hAnsiTheme="minorHAnsi"/>
          <w:noProof/>
        </w:rPr>
        <w:t>8</w:t>
      </w:r>
    </w:p>
    <w:sectPr w:rsidR="00B53683" w:rsidRPr="00C62639" w:rsidSect="00FF4564">
      <w:footerReference w:type="default" r:id="rId5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20643" w14:textId="77777777" w:rsidR="008E082B" w:rsidRDefault="008E082B" w:rsidP="007D222B">
      <w:pPr>
        <w:spacing w:before="0" w:after="0"/>
      </w:pPr>
      <w:r>
        <w:separator/>
      </w:r>
    </w:p>
    <w:p w14:paraId="7CD711F3" w14:textId="77777777" w:rsidR="008E082B" w:rsidRDefault="008E082B"/>
    <w:p w14:paraId="61D8A0C5" w14:textId="77777777" w:rsidR="008E082B" w:rsidRDefault="008E082B" w:rsidP="006A4F53"/>
  </w:endnote>
  <w:endnote w:type="continuationSeparator" w:id="0">
    <w:p w14:paraId="669C75C2" w14:textId="77777777" w:rsidR="008E082B" w:rsidRDefault="008E082B" w:rsidP="007D222B">
      <w:pPr>
        <w:spacing w:before="0" w:after="0"/>
      </w:pPr>
      <w:r>
        <w:continuationSeparator/>
      </w:r>
    </w:p>
    <w:p w14:paraId="1B5E8C0A" w14:textId="77777777" w:rsidR="008E082B" w:rsidRDefault="008E082B"/>
    <w:p w14:paraId="152F1914" w14:textId="77777777" w:rsidR="008E082B" w:rsidRDefault="008E082B" w:rsidP="006A4F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E447D" w14:textId="77777777" w:rsidR="008E082B" w:rsidRPr="00683E07" w:rsidRDefault="008E082B">
    <w:pPr>
      <w:pStyle w:val="Zpat"/>
      <w:jc w:val="right"/>
      <w:rPr>
        <w:rFonts w:ascii="Calibri Light" w:hAnsi="Calibri Light"/>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D6377" w14:textId="77777777" w:rsidR="008E082B" w:rsidRPr="00762B0A" w:rsidRDefault="008E082B" w:rsidP="00F23EEA">
    <w:pPr>
      <w:pStyle w:val="Zpat"/>
      <w:tabs>
        <w:tab w:val="left" w:pos="8160"/>
        <w:tab w:val="left" w:pos="8505"/>
      </w:tabs>
      <w:spacing w:before="0" w:after="0"/>
      <w:jc w:val="left"/>
    </w:pPr>
    <w:r w:rsidRPr="00762B0A">
      <w:t>Zpráva z benchmarkingu za rok 2016</w:t>
    </w:r>
    <w:r w:rsidRPr="00762B0A">
      <w:tab/>
    </w:r>
    <w:r w:rsidRPr="00762B0A">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61</w:t>
    </w:r>
    <w:r w:rsidRPr="001B0257">
      <w:rPr>
        <w:rFonts w:ascii="Calibri Light" w:hAnsi="Calibri Light"/>
        <w:sz w:val="22"/>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AE57A" w14:textId="77777777" w:rsidR="008E082B" w:rsidRPr="00762B0A" w:rsidRDefault="008E082B" w:rsidP="001B0257">
    <w:pPr>
      <w:pStyle w:val="Zpat"/>
      <w:tabs>
        <w:tab w:val="left" w:pos="8505"/>
      </w:tabs>
      <w:spacing w:before="0" w:after="0"/>
      <w:jc w:val="left"/>
    </w:pPr>
    <w:r w:rsidRPr="00762B0A">
      <w:t>Zpráva z benchmarkingu za rok 2016</w:t>
    </w:r>
    <w:r w:rsidRPr="00762B0A">
      <w:tab/>
    </w:r>
    <w:r w:rsidRPr="00762B0A">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3</w:t>
    </w:r>
    <w:r w:rsidRPr="001B0257">
      <w:rPr>
        <w:rFonts w:ascii="Calibri Light" w:hAnsi="Calibri Light"/>
        <w:sz w:val="22"/>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011CD" w14:textId="03DC7699" w:rsidR="008E082B" w:rsidRPr="00762B0A" w:rsidRDefault="008E082B" w:rsidP="001B0257">
    <w:pPr>
      <w:pStyle w:val="Zpat"/>
      <w:tabs>
        <w:tab w:val="left" w:pos="8505"/>
      </w:tabs>
      <w:spacing w:before="0" w:after="0"/>
      <w:jc w:val="left"/>
    </w:pPr>
    <w:r w:rsidRPr="00762B0A">
      <w:t>Zpráva z benchmarkingu za rok 2016</w:t>
    </w:r>
    <w:r w:rsidRPr="00762B0A">
      <w:tab/>
    </w:r>
    <w:r w:rsidRPr="00762B0A">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28</w:t>
    </w:r>
    <w:r w:rsidRPr="001B0257">
      <w:rPr>
        <w:rFonts w:ascii="Calibri Light" w:hAnsi="Calibri Light"/>
        <w:sz w:val="22"/>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E7236" w14:textId="77777777" w:rsidR="008E082B" w:rsidRPr="00762B0A" w:rsidRDefault="008E082B" w:rsidP="001B0257">
    <w:pPr>
      <w:pStyle w:val="Zpat"/>
      <w:tabs>
        <w:tab w:val="left" w:pos="8505"/>
      </w:tabs>
      <w:spacing w:before="0" w:after="0"/>
      <w:jc w:val="left"/>
    </w:pPr>
    <w:r w:rsidRPr="00762B0A">
      <w:t>Zpráva z benchmarkingu za rok 2016</w:t>
    </w:r>
    <w:r w:rsidRPr="00762B0A">
      <w:tab/>
    </w:r>
    <w:r w:rsidRPr="00762B0A">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37</w:t>
    </w:r>
    <w:r w:rsidRPr="001B0257">
      <w:rPr>
        <w:rFonts w:ascii="Calibri Light" w:hAnsi="Calibri Light"/>
        <w:sz w:val="22"/>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6B000" w14:textId="605A0F9C" w:rsidR="008E082B" w:rsidRPr="00762B0A" w:rsidRDefault="008E082B" w:rsidP="001B0257">
    <w:pPr>
      <w:pStyle w:val="Zpat"/>
      <w:tabs>
        <w:tab w:val="left" w:pos="8505"/>
      </w:tabs>
      <w:spacing w:before="0" w:after="0"/>
      <w:jc w:val="left"/>
    </w:pPr>
    <w:r w:rsidRPr="00762B0A">
      <w:t>Zpráva z benchmarkingu za rok 2016</w:t>
    </w:r>
    <w:r w:rsidRPr="00762B0A">
      <w:tab/>
    </w:r>
    <w:r w:rsidRPr="00762B0A">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38</w:t>
    </w:r>
    <w:r w:rsidRPr="001B0257">
      <w:rPr>
        <w:rFonts w:ascii="Calibri Light" w:hAnsi="Calibri Light"/>
        <w:sz w:val="22"/>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F6B97" w14:textId="77777777" w:rsidR="008E082B" w:rsidRPr="00762B0A" w:rsidRDefault="008E082B" w:rsidP="001B0257">
    <w:pPr>
      <w:pStyle w:val="Zpat"/>
      <w:tabs>
        <w:tab w:val="left" w:pos="8505"/>
      </w:tabs>
      <w:spacing w:before="0" w:after="0"/>
      <w:jc w:val="left"/>
    </w:pPr>
    <w:r w:rsidRPr="00762B0A">
      <w:t>Zpráva z benchmarkingu za rok 2016</w:t>
    </w:r>
    <w:r w:rsidRPr="00762B0A">
      <w:tab/>
    </w:r>
    <w:r w:rsidRPr="00762B0A">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48</w:t>
    </w:r>
    <w:r w:rsidRPr="001B0257">
      <w:rPr>
        <w:rFonts w:ascii="Calibri Light" w:hAnsi="Calibri Light"/>
        <w:sz w:val="22"/>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F59D8" w14:textId="292C6952" w:rsidR="008E082B" w:rsidRPr="00762B0A" w:rsidRDefault="008E082B" w:rsidP="00F14B2F">
    <w:pPr>
      <w:pStyle w:val="Zpat"/>
      <w:tabs>
        <w:tab w:val="left" w:pos="7064"/>
        <w:tab w:val="left" w:pos="8505"/>
      </w:tabs>
      <w:spacing w:before="0" w:after="0"/>
      <w:jc w:val="left"/>
    </w:pPr>
    <w:r w:rsidRPr="00762B0A">
      <w:t>Zpráva z benchmarkingu za rok 2016</w:t>
    </w:r>
    <w:r w:rsidRPr="00762B0A">
      <w:tab/>
    </w:r>
    <w:r w:rsidRPr="00762B0A">
      <w:tab/>
    </w:r>
    <w:r>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49</w:t>
    </w:r>
    <w:r w:rsidRPr="001B0257">
      <w:rPr>
        <w:rFonts w:ascii="Calibri Light" w:hAnsi="Calibri Light"/>
        <w:sz w:val="22"/>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EB2F8" w14:textId="77777777" w:rsidR="008E082B" w:rsidRPr="00762B0A" w:rsidRDefault="008E082B" w:rsidP="00F14B2F">
    <w:pPr>
      <w:pStyle w:val="Zpat"/>
      <w:tabs>
        <w:tab w:val="left" w:pos="7064"/>
        <w:tab w:val="left" w:pos="8505"/>
      </w:tabs>
      <w:spacing w:before="0" w:after="0"/>
      <w:jc w:val="left"/>
    </w:pPr>
    <w:r w:rsidRPr="00762B0A">
      <w:t>Zpráva z benchmarkingu za rok 2016</w:t>
    </w:r>
    <w:r w:rsidRPr="00762B0A">
      <w:tab/>
    </w:r>
    <w:r w:rsidRPr="00762B0A">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56</w:t>
    </w:r>
    <w:r w:rsidRPr="001B0257">
      <w:rPr>
        <w:rFonts w:ascii="Calibri Light" w:hAnsi="Calibri Light"/>
        <w:sz w:val="22"/>
        <w:szCs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B099F" w14:textId="197D13F6" w:rsidR="008E082B" w:rsidRPr="00762B0A" w:rsidRDefault="008E082B" w:rsidP="00F23EEA">
    <w:pPr>
      <w:pStyle w:val="Zpat"/>
      <w:tabs>
        <w:tab w:val="left" w:pos="8160"/>
        <w:tab w:val="left" w:pos="8505"/>
      </w:tabs>
      <w:spacing w:before="0" w:after="0"/>
      <w:jc w:val="left"/>
    </w:pPr>
    <w:r w:rsidRPr="00762B0A">
      <w:t>Zpráva z benchmarkingu za rok 2016</w:t>
    </w:r>
    <w:r w:rsidRPr="00762B0A">
      <w:tab/>
    </w:r>
    <w:r w:rsidRPr="00762B0A">
      <w:tab/>
    </w:r>
    <w:r>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B51AE">
      <w:rPr>
        <w:rFonts w:ascii="Calibri Light" w:hAnsi="Calibri Light"/>
        <w:noProof/>
        <w:sz w:val="22"/>
        <w:szCs w:val="18"/>
      </w:rPr>
      <w:t>57</w:t>
    </w:r>
    <w:r w:rsidRPr="001B0257">
      <w:rPr>
        <w:rFonts w:ascii="Calibri Light" w:hAnsi="Calibri Light"/>
        <w:sz w:val="22"/>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62094" w14:textId="77777777" w:rsidR="008E082B" w:rsidRDefault="008E082B" w:rsidP="007D222B">
      <w:pPr>
        <w:spacing w:before="0" w:after="0"/>
      </w:pPr>
      <w:r>
        <w:separator/>
      </w:r>
    </w:p>
    <w:p w14:paraId="4D2CA3DC" w14:textId="77777777" w:rsidR="008E082B" w:rsidRDefault="008E082B"/>
    <w:p w14:paraId="4496FD72" w14:textId="77777777" w:rsidR="008E082B" w:rsidRDefault="008E082B" w:rsidP="006A4F53"/>
  </w:footnote>
  <w:footnote w:type="continuationSeparator" w:id="0">
    <w:p w14:paraId="7ED6EF7C" w14:textId="77777777" w:rsidR="008E082B" w:rsidRDefault="008E082B" w:rsidP="007D222B">
      <w:pPr>
        <w:spacing w:before="0" w:after="0"/>
      </w:pPr>
      <w:r>
        <w:continuationSeparator/>
      </w:r>
    </w:p>
    <w:p w14:paraId="16AE70F2" w14:textId="77777777" w:rsidR="008E082B" w:rsidRDefault="008E082B"/>
    <w:p w14:paraId="3D2FA1FF" w14:textId="77777777" w:rsidR="008E082B" w:rsidRDefault="008E082B" w:rsidP="006A4F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81951" w14:textId="0FCA48DF" w:rsidR="008E082B" w:rsidRPr="006A4C8D" w:rsidRDefault="008E082B" w:rsidP="00847300">
    <w:pPr>
      <w:pStyle w:val="Styl2"/>
    </w:pPr>
    <w:r>
      <w:t>č. j</w:t>
    </w:r>
    <w:r w:rsidRPr="00652EA8">
      <w:t xml:space="preserve"> 7447/2018-MZE-15161</w:t>
    </w:r>
  </w:p>
  <w:p w14:paraId="7EA0121D" w14:textId="77777777" w:rsidR="008E082B" w:rsidRPr="006A4C8D" w:rsidRDefault="008E082B" w:rsidP="006A4F53">
    <w:pPr>
      <w:pStyle w:val="Sty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75E65"/>
    <w:multiLevelType w:val="multilevel"/>
    <w:tmpl w:val="4FBE86CE"/>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6125EEF"/>
    <w:multiLevelType w:val="multilevel"/>
    <w:tmpl w:val="F97CAC6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D51E22"/>
    <w:multiLevelType w:val="hybridMultilevel"/>
    <w:tmpl w:val="224E6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EF529A"/>
    <w:multiLevelType w:val="hybridMultilevel"/>
    <w:tmpl w:val="0E8C9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AF0FD6"/>
    <w:multiLevelType w:val="hybridMultilevel"/>
    <w:tmpl w:val="E7507C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153C0"/>
    <w:multiLevelType w:val="multilevel"/>
    <w:tmpl w:val="F97CAC6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497440C"/>
    <w:multiLevelType w:val="hybridMultilevel"/>
    <w:tmpl w:val="CB1C75C2"/>
    <w:lvl w:ilvl="0" w:tplc="0B2E6974">
      <w:start w:val="1"/>
      <w:numFmt w:val="decimal"/>
      <w:pStyle w:val="1Nadpis"/>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83C25E1"/>
    <w:multiLevelType w:val="hybridMultilevel"/>
    <w:tmpl w:val="82407AC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2125C4C"/>
    <w:multiLevelType w:val="multilevel"/>
    <w:tmpl w:val="8EA4B4FC"/>
    <w:lvl w:ilvl="0">
      <w:start w:val="1"/>
      <w:numFmt w:val="decimal"/>
      <w:lvlText w:val="%1"/>
      <w:lvlJc w:val="left"/>
      <w:pPr>
        <w:ind w:left="360" w:hanging="360"/>
      </w:pPr>
      <w:rPr>
        <w:rFonts w:hint="default"/>
      </w:rPr>
    </w:lvl>
    <w:lvl w:ilvl="1">
      <w:start w:val="1"/>
      <w:numFmt w:val="decimal"/>
      <w:lvlText w:val="%1.3"/>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33D4604"/>
    <w:multiLevelType w:val="hybridMultilevel"/>
    <w:tmpl w:val="82407AC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6B6746"/>
    <w:multiLevelType w:val="hybridMultilevel"/>
    <w:tmpl w:val="E7507C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54B7841"/>
    <w:multiLevelType w:val="hybridMultilevel"/>
    <w:tmpl w:val="EC4269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9F96F00"/>
    <w:multiLevelType w:val="multilevel"/>
    <w:tmpl w:val="54801506"/>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375" w:hanging="375"/>
      </w:pPr>
      <w:rPr>
        <w:rFonts w:hint="default"/>
      </w:rPr>
    </w:lvl>
    <w:lvl w:ilvl="2">
      <w:start w:val="1"/>
      <w:numFmt w:val="decimal"/>
      <w:pStyle w:val="Nadpis3"/>
      <w:lvlText w:val="%1.%2.%3"/>
      <w:lvlJc w:val="left"/>
      <w:pPr>
        <w:ind w:left="720" w:hanging="720"/>
      </w:pPr>
      <w:rPr>
        <w:rFonts w:cs="Times New Roman"/>
        <w:b w:val="0"/>
        <w:bCs w:val="0"/>
        <w:iCs w:val="0"/>
        <w:caps w:val="0"/>
        <w:smallCaps w:val="0"/>
        <w:strike w:val="0"/>
        <w:dstrike w:val="0"/>
        <w:noProof w:val="0"/>
        <w:vanish w:val="0"/>
        <w:color w:val="1F3864" w:themeColor="accent5" w:themeShade="8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3C1268F"/>
    <w:multiLevelType w:val="multilevel"/>
    <w:tmpl w:val="F97CAC6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60C2C42"/>
    <w:multiLevelType w:val="hybridMultilevel"/>
    <w:tmpl w:val="5CD60844"/>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5" w15:restartNumberingAfterBreak="0">
    <w:nsid w:val="6AA46BDB"/>
    <w:multiLevelType w:val="hybridMultilevel"/>
    <w:tmpl w:val="224E6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C083799"/>
    <w:multiLevelType w:val="hybridMultilevel"/>
    <w:tmpl w:val="224E6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071D03"/>
    <w:multiLevelType w:val="hybridMultilevel"/>
    <w:tmpl w:val="8416C5E0"/>
    <w:lvl w:ilvl="0" w:tplc="04050001">
      <w:start w:val="1"/>
      <w:numFmt w:val="bullet"/>
      <w:lvlText w:val=""/>
      <w:lvlJc w:val="left"/>
      <w:pPr>
        <w:ind w:left="80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7BE717B0"/>
    <w:multiLevelType w:val="hybridMultilevel"/>
    <w:tmpl w:val="E7507C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8"/>
  </w:num>
  <w:num w:numId="5">
    <w:abstractNumId w:val="0"/>
  </w:num>
  <w:num w:numId="6">
    <w:abstractNumId w:val="6"/>
  </w:num>
  <w:num w:numId="7">
    <w:abstractNumId w:val="12"/>
  </w:num>
  <w:num w:numId="8">
    <w:abstractNumId w:val="10"/>
  </w:num>
  <w:num w:numId="9">
    <w:abstractNumId w:val="11"/>
  </w:num>
  <w:num w:numId="10">
    <w:abstractNumId w:val="15"/>
  </w:num>
  <w:num w:numId="11">
    <w:abstractNumId w:val="13"/>
  </w:num>
  <w:num w:numId="12">
    <w:abstractNumId w:val="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8"/>
  </w:num>
  <w:num w:numId="19">
    <w:abstractNumId w:val="4"/>
  </w:num>
  <w:num w:numId="20">
    <w:abstractNumId w:val="7"/>
  </w:num>
  <w:num w:numId="21">
    <w:abstractNumId w:val="16"/>
  </w:num>
  <w:num w:numId="22">
    <w:abstractNumId w:val="1"/>
  </w:num>
  <w:num w:numId="2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65"/>
    <w:rsid w:val="00003BEA"/>
    <w:rsid w:val="000066BC"/>
    <w:rsid w:val="00010D7F"/>
    <w:rsid w:val="00010F57"/>
    <w:rsid w:val="00011029"/>
    <w:rsid w:val="000115A4"/>
    <w:rsid w:val="00011ECC"/>
    <w:rsid w:val="000128FB"/>
    <w:rsid w:val="00012F8C"/>
    <w:rsid w:val="00014818"/>
    <w:rsid w:val="000255C2"/>
    <w:rsid w:val="0002699F"/>
    <w:rsid w:val="00027EB4"/>
    <w:rsid w:val="00027F8A"/>
    <w:rsid w:val="000302AB"/>
    <w:rsid w:val="0003065C"/>
    <w:rsid w:val="000306EC"/>
    <w:rsid w:val="00033FD8"/>
    <w:rsid w:val="000362BF"/>
    <w:rsid w:val="0003741C"/>
    <w:rsid w:val="00040A17"/>
    <w:rsid w:val="0004117F"/>
    <w:rsid w:val="000448AE"/>
    <w:rsid w:val="000516D9"/>
    <w:rsid w:val="000543B7"/>
    <w:rsid w:val="00055D4D"/>
    <w:rsid w:val="00061825"/>
    <w:rsid w:val="00061DEF"/>
    <w:rsid w:val="000620B2"/>
    <w:rsid w:val="00062D24"/>
    <w:rsid w:val="00062D3E"/>
    <w:rsid w:val="00063F5F"/>
    <w:rsid w:val="00067A9A"/>
    <w:rsid w:val="0007090D"/>
    <w:rsid w:val="00071A92"/>
    <w:rsid w:val="000737E6"/>
    <w:rsid w:val="00076466"/>
    <w:rsid w:val="0007664A"/>
    <w:rsid w:val="000835BA"/>
    <w:rsid w:val="00083D1F"/>
    <w:rsid w:val="00087EF5"/>
    <w:rsid w:val="000937F8"/>
    <w:rsid w:val="000963DD"/>
    <w:rsid w:val="000A159C"/>
    <w:rsid w:val="000A15EF"/>
    <w:rsid w:val="000A4327"/>
    <w:rsid w:val="000A4E9F"/>
    <w:rsid w:val="000A6926"/>
    <w:rsid w:val="000A6C56"/>
    <w:rsid w:val="000A6CF4"/>
    <w:rsid w:val="000A74FC"/>
    <w:rsid w:val="000B3FF1"/>
    <w:rsid w:val="000B4C0D"/>
    <w:rsid w:val="000B4E2B"/>
    <w:rsid w:val="000B565F"/>
    <w:rsid w:val="000C0BD0"/>
    <w:rsid w:val="000C3837"/>
    <w:rsid w:val="000C45FF"/>
    <w:rsid w:val="000C4954"/>
    <w:rsid w:val="000D41A2"/>
    <w:rsid w:val="000D4CE9"/>
    <w:rsid w:val="000D5CC4"/>
    <w:rsid w:val="000D6206"/>
    <w:rsid w:val="000E1432"/>
    <w:rsid w:val="000E38AE"/>
    <w:rsid w:val="000E45D3"/>
    <w:rsid w:val="000E4AA8"/>
    <w:rsid w:val="000E4F41"/>
    <w:rsid w:val="000E6D3E"/>
    <w:rsid w:val="000E72CC"/>
    <w:rsid w:val="000E795C"/>
    <w:rsid w:val="000E7C0E"/>
    <w:rsid w:val="000F3EC9"/>
    <w:rsid w:val="000F40EB"/>
    <w:rsid w:val="000F7562"/>
    <w:rsid w:val="00100A94"/>
    <w:rsid w:val="001014DD"/>
    <w:rsid w:val="001042CB"/>
    <w:rsid w:val="00104787"/>
    <w:rsid w:val="00107DBC"/>
    <w:rsid w:val="00112520"/>
    <w:rsid w:val="00114717"/>
    <w:rsid w:val="001150E0"/>
    <w:rsid w:val="001155F5"/>
    <w:rsid w:val="00115621"/>
    <w:rsid w:val="00117076"/>
    <w:rsid w:val="00123395"/>
    <w:rsid w:val="00126958"/>
    <w:rsid w:val="0012707B"/>
    <w:rsid w:val="00132940"/>
    <w:rsid w:val="00132C97"/>
    <w:rsid w:val="00133A56"/>
    <w:rsid w:val="001347ED"/>
    <w:rsid w:val="00134E21"/>
    <w:rsid w:val="00135CDE"/>
    <w:rsid w:val="00143287"/>
    <w:rsid w:val="0014328E"/>
    <w:rsid w:val="001434DA"/>
    <w:rsid w:val="00145DB3"/>
    <w:rsid w:val="00147C4A"/>
    <w:rsid w:val="00152198"/>
    <w:rsid w:val="001546CA"/>
    <w:rsid w:val="00154A0C"/>
    <w:rsid w:val="00154A9C"/>
    <w:rsid w:val="00156B72"/>
    <w:rsid w:val="00160B72"/>
    <w:rsid w:val="00162138"/>
    <w:rsid w:val="00163DF4"/>
    <w:rsid w:val="00165BB4"/>
    <w:rsid w:val="00166638"/>
    <w:rsid w:val="00170DB2"/>
    <w:rsid w:val="00171AE6"/>
    <w:rsid w:val="001732A3"/>
    <w:rsid w:val="00173D02"/>
    <w:rsid w:val="00175EAF"/>
    <w:rsid w:val="001778DE"/>
    <w:rsid w:val="00177FC0"/>
    <w:rsid w:val="00180A56"/>
    <w:rsid w:val="00183884"/>
    <w:rsid w:val="0018552D"/>
    <w:rsid w:val="00185A84"/>
    <w:rsid w:val="00187398"/>
    <w:rsid w:val="00187982"/>
    <w:rsid w:val="00191E74"/>
    <w:rsid w:val="00192C90"/>
    <w:rsid w:val="001952F6"/>
    <w:rsid w:val="00196C68"/>
    <w:rsid w:val="001A2244"/>
    <w:rsid w:val="001A357E"/>
    <w:rsid w:val="001A4582"/>
    <w:rsid w:val="001A7D43"/>
    <w:rsid w:val="001A7DEE"/>
    <w:rsid w:val="001B0257"/>
    <w:rsid w:val="001B11BD"/>
    <w:rsid w:val="001B4F36"/>
    <w:rsid w:val="001B5BD9"/>
    <w:rsid w:val="001B64BF"/>
    <w:rsid w:val="001B6C6A"/>
    <w:rsid w:val="001C1807"/>
    <w:rsid w:val="001C2E7E"/>
    <w:rsid w:val="001C51CB"/>
    <w:rsid w:val="001D022B"/>
    <w:rsid w:val="001D02DE"/>
    <w:rsid w:val="001D1B4D"/>
    <w:rsid w:val="001D2A9D"/>
    <w:rsid w:val="001D779C"/>
    <w:rsid w:val="001E10F7"/>
    <w:rsid w:val="001E111A"/>
    <w:rsid w:val="001E179C"/>
    <w:rsid w:val="001E2CDC"/>
    <w:rsid w:val="001E3036"/>
    <w:rsid w:val="001E409E"/>
    <w:rsid w:val="001E62D7"/>
    <w:rsid w:val="001E7952"/>
    <w:rsid w:val="001F02E1"/>
    <w:rsid w:val="001F0E78"/>
    <w:rsid w:val="001F2525"/>
    <w:rsid w:val="001F3728"/>
    <w:rsid w:val="001F3E56"/>
    <w:rsid w:val="001F460A"/>
    <w:rsid w:val="001F46EE"/>
    <w:rsid w:val="001F474C"/>
    <w:rsid w:val="001F5B53"/>
    <w:rsid w:val="00201A75"/>
    <w:rsid w:val="0020242E"/>
    <w:rsid w:val="0020479B"/>
    <w:rsid w:val="002050BE"/>
    <w:rsid w:val="00205D02"/>
    <w:rsid w:val="00207ECD"/>
    <w:rsid w:val="002101EA"/>
    <w:rsid w:val="0021257D"/>
    <w:rsid w:val="00212AC3"/>
    <w:rsid w:val="002144C0"/>
    <w:rsid w:val="002146FC"/>
    <w:rsid w:val="002156C9"/>
    <w:rsid w:val="00230A65"/>
    <w:rsid w:val="00235587"/>
    <w:rsid w:val="00236619"/>
    <w:rsid w:val="00240BC4"/>
    <w:rsid w:val="00243F54"/>
    <w:rsid w:val="002450C7"/>
    <w:rsid w:val="00245795"/>
    <w:rsid w:val="00245802"/>
    <w:rsid w:val="00247B59"/>
    <w:rsid w:val="00250B89"/>
    <w:rsid w:val="002510DF"/>
    <w:rsid w:val="00251731"/>
    <w:rsid w:val="0025489F"/>
    <w:rsid w:val="00254B75"/>
    <w:rsid w:val="0026569A"/>
    <w:rsid w:val="002716A2"/>
    <w:rsid w:val="002726B2"/>
    <w:rsid w:val="00277924"/>
    <w:rsid w:val="00280C56"/>
    <w:rsid w:val="0028157C"/>
    <w:rsid w:val="00281B26"/>
    <w:rsid w:val="002821D1"/>
    <w:rsid w:val="00285406"/>
    <w:rsid w:val="00286BF5"/>
    <w:rsid w:val="00295FEE"/>
    <w:rsid w:val="002A3893"/>
    <w:rsid w:val="002B0485"/>
    <w:rsid w:val="002B0FF3"/>
    <w:rsid w:val="002B58C5"/>
    <w:rsid w:val="002B7086"/>
    <w:rsid w:val="002B7BC8"/>
    <w:rsid w:val="002C01A8"/>
    <w:rsid w:val="002C3AE2"/>
    <w:rsid w:val="002C71E2"/>
    <w:rsid w:val="002C7645"/>
    <w:rsid w:val="002C7A4B"/>
    <w:rsid w:val="002C7CC4"/>
    <w:rsid w:val="002D1051"/>
    <w:rsid w:val="002D3A66"/>
    <w:rsid w:val="002E0859"/>
    <w:rsid w:val="002E1015"/>
    <w:rsid w:val="002E14C2"/>
    <w:rsid w:val="002E4725"/>
    <w:rsid w:val="002E4CED"/>
    <w:rsid w:val="002E4EAD"/>
    <w:rsid w:val="002E7E3D"/>
    <w:rsid w:val="002F6144"/>
    <w:rsid w:val="002F73D9"/>
    <w:rsid w:val="003013EC"/>
    <w:rsid w:val="00303493"/>
    <w:rsid w:val="00306B69"/>
    <w:rsid w:val="00307725"/>
    <w:rsid w:val="00315927"/>
    <w:rsid w:val="0031644B"/>
    <w:rsid w:val="00316A94"/>
    <w:rsid w:val="00320C41"/>
    <w:rsid w:val="00320CD6"/>
    <w:rsid w:val="003249F9"/>
    <w:rsid w:val="00324D46"/>
    <w:rsid w:val="0032532D"/>
    <w:rsid w:val="00326896"/>
    <w:rsid w:val="00326EB5"/>
    <w:rsid w:val="0032742F"/>
    <w:rsid w:val="003311F8"/>
    <w:rsid w:val="00331D08"/>
    <w:rsid w:val="00331E53"/>
    <w:rsid w:val="003340B5"/>
    <w:rsid w:val="00335EC5"/>
    <w:rsid w:val="00337C1B"/>
    <w:rsid w:val="003409B3"/>
    <w:rsid w:val="00340E82"/>
    <w:rsid w:val="003445F0"/>
    <w:rsid w:val="00345EA5"/>
    <w:rsid w:val="003466F3"/>
    <w:rsid w:val="00351EEC"/>
    <w:rsid w:val="00352207"/>
    <w:rsid w:val="00352D28"/>
    <w:rsid w:val="0035376C"/>
    <w:rsid w:val="0035434B"/>
    <w:rsid w:val="00360D80"/>
    <w:rsid w:val="0036188E"/>
    <w:rsid w:val="003705BA"/>
    <w:rsid w:val="00371828"/>
    <w:rsid w:val="0037316E"/>
    <w:rsid w:val="00377A53"/>
    <w:rsid w:val="00377EE6"/>
    <w:rsid w:val="00380421"/>
    <w:rsid w:val="0038464F"/>
    <w:rsid w:val="00384CC9"/>
    <w:rsid w:val="003868EC"/>
    <w:rsid w:val="0039035F"/>
    <w:rsid w:val="00394A92"/>
    <w:rsid w:val="00396A0E"/>
    <w:rsid w:val="003A4A7A"/>
    <w:rsid w:val="003A6341"/>
    <w:rsid w:val="003A66C9"/>
    <w:rsid w:val="003B2F99"/>
    <w:rsid w:val="003B708D"/>
    <w:rsid w:val="003B7E54"/>
    <w:rsid w:val="003C01D7"/>
    <w:rsid w:val="003C5045"/>
    <w:rsid w:val="003C548E"/>
    <w:rsid w:val="003C549F"/>
    <w:rsid w:val="003D08FA"/>
    <w:rsid w:val="003D54E6"/>
    <w:rsid w:val="003D6613"/>
    <w:rsid w:val="003D703E"/>
    <w:rsid w:val="003D732F"/>
    <w:rsid w:val="003D77E1"/>
    <w:rsid w:val="003D7A23"/>
    <w:rsid w:val="003E268E"/>
    <w:rsid w:val="003E3519"/>
    <w:rsid w:val="003E40F7"/>
    <w:rsid w:val="003E5575"/>
    <w:rsid w:val="003E60F4"/>
    <w:rsid w:val="003E6302"/>
    <w:rsid w:val="003F1346"/>
    <w:rsid w:val="003F1917"/>
    <w:rsid w:val="003F22DC"/>
    <w:rsid w:val="003F32FA"/>
    <w:rsid w:val="003F3825"/>
    <w:rsid w:val="003F38FE"/>
    <w:rsid w:val="003F39C3"/>
    <w:rsid w:val="003F4AD9"/>
    <w:rsid w:val="003F4D07"/>
    <w:rsid w:val="003F7EDF"/>
    <w:rsid w:val="00400400"/>
    <w:rsid w:val="00400437"/>
    <w:rsid w:val="00403D12"/>
    <w:rsid w:val="0041089C"/>
    <w:rsid w:val="004142CF"/>
    <w:rsid w:val="00414541"/>
    <w:rsid w:val="00414C3E"/>
    <w:rsid w:val="00415784"/>
    <w:rsid w:val="004239E4"/>
    <w:rsid w:val="00425DDC"/>
    <w:rsid w:val="004320BF"/>
    <w:rsid w:val="00433405"/>
    <w:rsid w:val="00433A6F"/>
    <w:rsid w:val="00434517"/>
    <w:rsid w:val="004419C5"/>
    <w:rsid w:val="00443CD9"/>
    <w:rsid w:val="0044551A"/>
    <w:rsid w:val="004501A7"/>
    <w:rsid w:val="00451A26"/>
    <w:rsid w:val="00452803"/>
    <w:rsid w:val="00452AC9"/>
    <w:rsid w:val="00456C7E"/>
    <w:rsid w:val="004573DC"/>
    <w:rsid w:val="00457CB2"/>
    <w:rsid w:val="00460D65"/>
    <w:rsid w:val="00463168"/>
    <w:rsid w:val="004669F2"/>
    <w:rsid w:val="00472327"/>
    <w:rsid w:val="00472A24"/>
    <w:rsid w:val="00473BCD"/>
    <w:rsid w:val="004747F3"/>
    <w:rsid w:val="0047549B"/>
    <w:rsid w:val="00477C9D"/>
    <w:rsid w:val="00482659"/>
    <w:rsid w:val="00482894"/>
    <w:rsid w:val="00486357"/>
    <w:rsid w:val="00487A63"/>
    <w:rsid w:val="00492CB1"/>
    <w:rsid w:val="00492F1A"/>
    <w:rsid w:val="00493C25"/>
    <w:rsid w:val="0049509D"/>
    <w:rsid w:val="00496FCD"/>
    <w:rsid w:val="004A0B2F"/>
    <w:rsid w:val="004A19FC"/>
    <w:rsid w:val="004A6E08"/>
    <w:rsid w:val="004A760F"/>
    <w:rsid w:val="004B35ED"/>
    <w:rsid w:val="004B4141"/>
    <w:rsid w:val="004B466E"/>
    <w:rsid w:val="004B51AE"/>
    <w:rsid w:val="004B6734"/>
    <w:rsid w:val="004B75E4"/>
    <w:rsid w:val="004C1238"/>
    <w:rsid w:val="004C21C4"/>
    <w:rsid w:val="004C342D"/>
    <w:rsid w:val="004C3A4C"/>
    <w:rsid w:val="004C598A"/>
    <w:rsid w:val="004D28A2"/>
    <w:rsid w:val="004D3AC6"/>
    <w:rsid w:val="004D3C97"/>
    <w:rsid w:val="004D4CB6"/>
    <w:rsid w:val="004D5780"/>
    <w:rsid w:val="004D5799"/>
    <w:rsid w:val="004D6688"/>
    <w:rsid w:val="004E24E4"/>
    <w:rsid w:val="004E2989"/>
    <w:rsid w:val="004E369D"/>
    <w:rsid w:val="004E5FFE"/>
    <w:rsid w:val="004F0C74"/>
    <w:rsid w:val="004F1917"/>
    <w:rsid w:val="004F306C"/>
    <w:rsid w:val="004F4D13"/>
    <w:rsid w:val="004F7495"/>
    <w:rsid w:val="00502E1D"/>
    <w:rsid w:val="00504C2D"/>
    <w:rsid w:val="005051E8"/>
    <w:rsid w:val="005073CB"/>
    <w:rsid w:val="00507462"/>
    <w:rsid w:val="00512184"/>
    <w:rsid w:val="005169F2"/>
    <w:rsid w:val="00516FC3"/>
    <w:rsid w:val="005203A9"/>
    <w:rsid w:val="00521787"/>
    <w:rsid w:val="0052364E"/>
    <w:rsid w:val="00523D95"/>
    <w:rsid w:val="005245F2"/>
    <w:rsid w:val="0052462F"/>
    <w:rsid w:val="0052479E"/>
    <w:rsid w:val="00525C46"/>
    <w:rsid w:val="0052613E"/>
    <w:rsid w:val="0052710F"/>
    <w:rsid w:val="005300AB"/>
    <w:rsid w:val="00530512"/>
    <w:rsid w:val="00531531"/>
    <w:rsid w:val="00532373"/>
    <w:rsid w:val="005326EE"/>
    <w:rsid w:val="00536055"/>
    <w:rsid w:val="00537178"/>
    <w:rsid w:val="005407D9"/>
    <w:rsid w:val="005407FD"/>
    <w:rsid w:val="00542674"/>
    <w:rsid w:val="00542FE3"/>
    <w:rsid w:val="00545B65"/>
    <w:rsid w:val="00545F1C"/>
    <w:rsid w:val="0054741E"/>
    <w:rsid w:val="00547D7C"/>
    <w:rsid w:val="00551596"/>
    <w:rsid w:val="00552C1D"/>
    <w:rsid w:val="00555D8C"/>
    <w:rsid w:val="00556D78"/>
    <w:rsid w:val="00557E51"/>
    <w:rsid w:val="005601D2"/>
    <w:rsid w:val="0056517A"/>
    <w:rsid w:val="005670DE"/>
    <w:rsid w:val="00567832"/>
    <w:rsid w:val="00573904"/>
    <w:rsid w:val="00577B7C"/>
    <w:rsid w:val="005802CA"/>
    <w:rsid w:val="00581A9B"/>
    <w:rsid w:val="0058218D"/>
    <w:rsid w:val="0058243A"/>
    <w:rsid w:val="0058489E"/>
    <w:rsid w:val="00584A8E"/>
    <w:rsid w:val="0058795E"/>
    <w:rsid w:val="00587B8D"/>
    <w:rsid w:val="00587DF5"/>
    <w:rsid w:val="00590C71"/>
    <w:rsid w:val="00590F65"/>
    <w:rsid w:val="00597925"/>
    <w:rsid w:val="005A23D2"/>
    <w:rsid w:val="005A2E4E"/>
    <w:rsid w:val="005A3C44"/>
    <w:rsid w:val="005B09C6"/>
    <w:rsid w:val="005B3AFF"/>
    <w:rsid w:val="005B4273"/>
    <w:rsid w:val="005B5DAB"/>
    <w:rsid w:val="005B662D"/>
    <w:rsid w:val="005C3500"/>
    <w:rsid w:val="005C4C74"/>
    <w:rsid w:val="005C5BF2"/>
    <w:rsid w:val="005D3852"/>
    <w:rsid w:val="005E50BB"/>
    <w:rsid w:val="005E6A02"/>
    <w:rsid w:val="005F3432"/>
    <w:rsid w:val="005F5220"/>
    <w:rsid w:val="005F5EAF"/>
    <w:rsid w:val="005F65BA"/>
    <w:rsid w:val="006008E1"/>
    <w:rsid w:val="0060163F"/>
    <w:rsid w:val="0060180E"/>
    <w:rsid w:val="00605CA2"/>
    <w:rsid w:val="00606C0F"/>
    <w:rsid w:val="006107D0"/>
    <w:rsid w:val="00612BAF"/>
    <w:rsid w:val="0061533F"/>
    <w:rsid w:val="00615CC0"/>
    <w:rsid w:val="006163F4"/>
    <w:rsid w:val="00624019"/>
    <w:rsid w:val="00625E37"/>
    <w:rsid w:val="0062613B"/>
    <w:rsid w:val="00626682"/>
    <w:rsid w:val="00626F4D"/>
    <w:rsid w:val="006276F4"/>
    <w:rsid w:val="0063723E"/>
    <w:rsid w:val="0064170D"/>
    <w:rsid w:val="00641F2B"/>
    <w:rsid w:val="00643A44"/>
    <w:rsid w:val="00650859"/>
    <w:rsid w:val="00651900"/>
    <w:rsid w:val="00651CB1"/>
    <w:rsid w:val="00652EA8"/>
    <w:rsid w:val="0065581D"/>
    <w:rsid w:val="00656165"/>
    <w:rsid w:val="00657640"/>
    <w:rsid w:val="00662DA6"/>
    <w:rsid w:val="00663154"/>
    <w:rsid w:val="00663BBB"/>
    <w:rsid w:val="00667820"/>
    <w:rsid w:val="00670E65"/>
    <w:rsid w:val="00671055"/>
    <w:rsid w:val="0067191B"/>
    <w:rsid w:val="00671B83"/>
    <w:rsid w:val="006727E8"/>
    <w:rsid w:val="00672C35"/>
    <w:rsid w:val="0067415B"/>
    <w:rsid w:val="006774F8"/>
    <w:rsid w:val="006843CA"/>
    <w:rsid w:val="00684D87"/>
    <w:rsid w:val="00685FF7"/>
    <w:rsid w:val="006905E2"/>
    <w:rsid w:val="00692CE6"/>
    <w:rsid w:val="00697A55"/>
    <w:rsid w:val="006A054B"/>
    <w:rsid w:val="006A24E2"/>
    <w:rsid w:val="006A37B2"/>
    <w:rsid w:val="006A4F53"/>
    <w:rsid w:val="006A4F7B"/>
    <w:rsid w:val="006B59F6"/>
    <w:rsid w:val="006C0A89"/>
    <w:rsid w:val="006C6C6E"/>
    <w:rsid w:val="006C7ACF"/>
    <w:rsid w:val="006D0FEF"/>
    <w:rsid w:val="006D1E7E"/>
    <w:rsid w:val="006D2248"/>
    <w:rsid w:val="006D36B4"/>
    <w:rsid w:val="006D60BE"/>
    <w:rsid w:val="006D6490"/>
    <w:rsid w:val="006D74C8"/>
    <w:rsid w:val="006E24D8"/>
    <w:rsid w:val="006E286B"/>
    <w:rsid w:val="006E2F4F"/>
    <w:rsid w:val="006E3288"/>
    <w:rsid w:val="006E589E"/>
    <w:rsid w:val="006F03C4"/>
    <w:rsid w:val="006F09D1"/>
    <w:rsid w:val="006F0BE5"/>
    <w:rsid w:val="006F0D58"/>
    <w:rsid w:val="006F2AC5"/>
    <w:rsid w:val="006F2CBC"/>
    <w:rsid w:val="006F4F26"/>
    <w:rsid w:val="006F53CC"/>
    <w:rsid w:val="006F6838"/>
    <w:rsid w:val="006F7E8C"/>
    <w:rsid w:val="006F7F1C"/>
    <w:rsid w:val="0070070C"/>
    <w:rsid w:val="00700FF2"/>
    <w:rsid w:val="007023B3"/>
    <w:rsid w:val="007038AF"/>
    <w:rsid w:val="00703FD9"/>
    <w:rsid w:val="007049F3"/>
    <w:rsid w:val="00704ACA"/>
    <w:rsid w:val="00705565"/>
    <w:rsid w:val="0070653F"/>
    <w:rsid w:val="0071058D"/>
    <w:rsid w:val="00710AAE"/>
    <w:rsid w:val="00712687"/>
    <w:rsid w:val="00713514"/>
    <w:rsid w:val="007145B0"/>
    <w:rsid w:val="00714B65"/>
    <w:rsid w:val="007169AB"/>
    <w:rsid w:val="00721529"/>
    <w:rsid w:val="00725331"/>
    <w:rsid w:val="0073164D"/>
    <w:rsid w:val="007327D9"/>
    <w:rsid w:val="00733943"/>
    <w:rsid w:val="0073489A"/>
    <w:rsid w:val="00734C8C"/>
    <w:rsid w:val="00736E1F"/>
    <w:rsid w:val="0073748A"/>
    <w:rsid w:val="007449D9"/>
    <w:rsid w:val="0074574E"/>
    <w:rsid w:val="00751E32"/>
    <w:rsid w:val="007538B8"/>
    <w:rsid w:val="00753C5F"/>
    <w:rsid w:val="00754FA4"/>
    <w:rsid w:val="0075590C"/>
    <w:rsid w:val="0075759F"/>
    <w:rsid w:val="00757B68"/>
    <w:rsid w:val="007604AA"/>
    <w:rsid w:val="00760D8D"/>
    <w:rsid w:val="00762B0A"/>
    <w:rsid w:val="0076588B"/>
    <w:rsid w:val="0077183B"/>
    <w:rsid w:val="00773702"/>
    <w:rsid w:val="00775F08"/>
    <w:rsid w:val="0078166F"/>
    <w:rsid w:val="00782E52"/>
    <w:rsid w:val="00783157"/>
    <w:rsid w:val="00783895"/>
    <w:rsid w:val="007847AE"/>
    <w:rsid w:val="0078566A"/>
    <w:rsid w:val="0078718D"/>
    <w:rsid w:val="00791966"/>
    <w:rsid w:val="007928CE"/>
    <w:rsid w:val="007943A7"/>
    <w:rsid w:val="00795F51"/>
    <w:rsid w:val="007A0E71"/>
    <w:rsid w:val="007A1BF4"/>
    <w:rsid w:val="007A1FD9"/>
    <w:rsid w:val="007A20D2"/>
    <w:rsid w:val="007A3FF5"/>
    <w:rsid w:val="007A4776"/>
    <w:rsid w:val="007A4A6D"/>
    <w:rsid w:val="007A60FB"/>
    <w:rsid w:val="007A63FE"/>
    <w:rsid w:val="007B043C"/>
    <w:rsid w:val="007B1B6C"/>
    <w:rsid w:val="007B6448"/>
    <w:rsid w:val="007C4F8F"/>
    <w:rsid w:val="007C7DCD"/>
    <w:rsid w:val="007C7EAF"/>
    <w:rsid w:val="007D0CD6"/>
    <w:rsid w:val="007D15AA"/>
    <w:rsid w:val="007D1C80"/>
    <w:rsid w:val="007D222B"/>
    <w:rsid w:val="007D31F2"/>
    <w:rsid w:val="007D6541"/>
    <w:rsid w:val="007D6CEB"/>
    <w:rsid w:val="007D7C8F"/>
    <w:rsid w:val="007E4486"/>
    <w:rsid w:val="007E471F"/>
    <w:rsid w:val="007E6A05"/>
    <w:rsid w:val="007E6A2D"/>
    <w:rsid w:val="007E6F8C"/>
    <w:rsid w:val="007E6FE8"/>
    <w:rsid w:val="007F0AF0"/>
    <w:rsid w:val="007F1189"/>
    <w:rsid w:val="007F2578"/>
    <w:rsid w:val="007F38F5"/>
    <w:rsid w:val="007F51D9"/>
    <w:rsid w:val="007F74EA"/>
    <w:rsid w:val="00802AC2"/>
    <w:rsid w:val="008030AF"/>
    <w:rsid w:val="008039E7"/>
    <w:rsid w:val="00804B42"/>
    <w:rsid w:val="00811798"/>
    <w:rsid w:val="00814ADC"/>
    <w:rsid w:val="0082092D"/>
    <w:rsid w:val="008222A3"/>
    <w:rsid w:val="00824D91"/>
    <w:rsid w:val="00826835"/>
    <w:rsid w:val="008269C9"/>
    <w:rsid w:val="00830715"/>
    <w:rsid w:val="008314CB"/>
    <w:rsid w:val="008316A6"/>
    <w:rsid w:val="00834DCF"/>
    <w:rsid w:val="00841B0E"/>
    <w:rsid w:val="00842349"/>
    <w:rsid w:val="0084445E"/>
    <w:rsid w:val="00847300"/>
    <w:rsid w:val="008477AC"/>
    <w:rsid w:val="00847E78"/>
    <w:rsid w:val="0085050E"/>
    <w:rsid w:val="00851423"/>
    <w:rsid w:val="00855000"/>
    <w:rsid w:val="008565BE"/>
    <w:rsid w:val="00857D4D"/>
    <w:rsid w:val="008608E9"/>
    <w:rsid w:val="008658BA"/>
    <w:rsid w:val="0086754D"/>
    <w:rsid w:val="00873606"/>
    <w:rsid w:val="0087368B"/>
    <w:rsid w:val="0087745A"/>
    <w:rsid w:val="008778AE"/>
    <w:rsid w:val="0088010A"/>
    <w:rsid w:val="008820FF"/>
    <w:rsid w:val="00882E6C"/>
    <w:rsid w:val="00887CCB"/>
    <w:rsid w:val="00890442"/>
    <w:rsid w:val="00891968"/>
    <w:rsid w:val="0089218F"/>
    <w:rsid w:val="00896470"/>
    <w:rsid w:val="00896DC7"/>
    <w:rsid w:val="00897ED3"/>
    <w:rsid w:val="008A49FC"/>
    <w:rsid w:val="008A572A"/>
    <w:rsid w:val="008A71C1"/>
    <w:rsid w:val="008A7D8C"/>
    <w:rsid w:val="008B09FE"/>
    <w:rsid w:val="008B2A1B"/>
    <w:rsid w:val="008B48EE"/>
    <w:rsid w:val="008B5ED4"/>
    <w:rsid w:val="008B749F"/>
    <w:rsid w:val="008C1837"/>
    <w:rsid w:val="008C1DE3"/>
    <w:rsid w:val="008C38F6"/>
    <w:rsid w:val="008C4621"/>
    <w:rsid w:val="008D079A"/>
    <w:rsid w:val="008D210E"/>
    <w:rsid w:val="008D2461"/>
    <w:rsid w:val="008D48EE"/>
    <w:rsid w:val="008D5AEC"/>
    <w:rsid w:val="008E082B"/>
    <w:rsid w:val="008E1F4C"/>
    <w:rsid w:val="008E242B"/>
    <w:rsid w:val="008F123E"/>
    <w:rsid w:val="008F2FA2"/>
    <w:rsid w:val="008F5DE0"/>
    <w:rsid w:val="00901DD8"/>
    <w:rsid w:val="00910BE6"/>
    <w:rsid w:val="00911DE8"/>
    <w:rsid w:val="00912ED1"/>
    <w:rsid w:val="009142B8"/>
    <w:rsid w:val="00916352"/>
    <w:rsid w:val="00917B9F"/>
    <w:rsid w:val="00921505"/>
    <w:rsid w:val="00921614"/>
    <w:rsid w:val="009221C8"/>
    <w:rsid w:val="009229E5"/>
    <w:rsid w:val="0092628F"/>
    <w:rsid w:val="0092661E"/>
    <w:rsid w:val="00931C00"/>
    <w:rsid w:val="00932360"/>
    <w:rsid w:val="00932CFB"/>
    <w:rsid w:val="00933042"/>
    <w:rsid w:val="00934258"/>
    <w:rsid w:val="00934D76"/>
    <w:rsid w:val="00935DA0"/>
    <w:rsid w:val="00936C9F"/>
    <w:rsid w:val="00937E94"/>
    <w:rsid w:val="0094649F"/>
    <w:rsid w:val="009564FA"/>
    <w:rsid w:val="00960437"/>
    <w:rsid w:val="00961A5D"/>
    <w:rsid w:val="00961B0F"/>
    <w:rsid w:val="009625EF"/>
    <w:rsid w:val="0096356F"/>
    <w:rsid w:val="00971CFC"/>
    <w:rsid w:val="009722AF"/>
    <w:rsid w:val="009741A5"/>
    <w:rsid w:val="009741EC"/>
    <w:rsid w:val="00981E2C"/>
    <w:rsid w:val="00982B16"/>
    <w:rsid w:val="009857A8"/>
    <w:rsid w:val="00987F7F"/>
    <w:rsid w:val="009915DD"/>
    <w:rsid w:val="0099182E"/>
    <w:rsid w:val="0099530A"/>
    <w:rsid w:val="00996006"/>
    <w:rsid w:val="00996186"/>
    <w:rsid w:val="0099759A"/>
    <w:rsid w:val="00997897"/>
    <w:rsid w:val="009A3BB2"/>
    <w:rsid w:val="009A5D21"/>
    <w:rsid w:val="009A6A78"/>
    <w:rsid w:val="009A7FA1"/>
    <w:rsid w:val="009B0B5A"/>
    <w:rsid w:val="009B3CE4"/>
    <w:rsid w:val="009B6AA3"/>
    <w:rsid w:val="009B6BE8"/>
    <w:rsid w:val="009C15B9"/>
    <w:rsid w:val="009C39B4"/>
    <w:rsid w:val="009C440F"/>
    <w:rsid w:val="009C59EF"/>
    <w:rsid w:val="009C6260"/>
    <w:rsid w:val="009D17A8"/>
    <w:rsid w:val="009D78FB"/>
    <w:rsid w:val="009E060E"/>
    <w:rsid w:val="009E0877"/>
    <w:rsid w:val="009E13CE"/>
    <w:rsid w:val="009E23E0"/>
    <w:rsid w:val="009E6821"/>
    <w:rsid w:val="009E71F3"/>
    <w:rsid w:val="009E7E1B"/>
    <w:rsid w:val="009F3A5B"/>
    <w:rsid w:val="009F5D21"/>
    <w:rsid w:val="009F676F"/>
    <w:rsid w:val="009F7034"/>
    <w:rsid w:val="009F7BB0"/>
    <w:rsid w:val="00A0147D"/>
    <w:rsid w:val="00A10041"/>
    <w:rsid w:val="00A21D0F"/>
    <w:rsid w:val="00A27406"/>
    <w:rsid w:val="00A306BA"/>
    <w:rsid w:val="00A31136"/>
    <w:rsid w:val="00A3128B"/>
    <w:rsid w:val="00A340F8"/>
    <w:rsid w:val="00A34FC9"/>
    <w:rsid w:val="00A36E5B"/>
    <w:rsid w:val="00A36E67"/>
    <w:rsid w:val="00A37C32"/>
    <w:rsid w:val="00A40036"/>
    <w:rsid w:val="00A43376"/>
    <w:rsid w:val="00A45FEB"/>
    <w:rsid w:val="00A50715"/>
    <w:rsid w:val="00A53C6D"/>
    <w:rsid w:val="00A570C9"/>
    <w:rsid w:val="00A5729B"/>
    <w:rsid w:val="00A5736A"/>
    <w:rsid w:val="00A57787"/>
    <w:rsid w:val="00A606CC"/>
    <w:rsid w:val="00A66534"/>
    <w:rsid w:val="00A66B28"/>
    <w:rsid w:val="00A70DCF"/>
    <w:rsid w:val="00A7456D"/>
    <w:rsid w:val="00A7634B"/>
    <w:rsid w:val="00A77A47"/>
    <w:rsid w:val="00A83FBB"/>
    <w:rsid w:val="00A84148"/>
    <w:rsid w:val="00A86E08"/>
    <w:rsid w:val="00A87BC2"/>
    <w:rsid w:val="00A91BF5"/>
    <w:rsid w:val="00A9232B"/>
    <w:rsid w:val="00AA0CFE"/>
    <w:rsid w:val="00AA3038"/>
    <w:rsid w:val="00AA30D3"/>
    <w:rsid w:val="00AA3108"/>
    <w:rsid w:val="00AA6628"/>
    <w:rsid w:val="00AB0461"/>
    <w:rsid w:val="00AB0C23"/>
    <w:rsid w:val="00AB1FE1"/>
    <w:rsid w:val="00AB362A"/>
    <w:rsid w:val="00AB6F0F"/>
    <w:rsid w:val="00AC2371"/>
    <w:rsid w:val="00AC433C"/>
    <w:rsid w:val="00AC4E81"/>
    <w:rsid w:val="00AC5131"/>
    <w:rsid w:val="00AC7194"/>
    <w:rsid w:val="00AC74C6"/>
    <w:rsid w:val="00AD0559"/>
    <w:rsid w:val="00AE0274"/>
    <w:rsid w:val="00AE02CA"/>
    <w:rsid w:val="00AE2049"/>
    <w:rsid w:val="00AE27C8"/>
    <w:rsid w:val="00AE4740"/>
    <w:rsid w:val="00AE4EC3"/>
    <w:rsid w:val="00AE6B7F"/>
    <w:rsid w:val="00AF0B45"/>
    <w:rsid w:val="00AF1366"/>
    <w:rsid w:val="00AF387D"/>
    <w:rsid w:val="00AF55D1"/>
    <w:rsid w:val="00AF5B58"/>
    <w:rsid w:val="00AF6E99"/>
    <w:rsid w:val="00B017D2"/>
    <w:rsid w:val="00B02E57"/>
    <w:rsid w:val="00B02FE7"/>
    <w:rsid w:val="00B06B4B"/>
    <w:rsid w:val="00B07D83"/>
    <w:rsid w:val="00B07D8D"/>
    <w:rsid w:val="00B121F5"/>
    <w:rsid w:val="00B127B4"/>
    <w:rsid w:val="00B144AC"/>
    <w:rsid w:val="00B16F41"/>
    <w:rsid w:val="00B229B3"/>
    <w:rsid w:val="00B22EF3"/>
    <w:rsid w:val="00B232F5"/>
    <w:rsid w:val="00B250E7"/>
    <w:rsid w:val="00B260E1"/>
    <w:rsid w:val="00B26631"/>
    <w:rsid w:val="00B27E33"/>
    <w:rsid w:val="00B30268"/>
    <w:rsid w:val="00B33997"/>
    <w:rsid w:val="00B34CEE"/>
    <w:rsid w:val="00B3532B"/>
    <w:rsid w:val="00B3794D"/>
    <w:rsid w:val="00B405DD"/>
    <w:rsid w:val="00B41E34"/>
    <w:rsid w:val="00B4275B"/>
    <w:rsid w:val="00B44406"/>
    <w:rsid w:val="00B52AFE"/>
    <w:rsid w:val="00B52D96"/>
    <w:rsid w:val="00B53683"/>
    <w:rsid w:val="00B553B3"/>
    <w:rsid w:val="00B6388D"/>
    <w:rsid w:val="00B646B3"/>
    <w:rsid w:val="00B65918"/>
    <w:rsid w:val="00B65E0E"/>
    <w:rsid w:val="00B673CC"/>
    <w:rsid w:val="00B67FFD"/>
    <w:rsid w:val="00B7137E"/>
    <w:rsid w:val="00B71E5E"/>
    <w:rsid w:val="00B775CE"/>
    <w:rsid w:val="00B77BA1"/>
    <w:rsid w:val="00B80DA1"/>
    <w:rsid w:val="00B86497"/>
    <w:rsid w:val="00B87BD4"/>
    <w:rsid w:val="00B91555"/>
    <w:rsid w:val="00B97B7F"/>
    <w:rsid w:val="00BA08C0"/>
    <w:rsid w:val="00BA092E"/>
    <w:rsid w:val="00BA0B2E"/>
    <w:rsid w:val="00BA2484"/>
    <w:rsid w:val="00BA4490"/>
    <w:rsid w:val="00BA475B"/>
    <w:rsid w:val="00BA6143"/>
    <w:rsid w:val="00BA78A1"/>
    <w:rsid w:val="00BB1156"/>
    <w:rsid w:val="00BB1E53"/>
    <w:rsid w:val="00BB316E"/>
    <w:rsid w:val="00BB394B"/>
    <w:rsid w:val="00BB4A98"/>
    <w:rsid w:val="00BB7365"/>
    <w:rsid w:val="00BC41E5"/>
    <w:rsid w:val="00BC4E57"/>
    <w:rsid w:val="00BC5180"/>
    <w:rsid w:val="00BC7FC4"/>
    <w:rsid w:val="00BD20AF"/>
    <w:rsid w:val="00BD2DC9"/>
    <w:rsid w:val="00BD3184"/>
    <w:rsid w:val="00BD3619"/>
    <w:rsid w:val="00BD79BB"/>
    <w:rsid w:val="00BD7B0F"/>
    <w:rsid w:val="00BE0B1A"/>
    <w:rsid w:val="00BE4DB3"/>
    <w:rsid w:val="00BF3B37"/>
    <w:rsid w:val="00C0048E"/>
    <w:rsid w:val="00C01C67"/>
    <w:rsid w:val="00C02D8E"/>
    <w:rsid w:val="00C04251"/>
    <w:rsid w:val="00C05CE1"/>
    <w:rsid w:val="00C06311"/>
    <w:rsid w:val="00C14269"/>
    <w:rsid w:val="00C1539B"/>
    <w:rsid w:val="00C169B3"/>
    <w:rsid w:val="00C174C3"/>
    <w:rsid w:val="00C17B07"/>
    <w:rsid w:val="00C20993"/>
    <w:rsid w:val="00C23CF6"/>
    <w:rsid w:val="00C25E73"/>
    <w:rsid w:val="00C27FFC"/>
    <w:rsid w:val="00C316EA"/>
    <w:rsid w:val="00C32559"/>
    <w:rsid w:val="00C34838"/>
    <w:rsid w:val="00C3504E"/>
    <w:rsid w:val="00C37229"/>
    <w:rsid w:val="00C374FF"/>
    <w:rsid w:val="00C406CE"/>
    <w:rsid w:val="00C410C4"/>
    <w:rsid w:val="00C42090"/>
    <w:rsid w:val="00C507A7"/>
    <w:rsid w:val="00C51CA2"/>
    <w:rsid w:val="00C53167"/>
    <w:rsid w:val="00C54332"/>
    <w:rsid w:val="00C557A6"/>
    <w:rsid w:val="00C6153D"/>
    <w:rsid w:val="00C6248D"/>
    <w:rsid w:val="00C62639"/>
    <w:rsid w:val="00C659F6"/>
    <w:rsid w:val="00C65A2E"/>
    <w:rsid w:val="00C67F59"/>
    <w:rsid w:val="00C71D86"/>
    <w:rsid w:val="00C73AD7"/>
    <w:rsid w:val="00C7680E"/>
    <w:rsid w:val="00C77AE0"/>
    <w:rsid w:val="00C82F6A"/>
    <w:rsid w:val="00C83AA1"/>
    <w:rsid w:val="00C90C86"/>
    <w:rsid w:val="00C90FC1"/>
    <w:rsid w:val="00C91853"/>
    <w:rsid w:val="00C92CFD"/>
    <w:rsid w:val="00C9480D"/>
    <w:rsid w:val="00C94B5F"/>
    <w:rsid w:val="00C94CAC"/>
    <w:rsid w:val="00C96AF8"/>
    <w:rsid w:val="00C96E2F"/>
    <w:rsid w:val="00CA0B10"/>
    <w:rsid w:val="00CA2298"/>
    <w:rsid w:val="00CA34A8"/>
    <w:rsid w:val="00CA3F0B"/>
    <w:rsid w:val="00CA545C"/>
    <w:rsid w:val="00CB05D6"/>
    <w:rsid w:val="00CB2804"/>
    <w:rsid w:val="00CB29E4"/>
    <w:rsid w:val="00CB3779"/>
    <w:rsid w:val="00CB5AF0"/>
    <w:rsid w:val="00CB60B2"/>
    <w:rsid w:val="00CB62B3"/>
    <w:rsid w:val="00CC0BB9"/>
    <w:rsid w:val="00CC2826"/>
    <w:rsid w:val="00CC2DB4"/>
    <w:rsid w:val="00CC3B49"/>
    <w:rsid w:val="00CC3CE5"/>
    <w:rsid w:val="00CC4746"/>
    <w:rsid w:val="00CC4B29"/>
    <w:rsid w:val="00CC63C1"/>
    <w:rsid w:val="00CC7BB4"/>
    <w:rsid w:val="00CD094F"/>
    <w:rsid w:val="00CD152F"/>
    <w:rsid w:val="00CD45E8"/>
    <w:rsid w:val="00CD7F36"/>
    <w:rsid w:val="00CE11E0"/>
    <w:rsid w:val="00CE1F23"/>
    <w:rsid w:val="00CE242E"/>
    <w:rsid w:val="00CE41A5"/>
    <w:rsid w:val="00CE5B91"/>
    <w:rsid w:val="00CF02E4"/>
    <w:rsid w:val="00CF1590"/>
    <w:rsid w:val="00CF46DF"/>
    <w:rsid w:val="00CF6D59"/>
    <w:rsid w:val="00D002E8"/>
    <w:rsid w:val="00D00AE3"/>
    <w:rsid w:val="00D011CD"/>
    <w:rsid w:val="00D01239"/>
    <w:rsid w:val="00D05E34"/>
    <w:rsid w:val="00D0616F"/>
    <w:rsid w:val="00D10768"/>
    <w:rsid w:val="00D14C63"/>
    <w:rsid w:val="00D1631C"/>
    <w:rsid w:val="00D16669"/>
    <w:rsid w:val="00D16970"/>
    <w:rsid w:val="00D16E35"/>
    <w:rsid w:val="00D175B1"/>
    <w:rsid w:val="00D24F81"/>
    <w:rsid w:val="00D310E0"/>
    <w:rsid w:val="00D3198B"/>
    <w:rsid w:val="00D33842"/>
    <w:rsid w:val="00D34DCA"/>
    <w:rsid w:val="00D36791"/>
    <w:rsid w:val="00D3746E"/>
    <w:rsid w:val="00D42092"/>
    <w:rsid w:val="00D42E7B"/>
    <w:rsid w:val="00D42F3B"/>
    <w:rsid w:val="00D44823"/>
    <w:rsid w:val="00D44E23"/>
    <w:rsid w:val="00D50028"/>
    <w:rsid w:val="00D51D3A"/>
    <w:rsid w:val="00D54497"/>
    <w:rsid w:val="00D5733C"/>
    <w:rsid w:val="00D6301D"/>
    <w:rsid w:val="00D63C3C"/>
    <w:rsid w:val="00D659EE"/>
    <w:rsid w:val="00D65E19"/>
    <w:rsid w:val="00D67044"/>
    <w:rsid w:val="00D67271"/>
    <w:rsid w:val="00D6730A"/>
    <w:rsid w:val="00D67677"/>
    <w:rsid w:val="00D70188"/>
    <w:rsid w:val="00D70B87"/>
    <w:rsid w:val="00D7224F"/>
    <w:rsid w:val="00D7366F"/>
    <w:rsid w:val="00D76189"/>
    <w:rsid w:val="00D77744"/>
    <w:rsid w:val="00D77ACF"/>
    <w:rsid w:val="00D80FFB"/>
    <w:rsid w:val="00D82FAE"/>
    <w:rsid w:val="00D83F1E"/>
    <w:rsid w:val="00D842C4"/>
    <w:rsid w:val="00D86723"/>
    <w:rsid w:val="00D91DC4"/>
    <w:rsid w:val="00D94D79"/>
    <w:rsid w:val="00DA06DC"/>
    <w:rsid w:val="00DA2711"/>
    <w:rsid w:val="00DA28B7"/>
    <w:rsid w:val="00DA29FB"/>
    <w:rsid w:val="00DA4E23"/>
    <w:rsid w:val="00DB2937"/>
    <w:rsid w:val="00DB4FD5"/>
    <w:rsid w:val="00DB6454"/>
    <w:rsid w:val="00DC0178"/>
    <w:rsid w:val="00DC0FB1"/>
    <w:rsid w:val="00DC2BEB"/>
    <w:rsid w:val="00DC3894"/>
    <w:rsid w:val="00DC4310"/>
    <w:rsid w:val="00DC4855"/>
    <w:rsid w:val="00DC48C6"/>
    <w:rsid w:val="00DC5472"/>
    <w:rsid w:val="00DD08D2"/>
    <w:rsid w:val="00DD17F0"/>
    <w:rsid w:val="00DD233A"/>
    <w:rsid w:val="00DD39C4"/>
    <w:rsid w:val="00DD3C3C"/>
    <w:rsid w:val="00DD5C0A"/>
    <w:rsid w:val="00DE1B23"/>
    <w:rsid w:val="00DE4DA6"/>
    <w:rsid w:val="00DE5B2D"/>
    <w:rsid w:val="00DE6E07"/>
    <w:rsid w:val="00DE7D01"/>
    <w:rsid w:val="00DF0C4D"/>
    <w:rsid w:val="00DF1345"/>
    <w:rsid w:val="00DF1405"/>
    <w:rsid w:val="00DF44A1"/>
    <w:rsid w:val="00DF5417"/>
    <w:rsid w:val="00DF5B39"/>
    <w:rsid w:val="00DF650C"/>
    <w:rsid w:val="00DF77A4"/>
    <w:rsid w:val="00DF7B58"/>
    <w:rsid w:val="00DF7D70"/>
    <w:rsid w:val="00E03049"/>
    <w:rsid w:val="00E1036A"/>
    <w:rsid w:val="00E109DC"/>
    <w:rsid w:val="00E116CC"/>
    <w:rsid w:val="00E12CD2"/>
    <w:rsid w:val="00E13273"/>
    <w:rsid w:val="00E141EB"/>
    <w:rsid w:val="00E1478C"/>
    <w:rsid w:val="00E148EF"/>
    <w:rsid w:val="00E16DA9"/>
    <w:rsid w:val="00E1785D"/>
    <w:rsid w:val="00E20A31"/>
    <w:rsid w:val="00E21A83"/>
    <w:rsid w:val="00E21BA2"/>
    <w:rsid w:val="00E23BC6"/>
    <w:rsid w:val="00E2468E"/>
    <w:rsid w:val="00E25F7C"/>
    <w:rsid w:val="00E26E68"/>
    <w:rsid w:val="00E27252"/>
    <w:rsid w:val="00E273C1"/>
    <w:rsid w:val="00E33631"/>
    <w:rsid w:val="00E35DB1"/>
    <w:rsid w:val="00E360E8"/>
    <w:rsid w:val="00E36DCB"/>
    <w:rsid w:val="00E36E5D"/>
    <w:rsid w:val="00E4339E"/>
    <w:rsid w:val="00E47448"/>
    <w:rsid w:val="00E522E6"/>
    <w:rsid w:val="00E52893"/>
    <w:rsid w:val="00E5309B"/>
    <w:rsid w:val="00E54C62"/>
    <w:rsid w:val="00E61B21"/>
    <w:rsid w:val="00E665E9"/>
    <w:rsid w:val="00E67484"/>
    <w:rsid w:val="00E71FF1"/>
    <w:rsid w:val="00E7207A"/>
    <w:rsid w:val="00E731F3"/>
    <w:rsid w:val="00E75738"/>
    <w:rsid w:val="00E75E51"/>
    <w:rsid w:val="00E760B7"/>
    <w:rsid w:val="00E76397"/>
    <w:rsid w:val="00E80601"/>
    <w:rsid w:val="00E82829"/>
    <w:rsid w:val="00E85D80"/>
    <w:rsid w:val="00E900C5"/>
    <w:rsid w:val="00E9122F"/>
    <w:rsid w:val="00E94620"/>
    <w:rsid w:val="00E95D57"/>
    <w:rsid w:val="00E97552"/>
    <w:rsid w:val="00EA003B"/>
    <w:rsid w:val="00EA29C3"/>
    <w:rsid w:val="00EA31BE"/>
    <w:rsid w:val="00EA3D59"/>
    <w:rsid w:val="00EA45F0"/>
    <w:rsid w:val="00EA4B24"/>
    <w:rsid w:val="00EA5DD2"/>
    <w:rsid w:val="00EA7FE6"/>
    <w:rsid w:val="00EB04D5"/>
    <w:rsid w:val="00EB23E5"/>
    <w:rsid w:val="00EC3A4D"/>
    <w:rsid w:val="00EC711A"/>
    <w:rsid w:val="00EC712A"/>
    <w:rsid w:val="00ED0206"/>
    <w:rsid w:val="00ED36DA"/>
    <w:rsid w:val="00ED46ED"/>
    <w:rsid w:val="00EE44A4"/>
    <w:rsid w:val="00EE49CB"/>
    <w:rsid w:val="00EF2430"/>
    <w:rsid w:val="00EF2A1E"/>
    <w:rsid w:val="00EF33FE"/>
    <w:rsid w:val="00EF4039"/>
    <w:rsid w:val="00EF52A4"/>
    <w:rsid w:val="00EF7CEE"/>
    <w:rsid w:val="00F01D6B"/>
    <w:rsid w:val="00F02313"/>
    <w:rsid w:val="00F0402F"/>
    <w:rsid w:val="00F07536"/>
    <w:rsid w:val="00F12340"/>
    <w:rsid w:val="00F130BE"/>
    <w:rsid w:val="00F143BA"/>
    <w:rsid w:val="00F14B2F"/>
    <w:rsid w:val="00F158D5"/>
    <w:rsid w:val="00F15EA7"/>
    <w:rsid w:val="00F174BC"/>
    <w:rsid w:val="00F23EEA"/>
    <w:rsid w:val="00F25461"/>
    <w:rsid w:val="00F26D47"/>
    <w:rsid w:val="00F371EA"/>
    <w:rsid w:val="00F400D3"/>
    <w:rsid w:val="00F416DF"/>
    <w:rsid w:val="00F46A27"/>
    <w:rsid w:val="00F5275F"/>
    <w:rsid w:val="00F52DD1"/>
    <w:rsid w:val="00F54F2B"/>
    <w:rsid w:val="00F57B40"/>
    <w:rsid w:val="00F609A7"/>
    <w:rsid w:val="00F623AA"/>
    <w:rsid w:val="00F64446"/>
    <w:rsid w:val="00F66110"/>
    <w:rsid w:val="00F666F7"/>
    <w:rsid w:val="00F66935"/>
    <w:rsid w:val="00F67F2F"/>
    <w:rsid w:val="00F73F99"/>
    <w:rsid w:val="00F7523D"/>
    <w:rsid w:val="00F762DB"/>
    <w:rsid w:val="00F8287B"/>
    <w:rsid w:val="00F82D7D"/>
    <w:rsid w:val="00F848C9"/>
    <w:rsid w:val="00F90328"/>
    <w:rsid w:val="00F916E7"/>
    <w:rsid w:val="00F92E2F"/>
    <w:rsid w:val="00F93FB5"/>
    <w:rsid w:val="00F958DD"/>
    <w:rsid w:val="00FA06E0"/>
    <w:rsid w:val="00FA40C9"/>
    <w:rsid w:val="00FA4E3C"/>
    <w:rsid w:val="00FA716C"/>
    <w:rsid w:val="00FA7623"/>
    <w:rsid w:val="00FB2F03"/>
    <w:rsid w:val="00FB33CD"/>
    <w:rsid w:val="00FB4C8C"/>
    <w:rsid w:val="00FB5246"/>
    <w:rsid w:val="00FB6A45"/>
    <w:rsid w:val="00FB717A"/>
    <w:rsid w:val="00FB77F8"/>
    <w:rsid w:val="00FB78FA"/>
    <w:rsid w:val="00FC0BCF"/>
    <w:rsid w:val="00FC2428"/>
    <w:rsid w:val="00FC4DF6"/>
    <w:rsid w:val="00FC6468"/>
    <w:rsid w:val="00FC662F"/>
    <w:rsid w:val="00FC6B96"/>
    <w:rsid w:val="00FC70CC"/>
    <w:rsid w:val="00FC7AD0"/>
    <w:rsid w:val="00FD0C10"/>
    <w:rsid w:val="00FD51B9"/>
    <w:rsid w:val="00FD624B"/>
    <w:rsid w:val="00FD73BA"/>
    <w:rsid w:val="00FD7F4C"/>
    <w:rsid w:val="00FE142B"/>
    <w:rsid w:val="00FE17DE"/>
    <w:rsid w:val="00FE1858"/>
    <w:rsid w:val="00FE213D"/>
    <w:rsid w:val="00FE2782"/>
    <w:rsid w:val="00FF3434"/>
    <w:rsid w:val="00FF4564"/>
    <w:rsid w:val="00FF546D"/>
    <w:rsid w:val="00FF72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BE661BE"/>
  <w15:docId w15:val="{9A2B69E1-AB64-4E9D-9ACE-D6FC1CFE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epoužívat - původní Normální"/>
    <w:qFormat/>
    <w:rsid w:val="00FB717A"/>
    <w:pPr>
      <w:spacing w:before="120" w:after="120"/>
      <w:contextualSpacing/>
      <w:jc w:val="both"/>
    </w:pPr>
    <w:rPr>
      <w:sz w:val="24"/>
      <w:szCs w:val="22"/>
      <w:lang w:eastAsia="en-US"/>
    </w:rPr>
  </w:style>
  <w:style w:type="paragraph" w:styleId="Nadpis1">
    <w:name w:val="heading 1"/>
    <w:basedOn w:val="Normln"/>
    <w:next w:val="Normln"/>
    <w:link w:val="Nadpis1Char"/>
    <w:uiPriority w:val="9"/>
    <w:qFormat/>
    <w:rsid w:val="00E4339E"/>
    <w:pPr>
      <w:keepNext/>
      <w:keepLines/>
      <w:numPr>
        <w:numId w:val="7"/>
      </w:numPr>
      <w:spacing w:before="240" w:after="480"/>
      <w:outlineLvl w:val="0"/>
    </w:pPr>
    <w:rPr>
      <w:rFonts w:ascii="Cambria" w:eastAsia="Times New Roman" w:hAnsi="Cambria"/>
      <w:color w:val="365F91"/>
      <w:sz w:val="32"/>
      <w:szCs w:val="32"/>
    </w:rPr>
  </w:style>
  <w:style w:type="paragraph" w:styleId="Nadpis2">
    <w:name w:val="heading 2"/>
    <w:basedOn w:val="Normln"/>
    <w:next w:val="Normln"/>
    <w:link w:val="Nadpis2Char"/>
    <w:uiPriority w:val="9"/>
    <w:unhideWhenUsed/>
    <w:qFormat/>
    <w:rsid w:val="00E4339E"/>
    <w:pPr>
      <w:keepNext/>
      <w:keepLines/>
      <w:numPr>
        <w:ilvl w:val="1"/>
        <w:numId w:val="7"/>
      </w:numPr>
      <w:spacing w:before="360" w:after="360"/>
      <w:jc w:val="left"/>
      <w:outlineLvl w:val="1"/>
    </w:pPr>
    <w:rPr>
      <w:rFonts w:eastAsia="Times New Roman"/>
      <w:color w:val="365F91"/>
      <w:sz w:val="28"/>
      <w:szCs w:val="26"/>
    </w:rPr>
  </w:style>
  <w:style w:type="paragraph" w:styleId="Nadpis3">
    <w:name w:val="heading 3"/>
    <w:basedOn w:val="Normln"/>
    <w:next w:val="Normln"/>
    <w:link w:val="Nadpis3Char"/>
    <w:uiPriority w:val="9"/>
    <w:unhideWhenUsed/>
    <w:qFormat/>
    <w:rsid w:val="00E4339E"/>
    <w:pPr>
      <w:keepNext/>
      <w:keepLines/>
      <w:numPr>
        <w:ilvl w:val="2"/>
        <w:numId w:val="7"/>
      </w:numPr>
      <w:spacing w:before="360" w:after="240"/>
      <w:contextualSpacing w:val="0"/>
      <w:jc w:val="left"/>
      <w:outlineLvl w:val="2"/>
    </w:pPr>
    <w:rPr>
      <w:rFonts w:eastAsia="Times New Roman"/>
      <w:color w:val="243F60"/>
      <w:szCs w:val="24"/>
    </w:rPr>
  </w:style>
  <w:style w:type="paragraph" w:styleId="Nadpis4">
    <w:name w:val="heading 4"/>
    <w:basedOn w:val="Normln"/>
    <w:next w:val="Normln"/>
    <w:link w:val="Nadpis4Char"/>
    <w:uiPriority w:val="9"/>
    <w:unhideWhenUsed/>
    <w:qFormat/>
    <w:rsid w:val="00590F65"/>
    <w:pPr>
      <w:keepNext/>
      <w:keepLines/>
      <w:numPr>
        <w:ilvl w:val="3"/>
        <w:numId w:val="5"/>
      </w:numPr>
      <w:spacing w:before="40"/>
      <w:outlineLvl w:val="3"/>
    </w:pPr>
    <w:rPr>
      <w:rFonts w:ascii="Cambria" w:eastAsia="Times New Roman" w:hAnsi="Cambria"/>
      <w:i/>
      <w:iCs/>
      <w:color w:val="365F91"/>
      <w:szCs w:val="20"/>
    </w:rPr>
  </w:style>
  <w:style w:type="paragraph" w:styleId="Nadpis5">
    <w:name w:val="heading 5"/>
    <w:basedOn w:val="Normln"/>
    <w:next w:val="Normln"/>
    <w:link w:val="Nadpis5Char"/>
    <w:uiPriority w:val="9"/>
    <w:semiHidden/>
    <w:unhideWhenUsed/>
    <w:qFormat/>
    <w:rsid w:val="00590F65"/>
    <w:pPr>
      <w:keepNext/>
      <w:keepLines/>
      <w:numPr>
        <w:ilvl w:val="4"/>
        <w:numId w:val="5"/>
      </w:numPr>
      <w:spacing w:before="40"/>
      <w:outlineLvl w:val="4"/>
    </w:pPr>
    <w:rPr>
      <w:rFonts w:ascii="Cambria" w:eastAsia="Times New Roman" w:hAnsi="Cambria"/>
      <w:color w:val="365F91"/>
      <w:szCs w:val="20"/>
    </w:rPr>
  </w:style>
  <w:style w:type="paragraph" w:styleId="Nadpis6">
    <w:name w:val="heading 6"/>
    <w:basedOn w:val="Normln"/>
    <w:next w:val="Normln"/>
    <w:link w:val="Nadpis6Char"/>
    <w:uiPriority w:val="9"/>
    <w:semiHidden/>
    <w:unhideWhenUsed/>
    <w:qFormat/>
    <w:rsid w:val="00590F65"/>
    <w:pPr>
      <w:keepNext/>
      <w:keepLines/>
      <w:numPr>
        <w:ilvl w:val="5"/>
        <w:numId w:val="5"/>
      </w:numPr>
      <w:spacing w:before="40"/>
      <w:outlineLvl w:val="5"/>
    </w:pPr>
    <w:rPr>
      <w:rFonts w:ascii="Cambria" w:eastAsia="Times New Roman" w:hAnsi="Cambria"/>
      <w:color w:val="243F60"/>
      <w:szCs w:val="20"/>
    </w:rPr>
  </w:style>
  <w:style w:type="paragraph" w:styleId="Nadpis7">
    <w:name w:val="heading 7"/>
    <w:basedOn w:val="Normln"/>
    <w:next w:val="Normln"/>
    <w:link w:val="Nadpis7Char"/>
    <w:uiPriority w:val="9"/>
    <w:semiHidden/>
    <w:unhideWhenUsed/>
    <w:qFormat/>
    <w:rsid w:val="00590F65"/>
    <w:pPr>
      <w:keepNext/>
      <w:keepLines/>
      <w:numPr>
        <w:ilvl w:val="6"/>
        <w:numId w:val="5"/>
      </w:numPr>
      <w:spacing w:before="40"/>
      <w:outlineLvl w:val="6"/>
    </w:pPr>
    <w:rPr>
      <w:rFonts w:ascii="Cambria" w:eastAsia="Times New Roman" w:hAnsi="Cambria"/>
      <w:i/>
      <w:iCs/>
      <w:color w:val="243F60"/>
      <w:szCs w:val="20"/>
    </w:rPr>
  </w:style>
  <w:style w:type="paragraph" w:styleId="Nadpis8">
    <w:name w:val="heading 8"/>
    <w:basedOn w:val="Normln"/>
    <w:next w:val="Normln"/>
    <w:link w:val="Nadpis8Char"/>
    <w:uiPriority w:val="9"/>
    <w:semiHidden/>
    <w:unhideWhenUsed/>
    <w:qFormat/>
    <w:rsid w:val="00590F65"/>
    <w:pPr>
      <w:keepNext/>
      <w:keepLines/>
      <w:numPr>
        <w:ilvl w:val="7"/>
        <w:numId w:val="5"/>
      </w:numPr>
      <w:spacing w:before="40"/>
      <w:outlineLvl w:val="7"/>
    </w:pPr>
    <w:rPr>
      <w:rFonts w:ascii="Cambria" w:eastAsia="Times New Roman" w:hAnsi="Cambria"/>
      <w:color w:val="272727"/>
      <w:sz w:val="21"/>
      <w:szCs w:val="21"/>
    </w:rPr>
  </w:style>
  <w:style w:type="paragraph" w:styleId="Nadpis9">
    <w:name w:val="heading 9"/>
    <w:basedOn w:val="Normln"/>
    <w:next w:val="Normln"/>
    <w:link w:val="Nadpis9Char"/>
    <w:uiPriority w:val="9"/>
    <w:semiHidden/>
    <w:unhideWhenUsed/>
    <w:qFormat/>
    <w:rsid w:val="00590F65"/>
    <w:pPr>
      <w:keepNext/>
      <w:keepLines/>
      <w:numPr>
        <w:ilvl w:val="8"/>
        <w:numId w:val="5"/>
      </w:numPr>
      <w:spacing w:before="40"/>
      <w:outlineLvl w:val="8"/>
    </w:pPr>
    <w:rPr>
      <w:rFonts w:ascii="Cambria" w:eastAsia="Times New Roman"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E4339E"/>
    <w:rPr>
      <w:rFonts w:ascii="Cambria" w:eastAsia="Times New Roman" w:hAnsi="Cambria" w:cs="Times New Roman"/>
      <w:color w:val="365F91"/>
      <w:sz w:val="32"/>
      <w:szCs w:val="32"/>
    </w:rPr>
  </w:style>
  <w:style w:type="character" w:customStyle="1" w:styleId="Nadpis2Char">
    <w:name w:val="Nadpis 2 Char"/>
    <w:link w:val="Nadpis2"/>
    <w:uiPriority w:val="9"/>
    <w:rsid w:val="00E4339E"/>
    <w:rPr>
      <w:rFonts w:eastAsia="Times New Roman" w:cs="Times New Roman"/>
      <w:color w:val="365F91"/>
      <w:sz w:val="28"/>
      <w:szCs w:val="26"/>
    </w:rPr>
  </w:style>
  <w:style w:type="character" w:customStyle="1" w:styleId="Nadpis3Char">
    <w:name w:val="Nadpis 3 Char"/>
    <w:link w:val="Nadpis3"/>
    <w:uiPriority w:val="9"/>
    <w:rsid w:val="00E4339E"/>
    <w:rPr>
      <w:rFonts w:eastAsia="Times New Roman" w:cs="Times New Roman"/>
      <w:color w:val="243F60"/>
      <w:sz w:val="24"/>
      <w:szCs w:val="24"/>
    </w:rPr>
  </w:style>
  <w:style w:type="character" w:customStyle="1" w:styleId="Nadpis4Char">
    <w:name w:val="Nadpis 4 Char"/>
    <w:link w:val="Nadpis4"/>
    <w:uiPriority w:val="9"/>
    <w:rsid w:val="00590F65"/>
    <w:rPr>
      <w:rFonts w:ascii="Cambria" w:eastAsia="Times New Roman" w:hAnsi="Cambria" w:cs="Times New Roman"/>
      <w:i/>
      <w:iCs/>
      <w:color w:val="365F91"/>
      <w:sz w:val="24"/>
    </w:rPr>
  </w:style>
  <w:style w:type="character" w:customStyle="1" w:styleId="Nadpis5Char">
    <w:name w:val="Nadpis 5 Char"/>
    <w:link w:val="Nadpis5"/>
    <w:uiPriority w:val="9"/>
    <w:semiHidden/>
    <w:rsid w:val="00590F65"/>
    <w:rPr>
      <w:rFonts w:ascii="Cambria" w:eastAsia="Times New Roman" w:hAnsi="Cambria" w:cs="Times New Roman"/>
      <w:color w:val="365F91"/>
      <w:sz w:val="24"/>
    </w:rPr>
  </w:style>
  <w:style w:type="character" w:customStyle="1" w:styleId="Nadpis6Char">
    <w:name w:val="Nadpis 6 Char"/>
    <w:link w:val="Nadpis6"/>
    <w:uiPriority w:val="9"/>
    <w:semiHidden/>
    <w:rsid w:val="00590F65"/>
    <w:rPr>
      <w:rFonts w:ascii="Cambria" w:eastAsia="Times New Roman" w:hAnsi="Cambria" w:cs="Times New Roman"/>
      <w:color w:val="243F60"/>
      <w:sz w:val="24"/>
    </w:rPr>
  </w:style>
  <w:style w:type="character" w:customStyle="1" w:styleId="Nadpis7Char">
    <w:name w:val="Nadpis 7 Char"/>
    <w:link w:val="Nadpis7"/>
    <w:uiPriority w:val="9"/>
    <w:semiHidden/>
    <w:rsid w:val="00590F65"/>
    <w:rPr>
      <w:rFonts w:ascii="Cambria" w:eastAsia="Times New Roman" w:hAnsi="Cambria" w:cs="Times New Roman"/>
      <w:i/>
      <w:iCs/>
      <w:color w:val="243F60"/>
      <w:sz w:val="24"/>
    </w:rPr>
  </w:style>
  <w:style w:type="character" w:customStyle="1" w:styleId="Nadpis8Char">
    <w:name w:val="Nadpis 8 Char"/>
    <w:link w:val="Nadpis8"/>
    <w:uiPriority w:val="9"/>
    <w:semiHidden/>
    <w:rsid w:val="00590F65"/>
    <w:rPr>
      <w:rFonts w:ascii="Cambria" w:eastAsia="Times New Roman" w:hAnsi="Cambria" w:cs="Times New Roman"/>
      <w:color w:val="272727"/>
      <w:sz w:val="21"/>
      <w:szCs w:val="21"/>
    </w:rPr>
  </w:style>
  <w:style w:type="character" w:customStyle="1" w:styleId="Nadpis9Char">
    <w:name w:val="Nadpis 9 Char"/>
    <w:link w:val="Nadpis9"/>
    <w:uiPriority w:val="9"/>
    <w:semiHidden/>
    <w:rsid w:val="00590F65"/>
    <w:rPr>
      <w:rFonts w:ascii="Cambria" w:eastAsia="Times New Roman" w:hAnsi="Cambria" w:cs="Times New Roman"/>
      <w:i/>
      <w:iCs/>
      <w:color w:val="272727"/>
      <w:sz w:val="21"/>
      <w:szCs w:val="21"/>
    </w:rPr>
  </w:style>
  <w:style w:type="character" w:styleId="Odkaznakoment">
    <w:name w:val="annotation reference"/>
    <w:uiPriority w:val="99"/>
    <w:semiHidden/>
    <w:unhideWhenUsed/>
    <w:rsid w:val="00590F65"/>
    <w:rPr>
      <w:sz w:val="16"/>
      <w:szCs w:val="16"/>
    </w:rPr>
  </w:style>
  <w:style w:type="paragraph" w:styleId="Textkomente">
    <w:name w:val="annotation text"/>
    <w:basedOn w:val="Normln"/>
    <w:link w:val="TextkomenteChar"/>
    <w:uiPriority w:val="99"/>
    <w:semiHidden/>
    <w:unhideWhenUsed/>
    <w:rsid w:val="00590F65"/>
    <w:rPr>
      <w:rFonts w:ascii="Arial" w:hAnsi="Arial"/>
      <w:sz w:val="20"/>
      <w:szCs w:val="20"/>
    </w:rPr>
  </w:style>
  <w:style w:type="character" w:customStyle="1" w:styleId="TextkomenteChar">
    <w:name w:val="Text komentáře Char"/>
    <w:link w:val="Textkomente"/>
    <w:uiPriority w:val="99"/>
    <w:semiHidden/>
    <w:rsid w:val="00590F65"/>
    <w:rPr>
      <w:rFonts w:ascii="Arial" w:hAnsi="Arial"/>
      <w:sz w:val="20"/>
      <w:szCs w:val="20"/>
    </w:rPr>
  </w:style>
  <w:style w:type="paragraph" w:styleId="Pedmtkomente">
    <w:name w:val="annotation subject"/>
    <w:basedOn w:val="Textkomente"/>
    <w:next w:val="Textkomente"/>
    <w:link w:val="PedmtkomenteChar"/>
    <w:uiPriority w:val="99"/>
    <w:semiHidden/>
    <w:unhideWhenUsed/>
    <w:rsid w:val="00590F65"/>
    <w:rPr>
      <w:b/>
      <w:bCs/>
    </w:rPr>
  </w:style>
  <w:style w:type="character" w:customStyle="1" w:styleId="PedmtkomenteChar">
    <w:name w:val="Předmět komentáře Char"/>
    <w:link w:val="Pedmtkomente"/>
    <w:uiPriority w:val="99"/>
    <w:semiHidden/>
    <w:rsid w:val="00590F65"/>
    <w:rPr>
      <w:rFonts w:ascii="Arial" w:hAnsi="Arial"/>
      <w:b/>
      <w:bCs/>
      <w:sz w:val="20"/>
      <w:szCs w:val="20"/>
    </w:rPr>
  </w:style>
  <w:style w:type="paragraph" w:styleId="Revize">
    <w:name w:val="Revision"/>
    <w:hidden/>
    <w:uiPriority w:val="99"/>
    <w:semiHidden/>
    <w:rsid w:val="00590F65"/>
    <w:rPr>
      <w:rFonts w:ascii="Arial" w:hAnsi="Arial"/>
      <w:sz w:val="22"/>
      <w:szCs w:val="22"/>
      <w:lang w:eastAsia="en-US"/>
    </w:rPr>
  </w:style>
  <w:style w:type="paragraph" w:styleId="Textbubliny">
    <w:name w:val="Balloon Text"/>
    <w:basedOn w:val="Normln"/>
    <w:link w:val="TextbublinyChar"/>
    <w:uiPriority w:val="99"/>
    <w:semiHidden/>
    <w:unhideWhenUsed/>
    <w:rsid w:val="00590F65"/>
    <w:rPr>
      <w:rFonts w:ascii="Segoe UI" w:hAnsi="Segoe UI"/>
      <w:sz w:val="18"/>
      <w:szCs w:val="18"/>
    </w:rPr>
  </w:style>
  <w:style w:type="character" w:customStyle="1" w:styleId="TextbublinyChar">
    <w:name w:val="Text bubliny Char"/>
    <w:link w:val="Textbubliny"/>
    <w:uiPriority w:val="99"/>
    <w:semiHidden/>
    <w:rsid w:val="00590F65"/>
    <w:rPr>
      <w:rFonts w:ascii="Segoe UI" w:hAnsi="Segoe UI" w:cs="Segoe UI"/>
      <w:sz w:val="18"/>
      <w:szCs w:val="18"/>
    </w:rPr>
  </w:style>
  <w:style w:type="character" w:styleId="Zstupntext">
    <w:name w:val="Placeholder Text"/>
    <w:uiPriority w:val="99"/>
    <w:semiHidden/>
    <w:rsid w:val="00590F65"/>
    <w:rPr>
      <w:color w:val="808080"/>
    </w:rPr>
  </w:style>
  <w:style w:type="character" w:styleId="Nzevknihy">
    <w:name w:val="Book Title"/>
    <w:uiPriority w:val="33"/>
    <w:qFormat/>
    <w:rsid w:val="00590F65"/>
    <w:rPr>
      <w:b/>
      <w:bCs/>
      <w:i/>
      <w:iCs/>
      <w:spacing w:val="5"/>
    </w:rPr>
  </w:style>
  <w:style w:type="paragraph" w:styleId="Nzev">
    <w:name w:val="Title"/>
    <w:basedOn w:val="Normln"/>
    <w:next w:val="Normln"/>
    <w:link w:val="NzevChar"/>
    <w:uiPriority w:val="10"/>
    <w:qFormat/>
    <w:rsid w:val="00590F65"/>
    <w:rPr>
      <w:rFonts w:ascii="Cambria" w:eastAsia="Times New Roman" w:hAnsi="Cambria"/>
      <w:spacing w:val="-10"/>
      <w:kern w:val="28"/>
      <w:sz w:val="56"/>
      <w:szCs w:val="56"/>
    </w:rPr>
  </w:style>
  <w:style w:type="character" w:customStyle="1" w:styleId="NzevChar">
    <w:name w:val="Název Char"/>
    <w:link w:val="Nzev"/>
    <w:uiPriority w:val="10"/>
    <w:rsid w:val="00590F65"/>
    <w:rPr>
      <w:rFonts w:ascii="Cambria" w:eastAsia="Times New Roman" w:hAnsi="Cambria" w:cs="Times New Roman"/>
      <w:spacing w:val="-10"/>
      <w:kern w:val="28"/>
      <w:sz w:val="56"/>
      <w:szCs w:val="56"/>
    </w:rPr>
  </w:style>
  <w:style w:type="paragraph" w:styleId="Zhlav">
    <w:name w:val="header"/>
    <w:basedOn w:val="Normln"/>
    <w:link w:val="ZhlavChar"/>
    <w:uiPriority w:val="99"/>
    <w:unhideWhenUsed/>
    <w:rsid w:val="00590F65"/>
    <w:pPr>
      <w:tabs>
        <w:tab w:val="center" w:pos="4536"/>
        <w:tab w:val="right" w:pos="9072"/>
      </w:tabs>
    </w:pPr>
    <w:rPr>
      <w:rFonts w:ascii="Arial" w:hAnsi="Arial"/>
      <w:sz w:val="20"/>
      <w:szCs w:val="20"/>
    </w:rPr>
  </w:style>
  <w:style w:type="character" w:customStyle="1" w:styleId="ZhlavChar">
    <w:name w:val="Záhlaví Char"/>
    <w:link w:val="Zhlav"/>
    <w:uiPriority w:val="99"/>
    <w:rsid w:val="00590F65"/>
    <w:rPr>
      <w:rFonts w:ascii="Arial" w:hAnsi="Arial"/>
    </w:rPr>
  </w:style>
  <w:style w:type="paragraph" w:styleId="Zpat">
    <w:name w:val="footer"/>
    <w:basedOn w:val="Normln"/>
    <w:link w:val="ZpatChar"/>
    <w:uiPriority w:val="99"/>
    <w:unhideWhenUsed/>
    <w:rsid w:val="00FB717A"/>
    <w:pPr>
      <w:tabs>
        <w:tab w:val="center" w:pos="4536"/>
        <w:tab w:val="right" w:pos="9072"/>
      </w:tabs>
    </w:pPr>
    <w:rPr>
      <w:i/>
      <w:sz w:val="18"/>
      <w:szCs w:val="20"/>
    </w:rPr>
  </w:style>
  <w:style w:type="character" w:customStyle="1" w:styleId="ZpatChar">
    <w:name w:val="Zápatí Char"/>
    <w:link w:val="Zpat"/>
    <w:uiPriority w:val="99"/>
    <w:rsid w:val="00FB717A"/>
    <w:rPr>
      <w:rFonts w:ascii="Calibri" w:hAnsi="Calibri"/>
      <w:i/>
      <w:sz w:val="18"/>
    </w:rPr>
  </w:style>
  <w:style w:type="paragraph" w:styleId="Podtitul">
    <w:name w:val="Subtitle"/>
    <w:basedOn w:val="Normln"/>
    <w:next w:val="Normln"/>
    <w:link w:val="PodtitulChar"/>
    <w:uiPriority w:val="11"/>
    <w:qFormat/>
    <w:rsid w:val="00590F65"/>
    <w:pPr>
      <w:numPr>
        <w:ilvl w:val="1"/>
      </w:numPr>
      <w:spacing w:after="160"/>
    </w:pPr>
    <w:rPr>
      <w:rFonts w:eastAsia="Times New Roman"/>
      <w:color w:val="5A5A5A"/>
      <w:spacing w:val="15"/>
      <w:sz w:val="20"/>
      <w:szCs w:val="20"/>
    </w:rPr>
  </w:style>
  <w:style w:type="character" w:customStyle="1" w:styleId="PodtitulChar">
    <w:name w:val="Podtitul Char"/>
    <w:link w:val="Podtitul"/>
    <w:uiPriority w:val="11"/>
    <w:rsid w:val="00590F65"/>
    <w:rPr>
      <w:rFonts w:eastAsia="Times New Roman"/>
      <w:color w:val="5A5A5A"/>
      <w:spacing w:val="15"/>
    </w:rPr>
  </w:style>
  <w:style w:type="paragraph" w:styleId="Nadpisobsahu">
    <w:name w:val="TOC Heading"/>
    <w:basedOn w:val="Nadpis1"/>
    <w:next w:val="Normln"/>
    <w:uiPriority w:val="39"/>
    <w:unhideWhenUsed/>
    <w:qFormat/>
    <w:rsid w:val="00590F65"/>
    <w:pPr>
      <w:numPr>
        <w:numId w:val="0"/>
      </w:numPr>
      <w:spacing w:line="259" w:lineRule="auto"/>
      <w:outlineLvl w:val="9"/>
    </w:pPr>
    <w:rPr>
      <w:lang w:eastAsia="cs-CZ"/>
    </w:rPr>
  </w:style>
  <w:style w:type="paragraph" w:styleId="Obsah1">
    <w:name w:val="toc 1"/>
    <w:basedOn w:val="Normln"/>
    <w:next w:val="Normln"/>
    <w:autoRedefine/>
    <w:uiPriority w:val="39"/>
    <w:unhideWhenUsed/>
    <w:rsid w:val="009B6BE8"/>
    <w:pPr>
      <w:tabs>
        <w:tab w:val="left" w:pos="708"/>
        <w:tab w:val="right" w:leader="dot" w:pos="9062"/>
      </w:tabs>
      <w:spacing w:after="100"/>
      <w:ind w:left="709" w:hanging="440"/>
      <w:jc w:val="left"/>
    </w:pPr>
  </w:style>
  <w:style w:type="paragraph" w:styleId="Obsah2">
    <w:name w:val="toc 2"/>
    <w:basedOn w:val="Normln"/>
    <w:next w:val="Normln"/>
    <w:autoRedefine/>
    <w:uiPriority w:val="39"/>
    <w:unhideWhenUsed/>
    <w:rsid w:val="00324D46"/>
    <w:pPr>
      <w:tabs>
        <w:tab w:val="left" w:pos="880"/>
        <w:tab w:val="right" w:leader="dot" w:pos="9062"/>
      </w:tabs>
      <w:spacing w:after="100"/>
      <w:ind w:left="708" w:hanging="488"/>
      <w:jc w:val="left"/>
    </w:pPr>
  </w:style>
  <w:style w:type="character" w:styleId="Hypertextovodkaz">
    <w:name w:val="Hyperlink"/>
    <w:uiPriority w:val="99"/>
    <w:unhideWhenUsed/>
    <w:rsid w:val="00590F65"/>
    <w:rPr>
      <w:color w:val="0000FF"/>
      <w:u w:val="single"/>
    </w:rPr>
  </w:style>
  <w:style w:type="paragraph" w:styleId="Odstavecseseznamem">
    <w:name w:val="List Paragraph"/>
    <w:basedOn w:val="Normln"/>
    <w:uiPriority w:val="34"/>
    <w:qFormat/>
    <w:rsid w:val="00590F65"/>
    <w:pPr>
      <w:ind w:left="720"/>
    </w:pPr>
  </w:style>
  <w:style w:type="character" w:styleId="Sledovanodkaz">
    <w:name w:val="FollowedHyperlink"/>
    <w:uiPriority w:val="99"/>
    <w:semiHidden/>
    <w:unhideWhenUsed/>
    <w:rsid w:val="00590F65"/>
    <w:rPr>
      <w:color w:val="954F72"/>
      <w:u w:val="single"/>
    </w:rPr>
  </w:style>
  <w:style w:type="paragraph" w:customStyle="1" w:styleId="font5">
    <w:name w:val="font5"/>
    <w:basedOn w:val="Normln"/>
    <w:rsid w:val="00590F65"/>
    <w:pPr>
      <w:spacing w:before="100" w:beforeAutospacing="1" w:after="100" w:afterAutospacing="1"/>
    </w:pPr>
    <w:rPr>
      <w:rFonts w:ascii="Tahoma" w:eastAsia="Times New Roman" w:hAnsi="Tahoma" w:cs="Tahoma"/>
      <w:color w:val="000000"/>
      <w:sz w:val="18"/>
      <w:szCs w:val="18"/>
      <w:lang w:eastAsia="cs-CZ"/>
    </w:rPr>
  </w:style>
  <w:style w:type="paragraph" w:customStyle="1" w:styleId="font6">
    <w:name w:val="font6"/>
    <w:basedOn w:val="Normln"/>
    <w:rsid w:val="00590F65"/>
    <w:pPr>
      <w:spacing w:before="100" w:beforeAutospacing="1" w:after="100" w:afterAutospacing="1"/>
    </w:pPr>
    <w:rPr>
      <w:rFonts w:ascii="Tahoma" w:eastAsia="Times New Roman" w:hAnsi="Tahoma" w:cs="Tahoma"/>
      <w:b/>
      <w:bCs/>
      <w:color w:val="000000"/>
      <w:sz w:val="18"/>
      <w:szCs w:val="18"/>
      <w:lang w:eastAsia="cs-CZ"/>
    </w:rPr>
  </w:style>
  <w:style w:type="paragraph" w:customStyle="1" w:styleId="xl65">
    <w:name w:val="xl65"/>
    <w:basedOn w:val="Normln"/>
    <w:rsid w:val="00590F65"/>
    <w:pPr>
      <w:spacing w:before="100" w:beforeAutospacing="1" w:after="100" w:afterAutospacing="1"/>
      <w:jc w:val="center"/>
      <w:textAlignment w:val="center"/>
    </w:pPr>
    <w:rPr>
      <w:rFonts w:ascii="Times New Roman" w:eastAsia="Times New Roman" w:hAnsi="Times New Roman"/>
      <w:sz w:val="20"/>
      <w:szCs w:val="20"/>
      <w:lang w:eastAsia="cs-CZ"/>
    </w:rPr>
  </w:style>
  <w:style w:type="paragraph" w:customStyle="1" w:styleId="xl66">
    <w:name w:val="xl66"/>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67">
    <w:name w:val="xl67"/>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68">
    <w:name w:val="xl68"/>
    <w:basedOn w:val="Normln"/>
    <w:rsid w:val="00590F65"/>
    <w:pPr>
      <w:spacing w:before="100" w:beforeAutospacing="1" w:after="100" w:afterAutospacing="1"/>
      <w:jc w:val="center"/>
      <w:textAlignment w:val="center"/>
    </w:pPr>
    <w:rPr>
      <w:rFonts w:eastAsia="Times New Roman" w:cs="Arial"/>
      <w:b/>
      <w:bCs/>
      <w:i/>
      <w:iCs/>
      <w:color w:val="000000"/>
      <w:sz w:val="16"/>
      <w:szCs w:val="16"/>
      <w:lang w:eastAsia="cs-CZ"/>
    </w:rPr>
  </w:style>
  <w:style w:type="paragraph" w:customStyle="1" w:styleId="xl69">
    <w:name w:val="xl69"/>
    <w:basedOn w:val="Normln"/>
    <w:rsid w:val="00590F65"/>
    <w:pPr>
      <w:spacing w:before="100" w:beforeAutospacing="1" w:after="100" w:afterAutospacing="1"/>
      <w:textAlignment w:val="center"/>
    </w:pPr>
    <w:rPr>
      <w:rFonts w:eastAsia="Times New Roman" w:cs="Arial"/>
      <w:b/>
      <w:bCs/>
      <w:i/>
      <w:iCs/>
      <w:color w:val="000000"/>
      <w:sz w:val="16"/>
      <w:szCs w:val="16"/>
      <w:lang w:eastAsia="cs-CZ"/>
    </w:rPr>
  </w:style>
  <w:style w:type="paragraph" w:customStyle="1" w:styleId="xl70">
    <w:name w:val="xl70"/>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styleId="Textpoznpodarou">
    <w:name w:val="footnote text"/>
    <w:basedOn w:val="Normln"/>
    <w:link w:val="TextpoznpodarouChar"/>
    <w:uiPriority w:val="99"/>
    <w:semiHidden/>
    <w:unhideWhenUsed/>
    <w:rsid w:val="00590F65"/>
    <w:rPr>
      <w:rFonts w:ascii="Arial" w:hAnsi="Arial"/>
      <w:sz w:val="20"/>
      <w:szCs w:val="20"/>
    </w:rPr>
  </w:style>
  <w:style w:type="character" w:customStyle="1" w:styleId="TextpoznpodarouChar">
    <w:name w:val="Text pozn. pod čarou Char"/>
    <w:link w:val="Textpoznpodarou"/>
    <w:uiPriority w:val="99"/>
    <w:semiHidden/>
    <w:rsid w:val="00590F65"/>
    <w:rPr>
      <w:rFonts w:ascii="Arial" w:eastAsia="Calibri" w:hAnsi="Arial" w:cs="Times New Roman"/>
      <w:sz w:val="20"/>
      <w:szCs w:val="20"/>
    </w:rPr>
  </w:style>
  <w:style w:type="character" w:styleId="Znakapoznpodarou">
    <w:name w:val="footnote reference"/>
    <w:uiPriority w:val="99"/>
    <w:semiHidden/>
    <w:unhideWhenUsed/>
    <w:rsid w:val="00590F65"/>
    <w:rPr>
      <w:vertAlign w:val="superscript"/>
    </w:rPr>
  </w:style>
  <w:style w:type="paragraph" w:customStyle="1" w:styleId="xl71">
    <w:name w:val="xl71"/>
    <w:basedOn w:val="Normln"/>
    <w:rsid w:val="00590F65"/>
    <w:pPr>
      <w:spacing w:before="100" w:beforeAutospacing="1" w:after="100" w:afterAutospacing="1"/>
      <w:textAlignment w:val="center"/>
    </w:pPr>
    <w:rPr>
      <w:rFonts w:ascii="Times New Roman" w:eastAsia="Times New Roman" w:hAnsi="Times New Roman"/>
      <w:sz w:val="20"/>
      <w:szCs w:val="20"/>
      <w:lang w:eastAsia="cs-CZ"/>
    </w:rPr>
  </w:style>
  <w:style w:type="paragraph" w:customStyle="1" w:styleId="xl72">
    <w:name w:val="xl72"/>
    <w:basedOn w:val="Normln"/>
    <w:rsid w:val="00590F65"/>
    <w:pPr>
      <w:spacing w:before="100" w:beforeAutospacing="1" w:after="100" w:afterAutospacing="1"/>
      <w:jc w:val="right"/>
    </w:pPr>
    <w:rPr>
      <w:rFonts w:ascii="Times New Roman" w:eastAsia="Times New Roman" w:hAnsi="Times New Roman"/>
      <w:sz w:val="20"/>
      <w:szCs w:val="20"/>
      <w:lang w:eastAsia="cs-CZ"/>
    </w:rPr>
  </w:style>
  <w:style w:type="paragraph" w:customStyle="1" w:styleId="xl73">
    <w:name w:val="xl73"/>
    <w:basedOn w:val="Normln"/>
    <w:rsid w:val="00590F65"/>
    <w:pPr>
      <w:spacing w:before="100" w:beforeAutospacing="1" w:after="100" w:afterAutospacing="1"/>
      <w:jc w:val="right"/>
    </w:pPr>
    <w:rPr>
      <w:rFonts w:ascii="Times New Roman" w:eastAsia="Times New Roman" w:hAnsi="Times New Roman"/>
      <w:sz w:val="20"/>
      <w:szCs w:val="20"/>
      <w:lang w:eastAsia="cs-CZ"/>
    </w:rPr>
  </w:style>
  <w:style w:type="paragraph" w:customStyle="1" w:styleId="xl74">
    <w:name w:val="xl74"/>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75">
    <w:name w:val="xl75"/>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76">
    <w:name w:val="xl76"/>
    <w:basedOn w:val="Normln"/>
    <w:rsid w:val="00590F65"/>
    <w:pPr>
      <w:spacing w:before="100" w:beforeAutospacing="1" w:after="100" w:afterAutospacing="1"/>
      <w:jc w:val="right"/>
    </w:pPr>
    <w:rPr>
      <w:rFonts w:ascii="Times New Roman" w:eastAsia="Times New Roman" w:hAnsi="Times New Roman"/>
      <w:sz w:val="16"/>
      <w:szCs w:val="16"/>
      <w:lang w:eastAsia="cs-CZ"/>
    </w:rPr>
  </w:style>
  <w:style w:type="paragraph" w:customStyle="1" w:styleId="xl77">
    <w:name w:val="xl77"/>
    <w:basedOn w:val="Normln"/>
    <w:rsid w:val="00590F65"/>
    <w:pPr>
      <w:spacing w:before="100" w:beforeAutospacing="1" w:after="100" w:afterAutospacing="1"/>
      <w:jc w:val="right"/>
      <w:textAlignment w:val="center"/>
    </w:pPr>
    <w:rPr>
      <w:rFonts w:ascii="Times New Roman" w:eastAsia="Times New Roman" w:hAnsi="Times New Roman"/>
      <w:sz w:val="16"/>
      <w:szCs w:val="16"/>
      <w:lang w:eastAsia="cs-CZ"/>
    </w:rPr>
  </w:style>
  <w:style w:type="table" w:customStyle="1" w:styleId="Tabulkasmkou4zvraznn61">
    <w:name w:val="Tabulka s mřížkou 4 – zvýraznění 61"/>
    <w:basedOn w:val="Normlntabulka"/>
    <w:uiPriority w:val="49"/>
    <w:rsid w:val="00590F6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xl78">
    <w:name w:val="xl78"/>
    <w:basedOn w:val="Normln"/>
    <w:rsid w:val="00590F65"/>
    <w:pPr>
      <w:pBdr>
        <w:top w:val="single" w:sz="8" w:space="0" w:color="C4D79B"/>
        <w:bottom w:val="single" w:sz="4" w:space="0" w:color="A9D08E"/>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79">
    <w:name w:val="xl79"/>
    <w:basedOn w:val="Normln"/>
    <w:rsid w:val="00590F65"/>
    <w:pPr>
      <w:pBdr>
        <w:top w:val="single" w:sz="4" w:space="0" w:color="A9D08E"/>
        <w:bottom w:val="single" w:sz="4" w:space="0" w:color="A9D08E"/>
      </w:pBdr>
      <w:shd w:val="clear" w:color="70AD47" w:fill="70AD47"/>
      <w:spacing w:before="100" w:beforeAutospacing="1" w:after="100" w:afterAutospacing="1"/>
      <w:textAlignment w:val="center"/>
    </w:pPr>
    <w:rPr>
      <w:rFonts w:ascii="Calibri Light" w:eastAsia="Times New Roman" w:hAnsi="Calibri Light"/>
      <w:b/>
      <w:bCs/>
      <w:sz w:val="18"/>
      <w:szCs w:val="18"/>
      <w:lang w:eastAsia="cs-CZ"/>
    </w:rPr>
  </w:style>
  <w:style w:type="paragraph" w:customStyle="1" w:styleId="xl80">
    <w:name w:val="xl80"/>
    <w:basedOn w:val="Normln"/>
    <w:rsid w:val="00590F65"/>
    <w:pPr>
      <w:pBdr>
        <w:top w:val="single" w:sz="4" w:space="0" w:color="FF0000"/>
        <w:lef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1">
    <w:name w:val="xl81"/>
    <w:basedOn w:val="Normln"/>
    <w:rsid w:val="00590F65"/>
    <w:pPr>
      <w:pBdr>
        <w:top w:val="single" w:sz="4" w:space="0" w:color="FF0000"/>
      </w:pBdr>
      <w:spacing w:before="100" w:beforeAutospacing="1" w:after="100" w:afterAutospacing="1"/>
    </w:pPr>
    <w:rPr>
      <w:rFonts w:ascii="Calibri Light" w:eastAsia="Times New Roman" w:hAnsi="Calibri Light"/>
      <w:sz w:val="18"/>
      <w:szCs w:val="18"/>
      <w:lang w:eastAsia="cs-CZ"/>
    </w:rPr>
  </w:style>
  <w:style w:type="paragraph" w:customStyle="1" w:styleId="xl82">
    <w:name w:val="xl82"/>
    <w:basedOn w:val="Normln"/>
    <w:rsid w:val="00590F65"/>
    <w:pPr>
      <w:pBdr>
        <w:top w:val="single" w:sz="4" w:space="0" w:color="FF0000"/>
      </w:pBdr>
      <w:spacing w:before="100" w:beforeAutospacing="1" w:after="100" w:afterAutospacing="1"/>
      <w:jc w:val="center"/>
    </w:pPr>
    <w:rPr>
      <w:rFonts w:ascii="Calibri Light" w:eastAsia="Times New Roman" w:hAnsi="Calibri Light"/>
      <w:sz w:val="18"/>
      <w:szCs w:val="18"/>
      <w:lang w:eastAsia="cs-CZ"/>
    </w:rPr>
  </w:style>
  <w:style w:type="paragraph" w:customStyle="1" w:styleId="xl83">
    <w:name w:val="xl83"/>
    <w:basedOn w:val="Normln"/>
    <w:rsid w:val="00590F65"/>
    <w:pPr>
      <w:pBdr>
        <w:top w:val="single" w:sz="4" w:space="0" w:color="FF0000"/>
        <w:right w:val="single" w:sz="4" w:space="0" w:color="FF0000"/>
      </w:pBdr>
      <w:spacing w:before="100" w:beforeAutospacing="1" w:after="100" w:afterAutospacing="1"/>
      <w:jc w:val="center"/>
    </w:pPr>
    <w:rPr>
      <w:rFonts w:ascii="Calibri Light" w:eastAsia="Times New Roman" w:hAnsi="Calibri Light"/>
      <w:sz w:val="18"/>
      <w:szCs w:val="18"/>
      <w:lang w:eastAsia="cs-CZ"/>
    </w:rPr>
  </w:style>
  <w:style w:type="paragraph" w:customStyle="1" w:styleId="xl84">
    <w:name w:val="xl84"/>
    <w:basedOn w:val="Normln"/>
    <w:rsid w:val="00590F65"/>
    <w:pPr>
      <w:pBdr>
        <w:lef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5">
    <w:name w:val="xl85"/>
    <w:basedOn w:val="Normln"/>
    <w:rsid w:val="00590F65"/>
    <w:pPr>
      <w:pBdr>
        <w:righ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6">
    <w:name w:val="xl86"/>
    <w:basedOn w:val="Normln"/>
    <w:rsid w:val="00590F65"/>
    <w:pPr>
      <w:pBdr>
        <w:left w:val="single" w:sz="4" w:space="0" w:color="FF0000"/>
        <w:bottom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7">
    <w:name w:val="xl87"/>
    <w:basedOn w:val="Normln"/>
    <w:rsid w:val="00590F65"/>
    <w:pPr>
      <w:pBdr>
        <w:bottom w:val="single" w:sz="4" w:space="0" w:color="FF0000"/>
      </w:pBdr>
      <w:spacing w:before="100" w:beforeAutospacing="1" w:after="100" w:afterAutospacing="1"/>
      <w:textAlignment w:val="center"/>
    </w:pPr>
    <w:rPr>
      <w:rFonts w:ascii="Calibri Light" w:eastAsia="Times New Roman" w:hAnsi="Calibri Light"/>
      <w:sz w:val="18"/>
      <w:szCs w:val="18"/>
      <w:lang w:eastAsia="cs-CZ"/>
    </w:rPr>
  </w:style>
  <w:style w:type="paragraph" w:customStyle="1" w:styleId="xl88">
    <w:name w:val="xl88"/>
    <w:basedOn w:val="Normln"/>
    <w:rsid w:val="00590F65"/>
    <w:pPr>
      <w:pBdr>
        <w:bottom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9">
    <w:name w:val="xl89"/>
    <w:basedOn w:val="Normln"/>
    <w:rsid w:val="00590F65"/>
    <w:pPr>
      <w:pBdr>
        <w:bottom w:val="single" w:sz="4" w:space="0" w:color="FF0000"/>
        <w:righ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TABULKYCALIBRI">
    <w:name w:val="TABULKY_CALIBRI"/>
    <w:basedOn w:val="Odstavecseseznamem"/>
    <w:rsid w:val="00590F65"/>
    <w:pPr>
      <w:ind w:left="0"/>
      <w:contextualSpacing w:val="0"/>
    </w:pPr>
    <w:rPr>
      <w:rFonts w:cs="Arial"/>
      <w:sz w:val="20"/>
      <w:szCs w:val="24"/>
    </w:rPr>
  </w:style>
  <w:style w:type="paragraph" w:styleId="Obsah3">
    <w:name w:val="toc 3"/>
    <w:basedOn w:val="Normln"/>
    <w:next w:val="Normln"/>
    <w:autoRedefine/>
    <w:uiPriority w:val="39"/>
    <w:unhideWhenUsed/>
    <w:rsid w:val="00590F65"/>
    <w:pPr>
      <w:spacing w:after="100"/>
      <w:ind w:left="440"/>
    </w:pPr>
  </w:style>
  <w:style w:type="character" w:customStyle="1" w:styleId="apple-converted-space">
    <w:name w:val="apple-converted-space"/>
    <w:rsid w:val="00590F65"/>
  </w:style>
  <w:style w:type="character" w:customStyle="1" w:styleId="h1a2">
    <w:name w:val="h1a2"/>
    <w:rsid w:val="00590F65"/>
    <w:rPr>
      <w:vanish w:val="0"/>
      <w:webHidden w:val="0"/>
      <w:sz w:val="24"/>
      <w:szCs w:val="24"/>
      <w:specVanish w:val="0"/>
    </w:rPr>
  </w:style>
  <w:style w:type="table" w:customStyle="1" w:styleId="Tabulkasmkou4zvraznn11">
    <w:name w:val="Tabulka s mřížkou 4 – zvýraznění 11"/>
    <w:basedOn w:val="Normlntabulka"/>
    <w:uiPriority w:val="49"/>
    <w:rsid w:val="00590F6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lnweb">
    <w:name w:val="Normal (Web)"/>
    <w:basedOn w:val="Normln"/>
    <w:uiPriority w:val="99"/>
    <w:semiHidden/>
    <w:unhideWhenUsed/>
    <w:rsid w:val="00590F65"/>
    <w:pPr>
      <w:spacing w:after="150"/>
    </w:pPr>
    <w:rPr>
      <w:rFonts w:ascii="Times New Roman" w:eastAsia="Times New Roman" w:hAnsi="Times New Roman"/>
      <w:szCs w:val="24"/>
      <w:lang w:eastAsia="cs-CZ"/>
    </w:rPr>
  </w:style>
  <w:style w:type="character" w:styleId="Siln">
    <w:name w:val="Strong"/>
    <w:uiPriority w:val="22"/>
    <w:qFormat/>
    <w:rsid w:val="00590F65"/>
    <w:rPr>
      <w:b/>
      <w:bCs/>
    </w:rPr>
  </w:style>
  <w:style w:type="character" w:styleId="Zdraznn">
    <w:name w:val="Emphasis"/>
    <w:uiPriority w:val="20"/>
    <w:qFormat/>
    <w:rsid w:val="00590F65"/>
    <w:rPr>
      <w:b/>
      <w:bCs/>
      <w:i w:val="0"/>
      <w:iCs w:val="0"/>
    </w:rPr>
  </w:style>
  <w:style w:type="character" w:customStyle="1" w:styleId="st1">
    <w:name w:val="st1"/>
    <w:rsid w:val="00590F65"/>
  </w:style>
  <w:style w:type="table" w:customStyle="1" w:styleId="Tabulkasmkou4zvraznn111">
    <w:name w:val="Tabulka s mřížkou 4 – zvýraznění 111"/>
    <w:basedOn w:val="Normlntabulka"/>
    <w:uiPriority w:val="49"/>
    <w:rsid w:val="00590F6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mavtabulkasmkou5zvraznn11">
    <w:name w:val="Tmavá tabulka s mřížkou 5 – zvýraznění 11"/>
    <w:basedOn w:val="Normlntabulka"/>
    <w:uiPriority w:val="50"/>
    <w:rsid w:val="00590F6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Default">
    <w:name w:val="Default"/>
    <w:rsid w:val="00590F65"/>
    <w:pPr>
      <w:autoSpaceDE w:val="0"/>
      <w:autoSpaceDN w:val="0"/>
      <w:adjustRightInd w:val="0"/>
    </w:pPr>
    <w:rPr>
      <w:rFonts w:ascii="Arial" w:hAnsi="Arial" w:cs="Arial"/>
      <w:color w:val="000000"/>
      <w:sz w:val="24"/>
      <w:szCs w:val="24"/>
      <w:lang w:eastAsia="en-US"/>
    </w:rPr>
  </w:style>
  <w:style w:type="table" w:customStyle="1" w:styleId="Tabulkaseznamu3zvraznn51">
    <w:name w:val="Tabulka seznamu 3 – zvýraznění 51"/>
    <w:basedOn w:val="Normlntabulka"/>
    <w:uiPriority w:val="48"/>
    <w:rsid w:val="00590F65"/>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xl63">
    <w:name w:val="xl63"/>
    <w:basedOn w:val="Normln"/>
    <w:rsid w:val="00590F65"/>
    <w:pPr>
      <w:spacing w:before="100" w:beforeAutospacing="1" w:after="100" w:afterAutospacing="1"/>
      <w:jc w:val="center"/>
      <w:textAlignment w:val="center"/>
    </w:pPr>
    <w:rPr>
      <w:rFonts w:ascii="Times New Roman" w:eastAsia="Times New Roman" w:hAnsi="Times New Roman"/>
      <w:sz w:val="20"/>
      <w:szCs w:val="20"/>
      <w:lang w:eastAsia="cs-CZ"/>
    </w:rPr>
  </w:style>
  <w:style w:type="paragraph" w:customStyle="1" w:styleId="xl64">
    <w:name w:val="xl64"/>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styleId="Obsah4">
    <w:name w:val="toc 4"/>
    <w:basedOn w:val="Normln"/>
    <w:next w:val="Normln"/>
    <w:autoRedefine/>
    <w:uiPriority w:val="39"/>
    <w:unhideWhenUsed/>
    <w:rsid w:val="00590F65"/>
    <w:pPr>
      <w:spacing w:after="100" w:line="259" w:lineRule="auto"/>
      <w:ind w:left="660"/>
    </w:pPr>
    <w:rPr>
      <w:rFonts w:eastAsia="Times New Roman"/>
      <w:lang w:eastAsia="cs-CZ"/>
    </w:rPr>
  </w:style>
  <w:style w:type="paragraph" w:styleId="Obsah5">
    <w:name w:val="toc 5"/>
    <w:basedOn w:val="Normln"/>
    <w:next w:val="Normln"/>
    <w:autoRedefine/>
    <w:uiPriority w:val="39"/>
    <w:unhideWhenUsed/>
    <w:rsid w:val="00590F65"/>
    <w:pPr>
      <w:spacing w:after="100" w:line="259" w:lineRule="auto"/>
      <w:ind w:left="880"/>
    </w:pPr>
    <w:rPr>
      <w:rFonts w:eastAsia="Times New Roman"/>
      <w:lang w:eastAsia="cs-CZ"/>
    </w:rPr>
  </w:style>
  <w:style w:type="paragraph" w:styleId="Obsah6">
    <w:name w:val="toc 6"/>
    <w:basedOn w:val="Normln"/>
    <w:next w:val="Normln"/>
    <w:autoRedefine/>
    <w:uiPriority w:val="39"/>
    <w:unhideWhenUsed/>
    <w:rsid w:val="00590F65"/>
    <w:pPr>
      <w:spacing w:after="100" w:line="259" w:lineRule="auto"/>
      <w:ind w:left="1100"/>
    </w:pPr>
    <w:rPr>
      <w:rFonts w:eastAsia="Times New Roman"/>
      <w:lang w:eastAsia="cs-CZ"/>
    </w:rPr>
  </w:style>
  <w:style w:type="paragraph" w:styleId="Obsah7">
    <w:name w:val="toc 7"/>
    <w:basedOn w:val="Normln"/>
    <w:next w:val="Normln"/>
    <w:autoRedefine/>
    <w:uiPriority w:val="39"/>
    <w:unhideWhenUsed/>
    <w:rsid w:val="00590F65"/>
    <w:pPr>
      <w:spacing w:after="100" w:line="259" w:lineRule="auto"/>
      <w:ind w:left="1320"/>
    </w:pPr>
    <w:rPr>
      <w:rFonts w:eastAsia="Times New Roman"/>
      <w:lang w:eastAsia="cs-CZ"/>
    </w:rPr>
  </w:style>
  <w:style w:type="paragraph" w:styleId="Obsah8">
    <w:name w:val="toc 8"/>
    <w:basedOn w:val="Normln"/>
    <w:next w:val="Normln"/>
    <w:autoRedefine/>
    <w:uiPriority w:val="39"/>
    <w:unhideWhenUsed/>
    <w:rsid w:val="00590F65"/>
    <w:pPr>
      <w:spacing w:after="100" w:line="259" w:lineRule="auto"/>
      <w:ind w:left="1540"/>
    </w:pPr>
    <w:rPr>
      <w:rFonts w:eastAsia="Times New Roman"/>
      <w:lang w:eastAsia="cs-CZ"/>
    </w:rPr>
  </w:style>
  <w:style w:type="paragraph" w:styleId="Obsah9">
    <w:name w:val="toc 9"/>
    <w:basedOn w:val="Normln"/>
    <w:next w:val="Normln"/>
    <w:autoRedefine/>
    <w:uiPriority w:val="39"/>
    <w:unhideWhenUsed/>
    <w:rsid w:val="00590F65"/>
    <w:pPr>
      <w:spacing w:after="100" w:line="259" w:lineRule="auto"/>
      <w:ind w:left="1760"/>
    </w:pPr>
    <w:rPr>
      <w:rFonts w:eastAsia="Times New Roman"/>
      <w:lang w:eastAsia="cs-CZ"/>
    </w:rPr>
  </w:style>
  <w:style w:type="paragraph" w:styleId="Bezmezer">
    <w:name w:val="No Spacing"/>
    <w:uiPriority w:val="1"/>
    <w:qFormat/>
    <w:rsid w:val="005051E8"/>
    <w:rPr>
      <w:sz w:val="24"/>
      <w:szCs w:val="22"/>
      <w:lang w:eastAsia="en-US"/>
    </w:rPr>
  </w:style>
  <w:style w:type="paragraph" w:styleId="Titulek">
    <w:name w:val="caption"/>
    <w:basedOn w:val="Normln"/>
    <w:next w:val="Normln"/>
    <w:uiPriority w:val="35"/>
    <w:semiHidden/>
    <w:unhideWhenUsed/>
    <w:qFormat/>
    <w:rsid w:val="00145DB3"/>
    <w:pPr>
      <w:spacing w:before="0" w:after="200"/>
      <w:contextualSpacing w:val="0"/>
      <w:jc w:val="left"/>
    </w:pPr>
    <w:rPr>
      <w:i/>
      <w:iCs/>
      <w:color w:val="1F497D"/>
      <w:sz w:val="18"/>
      <w:szCs w:val="18"/>
    </w:rPr>
  </w:style>
  <w:style w:type="numbering" w:customStyle="1" w:styleId="Bezseznamu1">
    <w:name w:val="Bez seznamu1"/>
    <w:next w:val="Bezseznamu"/>
    <w:uiPriority w:val="99"/>
    <w:semiHidden/>
    <w:unhideWhenUsed/>
    <w:rsid w:val="00D16970"/>
  </w:style>
  <w:style w:type="table" w:styleId="Stednmka1zvraznn6">
    <w:name w:val="Medium Grid 1 Accent 6"/>
    <w:basedOn w:val="Normlntabulka"/>
    <w:uiPriority w:val="67"/>
    <w:rsid w:val="0031592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Stednstnovn1zvraznn6">
    <w:name w:val="Medium Shading 1 Accent 6"/>
    <w:basedOn w:val="Normlntabulka"/>
    <w:uiPriority w:val="63"/>
    <w:rsid w:val="0031592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katabulky">
    <w:name w:val="Table Grid"/>
    <w:basedOn w:val="Normlntabulka"/>
    <w:uiPriority w:val="59"/>
    <w:rsid w:val="00315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6">
    <w:name w:val="Light List Accent 6"/>
    <w:basedOn w:val="Normlntabulka"/>
    <w:uiPriority w:val="61"/>
    <w:rsid w:val="0031592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Svtlmkazvraznn6">
    <w:name w:val="Light Grid Accent 6"/>
    <w:basedOn w:val="Normlntabulka"/>
    <w:uiPriority w:val="62"/>
    <w:rsid w:val="00315927"/>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1">
    <w:name w:val="1"/>
    <w:uiPriority w:val="20"/>
    <w:qFormat/>
    <w:rsid w:val="00315927"/>
    <w:pPr>
      <w:spacing w:before="120" w:after="120"/>
      <w:contextualSpacing/>
      <w:jc w:val="both"/>
    </w:pPr>
    <w:rPr>
      <w:sz w:val="24"/>
      <w:szCs w:val="22"/>
      <w:lang w:eastAsia="en-US"/>
    </w:rPr>
  </w:style>
  <w:style w:type="paragraph" w:customStyle="1" w:styleId="2">
    <w:name w:val="2"/>
    <w:uiPriority w:val="20"/>
    <w:qFormat/>
    <w:rsid w:val="00C91853"/>
    <w:pPr>
      <w:spacing w:before="120" w:after="120"/>
      <w:contextualSpacing/>
      <w:jc w:val="both"/>
    </w:pPr>
    <w:rPr>
      <w:sz w:val="24"/>
      <w:szCs w:val="22"/>
      <w:lang w:eastAsia="en-US"/>
    </w:rPr>
  </w:style>
  <w:style w:type="paragraph" w:customStyle="1" w:styleId="xl125">
    <w:name w:val="xl125"/>
    <w:basedOn w:val="Normln"/>
    <w:rsid w:val="00C91853"/>
    <w:pPr>
      <w:spacing w:before="100" w:beforeAutospacing="1" w:after="100" w:afterAutospacing="1"/>
      <w:contextualSpacing w:val="0"/>
      <w:jc w:val="left"/>
    </w:pPr>
    <w:rPr>
      <w:rFonts w:ascii="Times New Roman" w:eastAsia="Times New Roman" w:hAnsi="Times New Roman"/>
      <w:b/>
      <w:bCs/>
      <w:szCs w:val="24"/>
      <w:lang w:eastAsia="cs-CZ"/>
    </w:rPr>
  </w:style>
  <w:style w:type="paragraph" w:customStyle="1" w:styleId="xl126">
    <w:name w:val="xl126"/>
    <w:basedOn w:val="Normln"/>
    <w:rsid w:val="00C9185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Times New Roman" w:eastAsia="Times New Roman" w:hAnsi="Times New Roman"/>
      <w:b/>
      <w:bCs/>
      <w:szCs w:val="24"/>
      <w:lang w:eastAsia="cs-CZ"/>
    </w:rPr>
  </w:style>
  <w:style w:type="table" w:customStyle="1" w:styleId="Styl1">
    <w:name w:val="Styl1"/>
    <w:basedOn w:val="Normlntabulka"/>
    <w:uiPriority w:val="99"/>
    <w:rsid w:val="00C91853"/>
    <w:tblPr/>
    <w:tcPr>
      <w:shd w:val="clear" w:color="auto" w:fill="FFFF99"/>
    </w:tcPr>
  </w:style>
  <w:style w:type="paragraph" w:customStyle="1" w:styleId="xl123">
    <w:name w:val="xl123"/>
    <w:basedOn w:val="Normln"/>
    <w:rsid w:val="00C91853"/>
    <w:pPr>
      <w:shd w:val="clear" w:color="000000" w:fill="FFCCCC"/>
      <w:spacing w:before="100" w:beforeAutospacing="1" w:after="100" w:afterAutospacing="1"/>
      <w:contextualSpacing w:val="0"/>
      <w:jc w:val="left"/>
    </w:pPr>
    <w:rPr>
      <w:rFonts w:ascii="Times New Roman" w:eastAsia="Times New Roman" w:hAnsi="Times New Roman"/>
      <w:b/>
      <w:bCs/>
      <w:szCs w:val="24"/>
      <w:lang w:eastAsia="cs-CZ"/>
    </w:rPr>
  </w:style>
  <w:style w:type="table" w:customStyle="1" w:styleId="Tabulkasmkou3zvraznn61">
    <w:name w:val="Tabulka s mřížkou 3 – zvýraznění 61"/>
    <w:basedOn w:val="Normlntabulka"/>
    <w:uiPriority w:val="48"/>
    <w:rsid w:val="00B77BA1"/>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Tabulkasmkou4zvraznn62">
    <w:name w:val="Tabulka s mřížkou 4 – zvýraznění 62"/>
    <w:basedOn w:val="Normlntabulka"/>
    <w:uiPriority w:val="49"/>
    <w:rsid w:val="00B77BA1"/>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xl127">
    <w:name w:val="xl127"/>
    <w:basedOn w:val="Normln"/>
    <w:rsid w:val="006B59F6"/>
    <w:pPr>
      <w:spacing w:before="100" w:beforeAutospacing="1" w:after="100" w:afterAutospacing="1"/>
      <w:contextualSpacing w:val="0"/>
      <w:jc w:val="left"/>
    </w:pPr>
    <w:rPr>
      <w:rFonts w:ascii="Times New Roman" w:eastAsia="Times New Roman" w:hAnsi="Times New Roman"/>
      <w:szCs w:val="24"/>
      <w:lang w:eastAsia="cs-CZ"/>
    </w:rPr>
  </w:style>
  <w:style w:type="paragraph" w:customStyle="1" w:styleId="xl128">
    <w:name w:val="xl128"/>
    <w:basedOn w:val="Normln"/>
    <w:rsid w:val="006B59F6"/>
    <w:pPr>
      <w:pBdr>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29">
    <w:name w:val="xl129"/>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0">
    <w:name w:val="xl130"/>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1">
    <w:name w:val="xl131"/>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2">
    <w:name w:val="xl132"/>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3">
    <w:name w:val="xl133"/>
    <w:basedOn w:val="Normln"/>
    <w:rsid w:val="006B59F6"/>
    <w:pPr>
      <w:pBdr>
        <w:left w:val="single" w:sz="4" w:space="0" w:color="F4B084"/>
        <w:bottom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4">
    <w:name w:val="xl134"/>
    <w:basedOn w:val="Normln"/>
    <w:rsid w:val="006B59F6"/>
    <w:pPr>
      <w:pBdr>
        <w:top w:val="single" w:sz="4" w:space="0" w:color="F4B084"/>
        <w:bottom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35">
    <w:name w:val="xl135"/>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36">
    <w:name w:val="xl136"/>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37">
    <w:name w:val="xl137"/>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38">
    <w:name w:val="xl138"/>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39">
    <w:name w:val="xl139"/>
    <w:basedOn w:val="Normln"/>
    <w:rsid w:val="006B59F6"/>
    <w:pPr>
      <w:pBdr>
        <w:top w:val="single" w:sz="4" w:space="0" w:color="F4B084"/>
        <w:left w:val="single" w:sz="4" w:space="0" w:color="F4B084"/>
        <w:bottom w:val="single" w:sz="4" w:space="0" w:color="F4B084"/>
      </w:pBdr>
      <w:spacing w:before="100" w:beforeAutospacing="1" w:after="100" w:afterAutospacing="1"/>
      <w:contextualSpacing w:val="0"/>
      <w:jc w:val="center"/>
      <w:textAlignment w:val="center"/>
    </w:pPr>
    <w:rPr>
      <w:rFonts w:ascii="Calibri Light" w:eastAsia="Times New Roman" w:hAnsi="Calibri Light"/>
      <w:sz w:val="18"/>
      <w:szCs w:val="18"/>
      <w:lang w:eastAsia="cs-CZ"/>
    </w:rPr>
  </w:style>
  <w:style w:type="paragraph" w:customStyle="1" w:styleId="xl140">
    <w:name w:val="xl140"/>
    <w:basedOn w:val="Normln"/>
    <w:rsid w:val="006B59F6"/>
    <w:pPr>
      <w:pBdr>
        <w:top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41">
    <w:name w:val="xl141"/>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42">
    <w:name w:val="xl142"/>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43">
    <w:name w:val="xl143"/>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44">
    <w:name w:val="xl144"/>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45">
    <w:name w:val="xl145"/>
    <w:basedOn w:val="Normln"/>
    <w:rsid w:val="006B59F6"/>
    <w:pPr>
      <w:pBdr>
        <w:top w:val="single" w:sz="4" w:space="0" w:color="F4B084"/>
        <w:left w:val="single" w:sz="4" w:space="0" w:color="F4B084"/>
      </w:pBdr>
      <w:spacing w:before="100" w:beforeAutospacing="1" w:after="100" w:afterAutospacing="1"/>
      <w:contextualSpacing w:val="0"/>
      <w:jc w:val="center"/>
      <w:textAlignment w:val="center"/>
    </w:pPr>
    <w:rPr>
      <w:rFonts w:ascii="Calibri Light" w:eastAsia="Times New Roman" w:hAnsi="Calibri Light"/>
      <w:sz w:val="18"/>
      <w:szCs w:val="18"/>
      <w:lang w:eastAsia="cs-CZ"/>
    </w:rPr>
  </w:style>
  <w:style w:type="table" w:customStyle="1" w:styleId="Tmavtabulkasmkou5zvraznn61">
    <w:name w:val="Tmavá tabulka s mřížkou 5 – zvýraznění 61"/>
    <w:basedOn w:val="Normlntabulka"/>
    <w:uiPriority w:val="50"/>
    <w:rsid w:val="00DF5B3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paragraph" w:customStyle="1" w:styleId="Styl2">
    <w:name w:val="Styl2"/>
    <w:basedOn w:val="Zhlav"/>
    <w:link w:val="Styl2Char"/>
    <w:qFormat/>
    <w:rsid w:val="006A4F53"/>
    <w:pPr>
      <w:ind w:left="360"/>
      <w:jc w:val="right"/>
    </w:pPr>
    <w:rPr>
      <w:rFonts w:ascii="Calibri Light" w:hAnsi="Calibri Light"/>
      <w:i/>
      <w:sz w:val="16"/>
    </w:rPr>
  </w:style>
  <w:style w:type="paragraph" w:customStyle="1" w:styleId="normlntextvodstavcch">
    <w:name w:val="normální text v odstavcích"/>
    <w:basedOn w:val="Normln"/>
    <w:link w:val="normlntextvodstavcchChar"/>
    <w:qFormat/>
    <w:rsid w:val="00B7137E"/>
    <w:pPr>
      <w:ind w:firstLine="567"/>
      <w:contextualSpacing w:val="0"/>
    </w:pPr>
    <w:rPr>
      <w:szCs w:val="20"/>
    </w:rPr>
  </w:style>
  <w:style w:type="character" w:customStyle="1" w:styleId="Styl2Char">
    <w:name w:val="Styl2 Char"/>
    <w:link w:val="Styl2"/>
    <w:rsid w:val="006A4F53"/>
    <w:rPr>
      <w:rFonts w:ascii="Calibri Light" w:hAnsi="Calibri Light"/>
      <w:i/>
      <w:sz w:val="16"/>
      <w:szCs w:val="20"/>
    </w:rPr>
  </w:style>
  <w:style w:type="character" w:customStyle="1" w:styleId="normlntextvodstavcchChar">
    <w:name w:val="normální text v odstavcích Char"/>
    <w:link w:val="normlntextvodstavcch"/>
    <w:rsid w:val="00B7137E"/>
    <w:rPr>
      <w:sz w:val="24"/>
    </w:rPr>
  </w:style>
  <w:style w:type="paragraph" w:customStyle="1" w:styleId="1Nadpis">
    <w:name w:val="1. Nadpis"/>
    <w:basedOn w:val="normlntextvodstavcch"/>
    <w:link w:val="1NadpisChar"/>
    <w:rsid w:val="008039E7"/>
    <w:pPr>
      <w:numPr>
        <w:numId w:val="6"/>
      </w:numPr>
      <w:spacing w:before="320" w:after="320"/>
      <w:ind w:left="1281" w:hanging="357"/>
    </w:pPr>
    <w:rPr>
      <w:rFonts w:ascii="Cambria" w:eastAsia="Times New Roman" w:hAnsi="Cambria"/>
      <w:color w:val="365F91"/>
      <w:sz w:val="32"/>
      <w:szCs w:val="32"/>
    </w:rPr>
  </w:style>
  <w:style w:type="character" w:customStyle="1" w:styleId="1NadpisChar">
    <w:name w:val="1. Nadpis Char"/>
    <w:link w:val="1Nadpis"/>
    <w:rsid w:val="008039E7"/>
    <w:rPr>
      <w:rFonts w:ascii="Cambria" w:eastAsia="Times New Roman" w:hAnsi="Cambria" w:cs="Times New Roman"/>
      <w:color w:val="365F91"/>
      <w:sz w:val="32"/>
      <w:szCs w:val="32"/>
    </w:rPr>
  </w:style>
  <w:style w:type="paragraph" w:customStyle="1" w:styleId="Normlnzprva">
    <w:name w:val="Normální zpráva"/>
    <w:basedOn w:val="Normln"/>
    <w:link w:val="NormlnzprvaChar"/>
    <w:qFormat/>
    <w:rsid w:val="000937F8"/>
    <w:pPr>
      <w:suppressAutoHyphens/>
      <w:spacing w:before="0" w:line="276" w:lineRule="auto"/>
      <w:ind w:firstLine="284"/>
      <w:contextualSpacing w:val="0"/>
    </w:pPr>
  </w:style>
  <w:style w:type="character" w:customStyle="1" w:styleId="NormlnzprvaChar">
    <w:name w:val="Normální zpráva Char"/>
    <w:basedOn w:val="Standardnpsmoodstavce"/>
    <w:link w:val="Normlnzprva"/>
    <w:rsid w:val="000937F8"/>
    <w:rPr>
      <w:sz w:val="24"/>
      <w:szCs w:val="22"/>
      <w:lang w:eastAsia="en-US"/>
    </w:rPr>
  </w:style>
  <w:style w:type="paragraph" w:customStyle="1" w:styleId="msonormal0">
    <w:name w:val="msonormal"/>
    <w:basedOn w:val="Normln"/>
    <w:rsid w:val="00FE17DE"/>
    <w:pPr>
      <w:spacing w:before="100" w:beforeAutospacing="1" w:after="100" w:afterAutospacing="1"/>
      <w:contextualSpacing w:val="0"/>
      <w:jc w:val="left"/>
    </w:pPr>
    <w:rPr>
      <w:rFonts w:ascii="Times New Roman" w:eastAsia="Times New Roman" w:hAnsi="Times New Roman"/>
      <w:szCs w:val="24"/>
      <w:lang w:eastAsia="cs-CZ"/>
    </w:rPr>
  </w:style>
  <w:style w:type="table" w:customStyle="1" w:styleId="Tmavtabulkasmkou5zvraznn31">
    <w:name w:val="Tmavá tabulka s mřížkou 5 – zvýraznění 31"/>
    <w:basedOn w:val="Normlntabulka"/>
    <w:uiPriority w:val="50"/>
    <w:rsid w:val="00E9122F"/>
    <w:rPr>
      <w:rFonts w:ascii="Times New Roman" w:eastAsia="Times New Roman" w:hAnsi="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ulkasmkou4zvraznn63">
    <w:name w:val="Tabulka s mřížkou 4 – zvýraznění 63"/>
    <w:basedOn w:val="Normlntabulka"/>
    <w:uiPriority w:val="49"/>
    <w:rsid w:val="00B87BD4"/>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Rozloendokumentu">
    <w:name w:val="Document Map"/>
    <w:basedOn w:val="Normln"/>
    <w:link w:val="RozloendokumentuChar"/>
    <w:uiPriority w:val="99"/>
    <w:semiHidden/>
    <w:unhideWhenUsed/>
    <w:rsid w:val="000B4E2B"/>
    <w:pPr>
      <w:spacing w:before="0" w:after="0"/>
    </w:pPr>
    <w:rPr>
      <w:rFonts w:ascii="Tahoma" w:hAnsi="Tahoma"/>
      <w:sz w:val="16"/>
      <w:szCs w:val="16"/>
    </w:rPr>
  </w:style>
  <w:style w:type="character" w:customStyle="1" w:styleId="RozloendokumentuChar">
    <w:name w:val="Rozložení dokumentu Char"/>
    <w:link w:val="Rozloendokumentu"/>
    <w:uiPriority w:val="99"/>
    <w:semiHidden/>
    <w:rsid w:val="000B4E2B"/>
    <w:rPr>
      <w:rFonts w:ascii="Tahoma" w:hAnsi="Tahoma" w:cs="Tahoma"/>
      <w:sz w:val="16"/>
      <w:szCs w:val="16"/>
    </w:rPr>
  </w:style>
  <w:style w:type="table" w:customStyle="1" w:styleId="Tmavtabulkasmkou5zvraznn41">
    <w:name w:val="Tmavá tabulka s mřížkou 5 – zvýraznění 41"/>
    <w:basedOn w:val="Normlntabulka"/>
    <w:uiPriority w:val="50"/>
    <w:rsid w:val="000B4E2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Tabulkasmkou4zvraznn41">
    <w:name w:val="Tabulka s mřížkou 4 – zvýraznění 41"/>
    <w:basedOn w:val="Normlntabulka"/>
    <w:uiPriority w:val="49"/>
    <w:rsid w:val="00D77ACF"/>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mavtabulkasmkou5zvraznn12">
    <w:name w:val="Tmavá tabulka s mřížkou 5 – zvýraznění 12"/>
    <w:basedOn w:val="Normlntabulka"/>
    <w:uiPriority w:val="50"/>
    <w:rsid w:val="00D77A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mavtabulkasmkou5zvraznn32">
    <w:name w:val="Tmavá tabulka s mřížkou 5 – zvýraznění 32"/>
    <w:basedOn w:val="Normlntabulka"/>
    <w:uiPriority w:val="50"/>
    <w:rsid w:val="00D77A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mavtabulkasmkou5zvraznn62">
    <w:name w:val="Tmavá tabulka s mřížkou 5 – zvýraznění 62"/>
    <w:basedOn w:val="Normlntabulka"/>
    <w:uiPriority w:val="50"/>
    <w:rsid w:val="00F416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6240">
      <w:bodyDiv w:val="1"/>
      <w:marLeft w:val="0"/>
      <w:marRight w:val="0"/>
      <w:marTop w:val="0"/>
      <w:marBottom w:val="0"/>
      <w:divBdr>
        <w:top w:val="none" w:sz="0" w:space="0" w:color="auto"/>
        <w:left w:val="none" w:sz="0" w:space="0" w:color="auto"/>
        <w:bottom w:val="none" w:sz="0" w:space="0" w:color="auto"/>
        <w:right w:val="none" w:sz="0" w:space="0" w:color="auto"/>
      </w:divBdr>
    </w:div>
    <w:div w:id="50081222">
      <w:bodyDiv w:val="1"/>
      <w:marLeft w:val="0"/>
      <w:marRight w:val="0"/>
      <w:marTop w:val="0"/>
      <w:marBottom w:val="0"/>
      <w:divBdr>
        <w:top w:val="none" w:sz="0" w:space="0" w:color="auto"/>
        <w:left w:val="none" w:sz="0" w:space="0" w:color="auto"/>
        <w:bottom w:val="none" w:sz="0" w:space="0" w:color="auto"/>
        <w:right w:val="none" w:sz="0" w:space="0" w:color="auto"/>
      </w:divBdr>
    </w:div>
    <w:div w:id="56175941">
      <w:bodyDiv w:val="1"/>
      <w:marLeft w:val="0"/>
      <w:marRight w:val="0"/>
      <w:marTop w:val="0"/>
      <w:marBottom w:val="0"/>
      <w:divBdr>
        <w:top w:val="none" w:sz="0" w:space="0" w:color="auto"/>
        <w:left w:val="none" w:sz="0" w:space="0" w:color="auto"/>
        <w:bottom w:val="none" w:sz="0" w:space="0" w:color="auto"/>
        <w:right w:val="none" w:sz="0" w:space="0" w:color="auto"/>
      </w:divBdr>
    </w:div>
    <w:div w:id="103694349">
      <w:bodyDiv w:val="1"/>
      <w:marLeft w:val="0"/>
      <w:marRight w:val="0"/>
      <w:marTop w:val="0"/>
      <w:marBottom w:val="0"/>
      <w:divBdr>
        <w:top w:val="none" w:sz="0" w:space="0" w:color="auto"/>
        <w:left w:val="none" w:sz="0" w:space="0" w:color="auto"/>
        <w:bottom w:val="none" w:sz="0" w:space="0" w:color="auto"/>
        <w:right w:val="none" w:sz="0" w:space="0" w:color="auto"/>
      </w:divBdr>
    </w:div>
    <w:div w:id="114911618">
      <w:bodyDiv w:val="1"/>
      <w:marLeft w:val="0"/>
      <w:marRight w:val="0"/>
      <w:marTop w:val="0"/>
      <w:marBottom w:val="0"/>
      <w:divBdr>
        <w:top w:val="none" w:sz="0" w:space="0" w:color="auto"/>
        <w:left w:val="none" w:sz="0" w:space="0" w:color="auto"/>
        <w:bottom w:val="none" w:sz="0" w:space="0" w:color="auto"/>
        <w:right w:val="none" w:sz="0" w:space="0" w:color="auto"/>
      </w:divBdr>
    </w:div>
    <w:div w:id="149710588">
      <w:bodyDiv w:val="1"/>
      <w:marLeft w:val="0"/>
      <w:marRight w:val="0"/>
      <w:marTop w:val="0"/>
      <w:marBottom w:val="0"/>
      <w:divBdr>
        <w:top w:val="none" w:sz="0" w:space="0" w:color="auto"/>
        <w:left w:val="none" w:sz="0" w:space="0" w:color="auto"/>
        <w:bottom w:val="none" w:sz="0" w:space="0" w:color="auto"/>
        <w:right w:val="none" w:sz="0" w:space="0" w:color="auto"/>
      </w:divBdr>
    </w:div>
    <w:div w:id="171997696">
      <w:bodyDiv w:val="1"/>
      <w:marLeft w:val="0"/>
      <w:marRight w:val="0"/>
      <w:marTop w:val="0"/>
      <w:marBottom w:val="0"/>
      <w:divBdr>
        <w:top w:val="none" w:sz="0" w:space="0" w:color="auto"/>
        <w:left w:val="none" w:sz="0" w:space="0" w:color="auto"/>
        <w:bottom w:val="none" w:sz="0" w:space="0" w:color="auto"/>
        <w:right w:val="none" w:sz="0" w:space="0" w:color="auto"/>
      </w:divBdr>
    </w:div>
    <w:div w:id="213195438">
      <w:bodyDiv w:val="1"/>
      <w:marLeft w:val="0"/>
      <w:marRight w:val="0"/>
      <w:marTop w:val="0"/>
      <w:marBottom w:val="0"/>
      <w:divBdr>
        <w:top w:val="none" w:sz="0" w:space="0" w:color="auto"/>
        <w:left w:val="none" w:sz="0" w:space="0" w:color="auto"/>
        <w:bottom w:val="none" w:sz="0" w:space="0" w:color="auto"/>
        <w:right w:val="none" w:sz="0" w:space="0" w:color="auto"/>
      </w:divBdr>
    </w:div>
    <w:div w:id="239799436">
      <w:bodyDiv w:val="1"/>
      <w:marLeft w:val="0"/>
      <w:marRight w:val="0"/>
      <w:marTop w:val="0"/>
      <w:marBottom w:val="0"/>
      <w:divBdr>
        <w:top w:val="none" w:sz="0" w:space="0" w:color="auto"/>
        <w:left w:val="none" w:sz="0" w:space="0" w:color="auto"/>
        <w:bottom w:val="none" w:sz="0" w:space="0" w:color="auto"/>
        <w:right w:val="none" w:sz="0" w:space="0" w:color="auto"/>
      </w:divBdr>
    </w:div>
    <w:div w:id="243956763">
      <w:bodyDiv w:val="1"/>
      <w:marLeft w:val="0"/>
      <w:marRight w:val="0"/>
      <w:marTop w:val="0"/>
      <w:marBottom w:val="0"/>
      <w:divBdr>
        <w:top w:val="none" w:sz="0" w:space="0" w:color="auto"/>
        <w:left w:val="none" w:sz="0" w:space="0" w:color="auto"/>
        <w:bottom w:val="none" w:sz="0" w:space="0" w:color="auto"/>
        <w:right w:val="none" w:sz="0" w:space="0" w:color="auto"/>
      </w:divBdr>
    </w:div>
    <w:div w:id="279343700">
      <w:bodyDiv w:val="1"/>
      <w:marLeft w:val="0"/>
      <w:marRight w:val="0"/>
      <w:marTop w:val="0"/>
      <w:marBottom w:val="0"/>
      <w:divBdr>
        <w:top w:val="none" w:sz="0" w:space="0" w:color="auto"/>
        <w:left w:val="none" w:sz="0" w:space="0" w:color="auto"/>
        <w:bottom w:val="none" w:sz="0" w:space="0" w:color="auto"/>
        <w:right w:val="none" w:sz="0" w:space="0" w:color="auto"/>
      </w:divBdr>
    </w:div>
    <w:div w:id="287863123">
      <w:bodyDiv w:val="1"/>
      <w:marLeft w:val="0"/>
      <w:marRight w:val="0"/>
      <w:marTop w:val="0"/>
      <w:marBottom w:val="0"/>
      <w:divBdr>
        <w:top w:val="none" w:sz="0" w:space="0" w:color="auto"/>
        <w:left w:val="none" w:sz="0" w:space="0" w:color="auto"/>
        <w:bottom w:val="none" w:sz="0" w:space="0" w:color="auto"/>
        <w:right w:val="none" w:sz="0" w:space="0" w:color="auto"/>
      </w:divBdr>
    </w:div>
    <w:div w:id="306057352">
      <w:bodyDiv w:val="1"/>
      <w:marLeft w:val="0"/>
      <w:marRight w:val="0"/>
      <w:marTop w:val="0"/>
      <w:marBottom w:val="0"/>
      <w:divBdr>
        <w:top w:val="none" w:sz="0" w:space="0" w:color="auto"/>
        <w:left w:val="none" w:sz="0" w:space="0" w:color="auto"/>
        <w:bottom w:val="none" w:sz="0" w:space="0" w:color="auto"/>
        <w:right w:val="none" w:sz="0" w:space="0" w:color="auto"/>
      </w:divBdr>
    </w:div>
    <w:div w:id="315842753">
      <w:bodyDiv w:val="1"/>
      <w:marLeft w:val="0"/>
      <w:marRight w:val="0"/>
      <w:marTop w:val="0"/>
      <w:marBottom w:val="0"/>
      <w:divBdr>
        <w:top w:val="none" w:sz="0" w:space="0" w:color="auto"/>
        <w:left w:val="none" w:sz="0" w:space="0" w:color="auto"/>
        <w:bottom w:val="none" w:sz="0" w:space="0" w:color="auto"/>
        <w:right w:val="none" w:sz="0" w:space="0" w:color="auto"/>
      </w:divBdr>
    </w:div>
    <w:div w:id="372731944">
      <w:bodyDiv w:val="1"/>
      <w:marLeft w:val="0"/>
      <w:marRight w:val="0"/>
      <w:marTop w:val="0"/>
      <w:marBottom w:val="0"/>
      <w:divBdr>
        <w:top w:val="none" w:sz="0" w:space="0" w:color="auto"/>
        <w:left w:val="none" w:sz="0" w:space="0" w:color="auto"/>
        <w:bottom w:val="none" w:sz="0" w:space="0" w:color="auto"/>
        <w:right w:val="none" w:sz="0" w:space="0" w:color="auto"/>
      </w:divBdr>
    </w:div>
    <w:div w:id="377361001">
      <w:bodyDiv w:val="1"/>
      <w:marLeft w:val="0"/>
      <w:marRight w:val="0"/>
      <w:marTop w:val="0"/>
      <w:marBottom w:val="0"/>
      <w:divBdr>
        <w:top w:val="none" w:sz="0" w:space="0" w:color="auto"/>
        <w:left w:val="none" w:sz="0" w:space="0" w:color="auto"/>
        <w:bottom w:val="none" w:sz="0" w:space="0" w:color="auto"/>
        <w:right w:val="none" w:sz="0" w:space="0" w:color="auto"/>
      </w:divBdr>
    </w:div>
    <w:div w:id="383795308">
      <w:bodyDiv w:val="1"/>
      <w:marLeft w:val="0"/>
      <w:marRight w:val="0"/>
      <w:marTop w:val="0"/>
      <w:marBottom w:val="0"/>
      <w:divBdr>
        <w:top w:val="none" w:sz="0" w:space="0" w:color="auto"/>
        <w:left w:val="none" w:sz="0" w:space="0" w:color="auto"/>
        <w:bottom w:val="none" w:sz="0" w:space="0" w:color="auto"/>
        <w:right w:val="none" w:sz="0" w:space="0" w:color="auto"/>
      </w:divBdr>
    </w:div>
    <w:div w:id="386955746">
      <w:bodyDiv w:val="1"/>
      <w:marLeft w:val="0"/>
      <w:marRight w:val="0"/>
      <w:marTop w:val="0"/>
      <w:marBottom w:val="0"/>
      <w:divBdr>
        <w:top w:val="none" w:sz="0" w:space="0" w:color="auto"/>
        <w:left w:val="none" w:sz="0" w:space="0" w:color="auto"/>
        <w:bottom w:val="none" w:sz="0" w:space="0" w:color="auto"/>
        <w:right w:val="none" w:sz="0" w:space="0" w:color="auto"/>
      </w:divBdr>
    </w:div>
    <w:div w:id="404843792">
      <w:bodyDiv w:val="1"/>
      <w:marLeft w:val="0"/>
      <w:marRight w:val="0"/>
      <w:marTop w:val="0"/>
      <w:marBottom w:val="0"/>
      <w:divBdr>
        <w:top w:val="none" w:sz="0" w:space="0" w:color="auto"/>
        <w:left w:val="none" w:sz="0" w:space="0" w:color="auto"/>
        <w:bottom w:val="none" w:sz="0" w:space="0" w:color="auto"/>
        <w:right w:val="none" w:sz="0" w:space="0" w:color="auto"/>
      </w:divBdr>
    </w:div>
    <w:div w:id="418019747">
      <w:bodyDiv w:val="1"/>
      <w:marLeft w:val="0"/>
      <w:marRight w:val="0"/>
      <w:marTop w:val="0"/>
      <w:marBottom w:val="0"/>
      <w:divBdr>
        <w:top w:val="none" w:sz="0" w:space="0" w:color="auto"/>
        <w:left w:val="none" w:sz="0" w:space="0" w:color="auto"/>
        <w:bottom w:val="none" w:sz="0" w:space="0" w:color="auto"/>
        <w:right w:val="none" w:sz="0" w:space="0" w:color="auto"/>
      </w:divBdr>
    </w:div>
    <w:div w:id="468941023">
      <w:bodyDiv w:val="1"/>
      <w:marLeft w:val="0"/>
      <w:marRight w:val="0"/>
      <w:marTop w:val="0"/>
      <w:marBottom w:val="0"/>
      <w:divBdr>
        <w:top w:val="none" w:sz="0" w:space="0" w:color="auto"/>
        <w:left w:val="none" w:sz="0" w:space="0" w:color="auto"/>
        <w:bottom w:val="none" w:sz="0" w:space="0" w:color="auto"/>
        <w:right w:val="none" w:sz="0" w:space="0" w:color="auto"/>
      </w:divBdr>
    </w:div>
    <w:div w:id="469321521">
      <w:bodyDiv w:val="1"/>
      <w:marLeft w:val="0"/>
      <w:marRight w:val="0"/>
      <w:marTop w:val="0"/>
      <w:marBottom w:val="0"/>
      <w:divBdr>
        <w:top w:val="none" w:sz="0" w:space="0" w:color="auto"/>
        <w:left w:val="none" w:sz="0" w:space="0" w:color="auto"/>
        <w:bottom w:val="none" w:sz="0" w:space="0" w:color="auto"/>
        <w:right w:val="none" w:sz="0" w:space="0" w:color="auto"/>
      </w:divBdr>
    </w:div>
    <w:div w:id="473646549">
      <w:bodyDiv w:val="1"/>
      <w:marLeft w:val="0"/>
      <w:marRight w:val="0"/>
      <w:marTop w:val="0"/>
      <w:marBottom w:val="0"/>
      <w:divBdr>
        <w:top w:val="none" w:sz="0" w:space="0" w:color="auto"/>
        <w:left w:val="none" w:sz="0" w:space="0" w:color="auto"/>
        <w:bottom w:val="none" w:sz="0" w:space="0" w:color="auto"/>
        <w:right w:val="none" w:sz="0" w:space="0" w:color="auto"/>
      </w:divBdr>
    </w:div>
    <w:div w:id="504707320">
      <w:bodyDiv w:val="1"/>
      <w:marLeft w:val="0"/>
      <w:marRight w:val="0"/>
      <w:marTop w:val="0"/>
      <w:marBottom w:val="0"/>
      <w:divBdr>
        <w:top w:val="none" w:sz="0" w:space="0" w:color="auto"/>
        <w:left w:val="none" w:sz="0" w:space="0" w:color="auto"/>
        <w:bottom w:val="none" w:sz="0" w:space="0" w:color="auto"/>
        <w:right w:val="none" w:sz="0" w:space="0" w:color="auto"/>
      </w:divBdr>
    </w:div>
    <w:div w:id="529294012">
      <w:bodyDiv w:val="1"/>
      <w:marLeft w:val="0"/>
      <w:marRight w:val="0"/>
      <w:marTop w:val="0"/>
      <w:marBottom w:val="0"/>
      <w:divBdr>
        <w:top w:val="none" w:sz="0" w:space="0" w:color="auto"/>
        <w:left w:val="none" w:sz="0" w:space="0" w:color="auto"/>
        <w:bottom w:val="none" w:sz="0" w:space="0" w:color="auto"/>
        <w:right w:val="none" w:sz="0" w:space="0" w:color="auto"/>
      </w:divBdr>
    </w:div>
    <w:div w:id="545919637">
      <w:bodyDiv w:val="1"/>
      <w:marLeft w:val="0"/>
      <w:marRight w:val="0"/>
      <w:marTop w:val="0"/>
      <w:marBottom w:val="0"/>
      <w:divBdr>
        <w:top w:val="none" w:sz="0" w:space="0" w:color="auto"/>
        <w:left w:val="none" w:sz="0" w:space="0" w:color="auto"/>
        <w:bottom w:val="none" w:sz="0" w:space="0" w:color="auto"/>
        <w:right w:val="none" w:sz="0" w:space="0" w:color="auto"/>
      </w:divBdr>
    </w:div>
    <w:div w:id="550193493">
      <w:bodyDiv w:val="1"/>
      <w:marLeft w:val="0"/>
      <w:marRight w:val="0"/>
      <w:marTop w:val="0"/>
      <w:marBottom w:val="0"/>
      <w:divBdr>
        <w:top w:val="none" w:sz="0" w:space="0" w:color="auto"/>
        <w:left w:val="none" w:sz="0" w:space="0" w:color="auto"/>
        <w:bottom w:val="none" w:sz="0" w:space="0" w:color="auto"/>
        <w:right w:val="none" w:sz="0" w:space="0" w:color="auto"/>
      </w:divBdr>
    </w:div>
    <w:div w:id="644817170">
      <w:bodyDiv w:val="1"/>
      <w:marLeft w:val="0"/>
      <w:marRight w:val="0"/>
      <w:marTop w:val="0"/>
      <w:marBottom w:val="0"/>
      <w:divBdr>
        <w:top w:val="none" w:sz="0" w:space="0" w:color="auto"/>
        <w:left w:val="none" w:sz="0" w:space="0" w:color="auto"/>
        <w:bottom w:val="none" w:sz="0" w:space="0" w:color="auto"/>
        <w:right w:val="none" w:sz="0" w:space="0" w:color="auto"/>
      </w:divBdr>
    </w:div>
    <w:div w:id="664284192">
      <w:bodyDiv w:val="1"/>
      <w:marLeft w:val="0"/>
      <w:marRight w:val="0"/>
      <w:marTop w:val="0"/>
      <w:marBottom w:val="0"/>
      <w:divBdr>
        <w:top w:val="none" w:sz="0" w:space="0" w:color="auto"/>
        <w:left w:val="none" w:sz="0" w:space="0" w:color="auto"/>
        <w:bottom w:val="none" w:sz="0" w:space="0" w:color="auto"/>
        <w:right w:val="none" w:sz="0" w:space="0" w:color="auto"/>
      </w:divBdr>
    </w:div>
    <w:div w:id="670985679">
      <w:bodyDiv w:val="1"/>
      <w:marLeft w:val="0"/>
      <w:marRight w:val="0"/>
      <w:marTop w:val="0"/>
      <w:marBottom w:val="0"/>
      <w:divBdr>
        <w:top w:val="none" w:sz="0" w:space="0" w:color="auto"/>
        <w:left w:val="none" w:sz="0" w:space="0" w:color="auto"/>
        <w:bottom w:val="none" w:sz="0" w:space="0" w:color="auto"/>
        <w:right w:val="none" w:sz="0" w:space="0" w:color="auto"/>
      </w:divBdr>
    </w:div>
    <w:div w:id="712849020">
      <w:bodyDiv w:val="1"/>
      <w:marLeft w:val="0"/>
      <w:marRight w:val="0"/>
      <w:marTop w:val="0"/>
      <w:marBottom w:val="0"/>
      <w:divBdr>
        <w:top w:val="none" w:sz="0" w:space="0" w:color="auto"/>
        <w:left w:val="none" w:sz="0" w:space="0" w:color="auto"/>
        <w:bottom w:val="none" w:sz="0" w:space="0" w:color="auto"/>
        <w:right w:val="none" w:sz="0" w:space="0" w:color="auto"/>
      </w:divBdr>
    </w:div>
    <w:div w:id="714545212">
      <w:bodyDiv w:val="1"/>
      <w:marLeft w:val="0"/>
      <w:marRight w:val="0"/>
      <w:marTop w:val="0"/>
      <w:marBottom w:val="0"/>
      <w:divBdr>
        <w:top w:val="none" w:sz="0" w:space="0" w:color="auto"/>
        <w:left w:val="none" w:sz="0" w:space="0" w:color="auto"/>
        <w:bottom w:val="none" w:sz="0" w:space="0" w:color="auto"/>
        <w:right w:val="none" w:sz="0" w:space="0" w:color="auto"/>
      </w:divBdr>
    </w:div>
    <w:div w:id="715274826">
      <w:bodyDiv w:val="1"/>
      <w:marLeft w:val="0"/>
      <w:marRight w:val="0"/>
      <w:marTop w:val="0"/>
      <w:marBottom w:val="0"/>
      <w:divBdr>
        <w:top w:val="none" w:sz="0" w:space="0" w:color="auto"/>
        <w:left w:val="none" w:sz="0" w:space="0" w:color="auto"/>
        <w:bottom w:val="none" w:sz="0" w:space="0" w:color="auto"/>
        <w:right w:val="none" w:sz="0" w:space="0" w:color="auto"/>
      </w:divBdr>
    </w:div>
    <w:div w:id="768353560">
      <w:bodyDiv w:val="1"/>
      <w:marLeft w:val="0"/>
      <w:marRight w:val="0"/>
      <w:marTop w:val="0"/>
      <w:marBottom w:val="0"/>
      <w:divBdr>
        <w:top w:val="none" w:sz="0" w:space="0" w:color="auto"/>
        <w:left w:val="none" w:sz="0" w:space="0" w:color="auto"/>
        <w:bottom w:val="none" w:sz="0" w:space="0" w:color="auto"/>
        <w:right w:val="none" w:sz="0" w:space="0" w:color="auto"/>
      </w:divBdr>
    </w:div>
    <w:div w:id="798108125">
      <w:bodyDiv w:val="1"/>
      <w:marLeft w:val="0"/>
      <w:marRight w:val="0"/>
      <w:marTop w:val="0"/>
      <w:marBottom w:val="0"/>
      <w:divBdr>
        <w:top w:val="none" w:sz="0" w:space="0" w:color="auto"/>
        <w:left w:val="none" w:sz="0" w:space="0" w:color="auto"/>
        <w:bottom w:val="none" w:sz="0" w:space="0" w:color="auto"/>
        <w:right w:val="none" w:sz="0" w:space="0" w:color="auto"/>
      </w:divBdr>
    </w:div>
    <w:div w:id="815806599">
      <w:bodyDiv w:val="1"/>
      <w:marLeft w:val="0"/>
      <w:marRight w:val="0"/>
      <w:marTop w:val="0"/>
      <w:marBottom w:val="0"/>
      <w:divBdr>
        <w:top w:val="none" w:sz="0" w:space="0" w:color="auto"/>
        <w:left w:val="none" w:sz="0" w:space="0" w:color="auto"/>
        <w:bottom w:val="none" w:sz="0" w:space="0" w:color="auto"/>
        <w:right w:val="none" w:sz="0" w:space="0" w:color="auto"/>
      </w:divBdr>
    </w:div>
    <w:div w:id="881403247">
      <w:bodyDiv w:val="1"/>
      <w:marLeft w:val="0"/>
      <w:marRight w:val="0"/>
      <w:marTop w:val="0"/>
      <w:marBottom w:val="0"/>
      <w:divBdr>
        <w:top w:val="none" w:sz="0" w:space="0" w:color="auto"/>
        <w:left w:val="none" w:sz="0" w:space="0" w:color="auto"/>
        <w:bottom w:val="none" w:sz="0" w:space="0" w:color="auto"/>
        <w:right w:val="none" w:sz="0" w:space="0" w:color="auto"/>
      </w:divBdr>
    </w:div>
    <w:div w:id="886331520">
      <w:bodyDiv w:val="1"/>
      <w:marLeft w:val="0"/>
      <w:marRight w:val="0"/>
      <w:marTop w:val="0"/>
      <w:marBottom w:val="0"/>
      <w:divBdr>
        <w:top w:val="none" w:sz="0" w:space="0" w:color="auto"/>
        <w:left w:val="none" w:sz="0" w:space="0" w:color="auto"/>
        <w:bottom w:val="none" w:sz="0" w:space="0" w:color="auto"/>
        <w:right w:val="none" w:sz="0" w:space="0" w:color="auto"/>
      </w:divBdr>
    </w:div>
    <w:div w:id="890070229">
      <w:bodyDiv w:val="1"/>
      <w:marLeft w:val="0"/>
      <w:marRight w:val="0"/>
      <w:marTop w:val="0"/>
      <w:marBottom w:val="0"/>
      <w:divBdr>
        <w:top w:val="none" w:sz="0" w:space="0" w:color="auto"/>
        <w:left w:val="none" w:sz="0" w:space="0" w:color="auto"/>
        <w:bottom w:val="none" w:sz="0" w:space="0" w:color="auto"/>
        <w:right w:val="none" w:sz="0" w:space="0" w:color="auto"/>
      </w:divBdr>
    </w:div>
    <w:div w:id="891892274">
      <w:bodyDiv w:val="1"/>
      <w:marLeft w:val="0"/>
      <w:marRight w:val="0"/>
      <w:marTop w:val="0"/>
      <w:marBottom w:val="0"/>
      <w:divBdr>
        <w:top w:val="none" w:sz="0" w:space="0" w:color="auto"/>
        <w:left w:val="none" w:sz="0" w:space="0" w:color="auto"/>
        <w:bottom w:val="none" w:sz="0" w:space="0" w:color="auto"/>
        <w:right w:val="none" w:sz="0" w:space="0" w:color="auto"/>
      </w:divBdr>
    </w:div>
    <w:div w:id="897399469">
      <w:bodyDiv w:val="1"/>
      <w:marLeft w:val="0"/>
      <w:marRight w:val="0"/>
      <w:marTop w:val="0"/>
      <w:marBottom w:val="0"/>
      <w:divBdr>
        <w:top w:val="none" w:sz="0" w:space="0" w:color="auto"/>
        <w:left w:val="none" w:sz="0" w:space="0" w:color="auto"/>
        <w:bottom w:val="none" w:sz="0" w:space="0" w:color="auto"/>
        <w:right w:val="none" w:sz="0" w:space="0" w:color="auto"/>
      </w:divBdr>
    </w:div>
    <w:div w:id="899750264">
      <w:bodyDiv w:val="1"/>
      <w:marLeft w:val="0"/>
      <w:marRight w:val="0"/>
      <w:marTop w:val="0"/>
      <w:marBottom w:val="0"/>
      <w:divBdr>
        <w:top w:val="none" w:sz="0" w:space="0" w:color="auto"/>
        <w:left w:val="none" w:sz="0" w:space="0" w:color="auto"/>
        <w:bottom w:val="none" w:sz="0" w:space="0" w:color="auto"/>
        <w:right w:val="none" w:sz="0" w:space="0" w:color="auto"/>
      </w:divBdr>
    </w:div>
    <w:div w:id="907958719">
      <w:bodyDiv w:val="1"/>
      <w:marLeft w:val="0"/>
      <w:marRight w:val="0"/>
      <w:marTop w:val="0"/>
      <w:marBottom w:val="0"/>
      <w:divBdr>
        <w:top w:val="none" w:sz="0" w:space="0" w:color="auto"/>
        <w:left w:val="none" w:sz="0" w:space="0" w:color="auto"/>
        <w:bottom w:val="none" w:sz="0" w:space="0" w:color="auto"/>
        <w:right w:val="none" w:sz="0" w:space="0" w:color="auto"/>
      </w:divBdr>
    </w:div>
    <w:div w:id="912205669">
      <w:bodyDiv w:val="1"/>
      <w:marLeft w:val="0"/>
      <w:marRight w:val="0"/>
      <w:marTop w:val="0"/>
      <w:marBottom w:val="0"/>
      <w:divBdr>
        <w:top w:val="none" w:sz="0" w:space="0" w:color="auto"/>
        <w:left w:val="none" w:sz="0" w:space="0" w:color="auto"/>
        <w:bottom w:val="none" w:sz="0" w:space="0" w:color="auto"/>
        <w:right w:val="none" w:sz="0" w:space="0" w:color="auto"/>
      </w:divBdr>
    </w:div>
    <w:div w:id="920260775">
      <w:bodyDiv w:val="1"/>
      <w:marLeft w:val="0"/>
      <w:marRight w:val="0"/>
      <w:marTop w:val="0"/>
      <w:marBottom w:val="0"/>
      <w:divBdr>
        <w:top w:val="none" w:sz="0" w:space="0" w:color="auto"/>
        <w:left w:val="none" w:sz="0" w:space="0" w:color="auto"/>
        <w:bottom w:val="none" w:sz="0" w:space="0" w:color="auto"/>
        <w:right w:val="none" w:sz="0" w:space="0" w:color="auto"/>
      </w:divBdr>
    </w:div>
    <w:div w:id="931665331">
      <w:bodyDiv w:val="1"/>
      <w:marLeft w:val="0"/>
      <w:marRight w:val="0"/>
      <w:marTop w:val="0"/>
      <w:marBottom w:val="0"/>
      <w:divBdr>
        <w:top w:val="none" w:sz="0" w:space="0" w:color="auto"/>
        <w:left w:val="none" w:sz="0" w:space="0" w:color="auto"/>
        <w:bottom w:val="none" w:sz="0" w:space="0" w:color="auto"/>
        <w:right w:val="none" w:sz="0" w:space="0" w:color="auto"/>
      </w:divBdr>
    </w:div>
    <w:div w:id="959461262">
      <w:bodyDiv w:val="1"/>
      <w:marLeft w:val="0"/>
      <w:marRight w:val="0"/>
      <w:marTop w:val="0"/>
      <w:marBottom w:val="0"/>
      <w:divBdr>
        <w:top w:val="none" w:sz="0" w:space="0" w:color="auto"/>
        <w:left w:val="none" w:sz="0" w:space="0" w:color="auto"/>
        <w:bottom w:val="none" w:sz="0" w:space="0" w:color="auto"/>
        <w:right w:val="none" w:sz="0" w:space="0" w:color="auto"/>
      </w:divBdr>
    </w:div>
    <w:div w:id="961227747">
      <w:bodyDiv w:val="1"/>
      <w:marLeft w:val="0"/>
      <w:marRight w:val="0"/>
      <w:marTop w:val="0"/>
      <w:marBottom w:val="0"/>
      <w:divBdr>
        <w:top w:val="none" w:sz="0" w:space="0" w:color="auto"/>
        <w:left w:val="none" w:sz="0" w:space="0" w:color="auto"/>
        <w:bottom w:val="none" w:sz="0" w:space="0" w:color="auto"/>
        <w:right w:val="none" w:sz="0" w:space="0" w:color="auto"/>
      </w:divBdr>
    </w:div>
    <w:div w:id="961613185">
      <w:bodyDiv w:val="1"/>
      <w:marLeft w:val="0"/>
      <w:marRight w:val="0"/>
      <w:marTop w:val="0"/>
      <w:marBottom w:val="0"/>
      <w:divBdr>
        <w:top w:val="none" w:sz="0" w:space="0" w:color="auto"/>
        <w:left w:val="none" w:sz="0" w:space="0" w:color="auto"/>
        <w:bottom w:val="none" w:sz="0" w:space="0" w:color="auto"/>
        <w:right w:val="none" w:sz="0" w:space="0" w:color="auto"/>
      </w:divBdr>
    </w:div>
    <w:div w:id="992180983">
      <w:bodyDiv w:val="1"/>
      <w:marLeft w:val="0"/>
      <w:marRight w:val="0"/>
      <w:marTop w:val="0"/>
      <w:marBottom w:val="0"/>
      <w:divBdr>
        <w:top w:val="none" w:sz="0" w:space="0" w:color="auto"/>
        <w:left w:val="none" w:sz="0" w:space="0" w:color="auto"/>
        <w:bottom w:val="none" w:sz="0" w:space="0" w:color="auto"/>
        <w:right w:val="none" w:sz="0" w:space="0" w:color="auto"/>
      </w:divBdr>
    </w:div>
    <w:div w:id="1002511034">
      <w:bodyDiv w:val="1"/>
      <w:marLeft w:val="0"/>
      <w:marRight w:val="0"/>
      <w:marTop w:val="0"/>
      <w:marBottom w:val="0"/>
      <w:divBdr>
        <w:top w:val="none" w:sz="0" w:space="0" w:color="auto"/>
        <w:left w:val="none" w:sz="0" w:space="0" w:color="auto"/>
        <w:bottom w:val="none" w:sz="0" w:space="0" w:color="auto"/>
        <w:right w:val="none" w:sz="0" w:space="0" w:color="auto"/>
      </w:divBdr>
    </w:div>
    <w:div w:id="1009023951">
      <w:bodyDiv w:val="1"/>
      <w:marLeft w:val="0"/>
      <w:marRight w:val="0"/>
      <w:marTop w:val="0"/>
      <w:marBottom w:val="0"/>
      <w:divBdr>
        <w:top w:val="none" w:sz="0" w:space="0" w:color="auto"/>
        <w:left w:val="none" w:sz="0" w:space="0" w:color="auto"/>
        <w:bottom w:val="none" w:sz="0" w:space="0" w:color="auto"/>
        <w:right w:val="none" w:sz="0" w:space="0" w:color="auto"/>
      </w:divBdr>
    </w:div>
    <w:div w:id="1022367203">
      <w:bodyDiv w:val="1"/>
      <w:marLeft w:val="0"/>
      <w:marRight w:val="0"/>
      <w:marTop w:val="0"/>
      <w:marBottom w:val="0"/>
      <w:divBdr>
        <w:top w:val="none" w:sz="0" w:space="0" w:color="auto"/>
        <w:left w:val="none" w:sz="0" w:space="0" w:color="auto"/>
        <w:bottom w:val="none" w:sz="0" w:space="0" w:color="auto"/>
        <w:right w:val="none" w:sz="0" w:space="0" w:color="auto"/>
      </w:divBdr>
    </w:div>
    <w:div w:id="1032071515">
      <w:bodyDiv w:val="1"/>
      <w:marLeft w:val="0"/>
      <w:marRight w:val="0"/>
      <w:marTop w:val="0"/>
      <w:marBottom w:val="0"/>
      <w:divBdr>
        <w:top w:val="none" w:sz="0" w:space="0" w:color="auto"/>
        <w:left w:val="none" w:sz="0" w:space="0" w:color="auto"/>
        <w:bottom w:val="none" w:sz="0" w:space="0" w:color="auto"/>
        <w:right w:val="none" w:sz="0" w:space="0" w:color="auto"/>
      </w:divBdr>
    </w:div>
    <w:div w:id="1032995675">
      <w:bodyDiv w:val="1"/>
      <w:marLeft w:val="0"/>
      <w:marRight w:val="0"/>
      <w:marTop w:val="0"/>
      <w:marBottom w:val="0"/>
      <w:divBdr>
        <w:top w:val="none" w:sz="0" w:space="0" w:color="auto"/>
        <w:left w:val="none" w:sz="0" w:space="0" w:color="auto"/>
        <w:bottom w:val="none" w:sz="0" w:space="0" w:color="auto"/>
        <w:right w:val="none" w:sz="0" w:space="0" w:color="auto"/>
      </w:divBdr>
    </w:div>
    <w:div w:id="1045720479">
      <w:bodyDiv w:val="1"/>
      <w:marLeft w:val="0"/>
      <w:marRight w:val="0"/>
      <w:marTop w:val="0"/>
      <w:marBottom w:val="0"/>
      <w:divBdr>
        <w:top w:val="none" w:sz="0" w:space="0" w:color="auto"/>
        <w:left w:val="none" w:sz="0" w:space="0" w:color="auto"/>
        <w:bottom w:val="none" w:sz="0" w:space="0" w:color="auto"/>
        <w:right w:val="none" w:sz="0" w:space="0" w:color="auto"/>
      </w:divBdr>
    </w:div>
    <w:div w:id="1046680549">
      <w:bodyDiv w:val="1"/>
      <w:marLeft w:val="0"/>
      <w:marRight w:val="0"/>
      <w:marTop w:val="0"/>
      <w:marBottom w:val="0"/>
      <w:divBdr>
        <w:top w:val="none" w:sz="0" w:space="0" w:color="auto"/>
        <w:left w:val="none" w:sz="0" w:space="0" w:color="auto"/>
        <w:bottom w:val="none" w:sz="0" w:space="0" w:color="auto"/>
        <w:right w:val="none" w:sz="0" w:space="0" w:color="auto"/>
      </w:divBdr>
    </w:div>
    <w:div w:id="1105609775">
      <w:bodyDiv w:val="1"/>
      <w:marLeft w:val="0"/>
      <w:marRight w:val="0"/>
      <w:marTop w:val="0"/>
      <w:marBottom w:val="0"/>
      <w:divBdr>
        <w:top w:val="none" w:sz="0" w:space="0" w:color="auto"/>
        <w:left w:val="none" w:sz="0" w:space="0" w:color="auto"/>
        <w:bottom w:val="none" w:sz="0" w:space="0" w:color="auto"/>
        <w:right w:val="none" w:sz="0" w:space="0" w:color="auto"/>
      </w:divBdr>
    </w:div>
    <w:div w:id="1110273000">
      <w:bodyDiv w:val="1"/>
      <w:marLeft w:val="0"/>
      <w:marRight w:val="0"/>
      <w:marTop w:val="0"/>
      <w:marBottom w:val="0"/>
      <w:divBdr>
        <w:top w:val="none" w:sz="0" w:space="0" w:color="auto"/>
        <w:left w:val="none" w:sz="0" w:space="0" w:color="auto"/>
        <w:bottom w:val="none" w:sz="0" w:space="0" w:color="auto"/>
        <w:right w:val="none" w:sz="0" w:space="0" w:color="auto"/>
      </w:divBdr>
    </w:div>
    <w:div w:id="1110318087">
      <w:bodyDiv w:val="1"/>
      <w:marLeft w:val="0"/>
      <w:marRight w:val="0"/>
      <w:marTop w:val="0"/>
      <w:marBottom w:val="0"/>
      <w:divBdr>
        <w:top w:val="none" w:sz="0" w:space="0" w:color="auto"/>
        <w:left w:val="none" w:sz="0" w:space="0" w:color="auto"/>
        <w:bottom w:val="none" w:sz="0" w:space="0" w:color="auto"/>
        <w:right w:val="none" w:sz="0" w:space="0" w:color="auto"/>
      </w:divBdr>
    </w:div>
    <w:div w:id="1139958285">
      <w:bodyDiv w:val="1"/>
      <w:marLeft w:val="0"/>
      <w:marRight w:val="0"/>
      <w:marTop w:val="0"/>
      <w:marBottom w:val="0"/>
      <w:divBdr>
        <w:top w:val="none" w:sz="0" w:space="0" w:color="auto"/>
        <w:left w:val="none" w:sz="0" w:space="0" w:color="auto"/>
        <w:bottom w:val="none" w:sz="0" w:space="0" w:color="auto"/>
        <w:right w:val="none" w:sz="0" w:space="0" w:color="auto"/>
      </w:divBdr>
    </w:div>
    <w:div w:id="1213998846">
      <w:bodyDiv w:val="1"/>
      <w:marLeft w:val="0"/>
      <w:marRight w:val="0"/>
      <w:marTop w:val="0"/>
      <w:marBottom w:val="0"/>
      <w:divBdr>
        <w:top w:val="none" w:sz="0" w:space="0" w:color="auto"/>
        <w:left w:val="none" w:sz="0" w:space="0" w:color="auto"/>
        <w:bottom w:val="none" w:sz="0" w:space="0" w:color="auto"/>
        <w:right w:val="none" w:sz="0" w:space="0" w:color="auto"/>
      </w:divBdr>
    </w:div>
    <w:div w:id="1222524481">
      <w:bodyDiv w:val="1"/>
      <w:marLeft w:val="0"/>
      <w:marRight w:val="0"/>
      <w:marTop w:val="0"/>
      <w:marBottom w:val="0"/>
      <w:divBdr>
        <w:top w:val="none" w:sz="0" w:space="0" w:color="auto"/>
        <w:left w:val="none" w:sz="0" w:space="0" w:color="auto"/>
        <w:bottom w:val="none" w:sz="0" w:space="0" w:color="auto"/>
        <w:right w:val="none" w:sz="0" w:space="0" w:color="auto"/>
      </w:divBdr>
    </w:div>
    <w:div w:id="1239441747">
      <w:bodyDiv w:val="1"/>
      <w:marLeft w:val="0"/>
      <w:marRight w:val="0"/>
      <w:marTop w:val="0"/>
      <w:marBottom w:val="0"/>
      <w:divBdr>
        <w:top w:val="none" w:sz="0" w:space="0" w:color="auto"/>
        <w:left w:val="none" w:sz="0" w:space="0" w:color="auto"/>
        <w:bottom w:val="none" w:sz="0" w:space="0" w:color="auto"/>
        <w:right w:val="none" w:sz="0" w:space="0" w:color="auto"/>
      </w:divBdr>
    </w:div>
    <w:div w:id="1242912252">
      <w:bodyDiv w:val="1"/>
      <w:marLeft w:val="0"/>
      <w:marRight w:val="0"/>
      <w:marTop w:val="0"/>
      <w:marBottom w:val="0"/>
      <w:divBdr>
        <w:top w:val="none" w:sz="0" w:space="0" w:color="auto"/>
        <w:left w:val="none" w:sz="0" w:space="0" w:color="auto"/>
        <w:bottom w:val="none" w:sz="0" w:space="0" w:color="auto"/>
        <w:right w:val="none" w:sz="0" w:space="0" w:color="auto"/>
      </w:divBdr>
    </w:div>
    <w:div w:id="1252163146">
      <w:bodyDiv w:val="1"/>
      <w:marLeft w:val="0"/>
      <w:marRight w:val="0"/>
      <w:marTop w:val="0"/>
      <w:marBottom w:val="0"/>
      <w:divBdr>
        <w:top w:val="none" w:sz="0" w:space="0" w:color="auto"/>
        <w:left w:val="none" w:sz="0" w:space="0" w:color="auto"/>
        <w:bottom w:val="none" w:sz="0" w:space="0" w:color="auto"/>
        <w:right w:val="none" w:sz="0" w:space="0" w:color="auto"/>
      </w:divBdr>
    </w:div>
    <w:div w:id="1252852344">
      <w:bodyDiv w:val="1"/>
      <w:marLeft w:val="0"/>
      <w:marRight w:val="0"/>
      <w:marTop w:val="0"/>
      <w:marBottom w:val="0"/>
      <w:divBdr>
        <w:top w:val="none" w:sz="0" w:space="0" w:color="auto"/>
        <w:left w:val="none" w:sz="0" w:space="0" w:color="auto"/>
        <w:bottom w:val="none" w:sz="0" w:space="0" w:color="auto"/>
        <w:right w:val="none" w:sz="0" w:space="0" w:color="auto"/>
      </w:divBdr>
    </w:div>
    <w:div w:id="1256867426">
      <w:bodyDiv w:val="1"/>
      <w:marLeft w:val="0"/>
      <w:marRight w:val="0"/>
      <w:marTop w:val="0"/>
      <w:marBottom w:val="0"/>
      <w:divBdr>
        <w:top w:val="none" w:sz="0" w:space="0" w:color="auto"/>
        <w:left w:val="none" w:sz="0" w:space="0" w:color="auto"/>
        <w:bottom w:val="none" w:sz="0" w:space="0" w:color="auto"/>
        <w:right w:val="none" w:sz="0" w:space="0" w:color="auto"/>
      </w:divBdr>
    </w:div>
    <w:div w:id="1279026908">
      <w:bodyDiv w:val="1"/>
      <w:marLeft w:val="0"/>
      <w:marRight w:val="0"/>
      <w:marTop w:val="0"/>
      <w:marBottom w:val="0"/>
      <w:divBdr>
        <w:top w:val="none" w:sz="0" w:space="0" w:color="auto"/>
        <w:left w:val="none" w:sz="0" w:space="0" w:color="auto"/>
        <w:bottom w:val="none" w:sz="0" w:space="0" w:color="auto"/>
        <w:right w:val="none" w:sz="0" w:space="0" w:color="auto"/>
      </w:divBdr>
    </w:div>
    <w:div w:id="1298102404">
      <w:bodyDiv w:val="1"/>
      <w:marLeft w:val="0"/>
      <w:marRight w:val="0"/>
      <w:marTop w:val="0"/>
      <w:marBottom w:val="0"/>
      <w:divBdr>
        <w:top w:val="none" w:sz="0" w:space="0" w:color="auto"/>
        <w:left w:val="none" w:sz="0" w:space="0" w:color="auto"/>
        <w:bottom w:val="none" w:sz="0" w:space="0" w:color="auto"/>
        <w:right w:val="none" w:sz="0" w:space="0" w:color="auto"/>
      </w:divBdr>
    </w:div>
    <w:div w:id="1299338563">
      <w:bodyDiv w:val="1"/>
      <w:marLeft w:val="0"/>
      <w:marRight w:val="0"/>
      <w:marTop w:val="0"/>
      <w:marBottom w:val="0"/>
      <w:divBdr>
        <w:top w:val="none" w:sz="0" w:space="0" w:color="auto"/>
        <w:left w:val="none" w:sz="0" w:space="0" w:color="auto"/>
        <w:bottom w:val="none" w:sz="0" w:space="0" w:color="auto"/>
        <w:right w:val="none" w:sz="0" w:space="0" w:color="auto"/>
      </w:divBdr>
    </w:div>
    <w:div w:id="1310867082">
      <w:bodyDiv w:val="1"/>
      <w:marLeft w:val="0"/>
      <w:marRight w:val="0"/>
      <w:marTop w:val="0"/>
      <w:marBottom w:val="0"/>
      <w:divBdr>
        <w:top w:val="none" w:sz="0" w:space="0" w:color="auto"/>
        <w:left w:val="none" w:sz="0" w:space="0" w:color="auto"/>
        <w:bottom w:val="none" w:sz="0" w:space="0" w:color="auto"/>
        <w:right w:val="none" w:sz="0" w:space="0" w:color="auto"/>
      </w:divBdr>
    </w:div>
    <w:div w:id="1312906907">
      <w:bodyDiv w:val="1"/>
      <w:marLeft w:val="0"/>
      <w:marRight w:val="0"/>
      <w:marTop w:val="0"/>
      <w:marBottom w:val="0"/>
      <w:divBdr>
        <w:top w:val="none" w:sz="0" w:space="0" w:color="auto"/>
        <w:left w:val="none" w:sz="0" w:space="0" w:color="auto"/>
        <w:bottom w:val="none" w:sz="0" w:space="0" w:color="auto"/>
        <w:right w:val="none" w:sz="0" w:space="0" w:color="auto"/>
      </w:divBdr>
    </w:div>
    <w:div w:id="1316453241">
      <w:bodyDiv w:val="1"/>
      <w:marLeft w:val="0"/>
      <w:marRight w:val="0"/>
      <w:marTop w:val="0"/>
      <w:marBottom w:val="0"/>
      <w:divBdr>
        <w:top w:val="none" w:sz="0" w:space="0" w:color="auto"/>
        <w:left w:val="none" w:sz="0" w:space="0" w:color="auto"/>
        <w:bottom w:val="none" w:sz="0" w:space="0" w:color="auto"/>
        <w:right w:val="none" w:sz="0" w:space="0" w:color="auto"/>
      </w:divBdr>
    </w:div>
    <w:div w:id="1317879585">
      <w:bodyDiv w:val="1"/>
      <w:marLeft w:val="0"/>
      <w:marRight w:val="0"/>
      <w:marTop w:val="0"/>
      <w:marBottom w:val="0"/>
      <w:divBdr>
        <w:top w:val="none" w:sz="0" w:space="0" w:color="auto"/>
        <w:left w:val="none" w:sz="0" w:space="0" w:color="auto"/>
        <w:bottom w:val="none" w:sz="0" w:space="0" w:color="auto"/>
        <w:right w:val="none" w:sz="0" w:space="0" w:color="auto"/>
      </w:divBdr>
    </w:div>
    <w:div w:id="1344624178">
      <w:bodyDiv w:val="1"/>
      <w:marLeft w:val="0"/>
      <w:marRight w:val="0"/>
      <w:marTop w:val="0"/>
      <w:marBottom w:val="0"/>
      <w:divBdr>
        <w:top w:val="none" w:sz="0" w:space="0" w:color="auto"/>
        <w:left w:val="none" w:sz="0" w:space="0" w:color="auto"/>
        <w:bottom w:val="none" w:sz="0" w:space="0" w:color="auto"/>
        <w:right w:val="none" w:sz="0" w:space="0" w:color="auto"/>
      </w:divBdr>
    </w:div>
    <w:div w:id="1426924776">
      <w:bodyDiv w:val="1"/>
      <w:marLeft w:val="0"/>
      <w:marRight w:val="0"/>
      <w:marTop w:val="0"/>
      <w:marBottom w:val="0"/>
      <w:divBdr>
        <w:top w:val="none" w:sz="0" w:space="0" w:color="auto"/>
        <w:left w:val="none" w:sz="0" w:space="0" w:color="auto"/>
        <w:bottom w:val="none" w:sz="0" w:space="0" w:color="auto"/>
        <w:right w:val="none" w:sz="0" w:space="0" w:color="auto"/>
      </w:divBdr>
    </w:div>
    <w:div w:id="1429620806">
      <w:bodyDiv w:val="1"/>
      <w:marLeft w:val="0"/>
      <w:marRight w:val="0"/>
      <w:marTop w:val="0"/>
      <w:marBottom w:val="0"/>
      <w:divBdr>
        <w:top w:val="none" w:sz="0" w:space="0" w:color="auto"/>
        <w:left w:val="none" w:sz="0" w:space="0" w:color="auto"/>
        <w:bottom w:val="none" w:sz="0" w:space="0" w:color="auto"/>
        <w:right w:val="none" w:sz="0" w:space="0" w:color="auto"/>
      </w:divBdr>
    </w:div>
    <w:div w:id="1493981067">
      <w:bodyDiv w:val="1"/>
      <w:marLeft w:val="0"/>
      <w:marRight w:val="0"/>
      <w:marTop w:val="0"/>
      <w:marBottom w:val="0"/>
      <w:divBdr>
        <w:top w:val="none" w:sz="0" w:space="0" w:color="auto"/>
        <w:left w:val="none" w:sz="0" w:space="0" w:color="auto"/>
        <w:bottom w:val="none" w:sz="0" w:space="0" w:color="auto"/>
        <w:right w:val="none" w:sz="0" w:space="0" w:color="auto"/>
      </w:divBdr>
    </w:div>
    <w:div w:id="1497109953">
      <w:bodyDiv w:val="1"/>
      <w:marLeft w:val="0"/>
      <w:marRight w:val="0"/>
      <w:marTop w:val="0"/>
      <w:marBottom w:val="0"/>
      <w:divBdr>
        <w:top w:val="none" w:sz="0" w:space="0" w:color="auto"/>
        <w:left w:val="none" w:sz="0" w:space="0" w:color="auto"/>
        <w:bottom w:val="none" w:sz="0" w:space="0" w:color="auto"/>
        <w:right w:val="none" w:sz="0" w:space="0" w:color="auto"/>
      </w:divBdr>
    </w:div>
    <w:div w:id="1506550399">
      <w:bodyDiv w:val="1"/>
      <w:marLeft w:val="0"/>
      <w:marRight w:val="0"/>
      <w:marTop w:val="0"/>
      <w:marBottom w:val="0"/>
      <w:divBdr>
        <w:top w:val="none" w:sz="0" w:space="0" w:color="auto"/>
        <w:left w:val="none" w:sz="0" w:space="0" w:color="auto"/>
        <w:bottom w:val="none" w:sz="0" w:space="0" w:color="auto"/>
        <w:right w:val="none" w:sz="0" w:space="0" w:color="auto"/>
      </w:divBdr>
    </w:div>
    <w:div w:id="1517453027">
      <w:bodyDiv w:val="1"/>
      <w:marLeft w:val="0"/>
      <w:marRight w:val="0"/>
      <w:marTop w:val="0"/>
      <w:marBottom w:val="0"/>
      <w:divBdr>
        <w:top w:val="none" w:sz="0" w:space="0" w:color="auto"/>
        <w:left w:val="none" w:sz="0" w:space="0" w:color="auto"/>
        <w:bottom w:val="none" w:sz="0" w:space="0" w:color="auto"/>
        <w:right w:val="none" w:sz="0" w:space="0" w:color="auto"/>
      </w:divBdr>
    </w:div>
    <w:div w:id="1551072144">
      <w:bodyDiv w:val="1"/>
      <w:marLeft w:val="0"/>
      <w:marRight w:val="0"/>
      <w:marTop w:val="0"/>
      <w:marBottom w:val="0"/>
      <w:divBdr>
        <w:top w:val="none" w:sz="0" w:space="0" w:color="auto"/>
        <w:left w:val="none" w:sz="0" w:space="0" w:color="auto"/>
        <w:bottom w:val="none" w:sz="0" w:space="0" w:color="auto"/>
        <w:right w:val="none" w:sz="0" w:space="0" w:color="auto"/>
      </w:divBdr>
    </w:div>
    <w:div w:id="1578860445">
      <w:bodyDiv w:val="1"/>
      <w:marLeft w:val="0"/>
      <w:marRight w:val="0"/>
      <w:marTop w:val="0"/>
      <w:marBottom w:val="0"/>
      <w:divBdr>
        <w:top w:val="none" w:sz="0" w:space="0" w:color="auto"/>
        <w:left w:val="none" w:sz="0" w:space="0" w:color="auto"/>
        <w:bottom w:val="none" w:sz="0" w:space="0" w:color="auto"/>
        <w:right w:val="none" w:sz="0" w:space="0" w:color="auto"/>
      </w:divBdr>
    </w:div>
    <w:div w:id="1636831831">
      <w:bodyDiv w:val="1"/>
      <w:marLeft w:val="0"/>
      <w:marRight w:val="0"/>
      <w:marTop w:val="0"/>
      <w:marBottom w:val="0"/>
      <w:divBdr>
        <w:top w:val="none" w:sz="0" w:space="0" w:color="auto"/>
        <w:left w:val="none" w:sz="0" w:space="0" w:color="auto"/>
        <w:bottom w:val="none" w:sz="0" w:space="0" w:color="auto"/>
        <w:right w:val="none" w:sz="0" w:space="0" w:color="auto"/>
      </w:divBdr>
    </w:div>
    <w:div w:id="1668481862">
      <w:bodyDiv w:val="1"/>
      <w:marLeft w:val="0"/>
      <w:marRight w:val="0"/>
      <w:marTop w:val="0"/>
      <w:marBottom w:val="0"/>
      <w:divBdr>
        <w:top w:val="none" w:sz="0" w:space="0" w:color="auto"/>
        <w:left w:val="none" w:sz="0" w:space="0" w:color="auto"/>
        <w:bottom w:val="none" w:sz="0" w:space="0" w:color="auto"/>
        <w:right w:val="none" w:sz="0" w:space="0" w:color="auto"/>
      </w:divBdr>
    </w:div>
    <w:div w:id="1709791326">
      <w:bodyDiv w:val="1"/>
      <w:marLeft w:val="0"/>
      <w:marRight w:val="0"/>
      <w:marTop w:val="0"/>
      <w:marBottom w:val="0"/>
      <w:divBdr>
        <w:top w:val="none" w:sz="0" w:space="0" w:color="auto"/>
        <w:left w:val="none" w:sz="0" w:space="0" w:color="auto"/>
        <w:bottom w:val="none" w:sz="0" w:space="0" w:color="auto"/>
        <w:right w:val="none" w:sz="0" w:space="0" w:color="auto"/>
      </w:divBdr>
    </w:div>
    <w:div w:id="1756900437">
      <w:bodyDiv w:val="1"/>
      <w:marLeft w:val="0"/>
      <w:marRight w:val="0"/>
      <w:marTop w:val="0"/>
      <w:marBottom w:val="0"/>
      <w:divBdr>
        <w:top w:val="none" w:sz="0" w:space="0" w:color="auto"/>
        <w:left w:val="none" w:sz="0" w:space="0" w:color="auto"/>
        <w:bottom w:val="none" w:sz="0" w:space="0" w:color="auto"/>
        <w:right w:val="none" w:sz="0" w:space="0" w:color="auto"/>
      </w:divBdr>
    </w:div>
    <w:div w:id="1761440743">
      <w:bodyDiv w:val="1"/>
      <w:marLeft w:val="0"/>
      <w:marRight w:val="0"/>
      <w:marTop w:val="0"/>
      <w:marBottom w:val="0"/>
      <w:divBdr>
        <w:top w:val="none" w:sz="0" w:space="0" w:color="auto"/>
        <w:left w:val="none" w:sz="0" w:space="0" w:color="auto"/>
        <w:bottom w:val="none" w:sz="0" w:space="0" w:color="auto"/>
        <w:right w:val="none" w:sz="0" w:space="0" w:color="auto"/>
      </w:divBdr>
    </w:div>
    <w:div w:id="1762289402">
      <w:bodyDiv w:val="1"/>
      <w:marLeft w:val="0"/>
      <w:marRight w:val="0"/>
      <w:marTop w:val="0"/>
      <w:marBottom w:val="0"/>
      <w:divBdr>
        <w:top w:val="none" w:sz="0" w:space="0" w:color="auto"/>
        <w:left w:val="none" w:sz="0" w:space="0" w:color="auto"/>
        <w:bottom w:val="none" w:sz="0" w:space="0" w:color="auto"/>
        <w:right w:val="none" w:sz="0" w:space="0" w:color="auto"/>
      </w:divBdr>
    </w:div>
    <w:div w:id="1790322776">
      <w:bodyDiv w:val="1"/>
      <w:marLeft w:val="0"/>
      <w:marRight w:val="0"/>
      <w:marTop w:val="0"/>
      <w:marBottom w:val="0"/>
      <w:divBdr>
        <w:top w:val="none" w:sz="0" w:space="0" w:color="auto"/>
        <w:left w:val="none" w:sz="0" w:space="0" w:color="auto"/>
        <w:bottom w:val="none" w:sz="0" w:space="0" w:color="auto"/>
        <w:right w:val="none" w:sz="0" w:space="0" w:color="auto"/>
      </w:divBdr>
    </w:div>
    <w:div w:id="1794859668">
      <w:bodyDiv w:val="1"/>
      <w:marLeft w:val="0"/>
      <w:marRight w:val="0"/>
      <w:marTop w:val="0"/>
      <w:marBottom w:val="0"/>
      <w:divBdr>
        <w:top w:val="none" w:sz="0" w:space="0" w:color="auto"/>
        <w:left w:val="none" w:sz="0" w:space="0" w:color="auto"/>
        <w:bottom w:val="none" w:sz="0" w:space="0" w:color="auto"/>
        <w:right w:val="none" w:sz="0" w:space="0" w:color="auto"/>
      </w:divBdr>
    </w:div>
    <w:div w:id="1827286313">
      <w:bodyDiv w:val="1"/>
      <w:marLeft w:val="0"/>
      <w:marRight w:val="0"/>
      <w:marTop w:val="0"/>
      <w:marBottom w:val="0"/>
      <w:divBdr>
        <w:top w:val="none" w:sz="0" w:space="0" w:color="auto"/>
        <w:left w:val="none" w:sz="0" w:space="0" w:color="auto"/>
        <w:bottom w:val="none" w:sz="0" w:space="0" w:color="auto"/>
        <w:right w:val="none" w:sz="0" w:space="0" w:color="auto"/>
      </w:divBdr>
    </w:div>
    <w:div w:id="1835563700">
      <w:bodyDiv w:val="1"/>
      <w:marLeft w:val="0"/>
      <w:marRight w:val="0"/>
      <w:marTop w:val="0"/>
      <w:marBottom w:val="0"/>
      <w:divBdr>
        <w:top w:val="none" w:sz="0" w:space="0" w:color="auto"/>
        <w:left w:val="none" w:sz="0" w:space="0" w:color="auto"/>
        <w:bottom w:val="none" w:sz="0" w:space="0" w:color="auto"/>
        <w:right w:val="none" w:sz="0" w:space="0" w:color="auto"/>
      </w:divBdr>
    </w:div>
    <w:div w:id="1841777243">
      <w:bodyDiv w:val="1"/>
      <w:marLeft w:val="0"/>
      <w:marRight w:val="0"/>
      <w:marTop w:val="0"/>
      <w:marBottom w:val="0"/>
      <w:divBdr>
        <w:top w:val="none" w:sz="0" w:space="0" w:color="auto"/>
        <w:left w:val="none" w:sz="0" w:space="0" w:color="auto"/>
        <w:bottom w:val="none" w:sz="0" w:space="0" w:color="auto"/>
        <w:right w:val="none" w:sz="0" w:space="0" w:color="auto"/>
      </w:divBdr>
    </w:div>
    <w:div w:id="1863130275">
      <w:bodyDiv w:val="1"/>
      <w:marLeft w:val="0"/>
      <w:marRight w:val="0"/>
      <w:marTop w:val="0"/>
      <w:marBottom w:val="0"/>
      <w:divBdr>
        <w:top w:val="none" w:sz="0" w:space="0" w:color="auto"/>
        <w:left w:val="none" w:sz="0" w:space="0" w:color="auto"/>
        <w:bottom w:val="none" w:sz="0" w:space="0" w:color="auto"/>
        <w:right w:val="none" w:sz="0" w:space="0" w:color="auto"/>
      </w:divBdr>
    </w:div>
    <w:div w:id="1865551850">
      <w:bodyDiv w:val="1"/>
      <w:marLeft w:val="0"/>
      <w:marRight w:val="0"/>
      <w:marTop w:val="0"/>
      <w:marBottom w:val="0"/>
      <w:divBdr>
        <w:top w:val="none" w:sz="0" w:space="0" w:color="auto"/>
        <w:left w:val="none" w:sz="0" w:space="0" w:color="auto"/>
        <w:bottom w:val="none" w:sz="0" w:space="0" w:color="auto"/>
        <w:right w:val="none" w:sz="0" w:space="0" w:color="auto"/>
      </w:divBdr>
    </w:div>
    <w:div w:id="1894389306">
      <w:bodyDiv w:val="1"/>
      <w:marLeft w:val="0"/>
      <w:marRight w:val="0"/>
      <w:marTop w:val="0"/>
      <w:marBottom w:val="0"/>
      <w:divBdr>
        <w:top w:val="none" w:sz="0" w:space="0" w:color="auto"/>
        <w:left w:val="none" w:sz="0" w:space="0" w:color="auto"/>
        <w:bottom w:val="none" w:sz="0" w:space="0" w:color="auto"/>
        <w:right w:val="none" w:sz="0" w:space="0" w:color="auto"/>
      </w:divBdr>
    </w:div>
    <w:div w:id="1926524051">
      <w:bodyDiv w:val="1"/>
      <w:marLeft w:val="0"/>
      <w:marRight w:val="0"/>
      <w:marTop w:val="0"/>
      <w:marBottom w:val="0"/>
      <w:divBdr>
        <w:top w:val="none" w:sz="0" w:space="0" w:color="auto"/>
        <w:left w:val="none" w:sz="0" w:space="0" w:color="auto"/>
        <w:bottom w:val="none" w:sz="0" w:space="0" w:color="auto"/>
        <w:right w:val="none" w:sz="0" w:space="0" w:color="auto"/>
      </w:divBdr>
    </w:div>
    <w:div w:id="1973636533">
      <w:bodyDiv w:val="1"/>
      <w:marLeft w:val="0"/>
      <w:marRight w:val="0"/>
      <w:marTop w:val="0"/>
      <w:marBottom w:val="0"/>
      <w:divBdr>
        <w:top w:val="none" w:sz="0" w:space="0" w:color="auto"/>
        <w:left w:val="none" w:sz="0" w:space="0" w:color="auto"/>
        <w:bottom w:val="none" w:sz="0" w:space="0" w:color="auto"/>
        <w:right w:val="none" w:sz="0" w:space="0" w:color="auto"/>
      </w:divBdr>
    </w:div>
    <w:div w:id="1983074622">
      <w:bodyDiv w:val="1"/>
      <w:marLeft w:val="0"/>
      <w:marRight w:val="0"/>
      <w:marTop w:val="0"/>
      <w:marBottom w:val="0"/>
      <w:divBdr>
        <w:top w:val="none" w:sz="0" w:space="0" w:color="auto"/>
        <w:left w:val="none" w:sz="0" w:space="0" w:color="auto"/>
        <w:bottom w:val="none" w:sz="0" w:space="0" w:color="auto"/>
        <w:right w:val="none" w:sz="0" w:space="0" w:color="auto"/>
      </w:divBdr>
    </w:div>
    <w:div w:id="1984043386">
      <w:bodyDiv w:val="1"/>
      <w:marLeft w:val="0"/>
      <w:marRight w:val="0"/>
      <w:marTop w:val="0"/>
      <w:marBottom w:val="0"/>
      <w:divBdr>
        <w:top w:val="none" w:sz="0" w:space="0" w:color="auto"/>
        <w:left w:val="none" w:sz="0" w:space="0" w:color="auto"/>
        <w:bottom w:val="none" w:sz="0" w:space="0" w:color="auto"/>
        <w:right w:val="none" w:sz="0" w:space="0" w:color="auto"/>
      </w:divBdr>
    </w:div>
    <w:div w:id="2046787527">
      <w:bodyDiv w:val="1"/>
      <w:marLeft w:val="0"/>
      <w:marRight w:val="0"/>
      <w:marTop w:val="0"/>
      <w:marBottom w:val="0"/>
      <w:divBdr>
        <w:top w:val="none" w:sz="0" w:space="0" w:color="auto"/>
        <w:left w:val="none" w:sz="0" w:space="0" w:color="auto"/>
        <w:bottom w:val="none" w:sz="0" w:space="0" w:color="auto"/>
        <w:right w:val="none" w:sz="0" w:space="0" w:color="auto"/>
      </w:divBdr>
    </w:div>
    <w:div w:id="2074230669">
      <w:bodyDiv w:val="1"/>
      <w:marLeft w:val="0"/>
      <w:marRight w:val="0"/>
      <w:marTop w:val="0"/>
      <w:marBottom w:val="0"/>
      <w:divBdr>
        <w:top w:val="none" w:sz="0" w:space="0" w:color="auto"/>
        <w:left w:val="none" w:sz="0" w:space="0" w:color="auto"/>
        <w:bottom w:val="none" w:sz="0" w:space="0" w:color="auto"/>
        <w:right w:val="none" w:sz="0" w:space="0" w:color="auto"/>
      </w:divBdr>
    </w:div>
    <w:div w:id="2075423550">
      <w:bodyDiv w:val="1"/>
      <w:marLeft w:val="0"/>
      <w:marRight w:val="0"/>
      <w:marTop w:val="0"/>
      <w:marBottom w:val="0"/>
      <w:divBdr>
        <w:top w:val="none" w:sz="0" w:space="0" w:color="auto"/>
        <w:left w:val="none" w:sz="0" w:space="0" w:color="auto"/>
        <w:bottom w:val="none" w:sz="0" w:space="0" w:color="auto"/>
        <w:right w:val="none" w:sz="0" w:space="0" w:color="auto"/>
      </w:divBdr>
    </w:div>
    <w:div w:id="2109037528">
      <w:bodyDiv w:val="1"/>
      <w:marLeft w:val="0"/>
      <w:marRight w:val="0"/>
      <w:marTop w:val="0"/>
      <w:marBottom w:val="0"/>
      <w:divBdr>
        <w:top w:val="none" w:sz="0" w:space="0" w:color="auto"/>
        <w:left w:val="none" w:sz="0" w:space="0" w:color="auto"/>
        <w:bottom w:val="none" w:sz="0" w:space="0" w:color="auto"/>
        <w:right w:val="none" w:sz="0" w:space="0" w:color="auto"/>
      </w:divBdr>
    </w:div>
    <w:div w:id="2133593223">
      <w:bodyDiv w:val="1"/>
      <w:marLeft w:val="0"/>
      <w:marRight w:val="0"/>
      <w:marTop w:val="0"/>
      <w:marBottom w:val="0"/>
      <w:divBdr>
        <w:top w:val="none" w:sz="0" w:space="0" w:color="auto"/>
        <w:left w:val="none" w:sz="0" w:space="0" w:color="auto"/>
        <w:bottom w:val="none" w:sz="0" w:space="0" w:color="auto"/>
        <w:right w:val="none" w:sz="0" w:space="0" w:color="auto"/>
      </w:divBdr>
    </w:div>
    <w:div w:id="2135253038">
      <w:bodyDiv w:val="1"/>
      <w:marLeft w:val="0"/>
      <w:marRight w:val="0"/>
      <w:marTop w:val="0"/>
      <w:marBottom w:val="0"/>
      <w:divBdr>
        <w:top w:val="none" w:sz="0" w:space="0" w:color="auto"/>
        <w:left w:val="none" w:sz="0" w:space="0" w:color="auto"/>
        <w:bottom w:val="none" w:sz="0" w:space="0" w:color="auto"/>
        <w:right w:val="none" w:sz="0" w:space="0" w:color="auto"/>
      </w:divBdr>
    </w:div>
    <w:div w:id="213814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footer" Target="footer2.xml"/><Relationship Id="rId26" Type="http://schemas.openxmlformats.org/officeDocument/2006/relationships/image" Target="media/image10.emf"/><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chart" Target="charts/chart5.xml"/><Relationship Id="rId42" Type="http://schemas.openxmlformats.org/officeDocument/2006/relationships/chart" Target="charts/chart7.xml"/><Relationship Id="rId47" Type="http://schemas.openxmlformats.org/officeDocument/2006/relationships/footer" Target="footer8.xml"/><Relationship Id="rId50" Type="http://schemas.openxmlformats.org/officeDocument/2006/relationships/package" Target="embeddings/List_aplikace_Microsoft_Excel7.xlsx"/><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footer" Target="footer6.xml"/><Relationship Id="rId46" Type="http://schemas.openxmlformats.org/officeDocument/2006/relationships/image" Target="media/image19.w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package" Target="embeddings/List_aplikace_Microsoft_Excel2.xlsx"/><Relationship Id="rId29" Type="http://schemas.openxmlformats.org/officeDocument/2006/relationships/footer" Target="footer4.xml"/><Relationship Id="rId41" Type="http://schemas.openxmlformats.org/officeDocument/2006/relationships/footer" Target="foot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emf"/><Relationship Id="rId32" Type="http://schemas.openxmlformats.org/officeDocument/2006/relationships/footer" Target="footer5.xml"/><Relationship Id="rId37" Type="http://schemas.openxmlformats.org/officeDocument/2006/relationships/image" Target="media/image15.emf"/><Relationship Id="rId40" Type="http://schemas.openxmlformats.org/officeDocument/2006/relationships/package" Target="embeddings/List_aplikace_Microsoft_Excel6.xlsx"/><Relationship Id="rId45" Type="http://schemas.openxmlformats.org/officeDocument/2006/relationships/image" Target="media/image18.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4.xml"/><Relationship Id="rId28" Type="http://schemas.openxmlformats.org/officeDocument/2006/relationships/image" Target="media/image11.emf"/><Relationship Id="rId36" Type="http://schemas.openxmlformats.org/officeDocument/2006/relationships/chart" Target="charts/chart6.xml"/><Relationship Id="rId49" Type="http://schemas.openxmlformats.org/officeDocument/2006/relationships/image" Target="media/image20.emf"/><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package" Target="embeddings/List_aplikace_Microsoft_Excel5.xlsx"/><Relationship Id="rId44" Type="http://schemas.openxmlformats.org/officeDocument/2006/relationships/image" Target="media/image17.wmf"/><Relationship Id="rId52"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chart" Target="charts/chart3.xml"/><Relationship Id="rId27" Type="http://schemas.openxmlformats.org/officeDocument/2006/relationships/package" Target="embeddings/List_aplikace_Microsoft_Excel4.xlsx"/><Relationship Id="rId30" Type="http://schemas.openxmlformats.org/officeDocument/2006/relationships/image" Target="media/image12.emf"/><Relationship Id="rId35" Type="http://schemas.openxmlformats.org/officeDocument/2006/relationships/image" Target="media/image14.emf"/><Relationship Id="rId43" Type="http://schemas.openxmlformats.org/officeDocument/2006/relationships/chart" Target="charts/chart8.xml"/><Relationship Id="rId48"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oleObject" Target="file:///\\srv-fst\fs\15161\!!___BM_2016\_&#381;elm&#237;ra\Zprava%20z%20BM\PITNA%20VODA_vlastnici_grafy_tabulky_180117_hodnoty.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List_aplikac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3.xlsx"/></Relationships>
</file>

<file path=word/charts/_rels/chart4.xml.rels><?xml version="1.0" encoding="UTF-8" standalone="yes"?>
<Relationships xmlns="http://schemas.openxmlformats.org/package/2006/relationships"><Relationship Id="rId1" Type="http://schemas.openxmlformats.org/officeDocument/2006/relationships/oleObject" Target="file:///\\srv-fst\fs\15161\!!___BM_2016\_&#381;elm&#237;ra\Zprava%20z%20BM\Odpadni%20voda_vlastnici_grafy_tabulk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srv-fst\fs\15161\!!___BM_2016\_&#381;elm&#237;ra\Zprava%20z%20BM\excel_priprava\PITN&#193;%20VODA_anom&#225;lie_ano_PROVOZOVATELE_kontrola.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srv-fst\fs\15161\!!___BM_2016\_&#381;elm&#237;ra\Zprava%20z%20BM\PITN&#193;%20VODA_anom&#225;lie_ano_PROVOZOVATELE_kontrol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1" Type="http://schemas.openxmlformats.org/officeDocument/2006/relationships/oleObject" Target="file:///\\srv-fst\fs\15161\!!___BM_2016\_&#381;elm&#237;ra\Zprava%20z%20BM\PITN&#193;%20VODA_anom&#225;lie_ano_PROVOZOVATELE_kontrol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srv-fst\fs\15161\!!___BM_2016\_&#381;elm&#237;ra\Zprava%20z%20BM\excel_priprava\ODPADN&#205;%20VODA_anom&#225;lie_provoz_kontrola_1801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srv-fst\fs\15161\!!___BM_2016\_&#381;elm&#237;ra\Zprava%20z%20BM\excel_priprava\ODPADN&#205;%20VODA_anom&#225;lie_provoz_kontrola_1801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050" b="1" i="0" cap="small" baseline="0">
                <a:solidFill>
                  <a:srgbClr val="002060"/>
                </a:solidFill>
                <a:latin typeface="Calibri Light" pitchFamily="34" charset="0"/>
              </a:defRPr>
            </a:pPr>
            <a:r>
              <a:rPr lang="sk-SK" sz="1050" b="1" i="0" cap="small" baseline="0">
                <a:solidFill>
                  <a:srgbClr val="002060"/>
                </a:solidFill>
                <a:latin typeface="Calibri Light" pitchFamily="34" charset="0"/>
              </a:rPr>
              <a:t>Benchmarking vlastnictkých subjektů 2016 - vodovod</a:t>
            </a:r>
          </a:p>
          <a:p>
            <a:pPr algn="l">
              <a:defRPr sz="1050" b="1" i="0" cap="small" baseline="0">
                <a:solidFill>
                  <a:srgbClr val="002060"/>
                </a:solidFill>
                <a:latin typeface="Calibri Light" pitchFamily="34" charset="0"/>
              </a:defRPr>
            </a:pPr>
            <a:r>
              <a:rPr lang="sk-SK" sz="1050" b="1" i="0" cap="small" baseline="0">
                <a:solidFill>
                  <a:srgbClr val="002060"/>
                </a:solidFill>
                <a:latin typeface="Calibri Light" pitchFamily="34" charset="0"/>
              </a:rPr>
              <a:t>- Výskyt alespoň jedné anomálie podle množství pitné vody  </a:t>
            </a:r>
            <a:r>
              <a:rPr lang="sk-SK" sz="1050" b="1" i="0" u="none" strike="noStrike" cap="small" baseline="0">
                <a:solidFill>
                  <a:srgbClr val="002060"/>
                </a:solidFill>
                <a:effectLst/>
              </a:rPr>
              <a:t>fakturované ; </a:t>
            </a:r>
            <a:br>
              <a:rPr lang="sk-SK" sz="1050" b="1" i="0" u="none" strike="noStrike" cap="small" baseline="0">
                <a:solidFill>
                  <a:srgbClr val="002060"/>
                </a:solidFill>
                <a:effectLst/>
              </a:rPr>
            </a:br>
            <a:r>
              <a:rPr lang="sk-SK" sz="1050" b="1" i="0" u="none" strike="noStrike" cap="small" baseline="0">
                <a:solidFill>
                  <a:srgbClr val="002060"/>
                </a:solidFill>
                <a:effectLst/>
              </a:rPr>
              <a:t>podíl k objemu analyzovaného trhu  447,10 mil. m</a:t>
            </a:r>
            <a:r>
              <a:rPr lang="sk-SK" sz="1050" b="1" i="0" u="none" strike="noStrike" cap="small" baseline="30000">
                <a:solidFill>
                  <a:srgbClr val="002060"/>
                </a:solidFill>
                <a:effectLst/>
              </a:rPr>
              <a:t>3</a:t>
            </a:r>
            <a:endParaRPr lang="sk-SK" sz="1050" b="1" i="0" cap="small" baseline="30000">
              <a:solidFill>
                <a:srgbClr val="002060"/>
              </a:solidFill>
              <a:latin typeface="Calibri Light" pitchFamily="34" charset="0"/>
            </a:endParaRPr>
          </a:p>
        </c:rich>
      </c:tx>
      <c:layout>
        <c:manualLayout>
          <c:xMode val="edge"/>
          <c:yMode val="edge"/>
          <c:x val="2.1576589117154217E-3"/>
          <c:y val="5.7740006190394892E-4"/>
        </c:manualLayout>
      </c:layout>
      <c:overlay val="1"/>
    </c:title>
    <c:autoTitleDeleted val="0"/>
    <c:plotArea>
      <c:layout>
        <c:manualLayout>
          <c:layoutTarget val="inner"/>
          <c:xMode val="edge"/>
          <c:yMode val="edge"/>
          <c:x val="0.24722350333293056"/>
          <c:y val="0.16501566336466003"/>
          <c:w val="0.5397908316830643"/>
          <c:h val="0.71315569953544278"/>
        </c:manualLayout>
      </c:layout>
      <c:pieChart>
        <c:varyColors val="1"/>
        <c:ser>
          <c:idx val="0"/>
          <c:order val="0"/>
          <c:explosion val="15"/>
          <c:dPt>
            <c:idx val="0"/>
            <c:bubble3D val="0"/>
            <c:explosion val="0"/>
            <c:spPr>
              <a:solidFill>
                <a:schemeClr val="accent5">
                  <a:lumMod val="60000"/>
                  <a:lumOff val="40000"/>
                </a:schemeClr>
              </a:solidFill>
            </c:spPr>
          </c:dPt>
          <c:dPt>
            <c:idx val="1"/>
            <c:bubble3D val="0"/>
            <c:explosion val="17"/>
          </c:dPt>
          <c:dLbls>
            <c:dLbl>
              <c:idx val="0"/>
              <c:layout>
                <c:manualLayout>
                  <c:x val="-0.20927988737898756"/>
                  <c:y val="-1.5902374974148922E-2"/>
                </c:manualLayout>
              </c:layout>
              <c:tx>
                <c:rich>
                  <a:bodyPr/>
                  <a:lstStyle/>
                  <a:p>
                    <a:fld id="{454C0F7E-0C85-4A55-B8F7-840A61A5077B}" type="VALUE">
                      <a:rPr lang="en-US" sz="1000"/>
                      <a:pPr/>
                      <a:t>[HODNOTA]</a:t>
                    </a:fld>
                    <a:r>
                      <a:rPr lang="en-US" sz="1000"/>
                      <a:t> mil. m</a:t>
                    </a:r>
                    <a:r>
                      <a:rPr lang="en-US" sz="1000" baseline="30000"/>
                      <a:t>3</a:t>
                    </a:r>
                    <a:r>
                      <a:rPr lang="en-US" sz="1000" baseline="0"/>
                      <a:t>; </a:t>
                    </a:r>
                  </a:p>
                  <a:p>
                    <a:fld id="{FCE4C652-2674-4591-B9C4-B93006A7DEB8}" type="PERCENTAGE">
                      <a:rPr lang="en-US" sz="1000" baseline="0"/>
                      <a:pPr/>
                      <a:t>[PROCENTO]</a:t>
                    </a:fld>
                    <a:endParaRPr lang="cs-CZ"/>
                  </a:p>
                </c:rich>
              </c:tx>
              <c:showLegendKey val="0"/>
              <c:showVal val="1"/>
              <c:showCatName val="0"/>
              <c:showSerName val="0"/>
              <c:showPercent val="1"/>
              <c:showBubbleSize val="0"/>
              <c:extLst>
                <c:ext xmlns:c15="http://schemas.microsoft.com/office/drawing/2012/chart" uri="{CE6537A1-D6FC-4f65-9D91-7224C49458BB}">
                  <c15:layout/>
                  <c15:dlblFieldTable/>
                  <c15:showDataLabelsRange val="0"/>
                </c:ext>
              </c:extLst>
            </c:dLbl>
            <c:dLbl>
              <c:idx val="1"/>
              <c:layout>
                <c:manualLayout>
                  <c:x val="0.20668834341004239"/>
                  <c:y val="2.8744529620206783E-2"/>
                </c:manualLayout>
              </c:layout>
              <c:tx>
                <c:rich>
                  <a:bodyPr/>
                  <a:lstStyle/>
                  <a:p>
                    <a:fld id="{454C0F7E-0C85-4A55-B8F7-840A61A5077B}" type="VALUE">
                      <a:rPr lang="en-US" sz="1000"/>
                      <a:pPr/>
                      <a:t>[HODNOTA]</a:t>
                    </a:fld>
                    <a:r>
                      <a:rPr lang="en-US" sz="1000"/>
                      <a:t> mil. m</a:t>
                    </a:r>
                    <a:r>
                      <a:rPr lang="en-US" sz="1000" baseline="30000"/>
                      <a:t>3</a:t>
                    </a:r>
                    <a:r>
                      <a:rPr lang="en-US" sz="1000" baseline="0"/>
                      <a:t>; </a:t>
                    </a:r>
                  </a:p>
                  <a:p>
                    <a:fld id="{FCE4C652-2674-4591-B9C4-B93006A7DEB8}" type="PERCENTAGE">
                      <a:rPr lang="en-US" sz="1000" baseline="0"/>
                      <a:pPr/>
                      <a:t>[PROCENTO]</a:t>
                    </a:fld>
                    <a:endParaRPr lang="cs-CZ"/>
                  </a:p>
                </c:rich>
              </c:tx>
              <c:showLegendKey val="0"/>
              <c:showVal val="1"/>
              <c:showCatName val="0"/>
              <c:showSerName val="0"/>
              <c:showPercent val="1"/>
              <c:showBubbleSize val="0"/>
              <c:extLst>
                <c:ext xmlns:c15="http://schemas.microsoft.com/office/drawing/2012/chart" uri="{CE6537A1-D6FC-4f65-9D91-7224C49458BB}">
                  <c15:layout/>
                  <c15:dlblFieldTable/>
                  <c15:showDataLabelsRange val="0"/>
                </c:ext>
              </c:extLst>
            </c:dLbl>
            <c:spPr>
              <a:noFill/>
              <a:ln>
                <a:noFill/>
              </a:ln>
              <a:effectLst/>
            </c:spPr>
            <c:txPr>
              <a:bodyPr wrap="square" lIns="38100" tIns="19050" rIns="38100" bIns="19050" anchor="ctr">
                <a:spAutoFit/>
              </a:bodyPr>
              <a:lstStyle/>
              <a:p>
                <a:pPr>
                  <a:defRPr sz="1000" b="1" baseline="0">
                    <a:solidFill>
                      <a:srgbClr val="002060"/>
                    </a:solidFill>
                  </a:defRPr>
                </a:pPr>
                <a:endParaRPr lang="cs-CZ"/>
              </a:p>
            </c:txPr>
            <c:showLegendKey val="0"/>
            <c:showVal val="1"/>
            <c:showCatName val="0"/>
            <c:showSerName val="0"/>
            <c:showPercent val="1"/>
            <c:showBubbleSize val="0"/>
            <c:showLeaderLines val="1"/>
            <c:extLst>
              <c:ext xmlns:c15="http://schemas.microsoft.com/office/drawing/2012/chart" uri="{CE6537A1-D6FC-4f65-9D91-7224C49458BB}"/>
            </c:extLst>
          </c:dLbls>
          <c:cat>
            <c:strRef>
              <c:f>'grafy tabulky'!$B$155:$C$155</c:f>
              <c:strCache>
                <c:ptCount val="2"/>
                <c:pt idx="0">
                  <c:v>Objem vody fakturované bez anomálií</c:v>
                </c:pt>
                <c:pt idx="1">
                  <c:v>Objem vody pitné fakturované (mil. m3) s výskytem alespoň jedné anomálie</c:v>
                </c:pt>
              </c:strCache>
            </c:strRef>
          </c:cat>
          <c:val>
            <c:numRef>
              <c:f>'grafy tabulky'!$B$162:$C$162</c:f>
              <c:numCache>
                <c:formatCode>#,##0.00</c:formatCode>
                <c:ptCount val="2"/>
                <c:pt idx="0">
                  <c:v>234.94293800000005</c:v>
                </c:pt>
                <c:pt idx="1">
                  <c:v>212.15342899999999</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egendEntry>
        <c:idx val="0"/>
        <c:txPr>
          <a:bodyPr anchor="t" anchorCtr="0"/>
          <a:lstStyle/>
          <a:p>
            <a:pPr>
              <a:defRPr sz="1000" b="0" cap="small" baseline="0">
                <a:ln w="0">
                  <a:solidFill>
                    <a:srgbClr val="002060"/>
                  </a:solidFill>
                </a:ln>
                <a:solidFill>
                  <a:srgbClr val="002060"/>
                </a:solidFill>
                <a:latin typeface="+mj-lt"/>
              </a:defRPr>
            </a:pPr>
            <a:endParaRPr lang="cs-CZ"/>
          </a:p>
        </c:txPr>
      </c:legendEntry>
      <c:legendEntry>
        <c:idx val="1"/>
        <c:txPr>
          <a:bodyPr anchor="t" anchorCtr="0"/>
          <a:lstStyle/>
          <a:p>
            <a:pPr>
              <a:defRPr sz="1000" b="0" cap="small" baseline="0">
                <a:ln w="0">
                  <a:solidFill>
                    <a:srgbClr val="002060"/>
                  </a:solidFill>
                </a:ln>
                <a:solidFill>
                  <a:srgbClr val="002060"/>
                </a:solidFill>
                <a:latin typeface="+mj-lt"/>
              </a:defRPr>
            </a:pPr>
            <a:endParaRPr lang="cs-CZ"/>
          </a:p>
        </c:txPr>
      </c:legendEntry>
      <c:layout>
        <c:manualLayout>
          <c:xMode val="edge"/>
          <c:yMode val="edge"/>
          <c:x val="0"/>
          <c:y val="0.87172301991662804"/>
          <c:w val="1"/>
          <c:h val="0.12827698008337191"/>
        </c:manualLayout>
      </c:layout>
      <c:overlay val="1"/>
      <c:txPr>
        <a:bodyPr anchor="t" anchorCtr="0"/>
        <a:lstStyle/>
        <a:p>
          <a:pPr>
            <a:defRPr sz="900" b="0" cap="small" baseline="0">
              <a:ln w="0">
                <a:solidFill>
                  <a:schemeClr val="accent2"/>
                </a:solidFill>
              </a:ln>
              <a:solidFill>
                <a:srgbClr val="002060"/>
              </a:solidFill>
              <a:latin typeface="+mj-lt"/>
            </a:defRPr>
          </a:pPr>
          <a:endParaRPr lang="cs-CZ"/>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cap="small" baseline="0">
                <a:solidFill>
                  <a:srgbClr val="002060"/>
                </a:solidFill>
                <a:latin typeface="+mj-lt"/>
                <a:ea typeface="+mn-ea"/>
                <a:cs typeface="+mn-cs"/>
              </a:defRPr>
            </a:pPr>
            <a:r>
              <a:rPr lang="cs-CZ" sz="1200" b="1" i="0" cap="all" baseline="0">
                <a:solidFill>
                  <a:srgbClr val="002060"/>
                </a:solidFill>
                <a:latin typeface="Calibri Light" pitchFamily="34" charset="0"/>
              </a:rPr>
              <a:t>VÝSKYT ANOMÁLIÍ VE VZTAHU K analyzovanému MNOŽSTVÍ</a:t>
            </a:r>
            <a:r>
              <a:rPr lang="cs-CZ" sz="1200" b="1" i="0" u="none" strike="noStrike" kern="1200" cap="all" baseline="0">
                <a:solidFill>
                  <a:srgbClr val="002060"/>
                </a:solidFill>
                <a:latin typeface="Calibri Light" pitchFamily="34" charset="0"/>
                <a:ea typeface="+mn-ea"/>
                <a:cs typeface="+mn-cs"/>
              </a:rPr>
              <a:t> </a:t>
            </a:r>
            <a:r>
              <a:rPr lang="cs-CZ" sz="1200" b="1" i="0" cap="all" baseline="0">
                <a:solidFill>
                  <a:srgbClr val="002060"/>
                </a:solidFill>
                <a:latin typeface="Calibri Light" pitchFamily="34" charset="0"/>
              </a:rPr>
              <a:t>vody pitné FAKTUROVANÉ </a:t>
            </a:r>
            <a:r>
              <a:rPr lang="en-US" sz="1200" b="1" i="0" cap="all" baseline="0">
                <a:solidFill>
                  <a:srgbClr val="002060"/>
                </a:solidFill>
                <a:latin typeface="Calibri Light" pitchFamily="34" charset="0"/>
              </a:rPr>
              <a:t>[MIL.</a:t>
            </a:r>
            <a:r>
              <a:rPr lang="en-US" sz="1200" b="1" i="0" u="none" strike="noStrike" kern="1200" cap="all" baseline="0">
                <a:solidFill>
                  <a:srgbClr val="002060"/>
                </a:solidFill>
                <a:latin typeface="Calibri Light" pitchFamily="34" charset="0"/>
                <a:ea typeface="+mn-ea"/>
                <a:cs typeface="+mn-cs"/>
              </a:rPr>
              <a:t> M3</a:t>
            </a:r>
            <a:r>
              <a:rPr lang="en-US" sz="1200" b="1" i="0" cap="all" baseline="0">
                <a:solidFill>
                  <a:srgbClr val="002060"/>
                </a:solidFill>
                <a:latin typeface="Calibri Light" pitchFamily="34" charset="0"/>
              </a:rPr>
              <a:t>]</a:t>
            </a:r>
            <a:r>
              <a:rPr lang="cs-CZ" sz="1200" b="1" i="0" cap="all" baseline="0">
                <a:solidFill>
                  <a:srgbClr val="002060"/>
                </a:solidFill>
                <a:latin typeface="Calibri Light" pitchFamily="34" charset="0"/>
              </a:rPr>
              <a:t> a</a:t>
            </a:r>
            <a:r>
              <a:rPr lang="cs-CZ" sz="1200" b="1" i="0" u="none" strike="noStrike" kern="1200" cap="all" baseline="0">
                <a:solidFill>
                  <a:srgbClr val="002060"/>
                </a:solidFill>
                <a:latin typeface="Calibri Light" pitchFamily="34" charset="0"/>
                <a:ea typeface="+mn-ea"/>
                <a:cs typeface="+mn-cs"/>
              </a:rPr>
              <a:t> </a:t>
            </a:r>
            <a:r>
              <a:rPr lang="cs-CZ" sz="1200" b="1" i="0" cap="all" baseline="0">
                <a:solidFill>
                  <a:srgbClr val="002060"/>
                </a:solidFill>
                <a:latin typeface="Calibri Light" pitchFamily="34" charset="0"/>
              </a:rPr>
              <a:t>% podíl analyzovaného trhu </a:t>
            </a:r>
            <a:endParaRPr lang="sk-SK" sz="1200" cap="all" baseline="0">
              <a:solidFill>
                <a:srgbClr val="002060"/>
              </a:solidFill>
              <a:latin typeface="Calibri Light" pitchFamily="34" charset="0"/>
            </a:endParaRPr>
          </a:p>
          <a:p>
            <a:pPr algn="l">
              <a:defRPr sz="1400" b="1" i="0" u="none" strike="noStrike" kern="1200" cap="small" baseline="0">
                <a:solidFill>
                  <a:srgbClr val="002060"/>
                </a:solidFill>
                <a:latin typeface="+mj-lt"/>
                <a:ea typeface="+mn-ea"/>
                <a:cs typeface="+mn-cs"/>
              </a:defRPr>
            </a:pPr>
            <a:r>
              <a:rPr lang="cs-CZ" sz="1200" b="1" i="0" cap="all" baseline="0">
                <a:solidFill>
                  <a:srgbClr val="002060"/>
                </a:solidFill>
                <a:latin typeface="Calibri Light" pitchFamily="34" charset="0"/>
              </a:rPr>
              <a:t>BENCHMARKING VLASTNICKÝCH SUBJEKTŮ 2016 - vodovod</a:t>
            </a:r>
            <a:endParaRPr lang="sk-SK" sz="1200" cap="all" baseline="0">
              <a:solidFill>
                <a:srgbClr val="002060"/>
              </a:solidFill>
              <a:latin typeface="Calibri Light" pitchFamily="34" charset="0"/>
            </a:endParaRPr>
          </a:p>
        </c:rich>
      </c:tx>
      <c:layout>
        <c:manualLayout>
          <c:xMode val="edge"/>
          <c:yMode val="edge"/>
          <c:x val="5.0024568846702413E-4"/>
          <c:y val="6.8008417051316989E-3"/>
        </c:manualLayout>
      </c:layout>
      <c:overlay val="0"/>
      <c:spPr>
        <a:noFill/>
        <a:ln>
          <a:noFill/>
        </a:ln>
        <a:effectLst/>
      </c:spPr>
    </c:title>
    <c:autoTitleDeleted val="0"/>
    <c:plotArea>
      <c:layout>
        <c:manualLayout>
          <c:layoutTarget val="inner"/>
          <c:xMode val="edge"/>
          <c:yMode val="edge"/>
          <c:x val="0.40317037824259733"/>
          <c:y val="0.14679172855331071"/>
          <c:w val="0.53673971987328661"/>
          <c:h val="0.76805533409238236"/>
        </c:manualLayout>
      </c:layout>
      <c:barChart>
        <c:barDir val="bar"/>
        <c:grouping val="percentStacked"/>
        <c:varyColors val="0"/>
        <c:ser>
          <c:idx val="0"/>
          <c:order val="0"/>
          <c:tx>
            <c:strRef>
              <c:f>'grafy tabulky'!$B$86</c:f>
              <c:strCache>
                <c:ptCount val="1"/>
                <c:pt idx="0">
                  <c:v>NALEZENA ANOMÁLIE</c:v>
                </c:pt>
              </c:strCache>
            </c:strRef>
          </c:tx>
          <c:spPr>
            <a:solidFill>
              <a:srgbClr val="FF0000"/>
            </a:solidFill>
            <a:ln>
              <a:solidFill>
                <a:srgbClr val="FF0000"/>
              </a:solidFill>
            </a:ln>
            <a:effectLst/>
          </c:spPr>
          <c:invertIfNegative val="0"/>
          <c:dLbls>
            <c:dLbl>
              <c:idx val="0"/>
              <c:layout>
                <c:manualLayout>
                  <c:x val="0.16935035344508309"/>
                  <c:y val="-6.4175602080747656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r>
                      <a:rPr lang="en-US" sz="900" b="1" i="0" u="none" strike="noStrike" kern="1200" baseline="0">
                        <a:solidFill>
                          <a:srgbClr val="002060"/>
                        </a:solidFill>
                      </a:rPr>
                      <a:t>0%; 3 výskyty</a:t>
                    </a: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3.3854198457750916E-2"/>
                    </c:manualLayout>
                  </c15:layout>
                  <c15:dlblFieldTable/>
                  <c15:showDataLabelsRange val="1"/>
                </c:ext>
              </c:extLst>
            </c:dLbl>
            <c:dLbl>
              <c:idx val="1"/>
              <c:layout>
                <c:manualLayout>
                  <c:x val="0.16935035344508309"/>
                  <c:y val="-6.4175602080747656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r>
                      <a:rPr lang="en-US" b="1" i="0">
                        <a:solidFill>
                          <a:srgbClr val="002060"/>
                        </a:solidFill>
                      </a:rPr>
                      <a:t>0%; 3 výskyty</a:t>
                    </a: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3.3854198457750916E-2"/>
                    </c:manualLayout>
                  </c15:layout>
                  <c15:dlblFieldTable/>
                  <c15:showDataLabelsRange val="1"/>
                </c:ext>
              </c:extLst>
            </c:dLbl>
            <c:dLbl>
              <c:idx val="2"/>
              <c:layout>
                <c:manualLayout>
                  <c:x val="0.16935035344508317"/>
                  <c:y val="7.937315329123910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3"/>
              <c:layout>
                <c:manualLayout>
                  <c:x val="0.16935035344508317"/>
                  <c:y val="7.937315329123910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4"/>
              <c:layout>
                <c:manualLayout>
                  <c:x val="0.16935035344508317"/>
                  <c:y val="7.93731532912285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5"/>
              <c:layout>
                <c:manualLayout>
                  <c:x val="0.16935035344508317"/>
                  <c:y val="7.937315329123910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6"/>
              <c:layout>
                <c:manualLayout>
                  <c:x val="0.16935035344508317"/>
                  <c:y val="7.937315329123910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7"/>
              <c:layout>
                <c:manualLayout>
                  <c:x val="0.16935035344508317"/>
                  <c:y val="7.93731532912285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8"/>
              <c:layout>
                <c:manualLayout>
                  <c:x val="0.16935035344508317"/>
                  <c:y val="7.937315329123910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9"/>
              <c:layout>
                <c:manualLayout>
                  <c:x val="0.16935035344508317"/>
                  <c:y val="7.9373153291233849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10"/>
              <c:layout>
                <c:manualLayout>
                  <c:x val="0.16935035344508317"/>
                  <c:y val="7.9373153291233849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11"/>
              <c:layout>
                <c:manualLayout>
                  <c:x val="0.16935035344508317"/>
                  <c:y val="7.9373153291239108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dLbl>
              <c:idx val="12"/>
              <c:layout>
                <c:manualLayout>
                  <c:x val="0.16935035344508317"/>
                  <c:y val="7.9373153291236484E-4"/>
                </c:manualLayout>
              </c:layout>
              <c:tx>
                <c:rich>
                  <a:bodyPr/>
                  <a:lstStyle/>
                  <a:p>
                    <a:fld id="{B4C1B928-520C-4704-B9A9-2CD81744BD1E}" type="VALUE">
                      <a:rPr lang="en-US" sz="900" b="1" i="0" u="none" strike="noStrike" kern="1200" baseline="0">
                        <a:solidFill>
                          <a:srgbClr val="FF0000"/>
                        </a:solidFill>
                      </a:rPr>
                      <a:pPr/>
                      <a:t>[HODNOTA]</a:t>
                    </a:fld>
                    <a:r>
                      <a:rPr lang="en-US" sz="900" b="1" i="0" u="none" strike="noStrike" kern="1200" baseline="0">
                        <a:solidFill>
                          <a:srgbClr val="FF0000"/>
                        </a:solidFill>
                      </a:rPr>
                      <a:t> mil.</a:t>
                    </a:r>
                    <a:r>
                      <a:rPr lang="en-US" sz="900" b="1" i="0" u="none" strike="noStrike" kern="1200" baseline="0">
                        <a:solidFill>
                          <a:srgbClr val="FF0000"/>
                        </a:solidFill>
                        <a:latin typeface="+mn-lt"/>
                        <a:ea typeface="+mn-ea"/>
                        <a:cs typeface="+mn-cs"/>
                      </a:rPr>
                      <a:t> m3</a:t>
                    </a:r>
                    <a:r>
                      <a:rPr lang="en-US" sz="1050" b="1" i="0">
                        <a:solidFill>
                          <a:srgbClr val="FF0000"/>
                        </a:solidFill>
                      </a:rPr>
                      <a:t>; </a:t>
                    </a:r>
                    <a:fld id="{847BCF57-AEC0-4DF7-90F0-46234CFF6D76}" type="CELLRANGE">
                      <a:rPr lang="en-US" b="1" i="0">
                        <a:solidFill>
                          <a:srgbClr val="002060"/>
                        </a:solidFill>
                      </a:rPr>
                      <a:pPr/>
                      <a:t>[OBLAST BUNĚK]</a:t>
                    </a:fld>
                    <a:endParaRPr lang="en-US" sz="1050" b="1" i="0">
                      <a:solidFill>
                        <a:srgbClr val="FF0000"/>
                      </a:solidFill>
                    </a:endParaRPr>
                  </a:p>
                </c:rich>
              </c:tx>
              <c:showLegendKey val="1"/>
              <c:showVal val="1"/>
              <c:showCatName val="0"/>
              <c:showSerName val="0"/>
              <c:showPercent val="0"/>
              <c:showBubbleSize val="0"/>
              <c:extLst>
                <c:ext xmlns:c15="http://schemas.microsoft.com/office/drawing/2012/chart" uri="{CE6537A1-D6FC-4f65-9D91-7224C49458BB}">
                  <c15:layout>
                    <c:manualLayout>
                      <c:w val="0.23822874901373525"/>
                      <c:h val="4.5338551027374809E-2"/>
                    </c:manualLayout>
                  </c15:layout>
                  <c15:dlblFieldTable/>
                  <c15:showDataLabelsRange val="1"/>
                </c:ext>
              </c:extLst>
            </c:dLbl>
            <c:numFmt formatCode="#,##0.00" sourceLinked="0"/>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FF0000"/>
                    </a:solidFill>
                    <a:latin typeface="+mn-lt"/>
                    <a:ea typeface="+mn-ea"/>
                    <a:cs typeface="+mn-cs"/>
                  </a:defRPr>
                </a:pPr>
                <a:endParaRPr lang="cs-CZ"/>
              </a:p>
            </c:txPr>
            <c:showLegendKey val="1"/>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0"/>
              </c:ext>
            </c:extLst>
          </c:dLbls>
          <c:cat>
            <c:strRef>
              <c:f>'grafy tabulky'!$A$87:$A$99</c:f>
              <c:strCache>
                <c:ptCount val="13"/>
                <c:pt idx="0">
                  <c:v>NULOVÉ VODNÉ CELKEM</c:v>
                </c:pt>
                <c:pt idx="1">
                  <c:v>NULOVÝ OBJEM FAKTUROVANÉ VODY</c:v>
                </c:pt>
                <c:pt idx="2">
                  <c:v>NULOVÉ ODPISY + NULOVÉ OPRAVY + 4.4 VE SMÍŠENÉM NEBO KOMBINOVANÉM MODELU</c:v>
                </c:pt>
                <c:pt idx="3">
                  <c:v>NÁJEM JE VĚTŠÍ NEŽ NULA VE SMÍŠENÉM MODELU NEBO ODDÍLNÉM SE SERVISNÍ SMLOUVOU</c:v>
                </c:pt>
                <c:pt idx="4">
                  <c:v>NENULOVÝ POČET PORUCH A NULOVÉ NÁKLADY NA OPRAVY</c:v>
                </c:pt>
                <c:pt idx="5">
                  <c:v>NULOVÉ ZTRÁTY VODY</c:v>
                </c:pt>
                <c:pt idx="6">
                  <c:v>NULOVÝ POČET PORUCH + OPRAVY VYŠŠÍ NEŽ PRŮMĚRNÉ NÁKLADY NA ODSTRANĚNÍ PORUCHY VŠECH SUBJEKTU, KTERÉ MAJÍ NENULOVÝ POČET PORUCH</c:v>
                </c:pt>
                <c:pt idx="7">
                  <c:v>ZÁPORNÝ KALKULAČNÍ ZISK</c:v>
                </c:pt>
                <c:pt idx="8">
                  <c:v>NÁJEM JE MENŠÍ NEBO ROVEN 0 V ODDÍLNÉM (BEZ SERVISNÍCH SMLUV) NEBO KOMBINOVANÉM MODELU</c:v>
                </c:pt>
                <c:pt idx="9">
                  <c:v>VYSOKÉ ZTRÁTY VODY NA 1 KM PŘEPOČTENÉ DÉLKY VODOVODNÍHO ŘADU NA DEN  (M3/KM)/DEN ( MEDIAN Z POROVNÁNÍ, KDE JE HODNOTA NAD 4 M3/KM/DEN)</c:v>
                </c:pt>
                <c:pt idx="10">
                  <c:v>NEDOSTATEČNÁ TVORBA PROSTŘEDKŮ NA OBNOVU VIM</c:v>
                </c:pt>
                <c:pt idx="11">
                  <c:v>NULOVÝ CELÝ ŘÁDEK 20</c:v>
                </c:pt>
                <c:pt idx="12">
                  <c:v>VYSOKÝ POČET PORUCH NA 1 KM ROZVODNÉ SÍTĚ (HODNOTA 1,5 NÁSOBKU MEDIANU SKUPINY Z POROVNÁNÍ BEZ NULOVÉ HODNOTY UKAZATELE)</c:v>
                </c:pt>
              </c:strCache>
            </c:strRef>
          </c:cat>
          <c:val>
            <c:numRef>
              <c:f>'grafy tabulky'!$B$87:$B$99</c:f>
              <c:numCache>
                <c:formatCode>General</c:formatCode>
                <c:ptCount val="13"/>
                <c:pt idx="0">
                  <c:v>0</c:v>
                </c:pt>
                <c:pt idx="1">
                  <c:v>0</c:v>
                </c:pt>
                <c:pt idx="2">
                  <c:v>0.51505600000000007</c:v>
                </c:pt>
                <c:pt idx="3">
                  <c:v>1.573477</c:v>
                </c:pt>
                <c:pt idx="4">
                  <c:v>2.6982900000000001</c:v>
                </c:pt>
                <c:pt idx="5">
                  <c:v>4.1163210000000001</c:v>
                </c:pt>
                <c:pt idx="6">
                  <c:v>5.0218970000000001</c:v>
                </c:pt>
                <c:pt idx="7">
                  <c:v>24.016758999999997</c:v>
                </c:pt>
                <c:pt idx="8">
                  <c:v>30.093798</c:v>
                </c:pt>
                <c:pt idx="9">
                  <c:v>34.946877000000001</c:v>
                </c:pt>
                <c:pt idx="10">
                  <c:v>55.160852000000006</c:v>
                </c:pt>
                <c:pt idx="11">
                  <c:v>61.858599000000005</c:v>
                </c:pt>
                <c:pt idx="12">
                  <c:v>97.556933999999984</c:v>
                </c:pt>
              </c:numCache>
            </c:numRef>
          </c:val>
          <c:extLst>
            <c:ext xmlns:c15="http://schemas.microsoft.com/office/drawing/2012/chart" uri="{02D57815-91ED-43cb-92C2-25804820EDAC}">
              <c15:datalabelsRange>
                <c15:f>'grafy tabulky'!$I$87:$I$99</c15:f>
                <c15:dlblRangeCache>
                  <c:ptCount val="13"/>
                  <c:pt idx="0">
                    <c:v>0%;
3 výskytů</c:v>
                  </c:pt>
                  <c:pt idx="1">
                    <c:v>0%;
3 výskytů</c:v>
                  </c:pt>
                  <c:pt idx="2">
                    <c:v>0,12%;
49 výskytů</c:v>
                  </c:pt>
                  <c:pt idx="3">
                    <c:v>0,4%;
37 výskytů</c:v>
                  </c:pt>
                  <c:pt idx="4">
                    <c:v>0,6%;
110 výskytů</c:v>
                  </c:pt>
                  <c:pt idx="5">
                    <c:v>0,92%;
263 výskytů</c:v>
                  </c:pt>
                  <c:pt idx="6">
                    <c:v>1,12%;
193 výskytů</c:v>
                  </c:pt>
                  <c:pt idx="7">
                    <c:v>5,37%;
722 výskytů</c:v>
                  </c:pt>
                  <c:pt idx="8">
                    <c:v>6,7%;
147 výskytů</c:v>
                  </c:pt>
                  <c:pt idx="9">
                    <c:v>7,82%;
70 výskytů</c:v>
                  </c:pt>
                  <c:pt idx="10">
                    <c:v>12,34%;
1229 výskytů</c:v>
                  </c:pt>
                  <c:pt idx="11">
                    <c:v>13,84%;
727 výskytů</c:v>
                  </c:pt>
                  <c:pt idx="12">
                    <c:v>21,82%;
293 výskytů</c:v>
                  </c:pt>
                </c15:dlblRangeCache>
              </c15:datalabelsRange>
            </c:ext>
          </c:extLst>
        </c:ser>
        <c:ser>
          <c:idx val="1"/>
          <c:order val="1"/>
          <c:tx>
            <c:strRef>
              <c:f>'grafy tabulky'!$E$86</c:f>
              <c:strCache>
                <c:ptCount val="1"/>
                <c:pt idx="0">
                  <c:v>BEZ VÝSKYTU DANÉ ANOMÁLIE</c:v>
                </c:pt>
              </c:strCache>
            </c:strRef>
          </c:tx>
          <c:spPr>
            <a:solidFill>
              <a:schemeClr val="accent5">
                <a:lumMod val="60000"/>
                <a:lumOff val="40000"/>
              </a:schemeClr>
            </a:solidFill>
            <a:ln>
              <a:solidFill>
                <a:schemeClr val="accent5">
                  <a:lumMod val="60000"/>
                  <a:lumOff val="40000"/>
                </a:schemeClr>
              </a:solidFill>
            </a:ln>
            <a:effectLst/>
          </c:spPr>
          <c:invertIfNegative val="0"/>
          <c:cat>
            <c:strRef>
              <c:f>'grafy tabulky'!$A$87:$A$99</c:f>
              <c:strCache>
                <c:ptCount val="13"/>
                <c:pt idx="0">
                  <c:v>NULOVÉ VODNÉ CELKEM</c:v>
                </c:pt>
                <c:pt idx="1">
                  <c:v>NULOVÝ OBJEM FAKTUROVANÉ VODY</c:v>
                </c:pt>
                <c:pt idx="2">
                  <c:v>NULOVÉ ODPISY + NULOVÉ OPRAVY + 4.4 VE SMÍŠENÉM NEBO KOMBINOVANÉM MODELU</c:v>
                </c:pt>
                <c:pt idx="3">
                  <c:v>NÁJEM JE VĚTŠÍ NEŽ NULA VE SMÍŠENÉM MODELU NEBO ODDÍLNÉM SE SERVISNÍ SMLOUVOU</c:v>
                </c:pt>
                <c:pt idx="4">
                  <c:v>NENULOVÝ POČET PORUCH A NULOVÉ NÁKLADY NA OPRAVY</c:v>
                </c:pt>
                <c:pt idx="5">
                  <c:v>NULOVÉ ZTRÁTY VODY</c:v>
                </c:pt>
                <c:pt idx="6">
                  <c:v>NULOVÝ POČET PORUCH + OPRAVY VYŠŠÍ NEŽ PRŮMĚRNÉ NÁKLADY NA ODSTRANĚNÍ PORUCHY VŠECH SUBJEKTU, KTERÉ MAJÍ NENULOVÝ POČET PORUCH</c:v>
                </c:pt>
                <c:pt idx="7">
                  <c:v>ZÁPORNÝ KALKULAČNÍ ZISK</c:v>
                </c:pt>
                <c:pt idx="8">
                  <c:v>NÁJEM JE MENŠÍ NEBO ROVEN 0 V ODDÍLNÉM (BEZ SERVISNÍCH SMLUV) NEBO KOMBINOVANÉM MODELU</c:v>
                </c:pt>
                <c:pt idx="9">
                  <c:v>VYSOKÉ ZTRÁTY VODY NA 1 KM PŘEPOČTENÉ DÉLKY VODOVODNÍHO ŘADU NA DEN  (M3/KM)/DEN ( MEDIAN Z POROVNÁNÍ, KDE JE HODNOTA NAD 4 M3/KM/DEN)</c:v>
                </c:pt>
                <c:pt idx="10">
                  <c:v>NEDOSTATEČNÁ TVORBA PROSTŘEDKŮ NA OBNOVU VIM</c:v>
                </c:pt>
                <c:pt idx="11">
                  <c:v>NULOVÝ CELÝ ŘÁDEK 20</c:v>
                </c:pt>
                <c:pt idx="12">
                  <c:v>VYSOKÝ POČET PORUCH NA 1 KM ROZVODNÉ SÍTĚ (HODNOTA 1,5 NÁSOBKU MEDIANU SKUPINY Z POROVNÁNÍ BEZ NULOVÉ HODNOTY UKAZATELE)</c:v>
                </c:pt>
              </c:strCache>
            </c:strRef>
          </c:cat>
          <c:val>
            <c:numRef>
              <c:f>'grafy tabulky'!$E$87:$E$99</c:f>
              <c:numCache>
                <c:formatCode>General</c:formatCode>
                <c:ptCount val="13"/>
                <c:pt idx="0">
                  <c:v>447.1</c:v>
                </c:pt>
                <c:pt idx="1">
                  <c:v>447.1</c:v>
                </c:pt>
                <c:pt idx="2">
                  <c:v>446.58494400000001</c:v>
                </c:pt>
                <c:pt idx="3">
                  <c:v>445.526523</c:v>
                </c:pt>
                <c:pt idx="4">
                  <c:v>444.40171000000004</c:v>
                </c:pt>
                <c:pt idx="5">
                  <c:v>442.983679</c:v>
                </c:pt>
                <c:pt idx="6">
                  <c:v>442.078103</c:v>
                </c:pt>
                <c:pt idx="7">
                  <c:v>423.08324100000004</c:v>
                </c:pt>
                <c:pt idx="8">
                  <c:v>417.00620200000003</c:v>
                </c:pt>
                <c:pt idx="9">
                  <c:v>412.15312300000005</c:v>
                </c:pt>
                <c:pt idx="10">
                  <c:v>391.93914800000005</c:v>
                </c:pt>
                <c:pt idx="11">
                  <c:v>385.241401</c:v>
                </c:pt>
                <c:pt idx="12">
                  <c:v>349.54306600000007</c:v>
                </c:pt>
              </c:numCache>
            </c:numRef>
          </c:val>
        </c:ser>
        <c:ser>
          <c:idx val="2"/>
          <c:order val="2"/>
          <c:tx>
            <c:strRef>
              <c:f>'grafy tabulky'!$F$86</c:f>
              <c:strCache>
                <c:ptCount val="1"/>
                <c:pt idx="0">
                  <c:v>NEANALYZOVANÁ DATA</c:v>
                </c:pt>
              </c:strCache>
            </c:strRef>
          </c:tx>
          <c:spPr>
            <a:solidFill>
              <a:schemeClr val="bg2">
                <a:lumMod val="75000"/>
              </a:schemeClr>
            </a:solidFill>
            <a:ln>
              <a:solidFill>
                <a:schemeClr val="bg1">
                  <a:lumMod val="50000"/>
                </a:schemeClr>
              </a:solidFill>
            </a:ln>
            <a:effectLst/>
          </c:spPr>
          <c:invertIfNegative val="0"/>
          <c:cat>
            <c:strRef>
              <c:f>'grafy tabulky'!$A$87:$A$99</c:f>
              <c:strCache>
                <c:ptCount val="13"/>
                <c:pt idx="0">
                  <c:v>NULOVÉ VODNÉ CELKEM</c:v>
                </c:pt>
                <c:pt idx="1">
                  <c:v>NULOVÝ OBJEM FAKTUROVANÉ VODY</c:v>
                </c:pt>
                <c:pt idx="2">
                  <c:v>NULOVÉ ODPISY + NULOVÉ OPRAVY + 4.4 VE SMÍŠENÉM NEBO KOMBINOVANÉM MODELU</c:v>
                </c:pt>
                <c:pt idx="3">
                  <c:v>NÁJEM JE VĚTŠÍ NEŽ NULA VE SMÍŠENÉM MODELU NEBO ODDÍLNÉM SE SERVISNÍ SMLOUVOU</c:v>
                </c:pt>
                <c:pt idx="4">
                  <c:v>NENULOVÝ POČET PORUCH A NULOVÉ NÁKLADY NA OPRAVY</c:v>
                </c:pt>
                <c:pt idx="5">
                  <c:v>NULOVÉ ZTRÁTY VODY</c:v>
                </c:pt>
                <c:pt idx="6">
                  <c:v>NULOVÝ POČET PORUCH + OPRAVY VYŠŠÍ NEŽ PRŮMĚRNÉ NÁKLADY NA ODSTRANĚNÍ PORUCHY VŠECH SUBJEKTU, KTERÉ MAJÍ NENULOVÝ POČET PORUCH</c:v>
                </c:pt>
                <c:pt idx="7">
                  <c:v>ZÁPORNÝ KALKULAČNÍ ZISK</c:v>
                </c:pt>
                <c:pt idx="8">
                  <c:v>NÁJEM JE MENŠÍ NEBO ROVEN 0 V ODDÍLNÉM (BEZ SERVISNÍCH SMLUV) NEBO KOMBINOVANÉM MODELU</c:v>
                </c:pt>
                <c:pt idx="9">
                  <c:v>VYSOKÉ ZTRÁTY VODY NA 1 KM PŘEPOČTENÉ DÉLKY VODOVODNÍHO ŘADU NA DEN  (M3/KM)/DEN ( MEDIAN Z POROVNÁNÍ, KDE JE HODNOTA NAD 4 M3/KM/DEN)</c:v>
                </c:pt>
                <c:pt idx="10">
                  <c:v>NEDOSTATEČNÁ TVORBA PROSTŘEDKŮ NA OBNOVU VIM</c:v>
                </c:pt>
                <c:pt idx="11">
                  <c:v>NULOVÝ CELÝ ŘÁDEK 20</c:v>
                </c:pt>
                <c:pt idx="12">
                  <c:v>VYSOKÝ POČET PORUCH NA 1 KM ROZVODNÉ SÍTĚ (HODNOTA 1,5 NÁSOBKU MEDIANU SKUPINY Z POROVNÁNÍ BEZ NULOVÉ HODNOTY UKAZATELE)</c:v>
                </c:pt>
              </c:strCache>
            </c:strRef>
          </c:cat>
          <c:val>
            <c:numRef>
              <c:f>'grafy tabulky'!$F$87:$F$99</c:f>
              <c:numCache>
                <c:formatCode>General</c:formatCode>
                <c:ptCount val="13"/>
                <c:pt idx="0">
                  <c:v>22.379999999999995</c:v>
                </c:pt>
                <c:pt idx="1">
                  <c:v>22.379999999999995</c:v>
                </c:pt>
                <c:pt idx="2">
                  <c:v>22.379999999999995</c:v>
                </c:pt>
                <c:pt idx="3">
                  <c:v>22.379999999999995</c:v>
                </c:pt>
                <c:pt idx="4">
                  <c:v>22.379999999999995</c:v>
                </c:pt>
                <c:pt idx="5">
                  <c:v>22.379999999999995</c:v>
                </c:pt>
                <c:pt idx="6">
                  <c:v>22.379999999999995</c:v>
                </c:pt>
                <c:pt idx="7">
                  <c:v>22.379999999999995</c:v>
                </c:pt>
                <c:pt idx="8">
                  <c:v>22.379999999999995</c:v>
                </c:pt>
                <c:pt idx="9">
                  <c:v>22.379999999999995</c:v>
                </c:pt>
                <c:pt idx="10">
                  <c:v>22.379999999999995</c:v>
                </c:pt>
                <c:pt idx="11">
                  <c:v>22.379999999999995</c:v>
                </c:pt>
                <c:pt idx="12">
                  <c:v>22.379999999999995</c:v>
                </c:pt>
              </c:numCache>
            </c:numRef>
          </c:val>
        </c:ser>
        <c:dLbls>
          <c:showLegendKey val="0"/>
          <c:showVal val="0"/>
          <c:showCatName val="0"/>
          <c:showSerName val="0"/>
          <c:showPercent val="0"/>
          <c:showBubbleSize val="0"/>
        </c:dLbls>
        <c:gapWidth val="75"/>
        <c:overlap val="100"/>
        <c:axId val="509146568"/>
        <c:axId val="509145784"/>
      </c:barChart>
      <c:catAx>
        <c:axId val="509146568"/>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50" b="0" i="0" u="none" strike="noStrike" kern="1200" cap="small" baseline="0">
                <a:solidFill>
                  <a:srgbClr val="002060"/>
                </a:solidFill>
                <a:latin typeface="+mj-lt"/>
                <a:ea typeface="+mn-ea"/>
                <a:cs typeface="+mn-cs"/>
              </a:defRPr>
            </a:pPr>
            <a:endParaRPr lang="cs-CZ"/>
          </a:p>
        </c:txPr>
        <c:crossAx val="509145784"/>
        <c:crosses val="autoZero"/>
        <c:auto val="1"/>
        <c:lblAlgn val="ctr"/>
        <c:lblOffset val="100"/>
        <c:noMultiLvlLbl val="0"/>
      </c:catAx>
      <c:valAx>
        <c:axId val="509145784"/>
        <c:scaling>
          <c:orientation val="minMax"/>
        </c:scaling>
        <c:delete val="0"/>
        <c:axPos val="b"/>
        <c:majorGridlines>
          <c:spPr>
            <a:ln w="6350" cap="flat" cmpd="sng" algn="ctr">
              <a:solidFill>
                <a:schemeClr val="tx1">
                  <a:tint val="75000"/>
                </a:schemeClr>
              </a:solidFill>
              <a:prstDash val="solid"/>
              <a:round/>
            </a:ln>
            <a:effectLst/>
          </c:spPr>
        </c:majorGridlines>
        <c:numFmt formatCode="0%"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crossAx val="509146568"/>
        <c:crosses val="autoZero"/>
        <c:crossBetween val="between"/>
      </c:valAx>
      <c:spPr>
        <a:solidFill>
          <a:schemeClr val="bg1"/>
        </a:solidFill>
        <a:ln>
          <a:noFill/>
        </a:ln>
        <a:effectLst/>
      </c:spPr>
    </c:plotArea>
    <c:legend>
      <c:legendPos val="r"/>
      <c:layout>
        <c:manualLayout>
          <c:xMode val="edge"/>
          <c:yMode val="edge"/>
          <c:x val="0.15188744400150636"/>
          <c:y val="0.95699258507134355"/>
          <c:w val="0.79072825833379612"/>
          <c:h val="4.300741492865585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cs-CZ"/>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rgbClr val="002060"/>
                </a:solidFill>
                <a:latin typeface="+mn-lt"/>
                <a:ea typeface="+mn-ea"/>
                <a:cs typeface="+mn-cs"/>
              </a:defRPr>
            </a:pPr>
            <a:r>
              <a:rPr lang="sk-SK" sz="1200" b="1" i="0" cap="all" baseline="0">
                <a:solidFill>
                  <a:srgbClr val="002060"/>
                </a:solidFill>
                <a:effectLst/>
                <a:latin typeface="+mj-lt"/>
              </a:rPr>
              <a:t>Benchmarking vlastnických subjektů 2016 - </a:t>
            </a:r>
            <a:r>
              <a:rPr lang="cs-CZ" sz="1200" b="1" i="0" cap="all" baseline="0">
                <a:solidFill>
                  <a:srgbClr val="002060"/>
                </a:solidFill>
                <a:effectLst/>
                <a:latin typeface="+mj-lt"/>
              </a:rPr>
              <a:t>VODOVOD</a:t>
            </a:r>
            <a:endParaRPr lang="cs-CZ" sz="1050">
              <a:solidFill>
                <a:srgbClr val="002060"/>
              </a:solidFill>
              <a:effectLst/>
              <a:latin typeface="+mj-lt"/>
            </a:endParaRPr>
          </a:p>
          <a:p>
            <a:pPr algn="l">
              <a:defRPr sz="1400" b="0" i="0" u="none" strike="noStrike" kern="1200" spc="0" baseline="0">
                <a:solidFill>
                  <a:srgbClr val="002060"/>
                </a:solidFill>
                <a:latin typeface="+mn-lt"/>
                <a:ea typeface="+mn-ea"/>
                <a:cs typeface="+mn-cs"/>
              </a:defRPr>
            </a:pPr>
            <a:r>
              <a:rPr lang="sk-SK" sz="1200" b="1" i="0" cap="all" baseline="0">
                <a:solidFill>
                  <a:srgbClr val="002060"/>
                </a:solidFill>
                <a:effectLst/>
                <a:latin typeface="+mj-lt"/>
              </a:rPr>
              <a:t>Výskyt alespoň jedné anomálie ve skupině</a:t>
            </a:r>
            <a:endParaRPr lang="cs-CZ" sz="1050">
              <a:solidFill>
                <a:srgbClr val="002060"/>
              </a:solidFill>
              <a:effectLst/>
              <a:latin typeface="+mj-lt"/>
            </a:endParaRPr>
          </a:p>
          <a:p>
            <a:pPr algn="l">
              <a:defRPr sz="1400" b="0" i="0" u="none" strike="noStrike" kern="1200" spc="0" baseline="0">
                <a:solidFill>
                  <a:srgbClr val="002060"/>
                </a:solidFill>
                <a:latin typeface="+mn-lt"/>
                <a:ea typeface="+mn-ea"/>
                <a:cs typeface="+mn-cs"/>
              </a:defRPr>
            </a:pPr>
            <a:r>
              <a:rPr lang="sk-SK" sz="1200" b="1" i="0" cap="all" baseline="0">
                <a:solidFill>
                  <a:srgbClr val="002060"/>
                </a:solidFill>
                <a:effectLst/>
                <a:latin typeface="+mj-lt"/>
              </a:rPr>
              <a:t>- převedeno na objem PITNÉ vody fakturované (</a:t>
            </a:r>
            <a:r>
              <a:rPr lang="sk-SK" sz="1200" b="1" i="0" u="none" strike="noStrike" kern="1200" cap="all" spc="0" baseline="0">
                <a:solidFill>
                  <a:srgbClr val="002060"/>
                </a:solidFill>
                <a:effectLst/>
                <a:latin typeface="+mj-lt"/>
                <a:ea typeface="+mn-ea"/>
                <a:cs typeface="+mn-cs"/>
              </a:rPr>
              <a:t>mil. m3</a:t>
            </a:r>
            <a:r>
              <a:rPr lang="sk-SK" sz="1200" b="1" i="0" cap="all" baseline="0">
                <a:solidFill>
                  <a:srgbClr val="002060"/>
                </a:solidFill>
                <a:effectLst/>
                <a:latin typeface="+mj-lt"/>
              </a:rPr>
              <a:t>) a četnost anomáliÍ</a:t>
            </a:r>
            <a:endParaRPr lang="cs-CZ" sz="1050">
              <a:solidFill>
                <a:srgbClr val="002060"/>
              </a:solidFill>
              <a:effectLst/>
              <a:latin typeface="+mj-lt"/>
            </a:endParaRPr>
          </a:p>
        </c:rich>
      </c:tx>
      <c:layout>
        <c:manualLayout>
          <c:xMode val="edge"/>
          <c:yMode val="edge"/>
          <c:x val="3.0626618222113341E-3"/>
          <c:y val="0"/>
        </c:manualLayout>
      </c:layout>
      <c:overlay val="0"/>
      <c:spPr>
        <a:noFill/>
        <a:ln>
          <a:noFill/>
        </a:ln>
        <a:effectLst/>
      </c:spPr>
    </c:title>
    <c:autoTitleDeleted val="0"/>
    <c:plotArea>
      <c:layout>
        <c:manualLayout>
          <c:layoutTarget val="inner"/>
          <c:xMode val="edge"/>
          <c:yMode val="edge"/>
          <c:x val="0.11290846111058836"/>
          <c:y val="0.13295385264200171"/>
          <c:w val="0.79331926056814661"/>
          <c:h val="0.64120603462531722"/>
        </c:manualLayout>
      </c:layout>
      <c:barChart>
        <c:barDir val="col"/>
        <c:grouping val="stacked"/>
        <c:varyColors val="0"/>
        <c:ser>
          <c:idx val="0"/>
          <c:order val="0"/>
          <c:tx>
            <c:strRef>
              <c:f>'grafy tabulky'!$B$225</c:f>
              <c:strCache>
                <c:ptCount val="1"/>
                <c:pt idx="0">
                  <c:v>Objem vody pitné fakturované (mil. m3) s výskytem alespoň jedné anomálie</c:v>
                </c:pt>
              </c:strCache>
            </c:strRef>
          </c:tx>
          <c:spPr>
            <a:solidFill>
              <a:schemeClr val="accent1"/>
            </a:solidFill>
            <a:ln>
              <a:noFill/>
            </a:ln>
            <a:effectLst/>
          </c:spPr>
          <c:invertIfNegative val="0"/>
          <c:dLbls>
            <c:dLbl>
              <c:idx val="0"/>
              <c:layout>
                <c:manualLayout>
                  <c:x val="1.5508802701664521E-3"/>
                  <c:y val="-0.15114709357361344"/>
                </c:manualLayout>
              </c:layout>
              <c:tx>
                <c:rich>
                  <a:bodyPr/>
                  <a:lstStyle/>
                  <a:p>
                    <a:fld id="{C992EC1A-E6BC-417C-8308-D40D3E3A5A84}" type="VALUE">
                      <a:rPr lang="en-US" sz="800" b="1" i="0" u="none" strike="noStrike" kern="1200" baseline="0">
                        <a:solidFill>
                          <a:srgbClr val="002060"/>
                        </a:solidFill>
                      </a:rPr>
                      <a:pPr/>
                      <a:t>[HODNOTA]</a:t>
                    </a:fld>
                    <a:r>
                      <a:rPr lang="en-US" sz="800" b="1" i="0" u="none" strike="noStrike" kern="1200" baseline="0">
                        <a:solidFill>
                          <a:srgbClr val="002060"/>
                        </a:solidFill>
                      </a:rPr>
                      <a:t> </a:t>
                    </a:r>
                    <a:r>
                      <a:rPr lang="en-US" sz="800" b="1" i="0" u="none" strike="noStrike" kern="1200" baseline="0">
                        <a:solidFill>
                          <a:srgbClr val="002060"/>
                        </a:solidFill>
                        <a:latin typeface="+mn-lt"/>
                        <a:ea typeface="+mn-ea"/>
                        <a:cs typeface="+mn-cs"/>
                      </a:rPr>
                      <a:t>mil. m3</a:t>
                    </a:r>
                    <a:r>
                      <a:rPr lang="en-US" sz="800" b="1" i="0" u="none" strike="noStrike" kern="1200" baseline="0">
                        <a:solidFill>
                          <a:srgbClr val="002060"/>
                        </a:solidFill>
                      </a:rPr>
                      <a:t>; </a:t>
                    </a:r>
                    <a:fld id="{22E93376-31DE-4B0D-8CC2-1FDD5E86FEA3}" type="CELLRANGE">
                      <a:rPr lang="en-US">
                        <a:solidFill>
                          <a:srgbClr val="002060"/>
                        </a:solidFill>
                      </a:rPr>
                      <a:pPr/>
                      <a:t>[OBLAST BUNĚK]</a:t>
                    </a:fld>
                    <a:r>
                      <a:rPr lang="en-US" baseline="0">
                        <a:solidFill>
                          <a:srgbClr val="002060"/>
                        </a:solidFill>
                      </a:rPr>
                      <a:t> </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Lst>
            </c:dLbl>
            <c:dLbl>
              <c:idx val="1"/>
              <c:layout>
                <c:manualLayout>
                  <c:x val="1.5508802701664785E-3"/>
                  <c:y val="-0.15114709357361339"/>
                </c:manualLayout>
              </c:layout>
              <c:tx>
                <c:rich>
                  <a:bodyPr/>
                  <a:lstStyle/>
                  <a:p>
                    <a:fld id="{C992EC1A-E6BC-417C-8308-D40D3E3A5A84}" type="VALUE">
                      <a:rPr lang="en-US" sz="800" b="1" i="0" u="none" strike="noStrike" kern="1200" baseline="0">
                        <a:solidFill>
                          <a:srgbClr val="002060"/>
                        </a:solidFill>
                      </a:rPr>
                      <a:pPr/>
                      <a:t>[HODNOTA]</a:t>
                    </a:fld>
                    <a:r>
                      <a:rPr lang="en-US" sz="800" b="1" i="0" u="none" strike="noStrike" kern="1200" baseline="0">
                        <a:solidFill>
                          <a:srgbClr val="002060"/>
                        </a:solidFill>
                      </a:rPr>
                      <a:t> </a:t>
                    </a:r>
                    <a:r>
                      <a:rPr lang="en-US" sz="800" b="1" i="0" u="none" strike="noStrike" kern="1200" baseline="0">
                        <a:solidFill>
                          <a:srgbClr val="002060"/>
                        </a:solidFill>
                        <a:latin typeface="+mn-lt"/>
                        <a:ea typeface="+mn-ea"/>
                        <a:cs typeface="+mn-cs"/>
                      </a:rPr>
                      <a:t>mil. m3</a:t>
                    </a:r>
                    <a:r>
                      <a:rPr lang="en-US" sz="800" b="1" i="0" u="none" strike="noStrike" kern="1200" baseline="0">
                        <a:solidFill>
                          <a:srgbClr val="002060"/>
                        </a:solidFill>
                      </a:rPr>
                      <a:t>; </a:t>
                    </a:r>
                    <a:fld id="{22E93376-31DE-4B0D-8CC2-1FDD5E86FEA3}" type="CELLRANGE">
                      <a:rPr lang="en-US">
                        <a:solidFill>
                          <a:srgbClr val="002060"/>
                        </a:solidFill>
                      </a:rPr>
                      <a:pPr/>
                      <a:t>[OBLAST BUNĚK]</a:t>
                    </a:fld>
                    <a:r>
                      <a:rPr lang="en-US" baseline="0">
                        <a:solidFill>
                          <a:srgbClr val="002060"/>
                        </a:solidFill>
                      </a:rPr>
                      <a:t> </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Lst>
            </c:dLbl>
            <c:dLbl>
              <c:idx val="2"/>
              <c:layout>
                <c:manualLayout>
                  <c:x val="1.5508802701664785E-3"/>
                  <c:y val="-0.15114709357361344"/>
                </c:manualLayout>
              </c:layout>
              <c:tx>
                <c:rich>
                  <a:bodyPr/>
                  <a:lstStyle/>
                  <a:p>
                    <a:fld id="{C992EC1A-E6BC-417C-8308-D40D3E3A5A84}" type="VALUE">
                      <a:rPr lang="en-US" sz="800" b="1" i="0" u="none" strike="noStrike" kern="1200" baseline="0">
                        <a:solidFill>
                          <a:srgbClr val="002060"/>
                        </a:solidFill>
                      </a:rPr>
                      <a:pPr/>
                      <a:t>[HODNOTA]</a:t>
                    </a:fld>
                    <a:r>
                      <a:rPr lang="en-US" sz="800" b="1" i="0" u="none" strike="noStrike" kern="1200" baseline="0">
                        <a:solidFill>
                          <a:srgbClr val="002060"/>
                        </a:solidFill>
                      </a:rPr>
                      <a:t> </a:t>
                    </a:r>
                    <a:r>
                      <a:rPr lang="en-US" sz="800" b="1" i="0" u="none" strike="noStrike" kern="1200" baseline="0">
                        <a:solidFill>
                          <a:srgbClr val="002060"/>
                        </a:solidFill>
                        <a:latin typeface="+mn-lt"/>
                        <a:ea typeface="+mn-ea"/>
                        <a:cs typeface="+mn-cs"/>
                      </a:rPr>
                      <a:t>mil. m3</a:t>
                    </a:r>
                    <a:r>
                      <a:rPr lang="en-US" sz="800" b="1" i="0" u="none" strike="noStrike" kern="1200" baseline="0">
                        <a:solidFill>
                          <a:srgbClr val="002060"/>
                        </a:solidFill>
                      </a:rPr>
                      <a:t>; </a:t>
                    </a:r>
                    <a:fld id="{22E93376-31DE-4B0D-8CC2-1FDD5E86FEA3}" type="CELLRANGE">
                      <a:rPr lang="en-US">
                        <a:solidFill>
                          <a:srgbClr val="002060"/>
                        </a:solidFill>
                      </a:rPr>
                      <a:pPr/>
                      <a:t>[OBLAST BUNĚK]</a:t>
                    </a:fld>
                    <a:r>
                      <a:rPr lang="en-US" baseline="0">
                        <a:solidFill>
                          <a:srgbClr val="002060"/>
                        </a:solidFill>
                      </a:rPr>
                      <a:t> </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Lst>
            </c:dLbl>
            <c:dLbl>
              <c:idx val="3"/>
              <c:layout>
                <c:manualLayout>
                  <c:x val="1.5508802701664785E-3"/>
                  <c:y val="-0.15114709357361339"/>
                </c:manualLayout>
              </c:layout>
              <c:tx>
                <c:rich>
                  <a:bodyPr/>
                  <a:lstStyle/>
                  <a:p>
                    <a:fld id="{C992EC1A-E6BC-417C-8308-D40D3E3A5A84}" type="VALUE">
                      <a:rPr lang="en-US" sz="800" b="1" i="0" u="none" strike="noStrike" kern="1200" baseline="0">
                        <a:solidFill>
                          <a:srgbClr val="002060"/>
                        </a:solidFill>
                      </a:rPr>
                      <a:pPr/>
                      <a:t>[HODNOTA]</a:t>
                    </a:fld>
                    <a:r>
                      <a:rPr lang="en-US" sz="800" b="1" i="0" u="none" strike="noStrike" kern="1200" baseline="0">
                        <a:solidFill>
                          <a:srgbClr val="002060"/>
                        </a:solidFill>
                      </a:rPr>
                      <a:t> </a:t>
                    </a:r>
                    <a:r>
                      <a:rPr lang="en-US" sz="800" b="1" i="0" u="none" strike="noStrike" kern="1200" baseline="0">
                        <a:solidFill>
                          <a:srgbClr val="002060"/>
                        </a:solidFill>
                        <a:latin typeface="+mn-lt"/>
                        <a:ea typeface="+mn-ea"/>
                        <a:cs typeface="+mn-cs"/>
                      </a:rPr>
                      <a:t>mil. m3</a:t>
                    </a:r>
                    <a:r>
                      <a:rPr lang="en-US" sz="800" b="1" i="0" u="none" strike="noStrike" kern="1200" baseline="0">
                        <a:solidFill>
                          <a:srgbClr val="002060"/>
                        </a:solidFill>
                      </a:rPr>
                      <a:t>; </a:t>
                    </a:r>
                    <a:fld id="{22E93376-31DE-4B0D-8CC2-1FDD5E86FEA3}" type="CELLRANGE">
                      <a:rPr lang="en-US">
                        <a:solidFill>
                          <a:srgbClr val="002060"/>
                        </a:solidFill>
                      </a:rPr>
                      <a:pPr/>
                      <a:t>[OBLAST BUNĚK]</a:t>
                    </a:fld>
                    <a:r>
                      <a:rPr lang="en-US" baseline="0">
                        <a:solidFill>
                          <a:srgbClr val="002060"/>
                        </a:solidFill>
                      </a:rPr>
                      <a:t> </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Lst>
            </c:dLbl>
            <c:dLbl>
              <c:idx val="4"/>
              <c:layout>
                <c:manualLayout>
                  <c:x val="1.5508802701664785E-3"/>
                  <c:y val="-0.15114709357361339"/>
                </c:manualLayout>
              </c:layout>
              <c:tx>
                <c:rich>
                  <a:bodyPr/>
                  <a:lstStyle/>
                  <a:p>
                    <a:fld id="{C992EC1A-E6BC-417C-8308-D40D3E3A5A84}" type="VALUE">
                      <a:rPr lang="en-US" sz="800" b="1" i="0" u="none" strike="noStrike" kern="1200" baseline="0">
                        <a:solidFill>
                          <a:srgbClr val="002060"/>
                        </a:solidFill>
                      </a:rPr>
                      <a:pPr/>
                      <a:t>[HODNOTA]</a:t>
                    </a:fld>
                    <a:r>
                      <a:rPr lang="en-US" sz="800" b="1" i="0" u="none" strike="noStrike" kern="1200" baseline="0">
                        <a:solidFill>
                          <a:srgbClr val="002060"/>
                        </a:solidFill>
                      </a:rPr>
                      <a:t> </a:t>
                    </a:r>
                    <a:r>
                      <a:rPr lang="en-US" sz="800" b="1" i="0" u="none" strike="noStrike" kern="1200" baseline="0">
                        <a:solidFill>
                          <a:srgbClr val="002060"/>
                        </a:solidFill>
                        <a:latin typeface="+mn-lt"/>
                        <a:ea typeface="+mn-ea"/>
                        <a:cs typeface="+mn-cs"/>
                      </a:rPr>
                      <a:t>mil. m3</a:t>
                    </a:r>
                    <a:r>
                      <a:rPr lang="en-US" sz="800" b="1" i="0" u="none" strike="noStrike" kern="1200" baseline="0">
                        <a:solidFill>
                          <a:srgbClr val="002060"/>
                        </a:solidFill>
                      </a:rPr>
                      <a:t>; </a:t>
                    </a:r>
                    <a:fld id="{22E93376-31DE-4B0D-8CC2-1FDD5E86FEA3}" type="CELLRANGE">
                      <a:rPr lang="en-US">
                        <a:solidFill>
                          <a:srgbClr val="002060"/>
                        </a:solidFill>
                      </a:rPr>
                      <a:pPr/>
                      <a:t>[OBLAST BUNĚK]</a:t>
                    </a:fld>
                    <a:r>
                      <a:rPr lang="en-US" baseline="0">
                        <a:solidFill>
                          <a:srgbClr val="002060"/>
                        </a:solidFill>
                      </a:rPr>
                      <a:t> </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Lst>
            </c:dLbl>
            <c:dLbl>
              <c:idx val="5"/>
              <c:layout>
                <c:manualLayout>
                  <c:x val="1.5508802701664785E-3"/>
                  <c:y val="-0.15114709357361339"/>
                </c:manualLayout>
              </c:layout>
              <c:tx>
                <c:rich>
                  <a:bodyPr/>
                  <a:lstStyle/>
                  <a:p>
                    <a:fld id="{C992EC1A-E6BC-417C-8308-D40D3E3A5A84}" type="VALUE">
                      <a:rPr lang="en-US" sz="800" b="1" i="0" u="none" strike="noStrike" kern="1200" baseline="0">
                        <a:solidFill>
                          <a:srgbClr val="002060"/>
                        </a:solidFill>
                      </a:rPr>
                      <a:pPr/>
                      <a:t>[HODNOTA]</a:t>
                    </a:fld>
                    <a:r>
                      <a:rPr lang="en-US" sz="800" b="1" i="0" u="none" strike="noStrike" kern="1200" baseline="0">
                        <a:solidFill>
                          <a:srgbClr val="002060"/>
                        </a:solidFill>
                      </a:rPr>
                      <a:t> </a:t>
                    </a:r>
                    <a:r>
                      <a:rPr lang="en-US" sz="800" b="1" i="0" u="none" strike="noStrike" kern="1200" baseline="0">
                        <a:solidFill>
                          <a:srgbClr val="002060"/>
                        </a:solidFill>
                        <a:latin typeface="+mn-lt"/>
                        <a:ea typeface="+mn-ea"/>
                        <a:cs typeface="+mn-cs"/>
                      </a:rPr>
                      <a:t>mil. m3</a:t>
                    </a:r>
                    <a:r>
                      <a:rPr lang="en-US" sz="800" b="1" i="0" u="none" strike="noStrike" kern="1200" baseline="0">
                        <a:solidFill>
                          <a:srgbClr val="002060"/>
                        </a:solidFill>
                      </a:rPr>
                      <a:t>; </a:t>
                    </a:r>
                    <a:fld id="{22E93376-31DE-4B0D-8CC2-1FDD5E86FEA3}" type="CELLRANGE">
                      <a:rPr lang="en-US">
                        <a:solidFill>
                          <a:srgbClr val="002060"/>
                        </a:solidFill>
                      </a:rPr>
                      <a:pPr/>
                      <a:t>[OBLAST BUNĚK]</a:t>
                    </a:fld>
                    <a:r>
                      <a:rPr lang="en-US" baseline="0">
                        <a:solidFill>
                          <a:srgbClr val="002060"/>
                        </a:solidFill>
                      </a:rPr>
                      <a:t> </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1"/>
                </c:ext>
              </c:extLst>
            </c:dLbl>
            <c:numFmt formatCode="#,##0.00" sourceLinked="0"/>
            <c:spPr>
              <a:noFill/>
              <a:ln>
                <a:noFill/>
              </a:ln>
              <a:effectLst/>
            </c:spPr>
            <c:txPr>
              <a:bodyPr rot="-5400000" spcFirstLastPara="1" vertOverflow="ellipsis"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002060"/>
                    </a:solidFill>
                    <a:latin typeface="+mn-lt"/>
                    <a:ea typeface="+mn-ea"/>
                    <a:cs typeface="+mn-cs"/>
                  </a:defRPr>
                </a:pPr>
                <a:endParaRPr lang="cs-CZ"/>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'grafy tabulky'!$A$226:$A$231</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'grafy tabulky'!$B$226:$B$231</c:f>
              <c:numCache>
                <c:formatCode>General</c:formatCode>
                <c:ptCount val="6"/>
                <c:pt idx="0">
                  <c:v>0</c:v>
                </c:pt>
                <c:pt idx="1">
                  <c:v>149.47873300000001</c:v>
                </c:pt>
                <c:pt idx="2">
                  <c:v>29.879191000000027</c:v>
                </c:pt>
                <c:pt idx="3">
                  <c:v>27.587363000000007</c:v>
                </c:pt>
                <c:pt idx="4">
                  <c:v>5.0801599999999949</c:v>
                </c:pt>
                <c:pt idx="5">
                  <c:v>0.12798199999999998</c:v>
                </c:pt>
              </c:numCache>
            </c:numRef>
          </c:val>
          <c:extLst>
            <c:ext xmlns:c15="http://schemas.microsoft.com/office/drawing/2012/chart" uri="{02D57815-91ED-43cb-92C2-25804820EDAC}">
              <c15:datalabelsRange>
                <c15:f>'grafy tabulky'!$E$226:$E$231</c15:f>
                <c15:dlblRangeCache>
                  <c:ptCount val="6"/>
                  <c:pt idx="0">
                    <c:v>0,00%</c:v>
                  </c:pt>
                  <c:pt idx="1">
                    <c:v>76,03%</c:v>
                  </c:pt>
                  <c:pt idx="2">
                    <c:v>58,90%</c:v>
                  </c:pt>
                  <c:pt idx="3">
                    <c:v>90,40%</c:v>
                  </c:pt>
                  <c:pt idx="4">
                    <c:v>97,13%</c:v>
                  </c:pt>
                  <c:pt idx="5">
                    <c:v>100,00%</c:v>
                  </c:pt>
                </c15:dlblRangeCache>
              </c15:datalabelsRange>
            </c:ext>
          </c:extLst>
        </c:ser>
        <c:ser>
          <c:idx val="2"/>
          <c:order val="2"/>
          <c:tx>
            <c:strRef>
              <c:f>'grafy tabulky'!$D$225</c:f>
              <c:strCache>
                <c:ptCount val="1"/>
                <c:pt idx="0">
                  <c:v>Objem vody fakturované bez anomálií</c:v>
                </c:pt>
              </c:strCache>
            </c:strRef>
          </c:tx>
          <c:spPr>
            <a:solidFill>
              <a:schemeClr val="accent3"/>
            </a:solidFill>
            <a:ln>
              <a:noFill/>
            </a:ln>
            <a:effectLst/>
          </c:spPr>
          <c:invertIfNegative val="0"/>
          <c:cat>
            <c:strRef>
              <c:f>'grafy tabulky'!$A$226:$A$231</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'grafy tabulky'!$D$226:$D$231</c:f>
              <c:numCache>
                <c:formatCode>General</c:formatCode>
                <c:ptCount val="6"/>
                <c:pt idx="0">
                  <c:v>163.88482000000019</c:v>
                </c:pt>
                <c:pt idx="1">
                  <c:v>47.131795000000039</c:v>
                </c:pt>
                <c:pt idx="2">
                  <c:v>20.846012000000002</c:v>
                </c:pt>
                <c:pt idx="3">
                  <c:v>2.9302659999999889</c:v>
                </c:pt>
                <c:pt idx="4">
                  <c:v>0.15004500000001036</c:v>
                </c:pt>
                <c:pt idx="5">
                  <c:v>0</c:v>
                </c:pt>
              </c:numCache>
            </c:numRef>
          </c:val>
        </c:ser>
        <c:dLbls>
          <c:showLegendKey val="0"/>
          <c:showVal val="0"/>
          <c:showCatName val="0"/>
          <c:showSerName val="0"/>
          <c:showPercent val="0"/>
          <c:showBubbleSize val="0"/>
        </c:dLbls>
        <c:gapWidth val="150"/>
        <c:overlap val="100"/>
        <c:axId val="509141864"/>
        <c:axId val="509144608"/>
      </c:barChart>
      <c:lineChart>
        <c:grouping val="stacked"/>
        <c:varyColors val="0"/>
        <c:ser>
          <c:idx val="1"/>
          <c:order val="1"/>
          <c:tx>
            <c:strRef>
              <c:f>'grafy tabulky'!$C$225</c:f>
              <c:strCache>
                <c:ptCount val="1"/>
                <c:pt idx="0">
                  <c:v>Objem vody pitné fakturované ve skupině</c:v>
                </c:pt>
              </c:strCache>
            </c:strRef>
          </c:tx>
          <c:spPr>
            <a:ln w="28575" cap="rnd">
              <a:solidFill>
                <a:schemeClr val="accent4"/>
              </a:solidFill>
              <a:round/>
            </a:ln>
            <a:effectLst/>
          </c:spPr>
          <c:marker>
            <c:symbol val="circle"/>
            <c:size val="5"/>
            <c:spPr>
              <a:solidFill>
                <a:schemeClr val="accent2"/>
              </a:solidFill>
              <a:ln w="9525">
                <a:solidFill>
                  <a:schemeClr val="accent2"/>
                </a:solidFill>
              </a:ln>
              <a:effectLst/>
            </c:spPr>
          </c:marker>
          <c:dLbls>
            <c:dLbl>
              <c:idx val="0"/>
              <c:layout>
                <c:manualLayout>
                  <c:x val="-1.8048635522232605E-3"/>
                  <c:y val="-1.4554272538494331E-2"/>
                </c:manualLayout>
              </c:layout>
              <c:tx>
                <c:rich>
                  <a:bodyPr/>
                  <a:lstStyle/>
                  <a:p>
                    <a:fld id="{9B1C1463-8C09-43F8-9101-C3C212050AA9}" type="VALUE">
                      <a:rPr lang="en-US"/>
                      <a:pPr/>
                      <a:t>[HODNOTA]</a:t>
                    </a:fld>
                    <a:r>
                      <a:rPr lang="en-US"/>
                      <a:t> </a:t>
                    </a:r>
                    <a:r>
                      <a:rPr lang="en-US" sz="900" b="1" i="0" u="none" strike="noStrike" kern="1200" baseline="0">
                        <a:solidFill>
                          <a:srgbClr val="ED7D31"/>
                        </a:solidFill>
                        <a:latin typeface="+mn-lt"/>
                        <a:ea typeface="+mn-ea"/>
                        <a:cs typeface="+mn-cs"/>
                      </a:rPr>
                      <a:t>mil. m3</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1.8048635522232336E-3"/>
                  <c:y val="-1.4554272538494348E-2"/>
                </c:manualLayout>
              </c:layout>
              <c:tx>
                <c:rich>
                  <a:bodyPr/>
                  <a:lstStyle/>
                  <a:p>
                    <a:fld id="{9B1C1463-8C09-43F8-9101-C3C212050AA9}" type="VALUE">
                      <a:rPr lang="en-US"/>
                      <a:pPr/>
                      <a:t>[HODNOTA]</a:t>
                    </a:fld>
                    <a:r>
                      <a:rPr lang="en-US"/>
                      <a:t> </a:t>
                    </a:r>
                    <a:r>
                      <a:rPr lang="en-US" sz="900" b="1" i="0" u="none" strike="noStrike" kern="1200" baseline="0">
                        <a:solidFill>
                          <a:srgbClr val="ED7D31"/>
                        </a:solidFill>
                        <a:latin typeface="+mn-lt"/>
                        <a:ea typeface="+mn-ea"/>
                        <a:cs typeface="+mn-cs"/>
                      </a:rPr>
                      <a:t>mil. m3</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1.8048635522231781E-3"/>
                  <c:y val="-1.4554272538494374E-2"/>
                </c:manualLayout>
              </c:layout>
              <c:tx>
                <c:rich>
                  <a:bodyPr/>
                  <a:lstStyle/>
                  <a:p>
                    <a:fld id="{9B1C1463-8C09-43F8-9101-C3C212050AA9}" type="VALUE">
                      <a:rPr lang="en-US"/>
                      <a:pPr/>
                      <a:t>[HODNOTA]</a:t>
                    </a:fld>
                    <a:r>
                      <a:rPr lang="en-US"/>
                      <a:t> </a:t>
                    </a:r>
                    <a:r>
                      <a:rPr lang="en-US" sz="900" b="1" i="0" u="none" strike="noStrike" kern="1200" baseline="0">
                        <a:solidFill>
                          <a:srgbClr val="ED7D31"/>
                        </a:solidFill>
                        <a:latin typeface="+mn-lt"/>
                        <a:ea typeface="+mn-ea"/>
                        <a:cs typeface="+mn-cs"/>
                      </a:rPr>
                      <a:t>mil. m3</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1.8048635522232336E-3"/>
                  <c:y val="-1.4554272538494315E-2"/>
                </c:manualLayout>
              </c:layout>
              <c:tx>
                <c:rich>
                  <a:bodyPr/>
                  <a:lstStyle/>
                  <a:p>
                    <a:fld id="{9B1C1463-8C09-43F8-9101-C3C212050AA9}" type="VALUE">
                      <a:rPr lang="en-US"/>
                      <a:pPr/>
                      <a:t>[HODNOTA]</a:t>
                    </a:fld>
                    <a:r>
                      <a:rPr lang="en-US"/>
                      <a:t> </a:t>
                    </a:r>
                    <a:r>
                      <a:rPr lang="en-US" sz="900" b="1" i="0" u="none" strike="noStrike" kern="1200" baseline="0">
                        <a:solidFill>
                          <a:srgbClr val="ED7D31"/>
                        </a:solidFill>
                        <a:latin typeface="+mn-lt"/>
                        <a:ea typeface="+mn-ea"/>
                        <a:cs typeface="+mn-cs"/>
                      </a:rPr>
                      <a:t>mil. m3</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1.8048635522232336E-3"/>
                  <c:y val="-1.4554272538494315E-2"/>
                </c:manualLayout>
              </c:layout>
              <c:tx>
                <c:rich>
                  <a:bodyPr/>
                  <a:lstStyle/>
                  <a:p>
                    <a:fld id="{9B1C1463-8C09-43F8-9101-C3C212050AA9}" type="VALUE">
                      <a:rPr lang="en-US"/>
                      <a:pPr/>
                      <a:t>[HODNOTA]</a:t>
                    </a:fld>
                    <a:r>
                      <a:rPr lang="en-US"/>
                      <a:t> </a:t>
                    </a:r>
                    <a:r>
                      <a:rPr lang="en-US" sz="900" b="1" i="0" u="none" strike="noStrike" kern="1200" baseline="0">
                        <a:solidFill>
                          <a:srgbClr val="ED7D31"/>
                        </a:solidFill>
                        <a:latin typeface="+mn-lt"/>
                        <a:ea typeface="+mn-ea"/>
                        <a:cs typeface="+mn-cs"/>
                      </a:rPr>
                      <a:t>mil. m3</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1.8474004893941957E-2"/>
                  <c:y val="-1.7788555324826427E-2"/>
                </c:manualLayout>
              </c:layout>
              <c:tx>
                <c:rich>
                  <a:bodyPr/>
                  <a:lstStyle/>
                  <a:p>
                    <a:fld id="{9B1C1463-8C09-43F8-9101-C3C212050AA9}" type="VALUE">
                      <a:rPr lang="en-US"/>
                      <a:pPr/>
                      <a:t>[HODNOTA]</a:t>
                    </a:fld>
                    <a:r>
                      <a:rPr lang="en-US"/>
                      <a:t> </a:t>
                    </a:r>
                    <a:r>
                      <a:rPr lang="en-US" sz="900" b="1" i="0" u="none" strike="noStrike" kern="1200" baseline="0">
                        <a:solidFill>
                          <a:srgbClr val="ED7D31"/>
                        </a:solidFill>
                        <a:latin typeface="+mn-lt"/>
                        <a:ea typeface="+mn-ea"/>
                        <a:cs typeface="+mn-cs"/>
                      </a:rPr>
                      <a:t>mil. m3</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 tabulky'!$A$226:$A$231</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'grafy tabulky'!$C$226:$C$231</c:f>
              <c:numCache>
                <c:formatCode>General</c:formatCode>
                <c:ptCount val="6"/>
                <c:pt idx="0">
                  <c:v>163.88482000000019</c:v>
                </c:pt>
                <c:pt idx="1">
                  <c:v>196.61052800000002</c:v>
                </c:pt>
                <c:pt idx="2">
                  <c:v>50.72520300000005</c:v>
                </c:pt>
                <c:pt idx="3">
                  <c:v>30.517628999999999</c:v>
                </c:pt>
                <c:pt idx="4">
                  <c:v>5.2302050000000104</c:v>
                </c:pt>
                <c:pt idx="5">
                  <c:v>0.12798200000000001</c:v>
                </c:pt>
              </c:numCache>
            </c:numRef>
          </c:val>
          <c:smooth val="0"/>
        </c:ser>
        <c:dLbls>
          <c:showLegendKey val="0"/>
          <c:showVal val="0"/>
          <c:showCatName val="0"/>
          <c:showSerName val="0"/>
          <c:showPercent val="0"/>
          <c:showBubbleSize val="0"/>
        </c:dLbls>
        <c:marker val="1"/>
        <c:smooth val="0"/>
        <c:axId val="509141864"/>
        <c:axId val="509144608"/>
      </c:lineChart>
      <c:scatterChart>
        <c:scatterStyle val="lineMarker"/>
        <c:varyColors val="0"/>
        <c:ser>
          <c:idx val="3"/>
          <c:order val="3"/>
          <c:tx>
            <c:strRef>
              <c:f>'grafy tabulky'!$F$225</c:f>
              <c:strCache>
                <c:ptCount val="1"/>
                <c:pt idx="0">
                  <c:v>četnost výskytu anomálií</c:v>
                </c:pt>
              </c:strCache>
            </c:strRef>
          </c:tx>
          <c:spPr>
            <a:ln w="25400" cap="rnd">
              <a:noFill/>
              <a:round/>
            </a:ln>
            <a:effectLst/>
          </c:spPr>
          <c:marker>
            <c:symbol val="square"/>
            <c:size val="9"/>
            <c:spPr>
              <a:solidFill>
                <a:srgbClr val="C00000"/>
              </a:solidFill>
              <a:ln w="9525">
                <a:solidFill>
                  <a:schemeClr val="accent4"/>
                </a:solidFill>
              </a:ln>
              <a:effectLst/>
            </c:spPr>
          </c:marker>
          <c:dLbls>
            <c:dLbl>
              <c:idx val="0"/>
              <c:layout>
                <c:manualLayout>
                  <c:x val="0"/>
                  <c:y val="1.2937131145328181E-2"/>
                </c:manualLayout>
              </c:layout>
              <c:tx>
                <c:rich>
                  <a:bodyPr/>
                  <a:lstStyle/>
                  <a:p>
                    <a:fld id="{36D3FA79-32F2-4724-B6FC-47DFEAA2B4FD}" type="YVALUE">
                      <a:rPr lang="en-US" b="1">
                        <a:solidFill>
                          <a:schemeClr val="accent2">
                            <a:lumMod val="75000"/>
                          </a:schemeClr>
                        </a:solidFill>
                      </a:rPr>
                      <a:pPr/>
                      <a:t>[HODNOTA Y]</a:t>
                    </a:fld>
                    <a:r>
                      <a:rPr lang="en-US" b="1">
                        <a:solidFill>
                          <a:schemeClr val="accent2">
                            <a:lumMod val="75000"/>
                          </a:schemeClr>
                        </a:solidFill>
                      </a:rPr>
                      <a:t> výskytů</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3.3088543072667105E-17"/>
                  <c:y val="2.7491403683822666E-2"/>
                </c:manualLayout>
              </c:layout>
              <c:tx>
                <c:rich>
                  <a:bodyPr/>
                  <a:lstStyle/>
                  <a:p>
                    <a:fld id="{36D3FA79-32F2-4724-B6FC-47DFEAA2B4FD}" type="YVALUE">
                      <a:rPr lang="en-US" b="1">
                        <a:solidFill>
                          <a:schemeClr val="accent2">
                            <a:lumMod val="75000"/>
                          </a:schemeClr>
                        </a:solidFill>
                      </a:rPr>
                      <a:pPr/>
                      <a:t>[HODNOTA Y]</a:t>
                    </a:fld>
                    <a:r>
                      <a:rPr lang="en-US" b="1">
                        <a:solidFill>
                          <a:schemeClr val="accent2">
                            <a:lumMod val="75000"/>
                          </a:schemeClr>
                        </a:solidFill>
                      </a:rPr>
                      <a:t> výskytů</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1.8048504716912793E-2"/>
                  <c:y val="-1.1858899888194192E-16"/>
                </c:manualLayout>
              </c:layout>
              <c:tx>
                <c:rich>
                  <a:bodyPr/>
                  <a:lstStyle/>
                  <a:p>
                    <a:fld id="{36D3FA79-32F2-4724-B6FC-47DFEAA2B4FD}" type="YVALUE">
                      <a:rPr lang="en-US" b="1">
                        <a:solidFill>
                          <a:schemeClr val="accent2">
                            <a:lumMod val="75000"/>
                          </a:schemeClr>
                        </a:solidFill>
                      </a:rPr>
                      <a:pPr/>
                      <a:t>[HODNOTA Y]</a:t>
                    </a:fld>
                    <a:r>
                      <a:rPr lang="en-US" b="1">
                        <a:solidFill>
                          <a:schemeClr val="accent2">
                            <a:lumMod val="75000"/>
                          </a:schemeClr>
                        </a:solidFill>
                      </a:rPr>
                      <a:t> výskytů</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tx>
                <c:rich>
                  <a:bodyPr/>
                  <a:lstStyle/>
                  <a:p>
                    <a:fld id="{36D3FA79-32F2-4724-B6FC-47DFEAA2B4FD}" type="YVALUE">
                      <a:rPr lang="en-US" b="1">
                        <a:solidFill>
                          <a:schemeClr val="accent2">
                            <a:lumMod val="75000"/>
                          </a:schemeClr>
                        </a:solidFill>
                      </a:rPr>
                      <a:pPr/>
                      <a:t>[HODNOTA Y]</a:t>
                    </a:fld>
                    <a:r>
                      <a:rPr lang="en-US" b="1">
                        <a:solidFill>
                          <a:schemeClr val="accent2">
                            <a:lumMod val="75000"/>
                          </a:schemeClr>
                        </a:solidFill>
                      </a:rPr>
                      <a:t> výskytů</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tx>
                <c:rich>
                  <a:bodyPr/>
                  <a:lstStyle/>
                  <a:p>
                    <a:fld id="{36D3FA79-32F2-4724-B6FC-47DFEAA2B4FD}" type="YVALUE">
                      <a:rPr lang="en-US" b="1">
                        <a:solidFill>
                          <a:schemeClr val="accent2">
                            <a:lumMod val="75000"/>
                          </a:schemeClr>
                        </a:solidFill>
                      </a:rPr>
                      <a:pPr/>
                      <a:t>[HODNOTA Y]</a:t>
                    </a:fld>
                    <a:r>
                      <a:rPr lang="en-US" b="1">
                        <a:solidFill>
                          <a:schemeClr val="accent2">
                            <a:lumMod val="75000"/>
                          </a:schemeClr>
                        </a:solidFill>
                      </a:rPr>
                      <a:t> výskytů</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1.80485047169128E-3"/>
                  <c:y val="3.3959969256486658E-2"/>
                </c:manualLayout>
              </c:layout>
              <c:tx>
                <c:rich>
                  <a:bodyPr/>
                  <a:lstStyle/>
                  <a:p>
                    <a:fld id="{36D3FA79-32F2-4724-B6FC-47DFEAA2B4FD}" type="YVALUE">
                      <a:rPr lang="en-US" b="1">
                        <a:solidFill>
                          <a:schemeClr val="accent2">
                            <a:lumMod val="75000"/>
                          </a:schemeClr>
                        </a:solidFill>
                      </a:rPr>
                      <a:pPr/>
                      <a:t>[HODNOTA Y]</a:t>
                    </a:fld>
                    <a:r>
                      <a:rPr lang="en-US" b="1">
                        <a:solidFill>
                          <a:schemeClr val="accent2">
                            <a:lumMod val="75000"/>
                          </a:schemeClr>
                        </a:solidFill>
                      </a:rPr>
                      <a:t> výskytů</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'grafy tabulky'!$A$226:$A$231</c:f>
              <c:strCache>
                <c:ptCount val="6"/>
                <c:pt idx="0">
                  <c:v>I.skupina(&gt;10 000mil.Kč)</c:v>
                </c:pt>
                <c:pt idx="1">
                  <c:v>II.skupina(&gt;1 000mil.Kč)</c:v>
                </c:pt>
                <c:pt idx="2">
                  <c:v>III.skupina(&gt;100mil.Kč)</c:v>
                </c:pt>
                <c:pt idx="3">
                  <c:v>IV.skupina(&gt;10mil.Kč)</c:v>
                </c:pt>
                <c:pt idx="4">
                  <c:v>V.skupina(&gt;1mil.Kč)</c:v>
                </c:pt>
                <c:pt idx="5">
                  <c:v>VI.skupina(&lt;1mil.Kč)</c:v>
                </c:pt>
              </c:strCache>
            </c:strRef>
          </c:xVal>
          <c:yVal>
            <c:numRef>
              <c:f>'grafy tabulky'!$F$226:$F$231</c:f>
              <c:numCache>
                <c:formatCode>General</c:formatCode>
                <c:ptCount val="6"/>
                <c:pt idx="0">
                  <c:v>0</c:v>
                </c:pt>
                <c:pt idx="1">
                  <c:v>43</c:v>
                </c:pt>
                <c:pt idx="2">
                  <c:v>178</c:v>
                </c:pt>
                <c:pt idx="3">
                  <c:v>2081</c:v>
                </c:pt>
                <c:pt idx="4">
                  <c:v>1478</c:v>
                </c:pt>
                <c:pt idx="5">
                  <c:v>63</c:v>
                </c:pt>
              </c:numCache>
            </c:numRef>
          </c:yVal>
          <c:smooth val="0"/>
        </c:ser>
        <c:dLbls>
          <c:showLegendKey val="0"/>
          <c:showVal val="0"/>
          <c:showCatName val="0"/>
          <c:showSerName val="0"/>
          <c:showPercent val="0"/>
          <c:showBubbleSize val="0"/>
        </c:dLbls>
        <c:axId val="509142256"/>
        <c:axId val="509143432"/>
      </c:scatterChart>
      <c:catAx>
        <c:axId val="509141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52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9144608"/>
        <c:crosses val="autoZero"/>
        <c:auto val="1"/>
        <c:lblAlgn val="ctr"/>
        <c:lblOffset val="100"/>
        <c:noMultiLvlLbl val="0"/>
      </c:catAx>
      <c:valAx>
        <c:axId val="509144608"/>
        <c:scaling>
          <c:orientation val="minMax"/>
          <c:max val="2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Objem vody</a:t>
                </a:r>
                <a:r>
                  <a:rPr lang="cs-CZ" sz="1000" b="0" i="0" u="none" strike="noStrike" kern="1200" baseline="0">
                    <a:solidFill>
                      <a:sysClr val="windowText" lastClr="000000">
                        <a:lumMod val="65000"/>
                        <a:lumOff val="35000"/>
                      </a:sysClr>
                    </a:solidFill>
                    <a:latin typeface="+mn-lt"/>
                    <a:ea typeface="+mn-ea"/>
                    <a:cs typeface="+mn-cs"/>
                  </a:rPr>
                  <a:t> </a:t>
                </a:r>
                <a:r>
                  <a:rPr lang="cs-CZ" baseline="0"/>
                  <a:t>pitné fakturované v </a:t>
                </a:r>
                <a:r>
                  <a:rPr lang="cs-CZ" sz="1000" b="0" i="0" u="none" strike="noStrike" kern="1200" baseline="0">
                    <a:solidFill>
                      <a:sysClr val="windowText" lastClr="000000">
                        <a:lumMod val="65000"/>
                        <a:lumOff val="35000"/>
                      </a:sysClr>
                    </a:solidFill>
                    <a:latin typeface="+mn-lt"/>
                    <a:ea typeface="+mn-ea"/>
                    <a:cs typeface="+mn-cs"/>
                  </a:rPr>
                  <a:t>mil. m3</a:t>
                </a:r>
                <a:endParaRPr lang="cs-CZ" baseline="30000"/>
              </a:p>
            </c:rich>
          </c:tx>
          <c:layout>
            <c:manualLayout>
              <c:xMode val="edge"/>
              <c:yMode val="edge"/>
              <c:x val="1.0459037426345758E-2"/>
              <c:y val="0.23789907102230354"/>
            </c:manualLayout>
          </c:layout>
          <c:overlay val="0"/>
          <c:spPr>
            <a:noFill/>
            <a:ln>
              <a:noFill/>
            </a:ln>
            <a:effectLst/>
          </c:spPr>
        </c:title>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1600" b="1" i="0" u="none" strike="noStrike" kern="1200" baseline="30000">
                <a:solidFill>
                  <a:schemeClr val="tx1">
                    <a:lumMod val="65000"/>
                    <a:lumOff val="35000"/>
                  </a:schemeClr>
                </a:solidFill>
                <a:latin typeface="+mn-lt"/>
                <a:ea typeface="+mn-ea"/>
                <a:cs typeface="+mn-cs"/>
              </a:defRPr>
            </a:pPr>
            <a:endParaRPr lang="cs-CZ"/>
          </a:p>
        </c:txPr>
        <c:crossAx val="509141864"/>
        <c:crosses val="autoZero"/>
        <c:crossBetween val="between"/>
      </c:valAx>
      <c:valAx>
        <c:axId val="509143432"/>
        <c:scaling>
          <c:orientation val="minMax"/>
          <c:max val="3700"/>
          <c:min val="0"/>
        </c:scaling>
        <c:delete val="0"/>
        <c:axPos val="r"/>
        <c:title>
          <c:tx>
            <c:rich>
              <a:bodyPr rot="-5400000" spcFirstLastPara="1" vertOverflow="ellipsis" vert="horz" wrap="square" anchor="ctr" anchorCtr="1"/>
              <a:lstStyle/>
              <a:p>
                <a:pPr>
                  <a:defRPr sz="1000" b="0" i="0" u="none" strike="noStrike" kern="1200" baseline="0">
                    <a:solidFill>
                      <a:srgbClr val="C00000"/>
                    </a:solidFill>
                    <a:latin typeface="+mn-lt"/>
                    <a:ea typeface="+mn-ea"/>
                    <a:cs typeface="+mn-cs"/>
                  </a:defRPr>
                </a:pPr>
                <a:r>
                  <a:rPr lang="cs-CZ">
                    <a:solidFill>
                      <a:srgbClr val="C00000"/>
                    </a:solidFill>
                  </a:rPr>
                  <a:t>četnost výskytů anomálií </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C00000"/>
                </a:solidFill>
                <a:latin typeface="+mn-lt"/>
                <a:ea typeface="+mn-ea"/>
                <a:cs typeface="+mn-cs"/>
              </a:defRPr>
            </a:pPr>
            <a:endParaRPr lang="cs-CZ"/>
          </a:p>
        </c:txPr>
        <c:crossAx val="509142256"/>
        <c:crosses val="max"/>
        <c:crossBetween val="midCat"/>
      </c:valAx>
      <c:valAx>
        <c:axId val="509142256"/>
        <c:scaling>
          <c:orientation val="minMax"/>
        </c:scaling>
        <c:delete val="1"/>
        <c:axPos val="b"/>
        <c:numFmt formatCode="General" sourceLinked="1"/>
        <c:majorTickMark val="out"/>
        <c:minorTickMark val="none"/>
        <c:tickLblPos val="none"/>
        <c:crossAx val="50914343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b="1" i="0" cap="small" baseline="0">
                <a:solidFill>
                  <a:schemeClr val="accent2"/>
                </a:solidFill>
                <a:latin typeface="Calibri Light" pitchFamily="34" charset="0"/>
              </a:defRPr>
            </a:pPr>
            <a:r>
              <a:rPr lang="sk-SK" sz="1100" b="1" i="0" cap="small" baseline="0">
                <a:solidFill>
                  <a:schemeClr val="accent2"/>
                </a:solidFill>
                <a:latin typeface="Calibri Light" pitchFamily="34" charset="0"/>
              </a:rPr>
              <a:t>Benchmarking vlastnictkých subjektů 2016 - Kanalizace</a:t>
            </a:r>
          </a:p>
          <a:p>
            <a:pPr algn="l">
              <a:defRPr sz="1100" b="1" i="0" cap="small" baseline="0">
                <a:solidFill>
                  <a:schemeClr val="accent2"/>
                </a:solidFill>
                <a:latin typeface="Calibri Light" pitchFamily="34" charset="0"/>
              </a:defRPr>
            </a:pPr>
            <a:r>
              <a:rPr lang="sk-SK" sz="1100" b="1" i="0" cap="small" baseline="0">
                <a:solidFill>
                  <a:schemeClr val="accent2"/>
                </a:solidFill>
                <a:latin typeface="Calibri Light" pitchFamily="34" charset="0"/>
              </a:rPr>
              <a:t>- Výskyt alespoň jedné anomálie podle množství vody odpadní a srážkové </a:t>
            </a:r>
            <a:r>
              <a:rPr lang="sk-SK" sz="1100" b="1" i="0" u="none" strike="noStrike" cap="small" baseline="0">
                <a:solidFill>
                  <a:schemeClr val="accent2"/>
                </a:solidFill>
                <a:effectLst/>
              </a:rPr>
              <a:t>fakturované </a:t>
            </a:r>
            <a:endParaRPr lang="sk-SK" sz="1100" b="1" i="0" cap="small" baseline="0">
              <a:solidFill>
                <a:schemeClr val="accent2"/>
              </a:solidFill>
              <a:latin typeface="Calibri Light" pitchFamily="34" charset="0"/>
            </a:endParaRPr>
          </a:p>
        </c:rich>
      </c:tx>
      <c:layout>
        <c:manualLayout>
          <c:xMode val="edge"/>
          <c:yMode val="edge"/>
          <c:x val="2.1577122136841312E-3"/>
          <c:y val="5.7731142808922667E-4"/>
        </c:manualLayout>
      </c:layout>
      <c:overlay val="1"/>
    </c:title>
    <c:autoTitleDeleted val="0"/>
    <c:plotArea>
      <c:layout>
        <c:manualLayout>
          <c:layoutTarget val="inner"/>
          <c:xMode val="edge"/>
          <c:yMode val="edge"/>
          <c:x val="0.25401322111344354"/>
          <c:y val="0.17397276298042838"/>
          <c:w val="0.56577088323176217"/>
          <c:h val="0.62359135877246108"/>
        </c:manualLayout>
      </c:layout>
      <c:pieChart>
        <c:varyColors val="1"/>
        <c:ser>
          <c:idx val="0"/>
          <c:order val="0"/>
          <c:explosion val="15"/>
          <c:dPt>
            <c:idx val="0"/>
            <c:bubble3D val="0"/>
            <c:explosion val="0"/>
            <c:spPr>
              <a:solidFill>
                <a:srgbClr val="FFC000"/>
              </a:solidFill>
            </c:spPr>
          </c:dPt>
          <c:dPt>
            <c:idx val="1"/>
            <c:bubble3D val="0"/>
            <c:explosion val="17"/>
          </c:dPt>
          <c:dLbls>
            <c:dLbl>
              <c:idx val="0"/>
              <c:layout>
                <c:manualLayout>
                  <c:x val="-0.17410430607700597"/>
                  <c:y val="0.14990705363547832"/>
                </c:manualLayout>
              </c:layout>
              <c:tx>
                <c:rich>
                  <a:bodyPr wrap="square" lIns="38100" tIns="19050" rIns="38100" bIns="19050" anchor="ctr">
                    <a:noAutofit/>
                  </a:bodyPr>
                  <a:lstStyle/>
                  <a:p>
                    <a:pPr>
                      <a:defRPr sz="900" b="1" baseline="0">
                        <a:solidFill>
                          <a:srgbClr val="002060"/>
                        </a:solidFill>
                      </a:defRPr>
                    </a:pPr>
                    <a:fld id="{454C0F7E-0C85-4A55-B8F7-840A61A5077B}" type="VALUE">
                      <a:rPr lang="en-US" sz="900">
                        <a:solidFill>
                          <a:schemeClr val="accent2">
                            <a:lumMod val="50000"/>
                          </a:schemeClr>
                        </a:solidFill>
                      </a:rPr>
                      <a:pPr>
                        <a:defRPr sz="900" b="1" baseline="0">
                          <a:solidFill>
                            <a:srgbClr val="002060"/>
                          </a:solidFill>
                        </a:defRPr>
                      </a:pPr>
                      <a:t>[HODNOTA]</a:t>
                    </a:fld>
                    <a:r>
                      <a:rPr lang="en-US" sz="900">
                        <a:solidFill>
                          <a:schemeClr val="accent2">
                            <a:lumMod val="50000"/>
                          </a:schemeClr>
                        </a:solidFill>
                      </a:rPr>
                      <a:t> mil. m</a:t>
                    </a:r>
                    <a:r>
                      <a:rPr lang="en-US" sz="900" baseline="30000">
                        <a:solidFill>
                          <a:schemeClr val="accent2">
                            <a:lumMod val="50000"/>
                          </a:schemeClr>
                        </a:solidFill>
                      </a:rPr>
                      <a:t>3</a:t>
                    </a:r>
                    <a:r>
                      <a:rPr lang="en-US" sz="900" baseline="0">
                        <a:solidFill>
                          <a:schemeClr val="accent2">
                            <a:lumMod val="50000"/>
                          </a:schemeClr>
                        </a:solidFill>
                      </a:rPr>
                      <a:t>; </a:t>
                    </a:r>
                    <a:fld id="{FCE4C652-2674-4591-B9C4-B93006A7DEB8}" type="PERCENTAGE">
                      <a:rPr lang="en-US" sz="900" baseline="0">
                        <a:solidFill>
                          <a:schemeClr val="accent2">
                            <a:lumMod val="50000"/>
                          </a:schemeClr>
                        </a:solidFill>
                      </a:rPr>
                      <a:pPr>
                        <a:defRPr sz="900" b="1" baseline="0">
                          <a:solidFill>
                            <a:srgbClr val="002060"/>
                          </a:solidFill>
                        </a:defRPr>
                      </a:pPr>
                      <a:t>[PROCENTO]</a:t>
                    </a:fld>
                    <a:endParaRPr lang="en-US" sz="900" baseline="0">
                      <a:solidFill>
                        <a:schemeClr val="accent2">
                          <a:lumMod val="50000"/>
                        </a:schemeClr>
                      </a:solidFill>
                    </a:endParaRPr>
                  </a:p>
                </c:rich>
              </c:tx>
              <c:spPr>
                <a:noFill/>
                <a:ln>
                  <a:noFill/>
                </a:ln>
                <a:effectLst/>
              </c:spPr>
              <c:showLegendKey val="0"/>
              <c:showVal val="1"/>
              <c:showCatName val="0"/>
              <c:showSerName val="0"/>
              <c:showPercent val="1"/>
              <c:showBubbleSize val="0"/>
              <c:extLst>
                <c:ext xmlns:c15="http://schemas.microsoft.com/office/drawing/2012/chart" uri="{CE6537A1-D6FC-4f65-9D91-7224C49458BB}">
                  <c15:layout>
                    <c:manualLayout>
                      <c:w val="0.19240209061899058"/>
                      <c:h val="0.1096809381734031"/>
                    </c:manualLayout>
                  </c15:layout>
                  <c15:dlblFieldTable/>
                  <c15:showDataLabelsRange val="0"/>
                </c:ext>
              </c:extLst>
            </c:dLbl>
            <c:dLbl>
              <c:idx val="1"/>
              <c:layout>
                <c:manualLayout>
                  <c:x val="0.17491999058780983"/>
                  <c:y val="-0.16103806784309463"/>
                </c:manualLayout>
              </c:layout>
              <c:tx>
                <c:rich>
                  <a:bodyPr wrap="square" lIns="38100" tIns="19050" rIns="38100" bIns="19050" anchor="ctr">
                    <a:noAutofit/>
                  </a:bodyPr>
                  <a:lstStyle/>
                  <a:p>
                    <a:pPr>
                      <a:defRPr sz="900" b="1" baseline="0">
                        <a:solidFill>
                          <a:srgbClr val="002060"/>
                        </a:solidFill>
                      </a:defRPr>
                    </a:pPr>
                    <a:fld id="{454C0F7E-0C85-4A55-B8F7-840A61A5077B}" type="VALUE">
                      <a:rPr lang="en-US" sz="900">
                        <a:solidFill>
                          <a:schemeClr val="bg1"/>
                        </a:solidFill>
                      </a:rPr>
                      <a:pPr>
                        <a:defRPr sz="900" b="1" baseline="0">
                          <a:solidFill>
                            <a:srgbClr val="002060"/>
                          </a:solidFill>
                        </a:defRPr>
                      </a:pPr>
                      <a:t>[HODNOTA]</a:t>
                    </a:fld>
                    <a:r>
                      <a:rPr lang="en-US" sz="900">
                        <a:solidFill>
                          <a:schemeClr val="bg1"/>
                        </a:solidFill>
                      </a:rPr>
                      <a:t> mil. m</a:t>
                    </a:r>
                    <a:r>
                      <a:rPr lang="en-US" sz="900" baseline="30000">
                        <a:solidFill>
                          <a:schemeClr val="bg1"/>
                        </a:solidFill>
                      </a:rPr>
                      <a:t>3</a:t>
                    </a:r>
                    <a:r>
                      <a:rPr lang="en-US" sz="900" baseline="0">
                        <a:solidFill>
                          <a:schemeClr val="bg1"/>
                        </a:solidFill>
                      </a:rPr>
                      <a:t>; </a:t>
                    </a:r>
                    <a:fld id="{FCE4C652-2674-4591-B9C4-B93006A7DEB8}" type="PERCENTAGE">
                      <a:rPr lang="en-US" sz="900" baseline="0">
                        <a:solidFill>
                          <a:schemeClr val="bg1"/>
                        </a:solidFill>
                      </a:rPr>
                      <a:pPr>
                        <a:defRPr sz="900" b="1" baseline="0">
                          <a:solidFill>
                            <a:srgbClr val="002060"/>
                          </a:solidFill>
                        </a:defRPr>
                      </a:pPr>
                      <a:t>[PROCENTO]</a:t>
                    </a:fld>
                    <a:endParaRPr lang="en-US" sz="900" baseline="0">
                      <a:solidFill>
                        <a:schemeClr val="bg1"/>
                      </a:solidFill>
                    </a:endParaRPr>
                  </a:p>
                </c:rich>
              </c:tx>
              <c:spPr>
                <a:noFill/>
                <a:ln>
                  <a:noFill/>
                </a:ln>
                <a:effectLst/>
              </c:spPr>
              <c:showLegendKey val="0"/>
              <c:showVal val="1"/>
              <c:showCatName val="0"/>
              <c:showSerName val="0"/>
              <c:showPercent val="1"/>
              <c:showBubbleSize val="0"/>
              <c:extLst>
                <c:ext xmlns:c15="http://schemas.microsoft.com/office/drawing/2012/chart" uri="{CE6537A1-D6FC-4f65-9D91-7224C49458BB}">
                  <c15:layout>
                    <c:manualLayout>
                      <c:w val="0.19086437984446702"/>
                      <c:h val="0.11615237284528623"/>
                    </c:manualLayout>
                  </c15:layout>
                  <c15:dlblFieldTable/>
                  <c15:showDataLabelsRange val="0"/>
                </c:ext>
              </c:extLst>
            </c:dLbl>
            <c:spPr>
              <a:noFill/>
              <a:ln>
                <a:noFill/>
              </a:ln>
              <a:effectLst/>
            </c:spPr>
            <c:txPr>
              <a:bodyPr wrap="square" lIns="38100" tIns="19050" rIns="38100" bIns="19050" anchor="ctr">
                <a:spAutoFit/>
              </a:bodyPr>
              <a:lstStyle/>
              <a:p>
                <a:pPr>
                  <a:defRPr sz="900" b="1" baseline="0">
                    <a:solidFill>
                      <a:srgbClr val="002060"/>
                    </a:solidFill>
                  </a:defRPr>
                </a:pPr>
                <a:endParaRPr lang="cs-CZ"/>
              </a:p>
            </c:txPr>
            <c:showLegendKey val="0"/>
            <c:showVal val="1"/>
            <c:showCatName val="0"/>
            <c:showSerName val="0"/>
            <c:showPercent val="1"/>
            <c:showBubbleSize val="0"/>
            <c:showLeaderLines val="1"/>
            <c:extLst>
              <c:ext xmlns:c15="http://schemas.microsoft.com/office/drawing/2012/chart" uri="{CE6537A1-D6FC-4f65-9D91-7224C49458BB}"/>
            </c:extLst>
          </c:dLbls>
          <c:cat>
            <c:strRef>
              <c:f>'grafy tabulky'!$B$144:$C$144</c:f>
              <c:strCache>
                <c:ptCount val="2"/>
                <c:pt idx="0">
                  <c:v>Objem vody fakturované bez anomálií</c:v>
                </c:pt>
                <c:pt idx="1">
                  <c:v>Objem vody odpadní a srážkové fakturované (mil. m3) s výskytem alespoň jedné anomálie</c:v>
                </c:pt>
              </c:strCache>
            </c:strRef>
          </c:cat>
          <c:val>
            <c:numRef>
              <c:f>'grafy tabulky'!$B$151:$C$151</c:f>
              <c:numCache>
                <c:formatCode>#,##0.00</c:formatCode>
                <c:ptCount val="2"/>
                <c:pt idx="0">
                  <c:v>138.02209081428572</c:v>
                </c:pt>
                <c:pt idx="1">
                  <c:v>324.82757418571435</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
          <c:y val="0.83747394471699632"/>
          <c:w val="1"/>
          <c:h val="0.16252605528300371"/>
        </c:manualLayout>
      </c:layout>
      <c:overlay val="1"/>
      <c:txPr>
        <a:bodyPr anchor="t" anchorCtr="0"/>
        <a:lstStyle/>
        <a:p>
          <a:pPr>
            <a:defRPr sz="1000" b="0" cap="small" baseline="0">
              <a:ln w="0">
                <a:solidFill>
                  <a:schemeClr val="accent2"/>
                </a:solidFill>
              </a:ln>
              <a:solidFill>
                <a:schemeClr val="bg1"/>
              </a:solidFill>
              <a:latin typeface="+mj-lt"/>
            </a:defRPr>
          </a:pPr>
          <a:endParaRPr lang="cs-CZ"/>
        </a:p>
      </c:txPr>
    </c:legend>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cap="small" spc="0" baseline="0">
                <a:solidFill>
                  <a:srgbClr val="002060"/>
                </a:solidFill>
                <a:latin typeface="+mj-lt"/>
                <a:ea typeface="+mn-ea"/>
                <a:cs typeface="+mn-cs"/>
              </a:defRPr>
            </a:pPr>
            <a:r>
              <a:rPr lang="cs-CZ" sz="1200" b="1" cap="small" baseline="0">
                <a:solidFill>
                  <a:srgbClr val="002060"/>
                </a:solidFill>
                <a:latin typeface="+mj-lt"/>
              </a:rPr>
              <a:t>Benchmarking provozovatelských subjektů 2016</a:t>
            </a:r>
          </a:p>
          <a:p>
            <a:pPr algn="l">
              <a:defRPr sz="1200" b="1" i="0" u="none" strike="noStrike" kern="1200" cap="small" spc="0" baseline="0">
                <a:solidFill>
                  <a:srgbClr val="002060"/>
                </a:solidFill>
                <a:latin typeface="+mj-lt"/>
                <a:ea typeface="+mn-ea"/>
                <a:cs typeface="+mn-cs"/>
              </a:defRPr>
            </a:pPr>
            <a:r>
              <a:rPr lang="cs-CZ" sz="1200" b="1" cap="small" baseline="0">
                <a:solidFill>
                  <a:srgbClr val="002060"/>
                </a:solidFill>
                <a:latin typeface="+mj-lt"/>
              </a:rPr>
              <a:t>Výskyt alespoň jedné anomálie podle množství vody fakturované </a:t>
            </a:r>
          </a:p>
          <a:p>
            <a:pPr algn="l">
              <a:defRPr sz="1200" b="1" i="0" u="none" strike="noStrike" kern="1200" cap="small" spc="0" baseline="0">
                <a:solidFill>
                  <a:srgbClr val="002060"/>
                </a:solidFill>
                <a:latin typeface="+mj-lt"/>
                <a:ea typeface="+mn-ea"/>
                <a:cs typeface="+mn-cs"/>
              </a:defRPr>
            </a:pPr>
            <a:endParaRPr lang="cs-CZ" sz="1200" b="1" cap="small" baseline="0">
              <a:solidFill>
                <a:srgbClr val="002060"/>
              </a:solidFill>
              <a:latin typeface="+mj-lt"/>
            </a:endParaRPr>
          </a:p>
          <a:p>
            <a:pPr algn="l">
              <a:defRPr sz="1200" b="1" i="0" u="none" strike="noStrike" kern="1200" cap="small" spc="0" baseline="0">
                <a:solidFill>
                  <a:srgbClr val="002060"/>
                </a:solidFill>
                <a:latin typeface="+mj-lt"/>
                <a:ea typeface="+mn-ea"/>
                <a:cs typeface="+mn-cs"/>
              </a:defRPr>
            </a:pPr>
            <a:endParaRPr lang="cs-CZ" sz="1200" b="1" cap="small" baseline="0">
              <a:solidFill>
                <a:srgbClr val="002060"/>
              </a:solidFill>
              <a:latin typeface="+mj-lt"/>
            </a:endParaRPr>
          </a:p>
        </c:rich>
      </c:tx>
      <c:layout>
        <c:manualLayout>
          <c:xMode val="edge"/>
          <c:yMode val="edge"/>
          <c:x val="1.0762445316712195E-3"/>
          <c:y val="2.6812766451866568E-4"/>
        </c:manualLayout>
      </c:layout>
      <c:overlay val="0"/>
      <c:spPr>
        <a:noFill/>
        <a:ln w="25400">
          <a:noFill/>
        </a:ln>
      </c:spPr>
    </c:title>
    <c:autoTitleDeleted val="0"/>
    <c:plotArea>
      <c:layout>
        <c:manualLayout>
          <c:layoutTarget val="inner"/>
          <c:xMode val="edge"/>
          <c:yMode val="edge"/>
          <c:x val="0.42207406050499835"/>
          <c:y val="0.1852662431910666"/>
          <c:w val="0.46263029329032634"/>
          <c:h val="0.76712547539233078"/>
        </c:manualLayout>
      </c:layout>
      <c:pieChart>
        <c:varyColors val="1"/>
        <c:ser>
          <c:idx val="0"/>
          <c:order val="0"/>
          <c:dPt>
            <c:idx val="0"/>
            <c:bubble3D val="0"/>
            <c:spPr>
              <a:solidFill>
                <a:srgbClr val="ED7D31"/>
              </a:solidFill>
              <a:ln w="12700">
                <a:solidFill>
                  <a:srgbClr val="FFFFFF"/>
                </a:solidFill>
                <a:prstDash val="solid"/>
              </a:ln>
            </c:spPr>
          </c:dPt>
          <c:dPt>
            <c:idx val="1"/>
            <c:bubble3D val="0"/>
            <c:explosion val="14"/>
            <c:spPr>
              <a:solidFill>
                <a:schemeClr val="accent1">
                  <a:lumMod val="60000"/>
                  <a:lumOff val="40000"/>
                </a:schemeClr>
              </a:solidFill>
              <a:ln w="19050">
                <a:solidFill>
                  <a:schemeClr val="lt1"/>
                </a:solidFill>
              </a:ln>
              <a:effectLst/>
            </c:spPr>
          </c:dPt>
          <c:dLbls>
            <c:dLbl>
              <c:idx val="0"/>
              <c:layout>
                <c:manualLayout>
                  <c:x val="-0.15300739358986515"/>
                  <c:y val="0.12704332506381907"/>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fld id="{B242F6F6-CB4F-4F00-BE4C-C54118FC6B6C}" type="CELLRANGE">
                      <a:rPr lang="en-US"/>
                      <a:pPr>
                        <a:defRPr sz="1000" b="1" i="0" u="none" strike="noStrike" kern="1200" baseline="0">
                          <a:solidFill>
                            <a:srgbClr val="002060"/>
                          </a:solidFill>
                          <a:latin typeface="+mn-lt"/>
                          <a:ea typeface="+mn-ea"/>
                          <a:cs typeface="+mn-cs"/>
                        </a:defRPr>
                      </a:pPr>
                      <a:t>[OBLAST BUNĚK]</a:t>
                    </a:fld>
                    <a:r>
                      <a:rPr lang="en-US" baseline="0"/>
                      <a:t> mil. m</a:t>
                    </a:r>
                    <a:r>
                      <a:rPr lang="en-US" baseline="30000"/>
                      <a:t>3</a:t>
                    </a:r>
                    <a:r>
                      <a:rPr lang="en-US" baseline="0"/>
                      <a:t>; </a:t>
                    </a:r>
                    <a:fld id="{63CEA399-0D75-4C67-9CE0-1B1E5F1E8677}" type="PERCENTAGE">
                      <a:rPr lang="en-US" baseline="0"/>
                      <a:pPr>
                        <a:defRPr sz="1000" b="1" i="0" u="none" strike="noStrike" kern="1200" baseline="0">
                          <a:solidFill>
                            <a:srgbClr val="002060"/>
                          </a:solidFill>
                          <a:latin typeface="+mn-lt"/>
                          <a:ea typeface="+mn-ea"/>
                          <a:cs typeface="+mn-cs"/>
                        </a:defRPr>
                      </a:pPr>
                      <a:t>[PROCENTO]</a:t>
                    </a:fld>
                    <a:endParaRPr lang="en-US" baseline="0"/>
                  </a:p>
                </c:rich>
              </c:tx>
              <c:numFmt formatCode="0.00%" sourceLinked="0"/>
              <c:spPr>
                <a:noFill/>
                <a:ln w="25400">
                  <a:noFill/>
                </a:ln>
              </c:spPr>
              <c:dLblPos val="bestFit"/>
              <c:showLegendKey val="0"/>
              <c:showVal val="0"/>
              <c:showCatName val="0"/>
              <c:showSerName val="0"/>
              <c:showPercent val="1"/>
              <c:showBubbleSize val="0"/>
              <c:extLst>
                <c:ext xmlns:c15="http://schemas.microsoft.com/office/drawing/2012/chart" uri="{CE6537A1-D6FC-4f65-9D91-7224C49458BB}">
                  <c15:layout/>
                  <c15:dlblFieldTable/>
                  <c15:showDataLabelsRange val="1"/>
                </c:ext>
              </c:extLst>
            </c:dLbl>
            <c:dLbl>
              <c:idx val="1"/>
              <c:layout>
                <c:manualLayout>
                  <c:x val="0.15000551549358709"/>
                  <c:y val="-0.2311244382123468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fld id="{55724D26-3E74-4C34-86D1-2FAA38FEF4DD}" type="CELLRANGE">
                      <a:rPr lang="en-US"/>
                      <a:pPr>
                        <a:defRPr sz="1000" b="1" i="0" u="none" strike="noStrike" kern="1200" baseline="0">
                          <a:solidFill>
                            <a:srgbClr val="002060"/>
                          </a:solidFill>
                          <a:latin typeface="+mn-lt"/>
                          <a:ea typeface="+mn-ea"/>
                          <a:cs typeface="+mn-cs"/>
                        </a:defRPr>
                      </a:pPr>
                      <a:t>[OBLAST BUNĚK]</a:t>
                    </a:fld>
                    <a:r>
                      <a:rPr lang="en-US"/>
                      <a:t> </a:t>
                    </a:r>
                    <a:r>
                      <a:rPr lang="en-US" sz="800" b="1" i="0" u="none" strike="noStrike" kern="1200" baseline="0">
                        <a:solidFill>
                          <a:srgbClr val="002060"/>
                        </a:solidFill>
                      </a:rPr>
                      <a:t>mil. m</a:t>
                    </a:r>
                    <a:r>
                      <a:rPr lang="en-US" sz="800" b="1" i="0" u="none" strike="noStrike" kern="1200" baseline="30000">
                        <a:solidFill>
                          <a:srgbClr val="002060"/>
                        </a:solidFill>
                      </a:rPr>
                      <a:t>3</a:t>
                    </a:r>
                    <a:r>
                      <a:rPr lang="en-US" baseline="0"/>
                      <a:t>; </a:t>
                    </a:r>
                    <a:fld id="{9CE14EC9-62F2-4AD5-B08F-59821AD978B4}" type="PERCENTAGE">
                      <a:rPr lang="en-US" baseline="0"/>
                      <a:pPr>
                        <a:defRPr sz="1000" b="1" i="0" u="none" strike="noStrike" kern="1200" baseline="0">
                          <a:solidFill>
                            <a:srgbClr val="002060"/>
                          </a:solidFill>
                          <a:latin typeface="+mn-lt"/>
                          <a:ea typeface="+mn-ea"/>
                          <a:cs typeface="+mn-cs"/>
                        </a:defRPr>
                      </a:pPr>
                      <a:t>[PROCENTO]</a:t>
                    </a:fld>
                    <a:endParaRPr lang="en-US" baseline="0"/>
                  </a:p>
                </c:rich>
              </c:tx>
              <c:numFmt formatCode="0.00%" sourceLinked="0"/>
              <c:spPr>
                <a:noFill/>
                <a:ln w="25400">
                  <a:noFill/>
                </a:ln>
              </c:spPr>
              <c:dLblPos val="bestFit"/>
              <c:showLegendKey val="0"/>
              <c:showVal val="0"/>
              <c:showCatName val="0"/>
              <c:showSerName val="0"/>
              <c:showPercent val="1"/>
              <c:showBubbleSize val="0"/>
              <c:extLst>
                <c:ext xmlns:c15="http://schemas.microsoft.com/office/drawing/2012/chart" uri="{CE6537A1-D6FC-4f65-9D91-7224C49458BB}">
                  <c15:layout/>
                  <c15:dlblFieldTable/>
                  <c15:showDataLabelsRange val="1"/>
                </c:ext>
              </c:extLst>
            </c:dLbl>
            <c:numFmt formatCode="#,##0.00" sourceLinked="0"/>
            <c:spPr>
              <a:noFill/>
              <a:ln w="25400">
                <a:noFill/>
              </a:ln>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(skupiny!$B$99,skupiny!$D$99)</c:f>
              <c:strCache>
                <c:ptCount val="2"/>
                <c:pt idx="0">
                  <c:v>Výskyt anomálií alespoň jedné anomálie podle objemu vody fakturované ve skupinách </c:v>
                </c:pt>
                <c:pt idx="1">
                  <c:v>Objem vody fakturované bez anomálií</c:v>
                </c:pt>
              </c:strCache>
            </c:strRef>
          </c:cat>
          <c:val>
            <c:numRef>
              <c:f>(skupiny!$B$108,skupiny!$D$108)</c:f>
              <c:numCache>
                <c:formatCode>#,##0.00</c:formatCode>
                <c:ptCount val="2"/>
                <c:pt idx="0">
                  <c:v>133.847059</c:v>
                </c:pt>
                <c:pt idx="1">
                  <c:v>313.24930799999993</c:v>
                </c:pt>
              </c:numCache>
            </c:numRef>
          </c:val>
          <c:extLst>
            <c:ext xmlns:c15="http://schemas.microsoft.com/office/drawing/2012/chart" uri="{02D57815-91ED-43cb-92C2-25804820EDAC}">
              <c15:datalabelsRange>
                <c15:f>(skupiny!$B$108,skupiny!$D$108)</c15:f>
                <c15:dlblRangeCache>
                  <c:ptCount val="2"/>
                  <c:pt idx="0">
                    <c:v>133,85</c:v>
                  </c:pt>
                  <c:pt idx="1">
                    <c:v>313,25</c:v>
                  </c:pt>
                </c15:dlblRangeCache>
              </c15:datalabelsRange>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
          <c:y val="0.26684279675029277"/>
          <c:w val="0.30533618241957677"/>
          <c:h val="0.73284081260557521"/>
        </c:manualLayout>
      </c:layout>
      <c:overlay val="0"/>
      <c:spPr>
        <a:noFill/>
        <a:ln w="25400">
          <a:noFill/>
        </a:ln>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cap="small" baseline="0">
                <a:solidFill>
                  <a:srgbClr val="002060"/>
                </a:solidFill>
                <a:latin typeface="+mj-lt"/>
                <a:ea typeface="+mn-ea"/>
                <a:cs typeface="+mn-cs"/>
              </a:defRPr>
            </a:pPr>
            <a:r>
              <a:rPr lang="cs-CZ" sz="1200" b="1" i="0" cap="all" baseline="0">
                <a:solidFill>
                  <a:srgbClr val="002060"/>
                </a:solidFill>
                <a:latin typeface="Calibri Light" pitchFamily="34" charset="0"/>
              </a:rPr>
              <a:t>VÝSKYT ANOMÁLIÍ VE VZTAHU K analyzovanému MNOŽSTVÍ  vody pitné FAKTUROVANÉ </a:t>
            </a:r>
            <a:r>
              <a:rPr lang="en-US" sz="1200" b="1" i="0" cap="all" baseline="0">
                <a:solidFill>
                  <a:srgbClr val="002060"/>
                </a:solidFill>
                <a:latin typeface="Calibri Light" pitchFamily="34" charset="0"/>
              </a:rPr>
              <a:t>[MIL.M3]</a:t>
            </a:r>
            <a:r>
              <a:rPr lang="cs-CZ" sz="1200" b="1" i="0" cap="all" baseline="0">
                <a:solidFill>
                  <a:srgbClr val="002060"/>
                </a:solidFill>
                <a:latin typeface="Calibri Light" pitchFamily="34" charset="0"/>
              </a:rPr>
              <a:t>  a  % podíl analyzovaného trhu </a:t>
            </a:r>
            <a:endParaRPr lang="sk-SK" sz="1200" cap="all" baseline="0">
              <a:solidFill>
                <a:srgbClr val="002060"/>
              </a:solidFill>
              <a:latin typeface="Calibri Light" pitchFamily="34" charset="0"/>
            </a:endParaRPr>
          </a:p>
          <a:p>
            <a:pPr algn="l">
              <a:defRPr sz="1400" cap="small">
                <a:solidFill>
                  <a:srgbClr val="002060"/>
                </a:solidFill>
                <a:latin typeface="+mj-lt"/>
              </a:defRPr>
            </a:pPr>
            <a:r>
              <a:rPr lang="cs-CZ" sz="1200" b="1" i="0" cap="all" baseline="0">
                <a:solidFill>
                  <a:srgbClr val="002060"/>
                </a:solidFill>
                <a:latin typeface="Calibri Light" pitchFamily="34" charset="0"/>
              </a:rPr>
              <a:t>BENCHMARKINGU provozovatelských SUBJEKTŮ 2016 - vodovod</a:t>
            </a:r>
            <a:endParaRPr lang="sk-SK" sz="1200" cap="all" baseline="0">
              <a:solidFill>
                <a:srgbClr val="002060"/>
              </a:solidFill>
              <a:latin typeface="Calibri Light" pitchFamily="34" charset="0"/>
            </a:endParaRPr>
          </a:p>
        </c:rich>
      </c:tx>
      <c:layout>
        <c:manualLayout>
          <c:xMode val="edge"/>
          <c:yMode val="edge"/>
          <c:x val="5.0032082763467592E-4"/>
          <c:y val="1.2087874588163543E-3"/>
        </c:manualLayout>
      </c:layout>
      <c:overlay val="0"/>
      <c:spPr>
        <a:noFill/>
        <a:ln>
          <a:noFill/>
        </a:ln>
        <a:effectLst/>
      </c:spPr>
      <c:txPr>
        <a:bodyPr rot="0" spcFirstLastPara="1" vertOverflow="ellipsis" vert="horz" wrap="square" anchor="ctr" anchorCtr="1"/>
        <a:lstStyle/>
        <a:p>
          <a:pPr algn="l">
            <a:defRPr sz="1400" b="1" i="0" u="none" strike="noStrike" kern="1200" cap="small" baseline="0">
              <a:solidFill>
                <a:srgbClr val="002060"/>
              </a:solidFill>
              <a:latin typeface="+mj-lt"/>
              <a:ea typeface="+mn-ea"/>
              <a:cs typeface="+mn-cs"/>
            </a:defRPr>
          </a:pPr>
          <a:endParaRPr lang="cs-CZ"/>
        </a:p>
      </c:txPr>
    </c:title>
    <c:autoTitleDeleted val="0"/>
    <c:plotArea>
      <c:layout>
        <c:manualLayout>
          <c:layoutTarget val="inner"/>
          <c:xMode val="edge"/>
          <c:yMode val="edge"/>
          <c:x val="0.50156604488610046"/>
          <c:y val="0.16999507942815689"/>
          <c:w val="0.43834401448482035"/>
          <c:h val="0.69487324849107956"/>
        </c:manualLayout>
      </c:layout>
      <c:barChart>
        <c:barDir val="bar"/>
        <c:grouping val="percentStacked"/>
        <c:varyColors val="0"/>
        <c:ser>
          <c:idx val="0"/>
          <c:order val="0"/>
          <c:tx>
            <c:strRef>
              <c:f>skupiny!$E$98</c:f>
              <c:strCache>
                <c:ptCount val="1"/>
                <c:pt idx="0">
                  <c:v>NALEZENA ANOMÁLIE</c:v>
                </c:pt>
              </c:strCache>
            </c:strRef>
          </c:tx>
          <c:spPr>
            <a:solidFill>
              <a:srgbClr val="FF0000"/>
            </a:solidFill>
            <a:ln>
              <a:noFill/>
            </a:ln>
            <a:effectLst/>
          </c:spPr>
          <c:invertIfNegative val="0"/>
          <c:dLbls>
            <c:dLbl>
              <c:idx val="0"/>
              <c:layout>
                <c:manualLayout>
                  <c:x val="0.18822307039175551"/>
                  <c:y val="-2.6192899686465656E-3"/>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r>
                      <a:rPr lang="en-US" b="1" i="0">
                        <a:solidFill>
                          <a:srgbClr val="FF0000"/>
                        </a:solidFill>
                      </a:rPr>
                      <a:t> </a:t>
                    </a:r>
                    <a:fld id="{A31AF104-7F3A-4B55-83C4-1A59195D4807}" type="CELLREF">
                      <a:rPr lang="en-US" b="1" i="0">
                        <a:solidFill>
                          <a:srgbClr val="002060"/>
                        </a:solidFill>
                      </a:rPr>
                      <a:pPr/>
                      <a:t>[ODKAZ NA BUŇKU]</a:t>
                    </a:fld>
                    <a:endParaRPr lang="en-US" b="1" i="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25829898658716022"/>
                      <c:h val="3.3580426031256091E-2"/>
                    </c:manualLayout>
                  </c15:layout>
                  <c15:dlblFieldTable>
                    <c15:dlblFTEntry>
                      <c15:txfldGUID>{A31AF104-7F3A-4B55-83C4-1A59195D4807}</c15:txfldGUID>
                      <c15:f>skupiny!$J$99</c15:f>
                      <c15:dlblFieldTableCache>
                        <c:ptCount val="1"/>
                        <c:pt idx="0">
                          <c:v>; 0 %; 3 výskyty</c:v>
                        </c:pt>
                      </c15:dlblFieldTableCache>
                    </c15:dlblFTEntry>
                  </c15:dlblFieldTable>
                  <c15:showDataLabelsRange val="0"/>
                </c:ext>
              </c:extLst>
            </c:dLbl>
            <c:dLbl>
              <c:idx val="1"/>
              <c:layout>
                <c:manualLayout>
                  <c:x val="0.17732359973800246"/>
                  <c:y val="-1.9202825591680265E-3"/>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r>
                      <a:rPr lang="en-US" b="1" i="0">
                        <a:solidFill>
                          <a:srgbClr val="FF0000"/>
                        </a:solidFill>
                      </a:rPr>
                      <a:t> </a:t>
                    </a:r>
                    <a:fld id="{8A765CC5-79B5-4C60-BF6D-4C3041577326}" type="CELLREF">
                      <a:rPr lang="en-US" b="1" i="0">
                        <a:solidFill>
                          <a:srgbClr val="002060"/>
                        </a:solidFill>
                      </a:rPr>
                      <a:pPr/>
                      <a:t>[ODKAZ NA BUŇKU]</a:t>
                    </a:fld>
                    <a:endParaRPr lang="en-US" b="1" i="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2365000452796541"/>
                      <c:h val="3.497844085021317E-2"/>
                    </c:manualLayout>
                  </c15:layout>
                  <c15:dlblFieldTable>
                    <c15:dlblFTEntry>
                      <c15:txfldGUID>{8A765CC5-79B5-4C60-BF6D-4C3041577326}</c15:txfldGUID>
                      <c15:f>skupiny!$J$100</c15:f>
                      <c15:dlblFieldTableCache>
                        <c:ptCount val="1"/>
                        <c:pt idx="0">
                          <c:v>;0 %; 3 výskyty</c:v>
                        </c:pt>
                      </c15:dlblFieldTableCache>
                    </c15:dlblFTEntry>
                  </c15:dlblFieldTable>
                  <c15:showDataLabelsRange val="0"/>
                </c:ext>
              </c:extLst>
            </c:dLbl>
            <c:dLbl>
              <c:idx val="2"/>
              <c:layout>
                <c:manualLayout>
                  <c:x val="0.13930173355284281"/>
                  <c:y val="-1.2212264883079652E-3"/>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r>
                      <a:rPr lang="en-US" b="1" i="0">
                        <a:solidFill>
                          <a:srgbClr val="FF0000"/>
                        </a:solidFill>
                      </a:rPr>
                      <a:t> </a:t>
                    </a:r>
                    <a:fld id="{A47E12FD-2456-416C-A101-406A0C74A8DE}" type="CELLREF">
                      <a:rPr lang="en-US" b="1" i="0">
                        <a:solidFill>
                          <a:srgbClr val="002060"/>
                        </a:solidFill>
                      </a:rPr>
                      <a:pPr/>
                      <a:t>[ODKAZ NA BUŇKU]</a:t>
                    </a:fld>
                    <a:endParaRPr lang="en-US" b="1" i="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6045623315074406"/>
                      <c:h val="4.75605742208269E-2"/>
                    </c:manualLayout>
                  </c15:layout>
                  <c15:dlblFieldTable>
                    <c15:dlblFTEntry>
                      <c15:txfldGUID>{A47E12FD-2456-416C-A101-406A0C74A8DE}</c15:txfldGUID>
                      <c15:f>skupiny!$J$101</c15:f>
                      <c15:dlblFieldTableCache>
                        <c:ptCount val="1"/>
                        <c:pt idx="0">
                          <c:v>; 0,27 %; 36 výskytů</c:v>
                        </c:pt>
                      </c15:dlblFieldTableCache>
                    </c15:dlblFTEntry>
                  </c15:dlblFieldTable>
                  <c15:showDataLabelsRange val="0"/>
                </c:ext>
              </c:extLst>
            </c:dLbl>
            <c:dLbl>
              <c:idx val="3"/>
              <c:layout>
                <c:manualLayout>
                  <c:x val="0.13805917352410135"/>
                  <c:y val="1.7673966926759515E-4"/>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r>
                      <a:rPr lang="en-US" b="1" i="0">
                        <a:solidFill>
                          <a:srgbClr val="FF0000"/>
                        </a:solidFill>
                      </a:rPr>
                      <a:t> </a:t>
                    </a:r>
                    <a:fld id="{5540F8CB-6AE2-432B-A83B-C3CD5542328E}" type="CELLREF">
                      <a:rPr lang="en-US" b="1" i="0">
                        <a:solidFill>
                          <a:srgbClr val="002060"/>
                        </a:solidFill>
                      </a:rPr>
                      <a:pPr/>
                      <a:t>[ODKAZ NA BUŇKU]</a:t>
                    </a:fld>
                    <a:endParaRPr lang="en-US" b="1" i="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5797119285185193"/>
                      <c:h val="3.9172485307084413E-2"/>
                    </c:manualLayout>
                  </c15:layout>
                  <c15:dlblFieldTable>
                    <c15:dlblFTEntry>
                      <c15:txfldGUID>{5540F8CB-6AE2-432B-A83B-C3CD5542328E}</c15:txfldGUID>
                      <c15:f>skupiny!$J$102</c15:f>
                      <c15:dlblFieldTableCache>
                        <c:ptCount val="1"/>
                        <c:pt idx="0">
                          <c:v>; 0,46 %; 140 výskytů</c:v>
                        </c:pt>
                      </c15:dlblFieldTableCache>
                    </c15:dlblFTEntry>
                  </c15:dlblFieldTable>
                  <c15:showDataLabelsRange val="0"/>
                </c:ext>
              </c:extLst>
            </c:dLbl>
            <c:dLbl>
              <c:idx val="4"/>
              <c:layout>
                <c:manualLayout>
                  <c:x val="0.13698964487369053"/>
                  <c:y val="1.7673966926759515E-4"/>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r>
                      <a:rPr lang="en-US" b="1" i="0">
                        <a:solidFill>
                          <a:srgbClr val="FF0000"/>
                        </a:solidFill>
                      </a:rPr>
                      <a:t> </a:t>
                    </a:r>
                    <a:fld id="{8258F48B-F826-475F-93AC-6BA33FDD2998}" type="CELLREF">
                      <a:rPr lang="en-US" b="1" i="0">
                        <a:solidFill>
                          <a:srgbClr val="002060"/>
                        </a:solidFill>
                      </a:rPr>
                      <a:pPr/>
                      <a:t>[ODKAZ NA BUŇKU]</a:t>
                    </a:fld>
                    <a:endParaRPr lang="en-US" b="1" i="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5583213555103018"/>
                      <c:h val="3.9172485307084413E-2"/>
                    </c:manualLayout>
                  </c15:layout>
                  <c15:dlblFieldTable>
                    <c15:dlblFTEntry>
                      <c15:txfldGUID>{8258F48B-F826-475F-93AC-6BA33FDD2998}</c15:txfldGUID>
                      <c15:f>skupiny!$J$103</c15:f>
                      <c15:dlblFieldTableCache>
                        <c:ptCount val="1"/>
                        <c:pt idx="0">
                          <c:v>; 0,88 %; 130 výskytů</c:v>
                        </c:pt>
                      </c15:dlblFieldTableCache>
                    </c15:dlblFTEntry>
                  </c15:dlblFieldTable>
                  <c15:showDataLabelsRange val="0"/>
                </c:ext>
              </c:extLst>
            </c:dLbl>
            <c:dLbl>
              <c:idx val="5"/>
              <c:layout>
                <c:manualLayout>
                  <c:x val="0.15028769877737719"/>
                  <c:y val="1.7673966926759515E-4"/>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r>
                      <a:rPr lang="en-US" b="1" i="0">
                        <a:solidFill>
                          <a:srgbClr val="FF0000"/>
                        </a:solidFill>
                      </a:rPr>
                      <a:t> </a:t>
                    </a:r>
                    <a:fld id="{0A43C7DB-FBA8-4C62-BA09-130F9C2C1B92}" type="CELLREF">
                      <a:rPr lang="en-US" b="1" i="0">
                        <a:solidFill>
                          <a:srgbClr val="002060"/>
                        </a:solidFill>
                      </a:rPr>
                      <a:pPr/>
                      <a:t>[ODKAZ NA BUŇKU]</a:t>
                    </a:fld>
                    <a:endParaRPr lang="en-US" b="1" i="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8242824335840355"/>
                      <c:h val="3.9172485307084413E-2"/>
                    </c:manualLayout>
                  </c15:layout>
                  <c15:dlblFieldTable>
                    <c15:dlblFTEntry>
                      <c15:txfldGUID>{0A43C7DB-FBA8-4C62-BA09-130F9C2C1B92}</c15:txfldGUID>
                      <c15:f>skupiny!$J$104</c15:f>
                      <c15:dlblFieldTableCache>
                        <c:ptCount val="1"/>
                        <c:pt idx="0">
                          <c:v>; 0,92 %; 263 výskytů</c:v>
                        </c:pt>
                      </c15:dlblFieldTableCache>
                    </c15:dlblFTEntry>
                  </c15:dlblFieldTable>
                  <c15:showDataLabelsRange val="0"/>
                </c:ext>
              </c:extLst>
            </c:dLbl>
            <c:dLbl>
              <c:idx val="6"/>
              <c:layout>
                <c:manualLayout>
                  <c:x val="0.13967902412446315"/>
                  <c:y val="8.7574707874613447E-4"/>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r>
                      <a:rPr lang="en-US" b="1" i="0">
                        <a:solidFill>
                          <a:srgbClr val="FF0000"/>
                        </a:solidFill>
                      </a:rPr>
                      <a:t> </a:t>
                    </a:r>
                    <a:fld id="{7F6965E0-024B-4CEE-B43E-DF948A3ADD16}" type="CELLREF">
                      <a:rPr lang="en-US" b="1" i="0">
                        <a:solidFill>
                          <a:srgbClr val="002060"/>
                        </a:solidFill>
                      </a:rPr>
                      <a:pPr/>
                      <a:t>[ODKAZ NA BUŇKU]</a:t>
                    </a:fld>
                    <a:endParaRPr lang="en-US" b="1" i="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6121089405257547"/>
                      <c:h val="4.0570500126041492E-2"/>
                    </c:manualLayout>
                  </c15:layout>
                  <c15:dlblFieldTable>
                    <c15:dlblFTEntry>
                      <c15:txfldGUID>{7F6965E0-024B-4CEE-B43E-DF948A3ADD16}</c15:txfldGUID>
                      <c15:f>skupiny!$J$105</c15:f>
                      <c15:dlblFieldTableCache>
                        <c:ptCount val="1"/>
                        <c:pt idx="0">
                          <c:v>; 1 %; 174 výskytů</c:v>
                        </c:pt>
                      </c15:dlblFieldTableCache>
                    </c15:dlblFTEntry>
                  </c15:dlblFieldTable>
                  <c15:showDataLabelsRange val="0"/>
                </c:ext>
              </c:extLst>
            </c:dLbl>
            <c:dLbl>
              <c:idx val="7"/>
              <c:layout>
                <c:manualLayout>
                  <c:x val="0.14707919022726268"/>
                  <c:y val="8.7574707874613447E-4"/>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fld id="{7B55C6AF-A297-438B-A2AC-B220E14E9F14}" type="CELLREF">
                      <a:rPr lang="en-US" b="1" i="0">
                        <a:solidFill>
                          <a:srgbClr val="002060"/>
                        </a:solidFill>
                      </a:rPr>
                      <a:pPr/>
                      <a:t>[ODKAZ NA BUŇKU]</a:t>
                    </a:fld>
                    <a:endParaRPr lang="en-US" sz="800" b="1" i="0" u="none" strike="noStrike" kern="1200" baseline="3000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7601122625817453"/>
                      <c:h val="4.0570500126041492E-2"/>
                    </c:manualLayout>
                  </c15:layout>
                  <c15:dlblFieldTable>
                    <c15:dlblFTEntry>
                      <c15:txfldGUID>{7B55C6AF-A297-438B-A2AC-B220E14E9F14}</c15:txfldGUID>
                      <c15:f>skupiny!$J$106</c15:f>
                      <c15:dlblFieldTableCache>
                        <c:ptCount val="1"/>
                        <c:pt idx="0">
                          <c:v>; 1,49 %; 292 výskytů</c:v>
                        </c:pt>
                      </c15:dlblFieldTableCache>
                    </c15:dlblFTEntry>
                  </c15:dlblFieldTable>
                  <c15:showDataLabelsRange val="0"/>
                </c:ext>
              </c:extLst>
            </c:dLbl>
            <c:dLbl>
              <c:idx val="8"/>
              <c:layout>
                <c:manualLayout>
                  <c:x val="0.14242374517470346"/>
                  <c:y val="1.7673966926759515E-4"/>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fld id="{5603BB47-6472-4C39-9BC1-741F186300CD}" type="CELLREF">
                      <a:rPr lang="en-US" b="1" i="0">
                        <a:solidFill>
                          <a:srgbClr val="002060"/>
                        </a:solidFill>
                      </a:rPr>
                      <a:pPr/>
                      <a:t>[ODKAZ NA BUŇKU]</a:t>
                    </a:fld>
                    <a:endParaRPr lang="en-US" sz="800" b="1" i="0" u="none" strike="noStrike" kern="1200" baseline="3000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6670033615305607"/>
                      <c:h val="3.9172485307084413E-2"/>
                    </c:manualLayout>
                  </c15:layout>
                  <c15:dlblFieldTable>
                    <c15:dlblFTEntry>
                      <c15:txfldGUID>{5603BB47-6472-4C39-9BC1-741F186300CD}</c15:txfldGUID>
                      <c15:f>skupiny!$J$107</c15:f>
                      <c15:dlblFieldTableCache>
                        <c:ptCount val="1"/>
                        <c:pt idx="0">
                          <c:v>; 2,26 %; 102 výskytů</c:v>
                        </c:pt>
                      </c15:dlblFieldTableCache>
                    </c15:dlblFTEntry>
                  </c15:dlblFieldTable>
                  <c15:showDataLabelsRange val="0"/>
                </c:ext>
              </c:extLst>
            </c:dLbl>
            <c:dLbl>
              <c:idx val="9"/>
              <c:layout>
                <c:manualLayout>
                  <c:x val="0.14259681407485675"/>
                  <c:y val="1.5747544882246773E-3"/>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fld id="{E6EA98BC-75D2-405D-8F96-ED6B3E389039}" type="CELLREF">
                      <a:rPr lang="en-US" b="1" i="0">
                        <a:solidFill>
                          <a:srgbClr val="002060"/>
                        </a:solidFill>
                      </a:rPr>
                      <a:pPr/>
                      <a:t>[ODKAZ NA BUŇKU]</a:t>
                    </a:fld>
                    <a:endParaRPr lang="en-US" sz="800" b="1" i="0" u="none" strike="noStrike" kern="1200" baseline="3000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670464739533627"/>
                      <c:h val="4.1968514944998578E-2"/>
                    </c:manualLayout>
                  </c15:layout>
                  <c15:dlblFieldTable>
                    <c15:dlblFTEntry>
                      <c15:txfldGUID>{E6EA98BC-75D2-405D-8F96-ED6B3E389039}</c15:txfldGUID>
                      <c15:f>skupiny!$J$108</c15:f>
                      <c15:dlblFieldTableCache>
                        <c:ptCount val="1"/>
                        <c:pt idx="0">
                          <c:v>; 4,93 %; 60 výskytů</c:v>
                        </c:pt>
                      </c15:dlblFieldTableCache>
                    </c15:dlblFTEntry>
                  </c15:dlblFieldTable>
                  <c15:showDataLabelsRange val="0"/>
                </c:ext>
              </c:extLst>
            </c:dLbl>
            <c:dLbl>
              <c:idx val="10"/>
              <c:layout>
                <c:manualLayout>
                  <c:x val="0.14404367317618333"/>
                  <c:y val="1.7673966926759515E-4"/>
                </c:manualLayout>
              </c:layout>
              <c:tx>
                <c:rich>
                  <a:bodyPr/>
                  <a:lstStyle/>
                  <a:p>
                    <a:fld id="{B4C1B928-520C-4704-B9A9-2CD81744BD1E}" type="VALUE">
                      <a:rPr lang="en-US" sz="1000" b="1" i="0" u="none" strike="noStrike" kern="1200" baseline="0">
                        <a:solidFill>
                          <a:srgbClr val="FF0000"/>
                        </a:solidFill>
                      </a:rPr>
                      <a:pPr/>
                      <a:t>[HODNOTA]</a:t>
                    </a:fld>
                    <a:r>
                      <a:rPr lang="en-US" sz="1000" b="1" i="0" u="none" strike="noStrike" kern="1200" baseline="0">
                        <a:solidFill>
                          <a:srgbClr val="FF0000"/>
                        </a:solidFill>
                      </a:rPr>
                      <a:t> </a:t>
                    </a:r>
                    <a:r>
                      <a:rPr lang="en-US" sz="800" b="1" i="0" u="none" strike="noStrike" kern="1200" baseline="0">
                        <a:solidFill>
                          <a:srgbClr val="FF0000"/>
                        </a:solidFill>
                      </a:rPr>
                      <a:t>mil.m</a:t>
                    </a:r>
                    <a:r>
                      <a:rPr lang="en-US" sz="800" b="1" i="0" u="none" strike="noStrike" kern="1200" baseline="30000">
                        <a:solidFill>
                          <a:srgbClr val="FF0000"/>
                        </a:solidFill>
                      </a:rPr>
                      <a:t>3</a:t>
                    </a:r>
                    <a:fld id="{9590B2D9-C263-461E-B629-0B442A0DB79E}" type="CELLREF">
                      <a:rPr lang="en-US" b="1" i="0">
                        <a:solidFill>
                          <a:srgbClr val="002060"/>
                        </a:solidFill>
                      </a:rPr>
                      <a:pPr/>
                      <a:t>[ODKAZ NA BUŇKU]</a:t>
                    </a:fld>
                    <a:endParaRPr lang="en-US" sz="800" b="1" i="0" u="none" strike="noStrike" kern="1200" baseline="30000">
                      <a:solidFill>
                        <a:srgbClr val="FF0000"/>
                      </a:solidFill>
                    </a:endParaRPr>
                  </a:p>
                </c:rich>
              </c:tx>
              <c:showLegendKey val="1"/>
              <c:showVal val="0"/>
              <c:showCatName val="0"/>
              <c:showSerName val="0"/>
              <c:showPercent val="0"/>
              <c:showBubbleSize val="0"/>
              <c:extLst>
                <c:ext xmlns:c15="http://schemas.microsoft.com/office/drawing/2012/chart" uri="{CE6537A1-D6FC-4f65-9D91-7224C49458BB}">
                  <c15:layout>
                    <c:manualLayout>
                      <c:w val="0.16994019215601586"/>
                      <c:h val="3.9172485307084413E-2"/>
                    </c:manualLayout>
                  </c15:layout>
                  <c15:dlblFieldTable>
                    <c15:dlblFTEntry>
                      <c15:txfldGUID>{9590B2D9-C263-461E-B629-0B442A0DB79E}</c15:txfldGUID>
                      <c15:f>skupiny!$J$109</c15:f>
                      <c15:dlblFieldTableCache>
                        <c:ptCount val="1"/>
                        <c:pt idx="0">
                          <c:v>; 5,37 %; 722 výskytů</c:v>
                        </c:pt>
                      </c15:dlblFieldTableCache>
                    </c15:dlblFTEntry>
                  </c15:dlblFieldTable>
                  <c15:showDataLabelsRange val="0"/>
                </c:ext>
              </c:extLst>
            </c:dLbl>
            <c:dLbl>
              <c:idx val="11"/>
              <c:layout>
                <c:manualLayout>
                  <c:x val="0.14511320182659421"/>
                  <c:y val="1.7673966926759515E-4"/>
                </c:manualLayout>
              </c:layout>
              <c:tx>
                <c:rich>
                  <a:bodyPr/>
                  <a:lstStyle/>
                  <a:p>
                    <a:fld id="{B4C1B928-520C-4704-B9A9-2CD81744BD1E}" type="VALUE">
                      <a:rPr lang="en-US" sz="900" b="1" i="0" u="none" strike="noStrike" kern="1200" baseline="0">
                        <a:solidFill>
                          <a:srgbClr val="FF0000"/>
                        </a:solidFill>
                        <a:latin typeface="+mj-lt"/>
                      </a:rPr>
                      <a:pPr/>
                      <a:t>[HODNOTA]</a:t>
                    </a:fld>
                    <a:r>
                      <a:rPr lang="en-US" sz="900" b="1" i="0" u="none" strike="noStrike" kern="1200" baseline="0">
                        <a:solidFill>
                          <a:srgbClr val="FF0000"/>
                        </a:solidFill>
                        <a:latin typeface="+mj-lt"/>
                      </a:rPr>
                      <a:t> mil.m</a:t>
                    </a:r>
                    <a:r>
                      <a:rPr lang="en-US" sz="900" b="1" i="0" u="none" strike="noStrike" kern="1200" baseline="30000">
                        <a:solidFill>
                          <a:srgbClr val="FF0000"/>
                        </a:solidFill>
                        <a:latin typeface="+mj-lt"/>
                      </a:rPr>
                      <a:t>3</a:t>
                    </a:r>
                    <a:fld id="{92B086CC-4FD2-4531-B89B-E9D68F3F1799}" type="CELLREF">
                      <a:rPr lang="en-US" sz="900" b="1" i="0" u="none" strike="noStrike" kern="1200" baseline="0">
                        <a:solidFill>
                          <a:srgbClr val="002060"/>
                        </a:solidFill>
                        <a:latin typeface="+mj-lt"/>
                      </a:rPr>
                      <a:pPr/>
                      <a:t>[ODKAZ NA BUŇKU]</a:t>
                    </a:fld>
                    <a:endParaRPr lang="en-US" sz="900" b="1" i="0" u="none" strike="noStrike" kern="1200" baseline="30000">
                      <a:solidFill>
                        <a:srgbClr val="FF0000"/>
                      </a:solidFill>
                      <a:latin typeface="+mj-lt"/>
                    </a:endParaRPr>
                  </a:p>
                </c:rich>
              </c:tx>
              <c:showLegendKey val="1"/>
              <c:showVal val="1"/>
              <c:showCatName val="0"/>
              <c:showSerName val="0"/>
              <c:showPercent val="0"/>
              <c:showBubbleSize val="0"/>
              <c:extLst>
                <c:ext xmlns:c15="http://schemas.microsoft.com/office/drawing/2012/chart" uri="{CE6537A1-D6FC-4f65-9D91-7224C49458BB}">
                  <c15:layout>
                    <c:manualLayout>
                      <c:w val="0.17207924945683764"/>
                      <c:h val="3.9172485307084413E-2"/>
                    </c:manualLayout>
                  </c15:layout>
                  <c15:dlblFieldTable>
                    <c15:dlblFTEntry>
                      <c15:txfldGUID>{92B086CC-4FD2-4531-B89B-E9D68F3F1799}</c15:txfldGUID>
                      <c15:f>skupiny!$J$110</c15:f>
                      <c15:dlblFieldTableCache>
                        <c:ptCount val="1"/>
                        <c:pt idx="0">
                          <c:v>; 20,35 %; 243 výskytů</c:v>
                        </c:pt>
                      </c15:dlblFieldTableCache>
                    </c15:dlblFTEntry>
                  </c15:dlblFieldTable>
                  <c15:showDataLabelsRange val="0"/>
                </c:ext>
              </c:extLst>
            </c:dLbl>
            <c:numFmt formatCode="#,##0.00" sourceLinked="0"/>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FF0000"/>
                    </a:solidFill>
                    <a:latin typeface="+mj-lt"/>
                    <a:ea typeface="+mn-ea"/>
                    <a:cs typeface="+mn-cs"/>
                  </a:defRPr>
                </a:pPr>
                <a:endParaRPr lang="cs-CZ"/>
              </a:p>
            </c:txPr>
            <c:showLegendKey val="1"/>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skupiny!$A$99:$A$110</c:f>
              <c:strCache>
                <c:ptCount val="12"/>
                <c:pt idx="0">
                  <c:v>NULOVÉ VODNÉ CELKEM</c:v>
                </c:pt>
                <c:pt idx="1">
                  <c:v>NULOVÝ OBJEM FAKTUROVANÉ VODY</c:v>
                </c:pt>
                <c:pt idx="2">
                  <c:v>NULOVÝ POČET ZAMĚSTNANCŮ + VYKÁZANÉ MZDOVÉ NÁKLADY</c:v>
                </c:pt>
                <c:pt idx="3">
                  <c:v>PODÍL NEVYHOVUJÍCÍ MIKROBIOLOGICKÉ A BIOLOGICKÉ VZORKY (HODNOTA VÍCE NEŽ 20 %)</c:v>
                </c:pt>
                <c:pt idx="4">
                  <c:v>NEVYKAZOVÁNÍ 100% VÝŠE VŠECH EKONOMICKY OPRÁVNĚNÝCH NÁKLADŮ DO CENY PRO VODNÉ (JEDNICOVÉ NÁKLADY NIŽŠÍ NEŽ 0,5 NÁSOBEK PRŮMĚRNÝCH JEDNICOVÝCH NÁKLADŮ OPTIMÁLU SKUPINY)</c:v>
                </c:pt>
                <c:pt idx="5">
                  <c:v>NULOVÉ ZTRÁTY VODY</c:v>
                </c:pt>
                <c:pt idx="6">
                  <c:v>PODÍL NEVYHOVUJÍCÍ FYZIKÁLNĚ CHEMICKÉ VZORKY (HODNOTA VÍCE NEŽ 20 %)</c:v>
                </c:pt>
                <c:pt idx="7">
                  <c:v>VYSOKÁ CENA PRO VODNÉ (HODNOTA VÍCE NEŽ 1,5 NÁSOBEK PRŮMĚRNÉ CENY PRO VODNÉ OPTIMÁLA SKUPINY)</c:v>
                </c:pt>
                <c:pt idx="8">
                  <c:v>NULOVÉ MZDOVÉ NÁKLADY + NENULOVÝ POČET ZAMĚSTNANCŮ</c:v>
                </c:pt>
                <c:pt idx="9">
                  <c:v>VYSOKÉ ZTRÁTY VODY (HODNOTA VÍCE NEŽ 1,5 NÁSOBEK MEDIANU SKUPINY Z POROVNÁNÍ, KTERÉ VYKAZUJÍ ZTRÁTY VODY NAD 4%)</c:v>
                </c:pt>
                <c:pt idx="10">
                  <c:v>ZÁPORNÝ KALKULAČNÍ ZISK</c:v>
                </c:pt>
                <c:pt idx="11">
                  <c:v>VYSOKÝ PODÍL ZISKU NA ÚVN (HODNOTA VÍCE NEŽ 1,5 NÁSOBEK MEDIANU SKUPINY Z POROVNÁNÍ S KLADNÝM KALKULAČNÍM ZISKEM)</c:v>
                </c:pt>
              </c:strCache>
            </c:strRef>
          </c:cat>
          <c:val>
            <c:numRef>
              <c:f>skupiny!$E$99:$E$110</c:f>
              <c:numCache>
                <c:formatCode>General</c:formatCode>
                <c:ptCount val="12"/>
                <c:pt idx="0">
                  <c:v>0</c:v>
                </c:pt>
                <c:pt idx="1">
                  <c:v>0</c:v>
                </c:pt>
                <c:pt idx="2">
                  <c:v>1.2003240000000002</c:v>
                </c:pt>
                <c:pt idx="3">
                  <c:v>2.059358</c:v>
                </c:pt>
                <c:pt idx="4">
                  <c:v>3.9216159999999993</c:v>
                </c:pt>
                <c:pt idx="5">
                  <c:v>4.1163209999999992</c:v>
                </c:pt>
                <c:pt idx="6">
                  <c:v>4.4859900000000001</c:v>
                </c:pt>
                <c:pt idx="7">
                  <c:v>6.6458489999999992</c:v>
                </c:pt>
                <c:pt idx="8">
                  <c:v>10.119984999999998</c:v>
                </c:pt>
                <c:pt idx="9">
                  <c:v>22.038504</c:v>
                </c:pt>
                <c:pt idx="10">
                  <c:v>24.016759</c:v>
                </c:pt>
                <c:pt idx="11">
                  <c:v>90.976010000000002</c:v>
                </c:pt>
              </c:numCache>
            </c:numRef>
          </c:val>
          <c:extLst/>
        </c:ser>
        <c:ser>
          <c:idx val="1"/>
          <c:order val="1"/>
          <c:tx>
            <c:strRef>
              <c:f>skupiny!$H$98</c:f>
              <c:strCache>
                <c:ptCount val="1"/>
                <c:pt idx="0">
                  <c:v>BEZ VÝSKYTU DANÉ ANOMÁLIE</c:v>
                </c:pt>
              </c:strCache>
            </c:strRef>
          </c:tx>
          <c:spPr>
            <a:solidFill>
              <a:schemeClr val="accent5">
                <a:lumMod val="60000"/>
                <a:lumOff val="40000"/>
              </a:schemeClr>
            </a:solidFill>
            <a:ln>
              <a:noFill/>
            </a:ln>
            <a:effectLst/>
          </c:spPr>
          <c:invertIfNegative val="0"/>
          <c:cat>
            <c:strRef>
              <c:f>skupiny!$A$99:$A$110</c:f>
              <c:strCache>
                <c:ptCount val="12"/>
                <c:pt idx="0">
                  <c:v>NULOVÉ VODNÉ CELKEM</c:v>
                </c:pt>
                <c:pt idx="1">
                  <c:v>NULOVÝ OBJEM FAKTUROVANÉ VODY</c:v>
                </c:pt>
                <c:pt idx="2">
                  <c:v>NULOVÝ POČET ZAMĚSTNANCŮ + VYKÁZANÉ MZDOVÉ NÁKLADY</c:v>
                </c:pt>
                <c:pt idx="3">
                  <c:v>PODÍL NEVYHOVUJÍCÍ MIKROBIOLOGICKÉ A BIOLOGICKÉ VZORKY (HODNOTA VÍCE NEŽ 20 %)</c:v>
                </c:pt>
                <c:pt idx="4">
                  <c:v>NEVYKAZOVÁNÍ 100% VÝŠE VŠECH EKONOMICKY OPRÁVNĚNÝCH NÁKLADŮ DO CENY PRO VODNÉ (JEDNICOVÉ NÁKLADY NIŽŠÍ NEŽ 0,5 NÁSOBEK PRŮMĚRNÝCH JEDNICOVÝCH NÁKLADŮ OPTIMÁLU SKUPINY)</c:v>
                </c:pt>
                <c:pt idx="5">
                  <c:v>NULOVÉ ZTRÁTY VODY</c:v>
                </c:pt>
                <c:pt idx="6">
                  <c:v>PODÍL NEVYHOVUJÍCÍ FYZIKÁLNĚ CHEMICKÉ VZORKY (HODNOTA VÍCE NEŽ 20 %)</c:v>
                </c:pt>
                <c:pt idx="7">
                  <c:v>VYSOKÁ CENA PRO VODNÉ (HODNOTA VÍCE NEŽ 1,5 NÁSOBEK PRŮMĚRNÉ CENY PRO VODNÉ OPTIMÁLA SKUPINY)</c:v>
                </c:pt>
                <c:pt idx="8">
                  <c:v>NULOVÉ MZDOVÉ NÁKLADY + NENULOVÝ POČET ZAMĚSTNANCŮ</c:v>
                </c:pt>
                <c:pt idx="9">
                  <c:v>VYSOKÉ ZTRÁTY VODY (HODNOTA VÍCE NEŽ 1,5 NÁSOBEK MEDIANU SKUPINY Z POROVNÁNÍ, KTERÉ VYKAZUJÍ ZTRÁTY VODY NAD 4%)</c:v>
                </c:pt>
                <c:pt idx="10">
                  <c:v>ZÁPORNÝ KALKULAČNÍ ZISK</c:v>
                </c:pt>
                <c:pt idx="11">
                  <c:v>VYSOKÝ PODÍL ZISKU NA ÚVN (HODNOTA VÍCE NEŽ 1,5 NÁSOBEK MEDIANU SKUPINY Z POROVNÁNÍ S KLADNÝM KALKULAČNÍM ZISKEM)</c:v>
                </c:pt>
              </c:strCache>
            </c:strRef>
          </c:cat>
          <c:val>
            <c:numRef>
              <c:f>skupiny!$H$99:$H$110</c:f>
              <c:numCache>
                <c:formatCode>General</c:formatCode>
                <c:ptCount val="12"/>
                <c:pt idx="0">
                  <c:v>447.1</c:v>
                </c:pt>
                <c:pt idx="1">
                  <c:v>447.1</c:v>
                </c:pt>
                <c:pt idx="2">
                  <c:v>445.899676</c:v>
                </c:pt>
                <c:pt idx="3">
                  <c:v>445.04064200000005</c:v>
                </c:pt>
                <c:pt idx="4">
                  <c:v>443.17838400000005</c:v>
                </c:pt>
                <c:pt idx="5">
                  <c:v>442.98367900000005</c:v>
                </c:pt>
                <c:pt idx="6">
                  <c:v>442.61401000000001</c:v>
                </c:pt>
                <c:pt idx="7">
                  <c:v>440.45415100000002</c:v>
                </c:pt>
                <c:pt idx="8">
                  <c:v>436.98001500000004</c:v>
                </c:pt>
                <c:pt idx="9">
                  <c:v>425.06149600000003</c:v>
                </c:pt>
                <c:pt idx="10">
                  <c:v>423.08324100000004</c:v>
                </c:pt>
                <c:pt idx="11">
                  <c:v>356.12399000000005</c:v>
                </c:pt>
              </c:numCache>
            </c:numRef>
          </c:val>
        </c:ser>
        <c:ser>
          <c:idx val="2"/>
          <c:order val="2"/>
          <c:tx>
            <c:strRef>
              <c:f>skupiny!$I$98</c:f>
              <c:strCache>
                <c:ptCount val="1"/>
                <c:pt idx="0">
                  <c:v>NEANALYZOVANÁ DATA</c:v>
                </c:pt>
              </c:strCache>
            </c:strRef>
          </c:tx>
          <c:spPr>
            <a:solidFill>
              <a:schemeClr val="accent3"/>
            </a:solidFill>
            <a:ln>
              <a:noFill/>
            </a:ln>
            <a:effectLst/>
          </c:spPr>
          <c:invertIfNegative val="0"/>
          <c:cat>
            <c:strRef>
              <c:f>skupiny!$A$99:$A$110</c:f>
              <c:strCache>
                <c:ptCount val="12"/>
                <c:pt idx="0">
                  <c:v>NULOVÉ VODNÉ CELKEM</c:v>
                </c:pt>
                <c:pt idx="1">
                  <c:v>NULOVÝ OBJEM FAKTUROVANÉ VODY</c:v>
                </c:pt>
                <c:pt idx="2">
                  <c:v>NULOVÝ POČET ZAMĚSTNANCŮ + VYKÁZANÉ MZDOVÉ NÁKLADY</c:v>
                </c:pt>
                <c:pt idx="3">
                  <c:v>PODÍL NEVYHOVUJÍCÍ MIKROBIOLOGICKÉ A BIOLOGICKÉ VZORKY (HODNOTA VÍCE NEŽ 20 %)</c:v>
                </c:pt>
                <c:pt idx="4">
                  <c:v>NEVYKAZOVÁNÍ 100% VÝŠE VŠECH EKONOMICKY OPRÁVNĚNÝCH NÁKLADŮ DO CENY PRO VODNÉ (JEDNICOVÉ NÁKLADY NIŽŠÍ NEŽ 0,5 NÁSOBEK PRŮMĚRNÝCH JEDNICOVÝCH NÁKLADŮ OPTIMÁLU SKUPINY)</c:v>
                </c:pt>
                <c:pt idx="5">
                  <c:v>NULOVÉ ZTRÁTY VODY</c:v>
                </c:pt>
                <c:pt idx="6">
                  <c:v>PODÍL NEVYHOVUJÍCÍ FYZIKÁLNĚ CHEMICKÉ VZORKY (HODNOTA VÍCE NEŽ 20 %)</c:v>
                </c:pt>
                <c:pt idx="7">
                  <c:v>VYSOKÁ CENA PRO VODNÉ (HODNOTA VÍCE NEŽ 1,5 NÁSOBEK PRŮMĚRNÉ CENY PRO VODNÉ OPTIMÁLA SKUPINY)</c:v>
                </c:pt>
                <c:pt idx="8">
                  <c:v>NULOVÉ MZDOVÉ NÁKLADY + NENULOVÝ POČET ZAMĚSTNANCŮ</c:v>
                </c:pt>
                <c:pt idx="9">
                  <c:v>VYSOKÉ ZTRÁTY VODY (HODNOTA VÍCE NEŽ 1,5 NÁSOBEK MEDIANU SKUPINY Z POROVNÁNÍ, KTERÉ VYKAZUJÍ ZTRÁTY VODY NAD 4%)</c:v>
                </c:pt>
                <c:pt idx="10">
                  <c:v>ZÁPORNÝ KALKULAČNÍ ZISK</c:v>
                </c:pt>
                <c:pt idx="11">
                  <c:v>VYSOKÝ PODÍL ZISKU NA ÚVN (HODNOTA VÍCE NEŽ 1,5 NÁSOBEK MEDIANU SKUPINY Z POROVNÁNÍ S KLADNÝM KALKULAČNÍM ZISKEM)</c:v>
                </c:pt>
              </c:strCache>
            </c:strRef>
          </c:cat>
          <c:val>
            <c:numRef>
              <c:f>skupiny!$I$99:$I$110</c:f>
              <c:numCache>
                <c:formatCode>General</c:formatCode>
                <c:ptCount val="12"/>
                <c:pt idx="0">
                  <c:v>22.378999999999962</c:v>
                </c:pt>
                <c:pt idx="1">
                  <c:v>22.378999999999962</c:v>
                </c:pt>
                <c:pt idx="2">
                  <c:v>22.378999999999962</c:v>
                </c:pt>
                <c:pt idx="3">
                  <c:v>22.378999999999962</c:v>
                </c:pt>
                <c:pt idx="4">
                  <c:v>22.378999999999962</c:v>
                </c:pt>
                <c:pt idx="5">
                  <c:v>22.378999999999962</c:v>
                </c:pt>
                <c:pt idx="6">
                  <c:v>22.378999999999962</c:v>
                </c:pt>
                <c:pt idx="7">
                  <c:v>22.378999999999962</c:v>
                </c:pt>
                <c:pt idx="8">
                  <c:v>22.378999999999962</c:v>
                </c:pt>
                <c:pt idx="9">
                  <c:v>22.378999999999962</c:v>
                </c:pt>
                <c:pt idx="10">
                  <c:v>22.378999999999962</c:v>
                </c:pt>
                <c:pt idx="11">
                  <c:v>22.378999999999962</c:v>
                </c:pt>
              </c:numCache>
            </c:numRef>
          </c:val>
        </c:ser>
        <c:dLbls>
          <c:showLegendKey val="0"/>
          <c:showVal val="0"/>
          <c:showCatName val="0"/>
          <c:showSerName val="0"/>
          <c:showPercent val="0"/>
          <c:showBubbleSize val="0"/>
        </c:dLbls>
        <c:gapWidth val="75"/>
        <c:overlap val="100"/>
        <c:axId val="509141472"/>
        <c:axId val="509148528"/>
      </c:barChart>
      <c:catAx>
        <c:axId val="509141472"/>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50" b="0" i="0" u="none" strike="noStrike" kern="1200" cap="small" baseline="0">
                <a:solidFill>
                  <a:srgbClr val="002060"/>
                </a:solidFill>
                <a:latin typeface="+mj-lt"/>
                <a:ea typeface="+mn-ea"/>
                <a:cs typeface="+mn-cs"/>
              </a:defRPr>
            </a:pPr>
            <a:endParaRPr lang="cs-CZ"/>
          </a:p>
        </c:txPr>
        <c:crossAx val="509148528"/>
        <c:crosses val="autoZero"/>
        <c:auto val="1"/>
        <c:lblAlgn val="ctr"/>
        <c:lblOffset val="100"/>
        <c:noMultiLvlLbl val="0"/>
      </c:catAx>
      <c:valAx>
        <c:axId val="509148528"/>
        <c:scaling>
          <c:orientation val="minMax"/>
        </c:scaling>
        <c:delete val="0"/>
        <c:axPos val="b"/>
        <c:majorGridlines>
          <c:spPr>
            <a:ln w="6350" cap="flat" cmpd="sng" algn="ctr">
              <a:solidFill>
                <a:schemeClr val="tx1">
                  <a:tint val="75000"/>
                </a:schemeClr>
              </a:solidFill>
              <a:prstDash val="solid"/>
              <a:round/>
            </a:ln>
            <a:effectLst/>
          </c:spPr>
        </c:majorGridlines>
        <c:numFmt formatCode="0%"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crossAx val="509141472"/>
        <c:crosses val="autoZero"/>
        <c:crossBetween val="between"/>
      </c:valAx>
      <c:spPr>
        <a:noFill/>
        <a:ln w="25400">
          <a:noFill/>
        </a:ln>
        <a:effectLst/>
      </c:spPr>
    </c:plotArea>
    <c:legend>
      <c:legendPos val="r"/>
      <c:layout>
        <c:manualLayout>
          <c:xMode val="edge"/>
          <c:yMode val="edge"/>
          <c:x val="0.20562829987831718"/>
          <c:y val="0.94797329075553982"/>
          <c:w val="0.77593213672326744"/>
          <c:h val="4.300739459519345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cs-CZ"/>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cap="small" spc="0" baseline="0">
                <a:solidFill>
                  <a:srgbClr val="002060"/>
                </a:solidFill>
                <a:latin typeface="+mj-lt"/>
                <a:ea typeface="+mn-ea"/>
                <a:cs typeface="+mn-cs"/>
              </a:defRPr>
            </a:pPr>
            <a:r>
              <a:rPr lang="cs-CZ" sz="1200" b="1" cap="small">
                <a:solidFill>
                  <a:srgbClr val="002060"/>
                </a:solidFill>
                <a:latin typeface="+mj-lt"/>
              </a:rPr>
              <a:t>Benchamrking provozovatelských subjektů 2016 - pitná voda</a:t>
            </a:r>
          </a:p>
          <a:p>
            <a:pPr algn="l">
              <a:defRPr sz="1200" b="1" i="0" u="none" strike="noStrike" kern="1200" cap="small" spc="0" baseline="0">
                <a:solidFill>
                  <a:srgbClr val="002060"/>
                </a:solidFill>
                <a:latin typeface="+mj-lt"/>
                <a:ea typeface="+mn-ea"/>
                <a:cs typeface="+mn-cs"/>
              </a:defRPr>
            </a:pPr>
            <a:r>
              <a:rPr lang="cs-CZ" sz="1200" b="1" cap="small">
                <a:solidFill>
                  <a:srgbClr val="002060"/>
                </a:solidFill>
                <a:latin typeface="+mj-lt"/>
              </a:rPr>
              <a:t>výskyt</a:t>
            </a:r>
            <a:r>
              <a:rPr lang="cs-CZ" sz="1200" b="1" cap="small" baseline="0">
                <a:solidFill>
                  <a:srgbClr val="002060"/>
                </a:solidFill>
                <a:latin typeface="+mj-lt"/>
              </a:rPr>
              <a:t> alespoň jedné anomálie ve skupině</a:t>
            </a:r>
          </a:p>
          <a:p>
            <a:pPr algn="l">
              <a:defRPr sz="1200" b="1" i="0" u="none" strike="noStrike" kern="1200" cap="small" spc="0" baseline="0">
                <a:solidFill>
                  <a:srgbClr val="002060"/>
                </a:solidFill>
                <a:latin typeface="+mj-lt"/>
                <a:ea typeface="+mn-ea"/>
                <a:cs typeface="+mn-cs"/>
              </a:defRPr>
            </a:pPr>
            <a:r>
              <a:rPr lang="cs-CZ" sz="1200" b="1" cap="small" baseline="0">
                <a:solidFill>
                  <a:srgbClr val="002060"/>
                </a:solidFill>
                <a:latin typeface="+mj-lt"/>
              </a:rPr>
              <a:t>- převedeno na objem vody fakturované (</a:t>
            </a:r>
            <a:r>
              <a:rPr lang="cs-CZ" sz="1200" b="1" i="0" u="none" strike="noStrike" kern="1200" cap="small" spc="0" baseline="0">
                <a:solidFill>
                  <a:srgbClr val="002060"/>
                </a:solidFill>
                <a:latin typeface="+mj-lt"/>
                <a:ea typeface="+mn-ea"/>
                <a:cs typeface="+mn-cs"/>
              </a:rPr>
              <a:t>mil. m3</a:t>
            </a:r>
            <a:r>
              <a:rPr lang="cs-CZ" sz="1200" b="1" cap="small" baseline="0">
                <a:solidFill>
                  <a:srgbClr val="002060"/>
                </a:solidFill>
                <a:latin typeface="+mj-lt"/>
              </a:rPr>
              <a:t>) a četnost výskytů anomálií</a:t>
            </a:r>
            <a:endParaRPr lang="cs-CZ" sz="1200" b="1" cap="small" baseline="30000">
              <a:solidFill>
                <a:srgbClr val="002060"/>
              </a:solidFill>
              <a:latin typeface="+mj-lt"/>
            </a:endParaRPr>
          </a:p>
        </c:rich>
      </c:tx>
      <c:layout>
        <c:manualLayout>
          <c:xMode val="edge"/>
          <c:yMode val="edge"/>
          <c:x val="1.0530774682188491E-2"/>
          <c:y val="5.6438129660022008E-3"/>
        </c:manualLayout>
      </c:layout>
      <c:overlay val="0"/>
      <c:spPr>
        <a:noFill/>
        <a:ln w="25400">
          <a:noFill/>
        </a:ln>
      </c:spPr>
    </c:title>
    <c:autoTitleDeleted val="0"/>
    <c:plotArea>
      <c:layout>
        <c:manualLayout>
          <c:layoutTarget val="inner"/>
          <c:xMode val="edge"/>
          <c:yMode val="edge"/>
          <c:x val="0.11315219090579855"/>
          <c:y val="0.10993754835652603"/>
          <c:w val="0.79572212258262687"/>
          <c:h val="0.7050089010356767"/>
        </c:manualLayout>
      </c:layout>
      <c:barChart>
        <c:barDir val="col"/>
        <c:grouping val="stacked"/>
        <c:varyColors val="0"/>
        <c:ser>
          <c:idx val="0"/>
          <c:order val="0"/>
          <c:tx>
            <c:strRef>
              <c:f>skupiny!$B$99</c:f>
              <c:strCache>
                <c:ptCount val="1"/>
                <c:pt idx="0">
                  <c:v>Výskyt anomálií alespoň jedné anomálie podle objemu vody fakturované ve skupinách </c:v>
                </c:pt>
              </c:strCache>
            </c:strRef>
          </c:tx>
          <c:spPr>
            <a:solidFill>
              <a:srgbClr val="5B9BD5"/>
            </a:solidFill>
            <a:ln w="25400">
              <a:noFill/>
            </a:ln>
          </c:spPr>
          <c:invertIfNegative val="0"/>
          <c:dLbls>
            <c:dLbl>
              <c:idx val="0"/>
              <c:layout>
                <c:manualLayout>
                  <c:x val="-1.4033392488614769E-2"/>
                  <c:y val="-1.3734271549015763E-2"/>
                </c:manualLayout>
              </c:layout>
              <c:tx>
                <c:rich>
                  <a:bodyPr/>
                  <a:lstStyle/>
                  <a:p>
                    <a:fld id="{F20CAFED-9EFB-4FB0-A375-A95515026663}" type="VALUE">
                      <a:rPr lang="en-US"/>
                      <a:pPr/>
                      <a:t>[HODNOTA]</a:t>
                    </a:fld>
                    <a:r>
                      <a:rPr lang="en-US"/>
                      <a:t> </a:t>
                    </a:r>
                    <a:r>
                      <a:rPr lang="en-US" sz="1000" b="1" i="0" u="none" strike="noStrike" kern="1200" baseline="0">
                        <a:solidFill>
                          <a:sysClr val="window" lastClr="FFFFFF"/>
                        </a:solidFill>
                        <a:latin typeface="+mn-lt"/>
                        <a:ea typeface="+mn-ea"/>
                        <a:cs typeface="+mn-cs"/>
                      </a:rPr>
                      <a:t>mil. m3</a:t>
                    </a:r>
                  </a:p>
                </c:rich>
              </c:tx>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1.6542581982699669E-2"/>
                  <c:y val="-6.3520947025440644E-2"/>
                </c:manualLayout>
              </c:layout>
              <c:tx>
                <c:rich>
                  <a:bodyPr/>
                  <a:lstStyle/>
                  <a:p>
                    <a:fld id="{F20CAFED-9EFB-4FB0-A375-A95515026663}" type="VALUE">
                      <a:rPr lang="en-US"/>
                      <a:pPr/>
                      <a:t>[HODNOTA]</a:t>
                    </a:fld>
                    <a:r>
                      <a:rPr lang="en-US"/>
                      <a:t> </a:t>
                    </a:r>
                    <a:r>
                      <a:rPr lang="en-US" sz="1000" b="1" i="0" u="none" strike="noStrike" kern="1200" baseline="0">
                        <a:solidFill>
                          <a:sysClr val="window" lastClr="FFFFFF"/>
                        </a:solidFill>
                        <a:latin typeface="+mn-lt"/>
                        <a:ea typeface="+mn-ea"/>
                        <a:cs typeface="+mn-cs"/>
                      </a:rPr>
                      <a:t>mil. m3</a:t>
                    </a:r>
                  </a:p>
                </c:rich>
              </c:tx>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1.2294871402074478E-2"/>
                  <c:y val="-4.463626475678649E-2"/>
                </c:manualLayout>
              </c:layout>
              <c:tx>
                <c:rich>
                  <a:bodyPr/>
                  <a:lstStyle/>
                  <a:p>
                    <a:fld id="{F20CAFED-9EFB-4FB0-A375-A95515026663}" type="VALUE">
                      <a:rPr lang="en-US"/>
                      <a:pPr/>
                      <a:t>[HODNOTA]</a:t>
                    </a:fld>
                    <a:r>
                      <a:rPr lang="en-US"/>
                      <a:t> </a:t>
                    </a:r>
                    <a:r>
                      <a:rPr lang="en-US" sz="1000" b="1" i="0" u="none" strike="noStrike" kern="1200" baseline="0">
                        <a:solidFill>
                          <a:sysClr val="window" lastClr="FFFFFF"/>
                        </a:solidFill>
                        <a:latin typeface="+mn-lt"/>
                        <a:ea typeface="+mn-ea"/>
                        <a:cs typeface="+mn-cs"/>
                      </a:rPr>
                      <a:t>mil. m3</a:t>
                    </a:r>
                  </a:p>
                </c:rich>
              </c:tx>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1.5465688758375421E-2"/>
                  <c:y val="-3.7769246759793346E-2"/>
                </c:manualLayout>
              </c:layout>
              <c:tx>
                <c:rich>
                  <a:bodyPr/>
                  <a:lstStyle/>
                  <a:p>
                    <a:fld id="{F20CAFED-9EFB-4FB0-A375-A95515026663}" type="VALUE">
                      <a:rPr lang="en-US"/>
                      <a:pPr/>
                      <a:t>[HODNOTA]</a:t>
                    </a:fld>
                    <a:r>
                      <a:rPr lang="en-US"/>
                      <a:t> </a:t>
                    </a:r>
                    <a:r>
                      <a:rPr lang="en-US" sz="1000" b="1" i="0" u="none" strike="noStrike" kern="1200" baseline="0">
                        <a:solidFill>
                          <a:sysClr val="window" lastClr="FFFFFF"/>
                        </a:solidFill>
                        <a:latin typeface="+mn-lt"/>
                        <a:ea typeface="+mn-ea"/>
                        <a:cs typeface="+mn-cs"/>
                      </a:rPr>
                      <a:t>mil. m3</a:t>
                    </a:r>
                  </a:p>
                </c:rich>
              </c:tx>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6.6147846318108956E-3"/>
                  <c:y val="-4.1202758259713382E-2"/>
                </c:manualLayout>
              </c:layout>
              <c:tx>
                <c:rich>
                  <a:bodyPr/>
                  <a:lstStyle/>
                  <a:p>
                    <a:fld id="{F20CAFED-9EFB-4FB0-A375-A95515026663}" type="VALUE">
                      <a:rPr lang="en-US"/>
                      <a:pPr/>
                      <a:t>[HODNOTA]</a:t>
                    </a:fld>
                    <a:r>
                      <a:rPr lang="en-US"/>
                      <a:t> </a:t>
                    </a:r>
                    <a:r>
                      <a:rPr lang="en-US" sz="1000" b="1" i="0" u="none" strike="noStrike" kern="1200" baseline="0">
                        <a:solidFill>
                          <a:sysClr val="window" lastClr="FFFFFF"/>
                        </a:solidFill>
                        <a:latin typeface="+mn-lt"/>
                        <a:ea typeface="+mn-ea"/>
                        <a:cs typeface="+mn-cs"/>
                      </a:rPr>
                      <a:t>mil. m3</a:t>
                    </a:r>
                  </a:p>
                </c:rich>
              </c:tx>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1.0911783736208125E-2"/>
                  <c:y val="-1.5451034347392641E-2"/>
                </c:manualLayout>
              </c:layout>
              <c:tx>
                <c:rich>
                  <a:bodyPr/>
                  <a:lstStyle/>
                  <a:p>
                    <a:fld id="{F20CAFED-9EFB-4FB0-A375-A95515026663}" type="VALUE">
                      <a:rPr lang="en-US"/>
                      <a:pPr/>
                      <a:t>[HODNOTA]</a:t>
                    </a:fld>
                    <a:r>
                      <a:rPr lang="en-US"/>
                      <a:t> </a:t>
                    </a:r>
                    <a:r>
                      <a:rPr lang="en-US" sz="1000" b="1" i="0" u="none" strike="noStrike" kern="1200" baseline="0">
                        <a:solidFill>
                          <a:sysClr val="window" lastClr="FFFFFF"/>
                        </a:solidFill>
                        <a:latin typeface="+mn-lt"/>
                        <a:ea typeface="+mn-ea"/>
                        <a:cs typeface="+mn-cs"/>
                      </a:rPr>
                      <a:t>mil. m3</a:t>
                    </a:r>
                  </a:p>
                </c:rich>
              </c:tx>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6"/>
              <c:layout>
                <c:manualLayout>
                  <c:x val="-7.9484901262529377E-3"/>
                  <c:y val="6.0971417163835001E-2"/>
                </c:manualLayout>
              </c:layout>
              <c:tx>
                <c:rich>
                  <a:bodyPr rot="-5400000" spcFirstLastPara="1" vertOverflow="ellipsis" wrap="square" lIns="38100" tIns="19050" rIns="38100" bIns="19050" anchor="ctr" anchorCtr="1">
                    <a:spAutoFit/>
                  </a:bodyPr>
                  <a:lstStyle/>
                  <a:p>
                    <a:pPr>
                      <a:defRPr sz="1000" b="1" i="0" u="none" strike="noStrike" kern="1200" baseline="0">
                        <a:solidFill>
                          <a:srgbClr val="0070C0"/>
                        </a:solidFill>
                        <a:latin typeface="+mn-lt"/>
                        <a:ea typeface="+mn-ea"/>
                        <a:cs typeface="+mn-cs"/>
                      </a:defRPr>
                    </a:pPr>
                    <a:fld id="{F20CAFED-9EFB-4FB0-A375-A95515026663}" type="VALUE">
                      <a:rPr lang="en-US">
                        <a:solidFill>
                          <a:srgbClr val="0070C0"/>
                        </a:solidFill>
                      </a:rPr>
                      <a:pPr>
                        <a:defRPr sz="1000" b="1" i="0" u="none" strike="noStrike" kern="1200" baseline="0">
                          <a:solidFill>
                            <a:srgbClr val="0070C0"/>
                          </a:solidFill>
                          <a:latin typeface="+mn-lt"/>
                          <a:ea typeface="+mn-ea"/>
                          <a:cs typeface="+mn-cs"/>
                        </a:defRPr>
                      </a:pPr>
                      <a:t>[HODNOTA]</a:t>
                    </a:fld>
                    <a:r>
                      <a:rPr lang="en-US">
                        <a:solidFill>
                          <a:srgbClr val="0070C0"/>
                        </a:solidFill>
                      </a:rPr>
                      <a:t> </a:t>
                    </a:r>
                    <a:r>
                      <a:rPr lang="en-US" sz="1000" b="1" i="0" u="none" strike="noStrike" kern="1200" baseline="0">
                        <a:solidFill>
                          <a:srgbClr val="0070C0"/>
                        </a:solidFill>
                        <a:latin typeface="+mn-lt"/>
                        <a:ea typeface="+mn-ea"/>
                        <a:cs typeface="+mn-cs"/>
                      </a:rPr>
                      <a:t>mil. m3</a:t>
                    </a:r>
                  </a:p>
                </c:rich>
              </c:tx>
              <c:numFmt formatCode="#,##0.00" sourceLinked="0"/>
              <c:spPr>
                <a:noFill/>
                <a:ln w="25400">
                  <a:noFill/>
                </a:ln>
              </c:spPr>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7"/>
              <c:layout>
                <c:manualLayout>
                  <c:x val="1.2005544820576496E-2"/>
                  <c:y val="6.8671263766188859E-2"/>
                </c:manualLayout>
              </c:layout>
              <c:tx>
                <c:rich>
                  <a:bodyPr rot="-5400000" spcFirstLastPara="1" vertOverflow="ellipsis" wrap="square" lIns="38100" tIns="19050" rIns="38100" bIns="19050" anchor="ctr" anchorCtr="1">
                    <a:spAutoFit/>
                  </a:bodyPr>
                  <a:lstStyle/>
                  <a:p>
                    <a:pPr>
                      <a:defRPr sz="1000" b="1" i="0" u="none" strike="noStrike" kern="1200" baseline="0">
                        <a:solidFill>
                          <a:srgbClr val="0070C0"/>
                        </a:solidFill>
                        <a:latin typeface="+mn-lt"/>
                        <a:ea typeface="+mn-ea"/>
                        <a:cs typeface="+mn-cs"/>
                      </a:defRPr>
                    </a:pPr>
                    <a:fld id="{F20CAFED-9EFB-4FB0-A375-A95515026663}" type="VALUE">
                      <a:rPr lang="en-US">
                        <a:solidFill>
                          <a:srgbClr val="0070C0"/>
                        </a:solidFill>
                      </a:rPr>
                      <a:pPr>
                        <a:defRPr sz="1000" b="1" i="0" u="none" strike="noStrike" kern="1200" baseline="0">
                          <a:solidFill>
                            <a:srgbClr val="0070C0"/>
                          </a:solidFill>
                          <a:latin typeface="+mn-lt"/>
                          <a:ea typeface="+mn-ea"/>
                          <a:cs typeface="+mn-cs"/>
                        </a:defRPr>
                      </a:pPr>
                      <a:t>[HODNOTA]</a:t>
                    </a:fld>
                    <a:r>
                      <a:rPr lang="en-US">
                        <a:solidFill>
                          <a:srgbClr val="0070C0"/>
                        </a:solidFill>
                      </a:rPr>
                      <a:t> </a:t>
                    </a:r>
                    <a:r>
                      <a:rPr lang="en-US" sz="1000" b="1" i="0" u="none" strike="noStrike" kern="1200" baseline="0">
                        <a:solidFill>
                          <a:srgbClr val="0070C0"/>
                        </a:solidFill>
                        <a:latin typeface="+mn-lt"/>
                        <a:ea typeface="+mn-ea"/>
                        <a:cs typeface="+mn-cs"/>
                      </a:rPr>
                      <a:t>mil. m3</a:t>
                    </a:r>
                  </a:p>
                </c:rich>
              </c:tx>
              <c:numFmt formatCode="#,##0.00" sourceLinked="0"/>
              <c:spPr>
                <a:noFill/>
                <a:ln w="25400">
                  <a:noFill/>
                </a:ln>
              </c:spPr>
              <c:dLblPos val="ctr"/>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numFmt formatCode="#,##0.00" sourceLinked="0"/>
            <c:spPr>
              <a:noFill/>
              <a:ln w="25400">
                <a:noFill/>
              </a:ln>
            </c:spPr>
            <c:txPr>
              <a:bodyPr rot="-5400000" spcFirstLastPara="1" vertOverflow="ellipsis"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cs-CZ"/>
              </a:p>
            </c:txPr>
            <c:dLblPos val="ct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skupiny!$A$100:$A$107</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skupiny!$B$100:$B$107</c:f>
              <c:numCache>
                <c:formatCode>#,##0.00</c:formatCode>
                <c:ptCount val="8"/>
                <c:pt idx="0">
                  <c:v>33.809371000000006</c:v>
                </c:pt>
                <c:pt idx="1">
                  <c:v>0</c:v>
                </c:pt>
                <c:pt idx="2">
                  <c:v>21.499970000000001</c:v>
                </c:pt>
                <c:pt idx="3">
                  <c:v>21.074206</c:v>
                </c:pt>
                <c:pt idx="4">
                  <c:v>22.536526000000002</c:v>
                </c:pt>
                <c:pt idx="5">
                  <c:v>19.619109000000005</c:v>
                </c:pt>
                <c:pt idx="6">
                  <c:v>9.4253960000000028</c:v>
                </c:pt>
                <c:pt idx="7">
                  <c:v>5.8824809999999914</c:v>
                </c:pt>
              </c:numCache>
            </c:numRef>
          </c:val>
        </c:ser>
        <c:ser>
          <c:idx val="2"/>
          <c:order val="2"/>
          <c:tx>
            <c:strRef>
              <c:f>skupiny!$D$99</c:f>
              <c:strCache>
                <c:ptCount val="1"/>
                <c:pt idx="0">
                  <c:v>Objem vody fakturované bez anomálií</c:v>
                </c:pt>
              </c:strCache>
            </c:strRef>
          </c:tx>
          <c:spPr>
            <a:solidFill>
              <a:srgbClr val="A5A5A5"/>
            </a:solidFill>
            <a:ln w="25400">
              <a:noFill/>
            </a:ln>
          </c:spPr>
          <c:invertIfNegative val="0"/>
          <c:cat>
            <c:strRef>
              <c:f>skupiny!$A$100:$A$107</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skupiny!$D$100:$D$107</c:f>
              <c:numCache>
                <c:formatCode>#,##0.00</c:formatCode>
                <c:ptCount val="8"/>
                <c:pt idx="0">
                  <c:v>130.07544900000019</c:v>
                </c:pt>
                <c:pt idx="1">
                  <c:v>50.707916000000012</c:v>
                </c:pt>
                <c:pt idx="2">
                  <c:v>56.399033000000003</c:v>
                </c:pt>
                <c:pt idx="3">
                  <c:v>29.614044999999994</c:v>
                </c:pt>
                <c:pt idx="4">
                  <c:v>28.275351000000001</c:v>
                </c:pt>
                <c:pt idx="5">
                  <c:v>14.294001999999985</c:v>
                </c:pt>
                <c:pt idx="6">
                  <c:v>3.2586190000000119</c:v>
                </c:pt>
                <c:pt idx="7">
                  <c:v>0.62489300000000814</c:v>
                </c:pt>
              </c:numCache>
            </c:numRef>
          </c:val>
        </c:ser>
        <c:dLbls>
          <c:showLegendKey val="0"/>
          <c:showVal val="0"/>
          <c:showCatName val="0"/>
          <c:showSerName val="0"/>
          <c:showPercent val="0"/>
          <c:showBubbleSize val="0"/>
        </c:dLbls>
        <c:gapWidth val="150"/>
        <c:overlap val="100"/>
        <c:axId val="574438976"/>
        <c:axId val="574439368"/>
      </c:barChart>
      <c:lineChart>
        <c:grouping val="standard"/>
        <c:varyColors val="0"/>
        <c:ser>
          <c:idx val="1"/>
          <c:order val="1"/>
          <c:tx>
            <c:strRef>
              <c:f>skupiny!$C$99</c:f>
              <c:strCache>
                <c:ptCount val="1"/>
                <c:pt idx="0">
                  <c:v>Objem vody fakturované ve skupině</c:v>
                </c:pt>
              </c:strCache>
            </c:strRef>
          </c:tx>
          <c:spPr>
            <a:ln w="28575" cap="rnd">
              <a:solidFill>
                <a:schemeClr val="accent2"/>
              </a:solidFill>
              <a:round/>
            </a:ln>
            <a:effectLst/>
          </c:spPr>
          <c:marker>
            <c:spPr>
              <a:ln>
                <a:solidFill>
                  <a:schemeClr val="accent2"/>
                </a:solidFill>
              </a:ln>
            </c:spPr>
          </c:marker>
          <c:dLbls>
            <c:dLbl>
              <c:idx val="0"/>
              <c:layout>
                <c:manualLayout>
                  <c:x val="-4.1785782464112076E-2"/>
                  <c:y val="-2.4537414088664146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7.9698583022827105E-2"/>
                  <c:y val="-2.7528962963093841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4.1785782464112055E-2"/>
                  <c:y val="-2.4537414088664122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6.3735298577052305E-2"/>
                  <c:y val="-6.6419098330680396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4.1785782464112055E-2"/>
                  <c:y val="-2.4537414088664226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5.8683924611189538E-3"/>
                  <c:y val="-4.5478256209672253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6"/>
              <c:layout>
                <c:manualLayout>
                  <c:x val="-4.1785782464112055E-2"/>
                  <c:y val="-2.4537414088664226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7"/>
              <c:layout>
                <c:manualLayout>
                  <c:x val="-4.1785782464112055E-2"/>
                  <c:y val="-2.4537414088664226E-2"/>
                </c:manualLayout>
              </c:layout>
              <c:tx>
                <c:rich>
                  <a:bodyPr/>
                  <a:lstStyle/>
                  <a:p>
                    <a:fld id="{B8CDA6EB-E2F1-4799-BEAF-2C26D6B09C24}" type="VALUE">
                      <a:rPr lang="en-US"/>
                      <a:pPr/>
                      <a:t>[HODNOTA]</a:t>
                    </a:fld>
                    <a:r>
                      <a:rPr lang="en-US"/>
                      <a:t> </a:t>
                    </a:r>
                    <a:r>
                      <a:rPr lang="en-US" sz="1000" b="1" i="0" u="none" strike="noStrike" kern="1200" baseline="0">
                        <a:solidFill>
                          <a:srgbClr val="ED7D31"/>
                        </a:solidFill>
                        <a:latin typeface="+mn-lt"/>
                        <a:ea typeface="+mn-ea"/>
                        <a:cs typeface="+mn-cs"/>
                      </a:rPr>
                      <a:t>mil. m3</a:t>
                    </a:r>
                  </a:p>
                </c:rich>
              </c:tx>
              <c:dLblPos val="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numFmt formatCode="#,##0.00" sourceLinked="0"/>
            <c:spPr>
              <a:noFill/>
              <a:ln w="25400">
                <a:noFill/>
              </a:ln>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skupiny!$A$100:$A$107</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skupiny!$C$100:$C$107</c:f>
              <c:numCache>
                <c:formatCode>General</c:formatCode>
                <c:ptCount val="8"/>
                <c:pt idx="0">
                  <c:v>163.88482000000019</c:v>
                </c:pt>
                <c:pt idx="1">
                  <c:v>50.707916000000012</c:v>
                </c:pt>
                <c:pt idx="2">
                  <c:v>77.899003000000022</c:v>
                </c:pt>
                <c:pt idx="3">
                  <c:v>50.688251000000008</c:v>
                </c:pt>
                <c:pt idx="4">
                  <c:v>50.811876999999974</c:v>
                </c:pt>
                <c:pt idx="5">
                  <c:v>33.913111000000008</c:v>
                </c:pt>
                <c:pt idx="6">
                  <c:v>12.684015000000008</c:v>
                </c:pt>
                <c:pt idx="7">
                  <c:v>6.5073740000000049</c:v>
                </c:pt>
              </c:numCache>
            </c:numRef>
          </c:val>
          <c:smooth val="0"/>
        </c:ser>
        <c:dLbls>
          <c:showLegendKey val="0"/>
          <c:showVal val="0"/>
          <c:showCatName val="0"/>
          <c:showSerName val="0"/>
          <c:showPercent val="0"/>
          <c:showBubbleSize val="0"/>
        </c:dLbls>
        <c:marker val="1"/>
        <c:smooth val="0"/>
        <c:axId val="574438976"/>
        <c:axId val="574439368"/>
      </c:lineChart>
      <c:scatterChart>
        <c:scatterStyle val="lineMarker"/>
        <c:varyColors val="0"/>
        <c:ser>
          <c:idx val="3"/>
          <c:order val="3"/>
          <c:tx>
            <c:strRef>
              <c:f>skupiny!$F$99</c:f>
              <c:strCache>
                <c:ptCount val="1"/>
                <c:pt idx="0">
                  <c:v>četnost výskytů anomálií</c:v>
                </c:pt>
              </c:strCache>
            </c:strRef>
          </c:tx>
          <c:spPr>
            <a:ln w="19050">
              <a:noFill/>
            </a:ln>
          </c:spPr>
          <c:marker>
            <c:symbol val="triangle"/>
            <c:size val="10"/>
          </c:marker>
          <c:dLbls>
            <c:dLbl>
              <c:idx val="0"/>
              <c:layout>
                <c:manualLayout>
                  <c:x val="0"/>
                  <c:y val="1.8884597535701833E-2"/>
                </c:manualLayout>
              </c:layout>
              <c:tx>
                <c:rich>
                  <a:bodyPr/>
                  <a:lstStyle/>
                  <a:p>
                    <a:fld id="{9B437874-D2A0-4091-9519-BC6B5954E90E}" type="YVALUE">
                      <a:rPr lang="en-US" baseline="0"/>
                      <a:pPr/>
                      <a:t>[HODNOTA Y]</a:t>
                    </a:fld>
                    <a:r>
                      <a:rPr lang="en-US" baseline="0"/>
                      <a:t> </a:t>
                    </a:r>
                    <a:fld id="{C15D2E2F-8BC9-4574-B499-02D8761F899F}" type="CELLRANGE">
                      <a:rPr lang="en-US" sz="800" b="1" i="0" u="none" strike="noStrike" kern="1200" baseline="0">
                        <a:solidFill>
                          <a:srgbClr val="FFC000">
                            <a:lumMod val="75000"/>
                          </a:srgbClr>
                        </a:solidFill>
                      </a:rPr>
                      <a:pPr/>
                      <a:t>[OBLAST BUNĚK]</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Lst>
            </c:dLbl>
            <c:dLbl>
              <c:idx val="1"/>
              <c:layout>
                <c:manualLayout>
                  <c:x val="1.7187996417588464E-2"/>
                  <c:y val="1.7167815941547242E-2"/>
                </c:manualLayout>
              </c:layout>
              <c:tx>
                <c:rich>
                  <a:bodyPr/>
                  <a:lstStyle/>
                  <a:p>
                    <a:fld id="{9B437874-D2A0-4091-9519-BC6B5954E90E}" type="YVALUE">
                      <a:rPr lang="en-US" baseline="0"/>
                      <a:pPr/>
                      <a:t>[HODNOTA Y]</a:t>
                    </a:fld>
                    <a:r>
                      <a:rPr lang="en-US" baseline="0"/>
                      <a:t> </a:t>
                    </a:r>
                    <a:fld id="{C15D2E2F-8BC9-4574-B499-02D8761F899F}" type="CELLRANGE">
                      <a:rPr lang="en-US" sz="800" b="1" i="0" u="none" strike="noStrike" kern="1200" baseline="0">
                        <a:solidFill>
                          <a:srgbClr val="FFC000">
                            <a:lumMod val="75000"/>
                          </a:srgbClr>
                        </a:solidFill>
                      </a:rPr>
                      <a:pPr/>
                      <a:t>[OBLAST BUNĚK]</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Lst>
            </c:dLbl>
            <c:dLbl>
              <c:idx val="2"/>
              <c:layout>
                <c:manualLayout>
                  <c:x val="0"/>
                  <c:y val="1.6777053642358E-2"/>
                </c:manualLayout>
              </c:layout>
              <c:tx>
                <c:rich>
                  <a:bodyPr/>
                  <a:lstStyle/>
                  <a:p>
                    <a:fld id="{9B437874-D2A0-4091-9519-BC6B5954E90E}" type="YVALUE">
                      <a:rPr lang="en-US" baseline="0"/>
                      <a:pPr/>
                      <a:t>[HODNOTA Y]</a:t>
                    </a:fld>
                    <a:r>
                      <a:rPr lang="en-US" baseline="0"/>
                      <a:t> </a:t>
                    </a:r>
                    <a:fld id="{C15D2E2F-8BC9-4574-B499-02D8761F899F}" type="CELLRANGE">
                      <a:rPr lang="en-US" sz="800" b="1" i="0" u="none" strike="noStrike" kern="1200" baseline="0">
                        <a:solidFill>
                          <a:srgbClr val="FFC000">
                            <a:lumMod val="75000"/>
                          </a:srgbClr>
                        </a:solidFill>
                      </a:rPr>
                      <a:pPr/>
                      <a:t>[OBLAST BUNĚK]</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Lst>
            </c:dLbl>
            <c:dLbl>
              <c:idx val="3"/>
              <c:layout>
                <c:manualLayout>
                  <c:x val="-2.86459253952131E-3"/>
                  <c:y val="1.2289730330713263E-2"/>
                </c:manualLayout>
              </c:layout>
              <c:tx>
                <c:rich>
                  <a:bodyPr/>
                  <a:lstStyle/>
                  <a:p>
                    <a:fld id="{9B437874-D2A0-4091-9519-BC6B5954E90E}" type="YVALUE">
                      <a:rPr lang="en-US" baseline="0"/>
                      <a:pPr/>
                      <a:t>[HODNOTA Y]</a:t>
                    </a:fld>
                    <a:r>
                      <a:rPr lang="en-US" baseline="0"/>
                      <a:t> </a:t>
                    </a:r>
                    <a:fld id="{C15D2E2F-8BC9-4574-B499-02D8761F899F}" type="CELLRANGE">
                      <a:rPr lang="en-US" sz="800" b="1" i="0" u="none" strike="noStrike" kern="1200" baseline="0">
                        <a:solidFill>
                          <a:srgbClr val="FFC000">
                            <a:lumMod val="75000"/>
                          </a:srgbClr>
                        </a:solidFill>
                      </a:rPr>
                      <a:pPr/>
                      <a:t>[OBLAST BUNĚK]</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Lst>
            </c:dLbl>
            <c:dLbl>
              <c:idx val="4"/>
              <c:layout>
                <c:manualLayout>
                  <c:x val="4.2970459282233543E-3"/>
                  <c:y val="2.1842546773867794E-2"/>
                </c:manualLayout>
              </c:layout>
              <c:tx>
                <c:rich>
                  <a:bodyPr wrap="square" lIns="38100" tIns="19050" rIns="38100" bIns="19050" anchor="ctr">
                    <a:noAutofit/>
                  </a:bodyPr>
                  <a:lstStyle/>
                  <a:p>
                    <a:pPr>
                      <a:defRPr b="1">
                        <a:solidFill>
                          <a:schemeClr val="accent4">
                            <a:lumMod val="75000"/>
                          </a:schemeClr>
                        </a:solidFill>
                      </a:defRPr>
                    </a:pPr>
                    <a:fld id="{9B437874-D2A0-4091-9519-BC6B5954E90E}" type="YVALUE">
                      <a:rPr lang="en-US" baseline="0"/>
                      <a:pPr>
                        <a:defRPr b="1">
                          <a:solidFill>
                            <a:schemeClr val="accent4">
                              <a:lumMod val="75000"/>
                            </a:schemeClr>
                          </a:solidFill>
                        </a:defRPr>
                      </a:pPr>
                      <a:t>[HODNOTA Y]</a:t>
                    </a:fld>
                    <a:r>
                      <a:rPr lang="en-US" baseline="0"/>
                      <a:t> </a:t>
                    </a:r>
                    <a:fld id="{C15D2E2F-8BC9-4574-B499-02D8761F899F}" type="CELLRANGE">
                      <a:rPr lang="en-US" sz="800" b="1" i="0" u="none" strike="noStrike" kern="1200" baseline="0">
                        <a:solidFill>
                          <a:srgbClr val="FFC000">
                            <a:lumMod val="75000"/>
                          </a:srgbClr>
                        </a:solidFill>
                      </a:rPr>
                      <a:pPr>
                        <a:defRPr b="1">
                          <a:solidFill>
                            <a:schemeClr val="accent4">
                              <a:lumMod val="75000"/>
                            </a:schemeClr>
                          </a:solidFill>
                        </a:defRPr>
                      </a:pPr>
                      <a:t>[OBLAST BUNĚK]</a:t>
                    </a:fld>
                    <a:endParaRPr lang="en-US" baseline="0"/>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15:dlblFieldTable/>
                  <c15:showDataLabelsRange val="0"/>
                </c:ext>
              </c:extLst>
            </c:dLbl>
            <c:dLbl>
              <c:idx val="5"/>
              <c:layout/>
              <c:tx>
                <c:rich>
                  <a:bodyPr/>
                  <a:lstStyle/>
                  <a:p>
                    <a:fld id="{9B437874-D2A0-4091-9519-BC6B5954E90E}" type="YVALUE">
                      <a:rPr lang="en-US" baseline="0"/>
                      <a:pPr/>
                      <a:t>[HODNOTA Y]</a:t>
                    </a:fld>
                    <a:r>
                      <a:rPr lang="en-US" baseline="0"/>
                      <a:t> </a:t>
                    </a:r>
                    <a:fld id="{C15D2E2F-8BC9-4574-B499-02D8761F899F}" type="CELLRANGE">
                      <a:rPr lang="en-US" sz="800" b="1" i="0" u="none" strike="noStrike" kern="1200" baseline="0">
                        <a:solidFill>
                          <a:srgbClr val="FFC000">
                            <a:lumMod val="75000"/>
                          </a:srgbClr>
                        </a:solidFill>
                      </a:rPr>
                      <a:pPr/>
                      <a:t>[OBLAST BUNĚK]</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Lst>
            </c:dLbl>
            <c:dLbl>
              <c:idx val="6"/>
              <c:layout/>
              <c:tx>
                <c:rich>
                  <a:bodyPr/>
                  <a:lstStyle/>
                  <a:p>
                    <a:fld id="{9B437874-D2A0-4091-9519-BC6B5954E90E}" type="YVALUE">
                      <a:rPr lang="en-US" baseline="0"/>
                      <a:pPr/>
                      <a:t>[HODNOTA Y]</a:t>
                    </a:fld>
                    <a:r>
                      <a:rPr lang="en-US" baseline="0"/>
                      <a:t> </a:t>
                    </a:r>
                    <a:fld id="{C15D2E2F-8BC9-4574-B499-02D8761F899F}" type="CELLRANGE">
                      <a:rPr lang="en-US" sz="800" b="1" i="0" u="none" strike="noStrike" kern="1200" baseline="0">
                        <a:solidFill>
                          <a:srgbClr val="FFC000">
                            <a:lumMod val="75000"/>
                          </a:srgbClr>
                        </a:solidFill>
                      </a:rPr>
                      <a:pPr/>
                      <a:t>[OBLAST BUNĚK]</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Lst>
            </c:dLbl>
            <c:dLbl>
              <c:idx val="7"/>
              <c:layout>
                <c:manualLayout>
                  <c:x val="-7.7455081658641928E-2"/>
                  <c:y val="2.8352581123679908E-2"/>
                </c:manualLayout>
              </c:layout>
              <c:tx>
                <c:rich>
                  <a:bodyPr/>
                  <a:lstStyle/>
                  <a:p>
                    <a:fld id="{9B437874-D2A0-4091-9519-BC6B5954E90E}" type="YVALUE">
                      <a:rPr lang="en-US" baseline="0"/>
                      <a:pPr/>
                      <a:t>[HODNOTA Y]</a:t>
                    </a:fld>
                    <a:r>
                      <a:rPr lang="en-US" baseline="0"/>
                      <a:t> </a:t>
                    </a:r>
                    <a:fld id="{C15D2E2F-8BC9-4574-B499-02D8761F899F}" type="CELLRANGE">
                      <a:rPr lang="en-US" sz="800" b="1" i="0" u="none" strike="noStrike" kern="1200" baseline="0">
                        <a:solidFill>
                          <a:srgbClr val="FFC000">
                            <a:lumMod val="75000"/>
                          </a:srgbClr>
                        </a:solidFill>
                      </a:rPr>
                      <a:pPr/>
                      <a:t>[OBLAST BUNĚK]</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Lst>
            </c:dLbl>
            <c:spPr>
              <a:noFill/>
              <a:ln>
                <a:noFill/>
              </a:ln>
              <a:effectLst/>
            </c:spPr>
            <c:txPr>
              <a:bodyPr wrap="square" lIns="38100" tIns="19050" rIns="38100" bIns="19050" anchor="ctr">
                <a:spAutoFit/>
              </a:bodyPr>
              <a:lstStyle/>
              <a:p>
                <a:pPr>
                  <a:defRPr b="1">
                    <a:solidFill>
                      <a:schemeClr val="accent4">
                        <a:lumMod val="75000"/>
                      </a:schemeClr>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strRef>
              <c:f>skupiny!$A$100:$A$107</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xVal>
          <c:yVal>
            <c:numRef>
              <c:f>skupiny!$F$100:$F$107</c:f>
              <c:numCache>
                <c:formatCode>General</c:formatCode>
                <c:ptCount val="8"/>
                <c:pt idx="0">
                  <c:v>1</c:v>
                </c:pt>
                <c:pt idx="1">
                  <c:v>0</c:v>
                </c:pt>
                <c:pt idx="2">
                  <c:v>4</c:v>
                </c:pt>
                <c:pt idx="3">
                  <c:v>7</c:v>
                </c:pt>
                <c:pt idx="4">
                  <c:v>33</c:v>
                </c:pt>
                <c:pt idx="5">
                  <c:v>279</c:v>
                </c:pt>
                <c:pt idx="6">
                  <c:v>658</c:v>
                </c:pt>
                <c:pt idx="7">
                  <c:v>1186</c:v>
                </c:pt>
              </c:numCache>
            </c:numRef>
          </c:yVal>
          <c:smooth val="0"/>
          <c:extLst>
            <c:ext xmlns:c15="http://schemas.microsoft.com/office/drawing/2012/chart" uri="{02D57815-91ED-43cb-92C2-25804820EDAC}">
              <c15:datalabelsRange>
                <c15:f>skupiny!$G$100:$G$107</c15:f>
                <c15:dlblRangeCache>
                  <c:ptCount val="8"/>
                  <c:pt idx="0">
                    <c:v>výskytů </c:v>
                  </c:pt>
                  <c:pt idx="1">
                    <c:v>výskytů </c:v>
                  </c:pt>
                  <c:pt idx="2">
                    <c:v>výskytů </c:v>
                  </c:pt>
                  <c:pt idx="3">
                    <c:v>výskytů </c:v>
                  </c:pt>
                  <c:pt idx="4">
                    <c:v>výskytů </c:v>
                  </c:pt>
                  <c:pt idx="5">
                    <c:v>výskytů </c:v>
                  </c:pt>
                  <c:pt idx="6">
                    <c:v>výskytů </c:v>
                  </c:pt>
                  <c:pt idx="7">
                    <c:v>výskytů </c:v>
                  </c:pt>
                </c15:dlblRangeCache>
              </c15:datalabelsRange>
            </c:ext>
          </c:extLst>
        </c:ser>
        <c:dLbls>
          <c:showLegendKey val="0"/>
          <c:showVal val="0"/>
          <c:showCatName val="0"/>
          <c:showSerName val="0"/>
          <c:showPercent val="0"/>
          <c:showBubbleSize val="0"/>
        </c:dLbls>
        <c:axId val="574440152"/>
        <c:axId val="574439760"/>
      </c:scatterChart>
      <c:catAx>
        <c:axId val="57443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4439368"/>
        <c:crosses val="autoZero"/>
        <c:auto val="1"/>
        <c:lblAlgn val="ctr"/>
        <c:lblOffset val="100"/>
        <c:noMultiLvlLbl val="0"/>
      </c:catAx>
      <c:valAx>
        <c:axId val="574439368"/>
        <c:scaling>
          <c:orientation val="minMax"/>
          <c:max val="1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002060"/>
                    </a:solidFill>
                    <a:latin typeface="+mn-lt"/>
                    <a:ea typeface="+mn-ea"/>
                    <a:cs typeface="+mn-cs"/>
                  </a:defRPr>
                </a:pPr>
                <a:r>
                  <a:rPr lang="cs-CZ">
                    <a:solidFill>
                      <a:srgbClr val="002060"/>
                    </a:solidFill>
                  </a:rPr>
                  <a:t>Objem vody fakturované v </a:t>
                </a:r>
                <a:r>
                  <a:rPr lang="cs-CZ" sz="1000" b="0" i="0" u="none" strike="noStrike" kern="1200" baseline="0">
                    <a:solidFill>
                      <a:srgbClr val="002060"/>
                    </a:solidFill>
                    <a:latin typeface="+mn-lt"/>
                    <a:ea typeface="+mn-ea"/>
                    <a:cs typeface="+mn-cs"/>
                  </a:rPr>
                  <a:t>mil. m3</a:t>
                </a:r>
                <a:endParaRPr lang="cs-CZ" baseline="30000">
                  <a:solidFill>
                    <a:srgbClr val="002060"/>
                  </a:solidFill>
                </a:endParaRPr>
              </a:p>
            </c:rich>
          </c:tx>
          <c:layout>
            <c:manualLayout>
              <c:xMode val="edge"/>
              <c:yMode val="edge"/>
              <c:x val="9.7504872651170225E-3"/>
              <c:y val="0.55165539241406891"/>
            </c:manualLayout>
          </c:layout>
          <c:overlay val="0"/>
          <c:spPr>
            <a:noFill/>
            <a:ln w="25400">
              <a:noFill/>
            </a:ln>
          </c:spPr>
        </c:title>
        <c:numFmt formatCode="#,##0.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4438976"/>
        <c:crosses val="autoZero"/>
        <c:crossBetween val="between"/>
      </c:valAx>
      <c:valAx>
        <c:axId val="574439760"/>
        <c:scaling>
          <c:orientation val="minMax"/>
          <c:max val="1250"/>
          <c:min val="0"/>
        </c:scaling>
        <c:delete val="0"/>
        <c:axPos val="r"/>
        <c:title>
          <c:tx>
            <c:rich>
              <a:bodyPr/>
              <a:lstStyle/>
              <a:p>
                <a:pPr>
                  <a:defRPr>
                    <a:solidFill>
                      <a:schemeClr val="accent4">
                        <a:lumMod val="50000"/>
                      </a:schemeClr>
                    </a:solidFill>
                  </a:defRPr>
                </a:pPr>
                <a:r>
                  <a:rPr lang="cs-CZ">
                    <a:solidFill>
                      <a:schemeClr val="accent4">
                        <a:lumMod val="50000"/>
                      </a:schemeClr>
                    </a:solidFill>
                  </a:rPr>
                  <a:t>četnost výskytů anomálií</a:t>
                </a:r>
              </a:p>
            </c:rich>
          </c:tx>
          <c:layout>
            <c:manualLayout>
              <c:xMode val="edge"/>
              <c:yMode val="edge"/>
              <c:x val="0.9696597039407796"/>
              <c:y val="0.13835995988497848"/>
            </c:manualLayout>
          </c:layout>
          <c:overlay val="0"/>
        </c:title>
        <c:numFmt formatCode="General" sourceLinked="1"/>
        <c:majorTickMark val="out"/>
        <c:minorTickMark val="none"/>
        <c:tickLblPos val="nextTo"/>
        <c:crossAx val="574440152"/>
        <c:crosses val="max"/>
        <c:crossBetween val="midCat"/>
      </c:valAx>
      <c:valAx>
        <c:axId val="574440152"/>
        <c:scaling>
          <c:orientation val="minMax"/>
        </c:scaling>
        <c:delete val="1"/>
        <c:axPos val="t"/>
        <c:majorTickMark val="out"/>
        <c:minorTickMark val="none"/>
        <c:tickLblPos val="none"/>
        <c:crossAx val="574439760"/>
        <c:crosses val="max"/>
        <c:crossBetween val="midCat"/>
      </c:valAx>
      <c:spPr>
        <a:noFill/>
        <a:ln w="25400">
          <a:noFill/>
        </a:ln>
      </c:spPr>
    </c:plotArea>
    <c:legend>
      <c:legendPos val="r"/>
      <c:layout>
        <c:manualLayout>
          <c:xMode val="edge"/>
          <c:yMode val="edge"/>
          <c:x val="0"/>
          <c:y val="0.93725866207560504"/>
          <c:w val="0.99323126776248039"/>
          <c:h val="6.2741337924394833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cap="small" spc="0" baseline="0">
                <a:solidFill>
                  <a:schemeClr val="accent2">
                    <a:lumMod val="50000"/>
                  </a:schemeClr>
                </a:solidFill>
                <a:latin typeface="+mj-lt"/>
                <a:ea typeface="+mn-ea"/>
                <a:cs typeface="+mn-cs"/>
              </a:defRPr>
            </a:pPr>
            <a:r>
              <a:rPr lang="cs-CZ" sz="1050" b="1" cap="small" baseline="0">
                <a:solidFill>
                  <a:schemeClr val="accent2">
                    <a:lumMod val="50000"/>
                  </a:schemeClr>
                </a:solidFill>
                <a:latin typeface="+mj-lt"/>
              </a:rPr>
              <a:t>Benchmarking provozovatelských subjektů 2016</a:t>
            </a:r>
          </a:p>
          <a:p>
            <a:pPr algn="l">
              <a:defRPr sz="1200" b="1" i="0" u="none" strike="noStrike" kern="1200" cap="small" spc="0" baseline="0">
                <a:solidFill>
                  <a:schemeClr val="accent2">
                    <a:lumMod val="50000"/>
                  </a:schemeClr>
                </a:solidFill>
                <a:latin typeface="+mj-lt"/>
                <a:ea typeface="+mn-ea"/>
                <a:cs typeface="+mn-cs"/>
              </a:defRPr>
            </a:pPr>
            <a:r>
              <a:rPr lang="cs-CZ" sz="1050" b="1" cap="small" baseline="0">
                <a:solidFill>
                  <a:schemeClr val="accent2">
                    <a:lumMod val="50000"/>
                  </a:schemeClr>
                </a:solidFill>
                <a:latin typeface="+mj-lt"/>
              </a:rPr>
              <a:t>Výskyt alespoň jedné anomálie podle množství vody </a:t>
            </a:r>
          </a:p>
          <a:p>
            <a:pPr algn="l">
              <a:defRPr sz="1200" b="1" i="0" u="none" strike="noStrike" kern="1200" cap="small" spc="0" baseline="0">
                <a:solidFill>
                  <a:schemeClr val="accent2">
                    <a:lumMod val="50000"/>
                  </a:schemeClr>
                </a:solidFill>
                <a:latin typeface="+mj-lt"/>
                <a:ea typeface="+mn-ea"/>
                <a:cs typeface="+mn-cs"/>
              </a:defRPr>
            </a:pPr>
            <a:r>
              <a:rPr lang="cs-CZ" sz="1050" b="1" cap="small" baseline="0">
                <a:solidFill>
                  <a:schemeClr val="accent2">
                    <a:lumMod val="50000"/>
                  </a:schemeClr>
                </a:solidFill>
                <a:latin typeface="+mj-lt"/>
              </a:rPr>
              <a:t> odpadní a srážkové fakturované </a:t>
            </a:r>
          </a:p>
          <a:p>
            <a:pPr algn="l">
              <a:defRPr sz="1200" b="1" i="0" u="none" strike="noStrike" kern="1200" cap="small" spc="0" baseline="0">
                <a:solidFill>
                  <a:schemeClr val="accent2">
                    <a:lumMod val="50000"/>
                  </a:schemeClr>
                </a:solidFill>
                <a:latin typeface="+mj-lt"/>
                <a:ea typeface="+mn-ea"/>
                <a:cs typeface="+mn-cs"/>
              </a:defRPr>
            </a:pPr>
            <a:endParaRPr lang="cs-CZ" sz="1200" b="1" cap="small" baseline="0">
              <a:solidFill>
                <a:schemeClr val="accent2">
                  <a:lumMod val="50000"/>
                </a:schemeClr>
              </a:solidFill>
              <a:latin typeface="+mj-lt"/>
            </a:endParaRPr>
          </a:p>
          <a:p>
            <a:pPr algn="l">
              <a:defRPr sz="1200" b="1" i="0" u="none" strike="noStrike" kern="1200" cap="small" spc="0" baseline="0">
                <a:solidFill>
                  <a:schemeClr val="accent2">
                    <a:lumMod val="50000"/>
                  </a:schemeClr>
                </a:solidFill>
                <a:latin typeface="+mj-lt"/>
                <a:ea typeface="+mn-ea"/>
                <a:cs typeface="+mn-cs"/>
              </a:defRPr>
            </a:pPr>
            <a:endParaRPr lang="cs-CZ" sz="1200" b="1" cap="small" baseline="0">
              <a:solidFill>
                <a:schemeClr val="accent2">
                  <a:lumMod val="50000"/>
                </a:schemeClr>
              </a:solidFill>
              <a:latin typeface="+mj-lt"/>
            </a:endParaRPr>
          </a:p>
        </c:rich>
      </c:tx>
      <c:layout>
        <c:manualLayout>
          <c:xMode val="edge"/>
          <c:yMode val="edge"/>
          <c:x val="1.076375822724594E-3"/>
          <c:y val="3.1736523156946661E-3"/>
        </c:manualLayout>
      </c:layout>
      <c:overlay val="0"/>
      <c:spPr>
        <a:noFill/>
        <a:ln w="25400">
          <a:noFill/>
        </a:ln>
      </c:spPr>
    </c:title>
    <c:autoTitleDeleted val="0"/>
    <c:plotArea>
      <c:layout>
        <c:manualLayout>
          <c:layoutTarget val="inner"/>
          <c:xMode val="edge"/>
          <c:yMode val="edge"/>
          <c:x val="0.50580664285764998"/>
          <c:y val="4.0782887673463532E-2"/>
          <c:w val="0.40427715870101377"/>
          <c:h val="0.92280891221305617"/>
        </c:manualLayout>
      </c:layout>
      <c:pieChart>
        <c:varyColors val="1"/>
        <c:ser>
          <c:idx val="0"/>
          <c:order val="0"/>
          <c:dPt>
            <c:idx val="0"/>
            <c:bubble3D val="0"/>
            <c:spPr>
              <a:solidFill>
                <a:srgbClr val="ED7D31"/>
              </a:solidFill>
              <a:ln w="12700">
                <a:solidFill>
                  <a:srgbClr val="FFFFFF"/>
                </a:solidFill>
                <a:prstDash val="solid"/>
              </a:ln>
            </c:spPr>
          </c:dPt>
          <c:dPt>
            <c:idx val="1"/>
            <c:bubble3D val="0"/>
            <c:explosion val="14"/>
            <c:spPr>
              <a:solidFill>
                <a:srgbClr val="FFC000"/>
              </a:solidFill>
              <a:ln w="19050">
                <a:solidFill>
                  <a:schemeClr val="lt1"/>
                </a:solidFill>
              </a:ln>
              <a:effectLst/>
            </c:spPr>
          </c:dPt>
          <c:dLbls>
            <c:dLbl>
              <c:idx val="0"/>
              <c:layout>
                <c:manualLayout>
                  <c:x val="-0.10187886511931733"/>
                  <c:y val="0.1108196527670848"/>
                </c:manualLayout>
              </c:layout>
              <c:tx>
                <c:rich>
                  <a:bodyPr/>
                  <a:lstStyle/>
                  <a:p>
                    <a:pPr>
                      <a:defRPr sz="1100">
                        <a:solidFill>
                          <a:schemeClr val="bg1"/>
                        </a:solidFill>
                      </a:defRPr>
                    </a:pPr>
                    <a:r>
                      <a:rPr lang="en-US" sz="1100">
                        <a:solidFill>
                          <a:schemeClr val="bg1"/>
                        </a:solidFill>
                      </a:rPr>
                      <a:t>1</a:t>
                    </a:r>
                    <a:r>
                      <a:rPr lang="en-US">
                        <a:solidFill>
                          <a:schemeClr val="bg1"/>
                        </a:solidFill>
                      </a:rPr>
                      <a:t>87,18 </a:t>
                    </a:r>
                    <a:r>
                      <a:rPr lang="en-US" sz="1000" b="1" i="0" u="none" strike="noStrike" baseline="0"/>
                      <a:t>mil. m</a:t>
                    </a:r>
                    <a:r>
                      <a:rPr lang="en-US" sz="1000" b="1" i="0" u="none" strike="noStrike" baseline="30000"/>
                      <a:t>3</a:t>
                    </a:r>
                    <a:r>
                      <a:rPr lang="en-US" sz="1000" b="1" i="0" u="none" strike="noStrike" baseline="0"/>
                      <a:t>; 40%</a:t>
                    </a:r>
                    <a:endParaRPr lang="en-US">
                      <a:solidFill>
                        <a:schemeClr val="bg1"/>
                      </a:solidFill>
                    </a:endParaRPr>
                  </a:p>
                </c:rich>
              </c:tx>
              <c:sp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9623882481176885"/>
                  <c:y val="-8.1315116854001349E-2"/>
                </c:manualLayout>
              </c:layout>
              <c:tx>
                <c:rich>
                  <a:bodyPr/>
                  <a:lstStyle/>
                  <a:p>
                    <a:pPr>
                      <a:defRPr sz="1100" b="1">
                        <a:solidFill>
                          <a:schemeClr val="accent2">
                            <a:lumMod val="50000"/>
                          </a:schemeClr>
                        </a:solidFill>
                      </a:defRPr>
                    </a:pPr>
                    <a:r>
                      <a:rPr lang="en-US" sz="1100" b="1">
                        <a:solidFill>
                          <a:schemeClr val="accent2">
                            <a:lumMod val="50000"/>
                          </a:schemeClr>
                        </a:solidFill>
                      </a:rPr>
                      <a:t>2</a:t>
                    </a:r>
                    <a:r>
                      <a:rPr lang="en-US" b="1">
                        <a:solidFill>
                          <a:schemeClr val="accent2">
                            <a:lumMod val="50000"/>
                          </a:schemeClr>
                        </a:solidFill>
                      </a:rPr>
                      <a:t>75,67 mil. m</a:t>
                    </a:r>
                    <a:r>
                      <a:rPr lang="en-US" b="1" baseline="30000">
                        <a:solidFill>
                          <a:schemeClr val="accent2">
                            <a:lumMod val="50000"/>
                          </a:schemeClr>
                        </a:solidFill>
                      </a:rPr>
                      <a:t>3</a:t>
                    </a:r>
                    <a:r>
                      <a:rPr lang="en-US" b="1" baseline="0">
                        <a:solidFill>
                          <a:schemeClr val="accent2">
                            <a:lumMod val="50000"/>
                          </a:schemeClr>
                        </a:solidFill>
                      </a:rPr>
                      <a:t>; 60%</a:t>
                    </a:r>
                    <a:endParaRPr lang="en-US" b="1" baseline="30000">
                      <a:solidFill>
                        <a:schemeClr val="accent2">
                          <a:lumMod val="50000"/>
                        </a:schemeClr>
                      </a:solidFill>
                    </a:endParaRPr>
                  </a:p>
                </c:rich>
              </c:tx>
              <c:sp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100"/>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(skupiny!$B$97,skupiny!$D$97)</c:f>
              <c:strCache>
                <c:ptCount val="2"/>
                <c:pt idx="0">
                  <c:v>Výskyt anomálií alespoň jedné anomálie podle objemu odpadní a srážkové vody fakturované ve skupinách </c:v>
                </c:pt>
                <c:pt idx="1">
                  <c:v>Objem odpadní a srážkové vody fakturované bez anomálií</c:v>
                </c:pt>
              </c:strCache>
            </c:strRef>
          </c:cat>
          <c:val>
            <c:numRef>
              <c:f>(skupiny!$B$106,skupiny!$D$106)</c:f>
              <c:numCache>
                <c:formatCode>#,##0.00</c:formatCode>
                <c:ptCount val="2"/>
                <c:pt idx="0">
                  <c:v>187.18286599999999</c:v>
                </c:pt>
                <c:pt idx="1">
                  <c:v>275.66679900000003</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egendEntry>
        <c:idx val="0"/>
        <c:txPr>
          <a:bodyPr rot="0" spcFirstLastPara="1" vertOverflow="ellipsis" vert="horz" wrap="square" anchor="ctr" anchorCtr="1"/>
          <a:lstStyle/>
          <a:p>
            <a:pPr>
              <a:defRPr sz="1000" b="0" i="0" u="none" strike="noStrike" kern="1200" cap="small" baseline="0">
                <a:solidFill>
                  <a:schemeClr val="accent2">
                    <a:lumMod val="50000"/>
                  </a:schemeClr>
                </a:solidFill>
                <a:latin typeface="+mn-lt"/>
                <a:ea typeface="+mn-ea"/>
                <a:cs typeface="+mn-cs"/>
              </a:defRPr>
            </a:pPr>
            <a:endParaRPr lang="cs-CZ"/>
          </a:p>
        </c:txPr>
      </c:legendEntry>
      <c:legendEntry>
        <c:idx val="1"/>
        <c:txPr>
          <a:bodyPr rot="0" spcFirstLastPara="1" vertOverflow="ellipsis" vert="horz" wrap="square" anchor="ctr" anchorCtr="1"/>
          <a:lstStyle/>
          <a:p>
            <a:pPr>
              <a:defRPr sz="1000" b="0" i="0" u="none" strike="noStrike" kern="1200" cap="small" baseline="0">
                <a:solidFill>
                  <a:schemeClr val="accent2">
                    <a:lumMod val="50000"/>
                  </a:schemeClr>
                </a:solidFill>
                <a:latin typeface="+mn-lt"/>
                <a:ea typeface="+mn-ea"/>
                <a:cs typeface="+mn-cs"/>
              </a:defRPr>
            </a:pPr>
            <a:endParaRPr lang="cs-CZ"/>
          </a:p>
        </c:txPr>
      </c:legendEntry>
      <c:layout>
        <c:manualLayout>
          <c:xMode val="edge"/>
          <c:yMode val="edge"/>
          <c:x val="1.0859196641741272E-3"/>
          <c:y val="0.52682923742488252"/>
          <c:w val="0.38906490403052396"/>
          <c:h val="0.47169340907125418"/>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cap="small" spc="0" baseline="0">
                <a:solidFill>
                  <a:schemeClr val="accent2">
                    <a:lumMod val="50000"/>
                  </a:schemeClr>
                </a:solidFill>
                <a:latin typeface="+mj-lt"/>
                <a:ea typeface="+mn-ea"/>
                <a:cs typeface="+mn-cs"/>
              </a:defRPr>
            </a:pPr>
            <a:r>
              <a:rPr lang="cs-CZ" sz="1200" b="1" cap="small">
                <a:solidFill>
                  <a:schemeClr val="accent2">
                    <a:lumMod val="50000"/>
                  </a:schemeClr>
                </a:solidFill>
                <a:latin typeface="+mj-lt"/>
              </a:rPr>
              <a:t>Benchmarking provozovatelských subjektů 2016 - kanalizace</a:t>
            </a:r>
          </a:p>
          <a:p>
            <a:pPr algn="l">
              <a:defRPr sz="1200" b="1" i="0" u="none" strike="noStrike" kern="1200" cap="small" spc="0" baseline="0">
                <a:solidFill>
                  <a:schemeClr val="accent2">
                    <a:lumMod val="50000"/>
                  </a:schemeClr>
                </a:solidFill>
                <a:latin typeface="+mj-lt"/>
                <a:ea typeface="+mn-ea"/>
                <a:cs typeface="+mn-cs"/>
              </a:defRPr>
            </a:pPr>
            <a:r>
              <a:rPr lang="cs-CZ" sz="1200" b="1" cap="small">
                <a:solidFill>
                  <a:schemeClr val="accent2">
                    <a:lumMod val="50000"/>
                  </a:schemeClr>
                </a:solidFill>
                <a:latin typeface="+mj-lt"/>
              </a:rPr>
              <a:t>výskyt</a:t>
            </a:r>
            <a:r>
              <a:rPr lang="cs-CZ" sz="1200" b="1" cap="small" baseline="0">
                <a:solidFill>
                  <a:schemeClr val="accent2">
                    <a:lumMod val="50000"/>
                  </a:schemeClr>
                </a:solidFill>
                <a:latin typeface="+mj-lt"/>
              </a:rPr>
              <a:t> alespoň jedné anomálie ve skupině</a:t>
            </a:r>
          </a:p>
          <a:p>
            <a:pPr algn="l">
              <a:defRPr sz="1200" b="1" i="0" u="none" strike="noStrike" kern="1200" cap="small" spc="0" baseline="0">
                <a:solidFill>
                  <a:schemeClr val="accent2">
                    <a:lumMod val="50000"/>
                  </a:schemeClr>
                </a:solidFill>
                <a:latin typeface="+mj-lt"/>
                <a:ea typeface="+mn-ea"/>
                <a:cs typeface="+mn-cs"/>
              </a:defRPr>
            </a:pPr>
            <a:r>
              <a:rPr lang="cs-CZ" sz="1200" b="1" cap="small" baseline="0">
                <a:solidFill>
                  <a:schemeClr val="accent2">
                    <a:lumMod val="50000"/>
                  </a:schemeClr>
                </a:solidFill>
                <a:latin typeface="+mj-lt"/>
              </a:rPr>
              <a:t>- převedeno na objem vody fakturované (mil. m</a:t>
            </a:r>
            <a:r>
              <a:rPr lang="cs-CZ" sz="1200" b="1" cap="small" baseline="30000">
                <a:solidFill>
                  <a:schemeClr val="accent2">
                    <a:lumMod val="50000"/>
                  </a:schemeClr>
                </a:solidFill>
                <a:latin typeface="+mj-lt"/>
              </a:rPr>
              <a:t>3</a:t>
            </a:r>
            <a:r>
              <a:rPr lang="cs-CZ" sz="1200" b="1" cap="small" baseline="0">
                <a:solidFill>
                  <a:schemeClr val="accent2">
                    <a:lumMod val="50000"/>
                  </a:schemeClr>
                </a:solidFill>
                <a:latin typeface="+mj-lt"/>
              </a:rPr>
              <a:t>) a četnost výskytů anomálií</a:t>
            </a:r>
            <a:endParaRPr lang="cs-CZ" sz="1200" b="1" cap="small" baseline="30000">
              <a:solidFill>
                <a:schemeClr val="accent2">
                  <a:lumMod val="50000"/>
                </a:schemeClr>
              </a:solidFill>
              <a:latin typeface="+mj-lt"/>
            </a:endParaRPr>
          </a:p>
        </c:rich>
      </c:tx>
      <c:layout>
        <c:manualLayout>
          <c:xMode val="edge"/>
          <c:yMode val="edge"/>
          <c:x val="1.0530826503829879E-2"/>
          <c:y val="5.6437539902106926E-3"/>
        </c:manualLayout>
      </c:layout>
      <c:overlay val="0"/>
      <c:spPr>
        <a:noFill/>
        <a:ln w="25400">
          <a:noFill/>
        </a:ln>
      </c:spPr>
    </c:title>
    <c:autoTitleDeleted val="0"/>
    <c:plotArea>
      <c:layout>
        <c:manualLayout>
          <c:layoutTarget val="inner"/>
          <c:xMode val="edge"/>
          <c:yMode val="edge"/>
          <c:x val="0.11706756710272538"/>
          <c:y val="0.1116557079849555"/>
          <c:w val="0.77686832882555334"/>
          <c:h val="0.67945587034265564"/>
        </c:manualLayout>
      </c:layout>
      <c:barChart>
        <c:barDir val="col"/>
        <c:grouping val="stacked"/>
        <c:varyColors val="0"/>
        <c:ser>
          <c:idx val="0"/>
          <c:order val="0"/>
          <c:tx>
            <c:strRef>
              <c:f>skupiny!$B$97</c:f>
              <c:strCache>
                <c:ptCount val="1"/>
                <c:pt idx="0">
                  <c:v>Výskyt anomálií alespoň jedné anomálie podle objemu vody fakturované ve skupinách </c:v>
                </c:pt>
              </c:strCache>
            </c:strRef>
          </c:tx>
          <c:spPr>
            <a:solidFill>
              <a:schemeClr val="accent2">
                <a:lumMod val="75000"/>
              </a:schemeClr>
            </a:solidFill>
            <a:ln w="25400">
              <a:noFill/>
            </a:ln>
          </c:spPr>
          <c:invertIfNegative val="0"/>
          <c:dLbls>
            <c:dLbl>
              <c:idx val="0"/>
              <c:layout>
                <c:manualLayout>
                  <c:x val="0"/>
                  <c:y val="-7.3883161512027493E-2"/>
                </c:manualLayout>
              </c:layout>
              <c:tx>
                <c:rich>
                  <a:bodyPr/>
                  <a:lstStyle/>
                  <a:p>
                    <a:r>
                      <a:rPr lang="en-US"/>
                      <a:t>0,00 mil. m</a:t>
                    </a:r>
                    <a:r>
                      <a:rPr lang="en-US" baseline="30000"/>
                      <a:t>3</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159401884399676E-3"/>
                  <c:y val="-6.8728522336769767E-3"/>
                </c:manualLayout>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 lastClr="FFFFFF"/>
                        </a:solidFill>
                        <a:latin typeface="+mj-lt"/>
                        <a:ea typeface="+mn-ea"/>
                        <a:cs typeface="+mn-cs"/>
                      </a:defRPr>
                    </a:pPr>
                    <a:r>
                      <a:rPr lang="en-US"/>
                      <a:t>52,51   </a:t>
                    </a:r>
                    <a:r>
                      <a:rPr lang="en-US" sz="1000" b="0" i="0" baseline="0"/>
                      <a:t>mil. m</a:t>
                    </a:r>
                    <a:r>
                      <a:rPr lang="en-US" sz="1000" b="0" i="0" baseline="30000"/>
                      <a:t>3</a:t>
                    </a:r>
                    <a:endParaRPr lang="en-US" sz="1800" b="0" i="0" baseline="30000"/>
                  </a:p>
                </c:rich>
              </c:tx>
              <c:spPr/>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0"/>
                  <c:y val="-1.7182130584192441E-2"/>
                </c:manualLayout>
              </c:layout>
              <c:tx>
                <c:rich>
                  <a:bodyPr/>
                  <a:lstStyle/>
                  <a:p>
                    <a:r>
                      <a:rPr lang="en-US"/>
                      <a:t>26,25 </a:t>
                    </a:r>
                    <a:r>
                      <a:rPr lang="en-US" sz="1000" b="0" i="0" u="none" strike="noStrike" baseline="0"/>
                      <a:t>mil. m</a:t>
                    </a:r>
                    <a:r>
                      <a:rPr lang="en-US" sz="1000" b="0" i="0" u="none" strike="noStrike" baseline="30000"/>
                      <a:t>3</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1.8900343642611686E-2"/>
                </c:manualLayout>
              </c:layout>
              <c:tx>
                <c:rich>
                  <a:bodyPr/>
                  <a:lstStyle/>
                  <a:p>
                    <a:r>
                      <a:rPr lang="en-US"/>
                      <a:t>26,09 </a:t>
                    </a:r>
                    <a:r>
                      <a:rPr lang="en-US" sz="1000" b="0" i="0" u="none" strike="noStrike" baseline="0"/>
                      <a:t>mil. m</a:t>
                    </a:r>
                    <a:r>
                      <a:rPr lang="en-US" sz="1000" b="0" i="0" u="none" strike="noStrike" baseline="30000"/>
                      <a:t>3</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3.2646048109965645E-2"/>
                </c:manualLayout>
              </c:layout>
              <c:tx>
                <c:rich>
                  <a:bodyPr/>
                  <a:lstStyle/>
                  <a:p>
                    <a:r>
                      <a:rPr lang="en-US"/>
                      <a:t>37,53  </a:t>
                    </a:r>
                    <a:r>
                      <a:rPr lang="en-US" sz="1000" b="0" i="0" u="none" strike="noStrike" baseline="0"/>
                      <a:t>mil. m</a:t>
                    </a:r>
                    <a:r>
                      <a:rPr lang="en-US" sz="1000" b="0" i="0" u="none" strike="noStrike" baseline="30000"/>
                      <a:t>3</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431880376879935E-3"/>
                  <c:y val="-2.2336769759450176E-2"/>
                </c:manualLayout>
              </c:layout>
              <c:tx>
                <c:rich>
                  <a:bodyPr/>
                  <a:lstStyle/>
                  <a:p>
                    <a:r>
                      <a:rPr lang="en-US"/>
                      <a:t>24,29 </a:t>
                    </a:r>
                    <a:r>
                      <a:rPr lang="en-US" sz="1000" b="0" i="0" u="none" strike="noStrike" baseline="0"/>
                      <a:t>mil. m</a:t>
                    </a:r>
                    <a:r>
                      <a:rPr lang="en-US" sz="1000" b="0" i="0" u="none" strike="noStrike" baseline="30000"/>
                      <a:t>3</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1111477658456971E-2"/>
                  <c:y val="-0.13120091216694252"/>
                </c:manualLayout>
              </c:layout>
              <c:tx>
                <c:rich>
                  <a:bodyPr rot="-5400000" vert="horz"/>
                  <a:lstStyle/>
                  <a:p>
                    <a:pPr>
                      <a:defRPr b="1">
                        <a:solidFill>
                          <a:schemeClr val="accent2"/>
                        </a:solidFill>
                        <a:latin typeface="+mj-lt"/>
                      </a:defRPr>
                    </a:pPr>
                    <a:r>
                      <a:rPr lang="en-US">
                        <a:solidFill>
                          <a:schemeClr val="accent2"/>
                        </a:solidFill>
                      </a:rPr>
                      <a:t>15,25 </a:t>
                    </a:r>
                    <a:r>
                      <a:rPr lang="en-US" sz="1000" b="0" i="0" u="none" strike="noStrike" baseline="0">
                        <a:solidFill>
                          <a:schemeClr val="accent2"/>
                        </a:solidFill>
                      </a:rPr>
                      <a:t>mil. m</a:t>
                    </a:r>
                    <a:r>
                      <a:rPr lang="en-US" sz="1000" b="0" i="0" u="none" strike="noStrike" baseline="30000">
                        <a:solidFill>
                          <a:schemeClr val="accent2"/>
                        </a:solidFill>
                      </a:rPr>
                      <a:t>3</a:t>
                    </a:r>
                    <a:endParaRPr lang="en-US">
                      <a:solidFill>
                        <a:schemeClr val="accent2"/>
                      </a:solidFill>
                    </a:endParaRPr>
                  </a:p>
                </c:rich>
              </c:tx>
              <c:spP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2113656685968277E-2"/>
                  <c:y val="-9.8327909220131321E-2"/>
                </c:manualLayout>
              </c:layout>
              <c:tx>
                <c:rich>
                  <a:bodyPr rot="-5400000" vert="horz"/>
                  <a:lstStyle/>
                  <a:p>
                    <a:pPr>
                      <a:defRPr b="1">
                        <a:solidFill>
                          <a:schemeClr val="accent2"/>
                        </a:solidFill>
                        <a:latin typeface="+mj-lt"/>
                      </a:defRPr>
                    </a:pPr>
                    <a:r>
                      <a:rPr lang="en-US">
                        <a:solidFill>
                          <a:schemeClr val="accent2"/>
                        </a:solidFill>
                      </a:rPr>
                      <a:t>5,26 </a:t>
                    </a:r>
                    <a:r>
                      <a:rPr lang="en-US" sz="1000" b="0" i="0" u="none" strike="noStrike" baseline="0">
                        <a:solidFill>
                          <a:schemeClr val="accent2"/>
                        </a:solidFill>
                      </a:rPr>
                      <a:t>mil. m</a:t>
                    </a:r>
                    <a:r>
                      <a:rPr lang="en-US" sz="1000" b="0" i="0" u="none" strike="noStrike" baseline="30000">
                        <a:solidFill>
                          <a:schemeClr val="accent2"/>
                        </a:solidFill>
                      </a:rPr>
                      <a:t>3</a:t>
                    </a:r>
                    <a:endParaRPr lang="en-US">
                      <a:solidFill>
                        <a:schemeClr val="accent2"/>
                      </a:solidFill>
                    </a:endParaRPr>
                  </a:p>
                </c:rich>
              </c:tx>
              <c:sp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5400000" vert="horz"/>
              <a:lstStyle/>
              <a:p>
                <a:pPr>
                  <a:defRPr b="1">
                    <a:solidFill>
                      <a:schemeClr val="bg1"/>
                    </a:solidFill>
                    <a:latin typeface="+mj-lt"/>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skupiny!$A$98:$A$105</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skupiny!$B$98:$B$105</c:f>
              <c:numCache>
                <c:formatCode>#,##0.00</c:formatCode>
                <c:ptCount val="8"/>
                <c:pt idx="0">
                  <c:v>0</c:v>
                </c:pt>
                <c:pt idx="1">
                  <c:v>52.511924</c:v>
                </c:pt>
                <c:pt idx="2">
                  <c:v>26.247002000000002</c:v>
                </c:pt>
                <c:pt idx="3">
                  <c:v>26.091094999999999</c:v>
                </c:pt>
                <c:pt idx="4">
                  <c:v>37.531765999999998</c:v>
                </c:pt>
                <c:pt idx="5">
                  <c:v>24.290183000000006</c:v>
                </c:pt>
                <c:pt idx="6">
                  <c:v>15.247805999999981</c:v>
                </c:pt>
                <c:pt idx="7">
                  <c:v>5.2630899999999983</c:v>
                </c:pt>
              </c:numCache>
            </c:numRef>
          </c:val>
        </c:ser>
        <c:ser>
          <c:idx val="2"/>
          <c:order val="2"/>
          <c:tx>
            <c:strRef>
              <c:f>skupiny!$D$97</c:f>
              <c:strCache>
                <c:ptCount val="1"/>
                <c:pt idx="0">
                  <c:v>Objem vody fakturované bez anomálií</c:v>
                </c:pt>
              </c:strCache>
            </c:strRef>
          </c:tx>
          <c:spPr>
            <a:solidFill>
              <a:srgbClr val="A5A5A5"/>
            </a:solidFill>
            <a:ln w="25400">
              <a:noFill/>
            </a:ln>
          </c:spPr>
          <c:invertIfNegative val="0"/>
          <c:cat>
            <c:strRef>
              <c:f>skupiny!$A$98:$A$105</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skupiny!$D$98:$D$105</c:f>
              <c:numCache>
                <c:formatCode>#,##0.00</c:formatCode>
                <c:ptCount val="8"/>
                <c:pt idx="0">
                  <c:v>134.306299</c:v>
                </c:pt>
                <c:pt idx="1">
                  <c:v>14.707000000000001</c:v>
                </c:pt>
                <c:pt idx="2">
                  <c:v>36.639186000000002</c:v>
                </c:pt>
                <c:pt idx="3">
                  <c:v>36.247026999999989</c:v>
                </c:pt>
                <c:pt idx="4">
                  <c:v>26.627655000000011</c:v>
                </c:pt>
                <c:pt idx="5">
                  <c:v>23.120787999999997</c:v>
                </c:pt>
                <c:pt idx="6">
                  <c:v>3.4395790000000215</c:v>
                </c:pt>
                <c:pt idx="7">
                  <c:v>0.57926499999999859</c:v>
                </c:pt>
              </c:numCache>
            </c:numRef>
          </c:val>
        </c:ser>
        <c:dLbls>
          <c:showLegendKey val="0"/>
          <c:showVal val="0"/>
          <c:showCatName val="0"/>
          <c:showSerName val="0"/>
          <c:showPercent val="0"/>
          <c:showBubbleSize val="0"/>
        </c:dLbls>
        <c:gapWidth val="150"/>
        <c:overlap val="100"/>
        <c:axId val="574442112"/>
        <c:axId val="513780272"/>
      </c:barChart>
      <c:lineChart>
        <c:grouping val="standard"/>
        <c:varyColors val="0"/>
        <c:ser>
          <c:idx val="1"/>
          <c:order val="1"/>
          <c:tx>
            <c:strRef>
              <c:f>skupiny!$C$97</c:f>
              <c:strCache>
                <c:ptCount val="1"/>
                <c:pt idx="0">
                  <c:v>Objem vody fakturované ve skupině</c:v>
                </c:pt>
              </c:strCache>
            </c:strRef>
          </c:tx>
          <c:spPr>
            <a:ln w="28575" cap="rnd">
              <a:solidFill>
                <a:schemeClr val="accent4"/>
              </a:solidFill>
              <a:round/>
            </a:ln>
            <a:effectLst/>
          </c:spPr>
          <c:marker>
            <c:symbol val="none"/>
          </c:marker>
          <c:dLbls>
            <c:dLbl>
              <c:idx val="0"/>
              <c:layout>
                <c:manualLayout>
                  <c:x val="-4.1785760793131288E-2"/>
                  <c:y val="-1.708093661508328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16169946783114E-3"/>
                  <c:y val="-3.3406822581298581E-2"/>
                </c:manualLayout>
              </c:layout>
              <c:numFmt formatCode="#,##0.00" sourceLinked="0"/>
              <c:spPr>
                <a:noFill/>
                <a:ln w="25400">
                  <a:noFill/>
                </a:ln>
              </c:spPr>
              <c:txPr>
                <a:bodyPr rot="0" spcFirstLastPara="1" vertOverflow="ellipsis" vert="horz" wrap="square" lIns="38100" tIns="19050" rIns="38100" bIns="19050" anchor="ctr" anchorCtr="1">
                  <a:noAutofit/>
                </a:bodyPr>
                <a:lstStyle/>
                <a:p>
                  <a:pPr>
                    <a:defRPr sz="1000" b="1" i="0" u="none" strike="noStrike" kern="1200" baseline="0">
                      <a:solidFill>
                        <a:srgbClr val="FFC000"/>
                      </a:solidFill>
                      <a:latin typeface="+mn-lt"/>
                      <a:ea typeface="+mn-ea"/>
                      <a:cs typeface="+mn-cs"/>
                    </a:defRPr>
                  </a:pPr>
                  <a:endParaRPr lang="cs-CZ"/>
                </a:p>
              </c:txPr>
              <c:dLblPos val="r"/>
              <c:showLegendKey val="0"/>
              <c:showVal val="1"/>
              <c:showCatName val="0"/>
              <c:showSerName val="0"/>
              <c:showPercent val="0"/>
              <c:showBubbleSize val="0"/>
              <c:extLst>
                <c:ext xmlns:c15="http://schemas.microsoft.com/office/drawing/2012/chart" uri="{CE6537A1-D6FC-4f65-9D91-7224C49458BB}">
                  <c15:layout>
                    <c:manualLayout>
                      <c:w val="6.363836824696803E-2"/>
                      <c:h val="2.7149413720197958E-2"/>
                    </c:manualLayout>
                  </c15:layout>
                </c:ext>
              </c:extLst>
            </c:dLbl>
            <c:dLbl>
              <c:idx val="2"/>
              <c:layout>
                <c:manualLayout>
                  <c:x val="-3.3780375680973661E-2"/>
                  <c:y val="-2.829950302430321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7769703244077485E-2"/>
                  <c:y val="-3.018052804371324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3780375680973661E-2"/>
                  <c:y val="-2.265642796607283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1785714285714426E-2"/>
                  <c:y val="-3.018053664321147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1785714285714294E-2"/>
                  <c:y val="-3.018053664321147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1785714285714294E-2"/>
                  <c:y val="-3.018053664321139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w="25400">
                <a:noFill/>
              </a:ln>
            </c:spPr>
            <c:txPr>
              <a:bodyPr rot="0" spcFirstLastPara="1" vertOverflow="ellipsis" vert="horz" wrap="square" lIns="38100" tIns="19050" rIns="38100" bIns="19050" anchor="ctr" anchorCtr="1">
                <a:spAutoFit/>
              </a:bodyPr>
              <a:lstStyle/>
              <a:p>
                <a:pPr>
                  <a:defRPr sz="1000" b="1" i="0" u="none" strike="noStrike" kern="1200" baseline="0">
                    <a:solidFill>
                      <a:srgbClr val="FFC000"/>
                    </a:solidFill>
                    <a:latin typeface="+mn-lt"/>
                    <a:ea typeface="+mn-ea"/>
                    <a:cs typeface="+mn-cs"/>
                  </a:defRPr>
                </a:pPr>
                <a:endParaRPr lang="cs-CZ"/>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skupiny!$A$98:$A$105</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skupiny!$C$98:$C$105</c:f>
              <c:numCache>
                <c:formatCode>#,##0.00</c:formatCode>
                <c:ptCount val="8"/>
                <c:pt idx="0">
                  <c:v>134.306299</c:v>
                </c:pt>
                <c:pt idx="1">
                  <c:v>67.218924000000001</c:v>
                </c:pt>
                <c:pt idx="2">
                  <c:v>62.886188000000004</c:v>
                </c:pt>
                <c:pt idx="3">
                  <c:v>62.338121999999991</c:v>
                </c:pt>
                <c:pt idx="4">
                  <c:v>64.159421000000009</c:v>
                </c:pt>
                <c:pt idx="5">
                  <c:v>47.410971000000004</c:v>
                </c:pt>
                <c:pt idx="6">
                  <c:v>18.687385000000003</c:v>
                </c:pt>
                <c:pt idx="7">
                  <c:v>5.8423549999999969</c:v>
                </c:pt>
              </c:numCache>
            </c:numRef>
          </c:val>
          <c:smooth val="0"/>
        </c:ser>
        <c:dLbls>
          <c:showLegendKey val="0"/>
          <c:showVal val="0"/>
          <c:showCatName val="0"/>
          <c:showSerName val="0"/>
          <c:showPercent val="0"/>
          <c:showBubbleSize val="0"/>
        </c:dLbls>
        <c:marker val="1"/>
        <c:smooth val="0"/>
        <c:axId val="574442112"/>
        <c:axId val="513780272"/>
      </c:lineChart>
      <c:scatterChart>
        <c:scatterStyle val="lineMarker"/>
        <c:varyColors val="0"/>
        <c:ser>
          <c:idx val="3"/>
          <c:order val="3"/>
          <c:tx>
            <c:strRef>
              <c:f>skupiny!$F$97</c:f>
              <c:strCache>
                <c:ptCount val="1"/>
                <c:pt idx="0">
                  <c:v>četnost výskytů anomálií</c:v>
                </c:pt>
              </c:strCache>
            </c:strRef>
          </c:tx>
          <c:spPr>
            <a:ln w="19050">
              <a:noFill/>
            </a:ln>
          </c:spPr>
          <c:marker>
            <c:symbol val="triangle"/>
            <c:size val="15"/>
            <c:spPr>
              <a:solidFill>
                <a:schemeClr val="accent6"/>
              </a:solidFill>
            </c:spPr>
          </c:marker>
          <c:dLbls>
            <c:dLbl>
              <c:idx val="0"/>
              <c:layout>
                <c:manualLayout>
                  <c:x val="-6.6962492230379159E-2"/>
                  <c:y val="-2.0839384290161699E-2"/>
                </c:manualLayout>
              </c:layout>
              <c:tx>
                <c:rich>
                  <a:bodyPr/>
                  <a:lstStyle/>
                  <a:p>
                    <a:r>
                      <a:rPr lang="en-US">
                        <a:solidFill>
                          <a:schemeClr val="accent6"/>
                        </a:solidFill>
                      </a:rPr>
                      <a:t>0</a:t>
                    </a:r>
                    <a:r>
                      <a:rPr lang="en-US"/>
                      <a:t> výskytů</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50656746737974E-2"/>
                  <c:y val="2.3471271966777771E-2"/>
                </c:manualLayout>
              </c:layout>
              <c:tx>
                <c:rich>
                  <a:bodyPr/>
                  <a:lstStyle/>
                  <a:p>
                    <a:r>
                      <a:rPr lang="en-US">
                        <a:solidFill>
                          <a:schemeClr val="accent6"/>
                        </a:solidFill>
                      </a:rPr>
                      <a:t>2</a:t>
                    </a:r>
                    <a:r>
                      <a:rPr lang="en-US"/>
                      <a:t> </a:t>
                    </a:r>
                    <a:r>
                      <a:rPr lang="en-US" sz="1000" b="1" i="0" u="none" strike="noStrike" baseline="0"/>
                      <a:t>výskyty</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7779412364676647E-2"/>
                  <c:y val="-1.996438262476084E-2"/>
                </c:manualLayout>
              </c:layout>
              <c:tx>
                <c:rich>
                  <a:bodyPr/>
                  <a:lstStyle/>
                  <a:p>
                    <a:r>
                      <a:rPr lang="en-US">
                        <a:solidFill>
                          <a:schemeClr val="accent6"/>
                        </a:solidFill>
                      </a:rPr>
                      <a:t>3</a:t>
                    </a:r>
                    <a:r>
                      <a:rPr lang="en-US"/>
                      <a:t> </a:t>
                    </a:r>
                    <a:r>
                      <a:rPr lang="en-US" sz="1000" b="1" i="0" u="none" strike="noStrike" baseline="0"/>
                      <a:t>výskyty</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8798090653176122E-2"/>
                  <c:y val="-1.9818826580687669E-2"/>
                </c:manualLayout>
              </c:layout>
              <c:tx>
                <c:rich>
                  <a:bodyPr/>
                  <a:lstStyle/>
                  <a:p>
                    <a:r>
                      <a:rPr lang="en-US">
                        <a:solidFill>
                          <a:schemeClr val="accent6"/>
                        </a:solidFill>
                      </a:rPr>
                      <a:t>5</a:t>
                    </a:r>
                    <a:r>
                      <a:rPr lang="en-US"/>
                      <a:t> </a:t>
                    </a:r>
                    <a:r>
                      <a:rPr lang="en-US" sz="10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196500810760436E-2"/>
                  <c:y val="-2.863368284548198E-2"/>
                </c:manualLayout>
              </c:layout>
              <c:tx>
                <c:rich>
                  <a:bodyPr/>
                  <a:lstStyle/>
                  <a:p>
                    <a:r>
                      <a:rPr lang="en-US">
                        <a:solidFill>
                          <a:schemeClr val="accent6"/>
                        </a:solidFill>
                      </a:rPr>
                      <a:t>3</a:t>
                    </a:r>
                    <a:r>
                      <a:rPr lang="en-US"/>
                      <a:t>2 </a:t>
                    </a:r>
                    <a:r>
                      <a:rPr lang="en-US" sz="10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8637607537598708E-3"/>
                  <c:y val="-8.5910652920962206E-3"/>
                </c:manualLayout>
              </c:layout>
              <c:tx>
                <c:rich>
                  <a:bodyPr/>
                  <a:lstStyle/>
                  <a:p>
                    <a:r>
                      <a:rPr lang="en-US">
                        <a:solidFill>
                          <a:schemeClr val="accent6"/>
                        </a:solidFill>
                      </a:rPr>
                      <a:t>3</a:t>
                    </a:r>
                    <a:r>
                      <a:rPr lang="en-US"/>
                      <a:t>66 </a:t>
                    </a:r>
                    <a:r>
                      <a:rPr lang="en-US" sz="10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70AD47"/>
                        </a:solidFill>
                        <a:latin typeface="+mn-lt"/>
                        <a:ea typeface="+mn-ea"/>
                        <a:cs typeface="+mn-cs"/>
                      </a:defRPr>
                    </a:pPr>
                    <a:r>
                      <a:rPr lang="en-US"/>
                      <a:t>928 </a:t>
                    </a:r>
                    <a:r>
                      <a:rPr lang="en-US" sz="1000" b="1" i="0" baseline="0"/>
                      <a:t>výskytů</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70AD47"/>
                        </a:solidFill>
                        <a:latin typeface="+mn-lt"/>
                        <a:ea typeface="+mn-ea"/>
                        <a:cs typeface="+mn-cs"/>
                      </a:defRPr>
                    </a:pPr>
                    <a:endParaRPr lang="en-US"/>
                  </a:p>
                </c:rich>
              </c:tx>
              <c:spP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727521507519738E-2"/>
                  <c:y val="-3.2646048109965645E-2"/>
                </c:manualLayout>
              </c:layout>
              <c:tx>
                <c:rich>
                  <a:bodyPr/>
                  <a:lstStyle/>
                  <a:p>
                    <a:r>
                      <a:rPr lang="en-US"/>
                      <a:t>1052 </a:t>
                    </a:r>
                    <a:r>
                      <a:rPr lang="en-US" sz="10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000" b="1">
                    <a:solidFill>
                      <a:schemeClr val="accent6"/>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skupiny!$A$98:$A$105</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xVal>
          <c:yVal>
            <c:numRef>
              <c:f>skupiny!$F$98:$F$105</c:f>
              <c:numCache>
                <c:formatCode>General</c:formatCode>
                <c:ptCount val="8"/>
                <c:pt idx="0">
                  <c:v>0</c:v>
                </c:pt>
                <c:pt idx="1">
                  <c:v>2</c:v>
                </c:pt>
                <c:pt idx="2">
                  <c:v>3</c:v>
                </c:pt>
                <c:pt idx="3">
                  <c:v>5</c:v>
                </c:pt>
                <c:pt idx="4">
                  <c:v>32</c:v>
                </c:pt>
                <c:pt idx="5">
                  <c:v>366</c:v>
                </c:pt>
                <c:pt idx="6">
                  <c:v>928</c:v>
                </c:pt>
                <c:pt idx="7">
                  <c:v>1052</c:v>
                </c:pt>
              </c:numCache>
            </c:numRef>
          </c:yVal>
          <c:smooth val="0"/>
        </c:ser>
        <c:dLbls>
          <c:showLegendKey val="0"/>
          <c:showVal val="0"/>
          <c:showCatName val="0"/>
          <c:showSerName val="0"/>
          <c:showPercent val="0"/>
          <c:showBubbleSize val="0"/>
        </c:dLbls>
        <c:axId val="513781056"/>
        <c:axId val="513779880"/>
      </c:scatterChart>
      <c:catAx>
        <c:axId val="57444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780272"/>
        <c:crosses val="autoZero"/>
        <c:auto val="1"/>
        <c:lblAlgn val="ctr"/>
        <c:lblOffset val="100"/>
        <c:noMultiLvlLbl val="0"/>
      </c:catAx>
      <c:valAx>
        <c:axId val="513780272"/>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accent2">
                        <a:lumMod val="50000"/>
                      </a:schemeClr>
                    </a:solidFill>
                    <a:latin typeface="+mn-lt"/>
                    <a:ea typeface="+mn-ea"/>
                    <a:cs typeface="+mn-cs"/>
                  </a:defRPr>
                </a:pPr>
                <a:r>
                  <a:rPr lang="cs-CZ">
                    <a:solidFill>
                      <a:schemeClr val="accent2">
                        <a:lumMod val="50000"/>
                      </a:schemeClr>
                    </a:solidFill>
                  </a:rPr>
                  <a:t>Objem vody  odpadní a srážkové fakturované v mil. m</a:t>
                </a:r>
                <a:r>
                  <a:rPr lang="cs-CZ" baseline="30000">
                    <a:solidFill>
                      <a:schemeClr val="accent2">
                        <a:lumMod val="50000"/>
                      </a:schemeClr>
                    </a:solidFill>
                  </a:rPr>
                  <a:t>3</a:t>
                </a:r>
              </a:p>
            </c:rich>
          </c:tx>
          <c:layout>
            <c:manualLayout>
              <c:xMode val="edge"/>
              <c:yMode val="edge"/>
              <c:x val="1.7732069205635029E-2"/>
              <c:y val="0.30485256910453823"/>
            </c:manualLayout>
          </c:layout>
          <c:overlay val="0"/>
          <c:spPr>
            <a:noFill/>
            <a:ln w="25400">
              <a:noFill/>
            </a:ln>
          </c:spPr>
        </c:title>
        <c:numFmt formatCode="#,##0.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4442112"/>
        <c:crosses val="autoZero"/>
        <c:crossBetween val="between"/>
      </c:valAx>
      <c:valAx>
        <c:axId val="513781056"/>
        <c:scaling>
          <c:orientation val="minMax"/>
        </c:scaling>
        <c:delete val="1"/>
        <c:axPos val="t"/>
        <c:numFmt formatCode="General" sourceLinked="1"/>
        <c:majorTickMark val="out"/>
        <c:minorTickMark val="none"/>
        <c:tickLblPos val="none"/>
        <c:crossAx val="513779880"/>
        <c:crosses val="max"/>
        <c:crossBetween val="midCat"/>
      </c:valAx>
      <c:valAx>
        <c:axId val="513779880"/>
        <c:scaling>
          <c:orientation val="minMax"/>
          <c:max val="1100"/>
          <c:min val="0"/>
        </c:scaling>
        <c:delete val="0"/>
        <c:axPos val="r"/>
        <c:title>
          <c:tx>
            <c:rich>
              <a:bodyPr/>
              <a:lstStyle/>
              <a:p>
                <a:pPr>
                  <a:defRPr>
                    <a:solidFill>
                      <a:schemeClr val="accent4">
                        <a:lumMod val="50000"/>
                      </a:schemeClr>
                    </a:solidFill>
                  </a:defRPr>
                </a:pPr>
                <a:r>
                  <a:rPr lang="cs-CZ">
                    <a:solidFill>
                      <a:schemeClr val="accent4">
                        <a:lumMod val="50000"/>
                      </a:schemeClr>
                    </a:solidFill>
                  </a:rPr>
                  <a:t>četnost výskytů anomálií</a:t>
                </a:r>
              </a:p>
            </c:rich>
          </c:tx>
          <c:layout/>
          <c:overlay val="0"/>
        </c:title>
        <c:numFmt formatCode="General" sourceLinked="1"/>
        <c:majorTickMark val="out"/>
        <c:minorTickMark val="none"/>
        <c:tickLblPos val="nextTo"/>
        <c:crossAx val="513781056"/>
        <c:crosses val="max"/>
        <c:crossBetween val="midCat"/>
      </c:valAx>
      <c:spPr>
        <a:noFill/>
        <a:ln w="25400">
          <a:noFill/>
        </a:ln>
      </c:spPr>
    </c:plotArea>
    <c:legend>
      <c:legendPos val="r"/>
      <c:layout>
        <c:manualLayout>
          <c:xMode val="edge"/>
          <c:yMode val="edge"/>
          <c:x val="0"/>
          <c:y val="0.93725865347912685"/>
          <c:w val="0.99752690582150672"/>
          <c:h val="6.2741346520874042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0.63957</cdr:x>
      <cdr:y>0.05488</cdr:y>
    </cdr:from>
    <cdr:to>
      <cdr:x>0.72478</cdr:x>
      <cdr:y>0.20485</cdr:y>
    </cdr:to>
    <cdr:sp macro="" textlink="">
      <cdr:nvSpPr>
        <cdr:cNvPr id="2" name="TextovéPole 1"/>
        <cdr:cNvSpPr txBox="1"/>
      </cdr:nvSpPr>
      <cdr:spPr>
        <a:xfrm xmlns:a="http://schemas.openxmlformats.org/drawingml/2006/main">
          <a:off x="6886574" y="381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a:p>
      </cdr:txBody>
    </cdr:sp>
  </cdr:relSizeAnchor>
  <cdr:relSizeAnchor xmlns:cdr="http://schemas.openxmlformats.org/drawingml/2006/chartDrawing">
    <cdr:from>
      <cdr:x>0.47805</cdr:x>
      <cdr:y>0.07627</cdr:y>
    </cdr:from>
    <cdr:to>
      <cdr:x>0.97132</cdr:x>
      <cdr:y>0.15159</cdr:y>
    </cdr:to>
    <cdr:sp macro="" textlink="">
      <cdr:nvSpPr>
        <cdr:cNvPr id="3" name="TextovéPole 2"/>
        <cdr:cNvSpPr txBox="1"/>
      </cdr:nvSpPr>
      <cdr:spPr>
        <a:xfrm xmlns:a="http://schemas.openxmlformats.org/drawingml/2006/main">
          <a:off x="2968831" y="674750"/>
          <a:ext cx="3063339" cy="66634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1100" i="1">
              <a:solidFill>
                <a:srgbClr val="002060"/>
              </a:solidFill>
            </a:rPr>
            <a:t>1.</a:t>
          </a:r>
          <a:r>
            <a:rPr lang="cs-CZ" sz="1100" i="1" baseline="0">
              <a:solidFill>
                <a:srgbClr val="002060"/>
              </a:solidFill>
            </a:rPr>
            <a:t> celková velikost trhu dle Porovnání 469,48</a:t>
          </a:r>
          <a:r>
            <a:rPr lang="cs-CZ" sz="1100" i="1" baseline="0">
              <a:solidFill>
                <a:srgbClr val="002060"/>
              </a:solidFill>
              <a:latin typeface="+mn-lt"/>
              <a:ea typeface="+mn-ea"/>
              <a:cs typeface="+mn-cs"/>
            </a:rPr>
            <a:t>mil. m3</a:t>
          </a:r>
          <a:endParaRPr lang="cs-CZ" sz="1100" i="1" baseline="30000">
            <a:solidFill>
              <a:srgbClr val="002060"/>
            </a:solidFill>
          </a:endParaRPr>
        </a:p>
        <a:p xmlns:a="http://schemas.openxmlformats.org/drawingml/2006/main">
          <a:r>
            <a:rPr lang="cs-CZ" sz="1100" i="1" baseline="0">
              <a:solidFill>
                <a:srgbClr val="002060"/>
              </a:solidFill>
            </a:rPr>
            <a:t>2. velikost části analyzovaného trhu 447,10 </a:t>
          </a:r>
          <a:r>
            <a:rPr lang="cs-CZ" sz="1100" i="1" baseline="0">
              <a:solidFill>
                <a:srgbClr val="002060"/>
              </a:solidFill>
              <a:latin typeface="+mn-lt"/>
              <a:ea typeface="+mn-ea"/>
              <a:cs typeface="+mn-cs"/>
            </a:rPr>
            <a:t>mil. m3</a:t>
          </a:r>
          <a:r>
            <a:rPr lang="cs-CZ" sz="1100" i="1" baseline="30000">
              <a:solidFill>
                <a:srgbClr val="002060"/>
              </a:solidFill>
            </a:rPr>
            <a:t> </a:t>
          </a:r>
        </a:p>
        <a:p xmlns:a="http://schemas.openxmlformats.org/drawingml/2006/main">
          <a:r>
            <a:rPr lang="cs-CZ" sz="1100" i="1" baseline="0">
              <a:solidFill>
                <a:srgbClr val="002060"/>
              </a:solidFill>
              <a:effectLst/>
              <a:latin typeface="+mn-lt"/>
              <a:ea typeface="+mn-ea"/>
              <a:cs typeface="+mn-cs"/>
            </a:rPr>
            <a:t>(95,2 % podíl z celkového trhu)</a:t>
          </a:r>
          <a:endParaRPr lang="cs-CZ" sz="1100" i="1" baseline="30000">
            <a:solidFill>
              <a:srgbClr val="002060"/>
            </a:solidFill>
          </a:endParaRPr>
        </a:p>
        <a:p xmlns:a="http://schemas.openxmlformats.org/drawingml/2006/main">
          <a:endParaRPr lang="cs-CZ" sz="1100" i="1" baseline="0">
            <a:solidFill>
              <a:srgbClr val="002060"/>
            </a:solidFill>
          </a:endParaRPr>
        </a:p>
        <a:p xmlns:a="http://schemas.openxmlformats.org/drawingml/2006/main">
          <a:endParaRPr lang="cs-CZ" sz="1100" i="1" baseline="30000">
            <a:solidFill>
              <a:srgbClr val="002060"/>
            </a:solidFill>
          </a:endParaRPr>
        </a:p>
      </cdr:txBody>
    </cdr:sp>
  </cdr:relSizeAnchor>
  <cdr:relSizeAnchor xmlns:cdr="http://schemas.openxmlformats.org/drawingml/2006/chartDrawing">
    <cdr:from>
      <cdr:x>0.46604</cdr:x>
      <cdr:y>0.0719</cdr:y>
    </cdr:from>
    <cdr:to>
      <cdr:x>0.96282</cdr:x>
      <cdr:y>0.15099</cdr:y>
    </cdr:to>
    <cdr:sp macro="" textlink="">
      <cdr:nvSpPr>
        <cdr:cNvPr id="4" name="TextovéPole 1"/>
        <cdr:cNvSpPr txBox="1"/>
      </cdr:nvSpPr>
      <cdr:spPr>
        <a:xfrm xmlns:a="http://schemas.openxmlformats.org/drawingml/2006/main">
          <a:off x="2894275" y="636105"/>
          <a:ext cx="3085105" cy="6997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a:p>
      </cdr:txBody>
    </cdr:sp>
  </cdr:relSizeAnchor>
  <cdr:relSizeAnchor xmlns:cdr="http://schemas.openxmlformats.org/drawingml/2006/chartDrawing">
    <cdr:from>
      <cdr:x>0.18642</cdr:x>
      <cdr:y>0.9361</cdr:y>
    </cdr:from>
    <cdr:to>
      <cdr:x>1</cdr:x>
      <cdr:y>0.96782</cdr:y>
    </cdr:to>
    <cdr:sp macro="" textlink="">
      <cdr:nvSpPr>
        <cdr:cNvPr id="5" name="TextovéPole 4"/>
        <cdr:cNvSpPr txBox="1"/>
      </cdr:nvSpPr>
      <cdr:spPr>
        <a:xfrm xmlns:a="http://schemas.openxmlformats.org/drawingml/2006/main">
          <a:off x="1157753" y="8281510"/>
          <a:ext cx="5052547" cy="2805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cs-CZ" sz="1100" i="1" baseline="0">
              <a:solidFill>
                <a:srgbClr val="FF0000"/>
              </a:solidFill>
              <a:effectLst/>
              <a:latin typeface="+mn-lt"/>
              <a:ea typeface="+mn-ea"/>
              <a:cs typeface="+mn-cs"/>
            </a:rPr>
            <a:t>množství vody fakturované</a:t>
          </a:r>
          <a:r>
            <a:rPr lang="cs-CZ" sz="1100" i="1" baseline="0">
              <a:solidFill>
                <a:srgbClr val="002060"/>
              </a:solidFill>
              <a:effectLst/>
              <a:latin typeface="+mn-lt"/>
              <a:ea typeface="+mn-ea"/>
              <a:cs typeface="+mn-cs"/>
            </a:rPr>
            <a:t>; % podíl analyzovaného trhu, četnost výskytu anomálie</a:t>
          </a:r>
          <a:endParaRPr lang="cs-CZ">
            <a:solidFill>
              <a:srgbClr val="002060"/>
            </a:solidFill>
            <a:effectLst/>
          </a:endParaRPr>
        </a:p>
        <a:p xmlns:a="http://schemas.openxmlformats.org/drawingml/2006/main">
          <a:endParaRPr lang="cs-CZ" sz="1100"/>
        </a:p>
      </cdr:txBody>
    </cdr:sp>
  </cdr:relSizeAnchor>
</c:userShapes>
</file>

<file path=word/drawings/drawing2.xml><?xml version="1.0" encoding="utf-8"?>
<c:userShapes xmlns:c="http://schemas.openxmlformats.org/drawingml/2006/chart">
  <cdr:relSizeAnchor xmlns:cdr="http://schemas.openxmlformats.org/drawingml/2006/chartDrawing">
    <cdr:from>
      <cdr:x>0.63957</cdr:x>
      <cdr:y>0.05488</cdr:y>
    </cdr:from>
    <cdr:to>
      <cdr:x>0.72478</cdr:x>
      <cdr:y>0.20485</cdr:y>
    </cdr:to>
    <cdr:sp macro="" textlink="">
      <cdr:nvSpPr>
        <cdr:cNvPr id="2" name="TextovéPole 1"/>
        <cdr:cNvSpPr txBox="1"/>
      </cdr:nvSpPr>
      <cdr:spPr>
        <a:xfrm xmlns:a="http://schemas.openxmlformats.org/drawingml/2006/main">
          <a:off x="6886574" y="381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a:p>
      </cdr:txBody>
    </cdr:sp>
  </cdr:relSizeAnchor>
  <cdr:relSizeAnchor xmlns:cdr="http://schemas.openxmlformats.org/drawingml/2006/chartDrawing">
    <cdr:from>
      <cdr:x>0.52585</cdr:x>
      <cdr:y>0.08733</cdr:y>
    </cdr:from>
    <cdr:to>
      <cdr:x>0.98036</cdr:x>
      <cdr:y>0.16265</cdr:y>
    </cdr:to>
    <cdr:sp macro="" textlink="">
      <cdr:nvSpPr>
        <cdr:cNvPr id="3" name="TextovéPole 2"/>
        <cdr:cNvSpPr txBox="1"/>
      </cdr:nvSpPr>
      <cdr:spPr>
        <a:xfrm xmlns:a="http://schemas.openxmlformats.org/drawingml/2006/main">
          <a:off x="3396908" y="793327"/>
          <a:ext cx="2936069" cy="68423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1100" i="1">
              <a:solidFill>
                <a:srgbClr val="002060"/>
              </a:solidFill>
            </a:rPr>
            <a:t>1.</a:t>
          </a:r>
          <a:r>
            <a:rPr lang="cs-CZ" sz="1100" i="1" baseline="0">
              <a:solidFill>
                <a:srgbClr val="002060"/>
              </a:solidFill>
            </a:rPr>
            <a:t> celková velikost trhu dle Porovnání 469,48mil. m</a:t>
          </a:r>
          <a:r>
            <a:rPr lang="cs-CZ" sz="1100" i="1" baseline="30000">
              <a:solidFill>
                <a:srgbClr val="002060"/>
              </a:solidFill>
            </a:rPr>
            <a:t>3</a:t>
          </a:r>
        </a:p>
        <a:p xmlns:a="http://schemas.openxmlformats.org/drawingml/2006/main">
          <a:r>
            <a:rPr lang="cs-CZ" sz="1100" i="1" baseline="0">
              <a:solidFill>
                <a:srgbClr val="002060"/>
              </a:solidFill>
            </a:rPr>
            <a:t>2. velikost části analyzovaného trhu 447,10 mil. m</a:t>
          </a:r>
          <a:r>
            <a:rPr lang="cs-CZ" sz="1100" i="1" baseline="30000">
              <a:solidFill>
                <a:srgbClr val="002060"/>
              </a:solidFill>
            </a:rPr>
            <a:t>3 </a:t>
          </a:r>
        </a:p>
        <a:p xmlns:a="http://schemas.openxmlformats.org/drawingml/2006/main">
          <a:r>
            <a:rPr lang="cs-CZ" sz="1100" i="1" baseline="0">
              <a:solidFill>
                <a:srgbClr val="002060"/>
              </a:solidFill>
              <a:effectLst/>
              <a:latin typeface="+mn-lt"/>
              <a:ea typeface="+mn-ea"/>
              <a:cs typeface="+mn-cs"/>
            </a:rPr>
            <a:t>(95,2 % podíl  z celkového trhu)</a:t>
          </a:r>
          <a:endParaRPr lang="cs-CZ" sz="1100" i="1" baseline="30000">
            <a:solidFill>
              <a:srgbClr val="002060"/>
            </a:solidFill>
          </a:endParaRPr>
        </a:p>
        <a:p xmlns:a="http://schemas.openxmlformats.org/drawingml/2006/main">
          <a:endParaRPr lang="cs-CZ" sz="1100" i="1" baseline="0">
            <a:solidFill>
              <a:srgbClr val="002060"/>
            </a:solidFill>
          </a:endParaRPr>
        </a:p>
        <a:p xmlns:a="http://schemas.openxmlformats.org/drawingml/2006/main">
          <a:endParaRPr lang="cs-CZ" sz="1100" i="1" baseline="30000">
            <a:solidFill>
              <a:srgbClr val="002060"/>
            </a:solidFill>
          </a:endParaRPr>
        </a:p>
      </cdr:txBody>
    </cdr:sp>
  </cdr:relSizeAnchor>
  <cdr:relSizeAnchor xmlns:cdr="http://schemas.openxmlformats.org/drawingml/2006/chartDrawing">
    <cdr:from>
      <cdr:x>0.63957</cdr:x>
      <cdr:y>0.05488</cdr:y>
    </cdr:from>
    <cdr:to>
      <cdr:x>0.72478</cdr:x>
      <cdr:y>0.20485</cdr:y>
    </cdr:to>
    <cdr:sp macro="" textlink="">
      <cdr:nvSpPr>
        <cdr:cNvPr id="4" name="TextovéPole 1"/>
        <cdr:cNvSpPr txBox="1"/>
      </cdr:nvSpPr>
      <cdr:spPr>
        <a:xfrm xmlns:a="http://schemas.openxmlformats.org/drawingml/2006/main">
          <a:off x="6886574" y="381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a:p>
      </cdr:txBody>
    </cdr:sp>
  </cdr:relSizeAnchor>
  <cdr:relSizeAnchor xmlns:cdr="http://schemas.openxmlformats.org/drawingml/2006/chartDrawing">
    <cdr:from>
      <cdr:x>0.14201</cdr:x>
      <cdr:y>0.91242</cdr:y>
    </cdr:from>
    <cdr:to>
      <cdr:x>0.97271</cdr:x>
      <cdr:y>0.94711</cdr:y>
    </cdr:to>
    <cdr:sp macro="" textlink="">
      <cdr:nvSpPr>
        <cdr:cNvPr id="5" name="TextovéPole 4"/>
        <cdr:cNvSpPr txBox="1"/>
      </cdr:nvSpPr>
      <cdr:spPr>
        <a:xfrm xmlns:a="http://schemas.openxmlformats.org/drawingml/2006/main">
          <a:off x="843148" y="8288737"/>
          <a:ext cx="4932045" cy="3151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cs-CZ" sz="1100" i="1" baseline="0">
              <a:solidFill>
                <a:srgbClr val="FF0000"/>
              </a:solidFill>
              <a:effectLst/>
              <a:latin typeface="+mn-lt"/>
              <a:ea typeface="+mn-ea"/>
              <a:cs typeface="+mn-cs"/>
            </a:rPr>
            <a:t>množství vody fakturované</a:t>
          </a:r>
          <a:r>
            <a:rPr lang="cs-CZ" sz="1100" i="1" baseline="0">
              <a:solidFill>
                <a:srgbClr val="002060"/>
              </a:solidFill>
              <a:effectLst/>
              <a:latin typeface="+mn-lt"/>
              <a:ea typeface="+mn-ea"/>
              <a:cs typeface="+mn-cs"/>
            </a:rPr>
            <a:t>; % podíl analyzovaného trhu, četnost výskytu anomálie</a:t>
          </a:r>
          <a:endParaRPr lang="cs-CZ">
            <a:solidFill>
              <a:srgbClr val="002060"/>
            </a:solidFill>
            <a:effectLst/>
          </a:endParaRPr>
        </a:p>
        <a:p xmlns:a="http://schemas.openxmlformats.org/drawingml/2006/main">
          <a:endParaRPr lang="cs-CZ" sz="1100"/>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182AC-A0A8-4A53-9BF5-A24C79B7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66</Pages>
  <Words>15799</Words>
  <Characters>93220</Characters>
  <Application>Microsoft Office Word</Application>
  <DocSecurity>0</DocSecurity>
  <Lines>776</Lines>
  <Paragraphs>217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108802</CharactersWithSpaces>
  <SharedDoc>false</SharedDoc>
  <HLinks>
    <vt:vector size="306" baseType="variant">
      <vt:variant>
        <vt:i4>1441840</vt:i4>
      </vt:variant>
      <vt:variant>
        <vt:i4>302</vt:i4>
      </vt:variant>
      <vt:variant>
        <vt:i4>0</vt:i4>
      </vt:variant>
      <vt:variant>
        <vt:i4>5</vt:i4>
      </vt:variant>
      <vt:variant>
        <vt:lpwstr/>
      </vt:variant>
      <vt:variant>
        <vt:lpwstr>_Toc503716708</vt:lpwstr>
      </vt:variant>
      <vt:variant>
        <vt:i4>1441840</vt:i4>
      </vt:variant>
      <vt:variant>
        <vt:i4>296</vt:i4>
      </vt:variant>
      <vt:variant>
        <vt:i4>0</vt:i4>
      </vt:variant>
      <vt:variant>
        <vt:i4>5</vt:i4>
      </vt:variant>
      <vt:variant>
        <vt:lpwstr/>
      </vt:variant>
      <vt:variant>
        <vt:lpwstr>_Toc503716707</vt:lpwstr>
      </vt:variant>
      <vt:variant>
        <vt:i4>1441840</vt:i4>
      </vt:variant>
      <vt:variant>
        <vt:i4>290</vt:i4>
      </vt:variant>
      <vt:variant>
        <vt:i4>0</vt:i4>
      </vt:variant>
      <vt:variant>
        <vt:i4>5</vt:i4>
      </vt:variant>
      <vt:variant>
        <vt:lpwstr/>
      </vt:variant>
      <vt:variant>
        <vt:lpwstr>_Toc503716706</vt:lpwstr>
      </vt:variant>
      <vt:variant>
        <vt:i4>1441840</vt:i4>
      </vt:variant>
      <vt:variant>
        <vt:i4>284</vt:i4>
      </vt:variant>
      <vt:variant>
        <vt:i4>0</vt:i4>
      </vt:variant>
      <vt:variant>
        <vt:i4>5</vt:i4>
      </vt:variant>
      <vt:variant>
        <vt:lpwstr/>
      </vt:variant>
      <vt:variant>
        <vt:lpwstr>_Toc503716705</vt:lpwstr>
      </vt:variant>
      <vt:variant>
        <vt:i4>1441840</vt:i4>
      </vt:variant>
      <vt:variant>
        <vt:i4>278</vt:i4>
      </vt:variant>
      <vt:variant>
        <vt:i4>0</vt:i4>
      </vt:variant>
      <vt:variant>
        <vt:i4>5</vt:i4>
      </vt:variant>
      <vt:variant>
        <vt:lpwstr/>
      </vt:variant>
      <vt:variant>
        <vt:lpwstr>_Toc503716704</vt:lpwstr>
      </vt:variant>
      <vt:variant>
        <vt:i4>1441840</vt:i4>
      </vt:variant>
      <vt:variant>
        <vt:i4>272</vt:i4>
      </vt:variant>
      <vt:variant>
        <vt:i4>0</vt:i4>
      </vt:variant>
      <vt:variant>
        <vt:i4>5</vt:i4>
      </vt:variant>
      <vt:variant>
        <vt:lpwstr/>
      </vt:variant>
      <vt:variant>
        <vt:lpwstr>_Toc503716703</vt:lpwstr>
      </vt:variant>
      <vt:variant>
        <vt:i4>1441840</vt:i4>
      </vt:variant>
      <vt:variant>
        <vt:i4>266</vt:i4>
      </vt:variant>
      <vt:variant>
        <vt:i4>0</vt:i4>
      </vt:variant>
      <vt:variant>
        <vt:i4>5</vt:i4>
      </vt:variant>
      <vt:variant>
        <vt:lpwstr/>
      </vt:variant>
      <vt:variant>
        <vt:lpwstr>_Toc503716702</vt:lpwstr>
      </vt:variant>
      <vt:variant>
        <vt:i4>1441840</vt:i4>
      </vt:variant>
      <vt:variant>
        <vt:i4>260</vt:i4>
      </vt:variant>
      <vt:variant>
        <vt:i4>0</vt:i4>
      </vt:variant>
      <vt:variant>
        <vt:i4>5</vt:i4>
      </vt:variant>
      <vt:variant>
        <vt:lpwstr/>
      </vt:variant>
      <vt:variant>
        <vt:lpwstr>_Toc503716701</vt:lpwstr>
      </vt:variant>
      <vt:variant>
        <vt:i4>1441840</vt:i4>
      </vt:variant>
      <vt:variant>
        <vt:i4>254</vt:i4>
      </vt:variant>
      <vt:variant>
        <vt:i4>0</vt:i4>
      </vt:variant>
      <vt:variant>
        <vt:i4>5</vt:i4>
      </vt:variant>
      <vt:variant>
        <vt:lpwstr/>
      </vt:variant>
      <vt:variant>
        <vt:lpwstr>_Toc503716700</vt:lpwstr>
      </vt:variant>
      <vt:variant>
        <vt:i4>2031665</vt:i4>
      </vt:variant>
      <vt:variant>
        <vt:i4>248</vt:i4>
      </vt:variant>
      <vt:variant>
        <vt:i4>0</vt:i4>
      </vt:variant>
      <vt:variant>
        <vt:i4>5</vt:i4>
      </vt:variant>
      <vt:variant>
        <vt:lpwstr/>
      </vt:variant>
      <vt:variant>
        <vt:lpwstr>_Toc503716699</vt:lpwstr>
      </vt:variant>
      <vt:variant>
        <vt:i4>2031665</vt:i4>
      </vt:variant>
      <vt:variant>
        <vt:i4>242</vt:i4>
      </vt:variant>
      <vt:variant>
        <vt:i4>0</vt:i4>
      </vt:variant>
      <vt:variant>
        <vt:i4>5</vt:i4>
      </vt:variant>
      <vt:variant>
        <vt:lpwstr/>
      </vt:variant>
      <vt:variant>
        <vt:lpwstr>_Toc503716698</vt:lpwstr>
      </vt:variant>
      <vt:variant>
        <vt:i4>2031665</vt:i4>
      </vt:variant>
      <vt:variant>
        <vt:i4>236</vt:i4>
      </vt:variant>
      <vt:variant>
        <vt:i4>0</vt:i4>
      </vt:variant>
      <vt:variant>
        <vt:i4>5</vt:i4>
      </vt:variant>
      <vt:variant>
        <vt:lpwstr/>
      </vt:variant>
      <vt:variant>
        <vt:lpwstr>_Toc503716697</vt:lpwstr>
      </vt:variant>
      <vt:variant>
        <vt:i4>2031665</vt:i4>
      </vt:variant>
      <vt:variant>
        <vt:i4>230</vt:i4>
      </vt:variant>
      <vt:variant>
        <vt:i4>0</vt:i4>
      </vt:variant>
      <vt:variant>
        <vt:i4>5</vt:i4>
      </vt:variant>
      <vt:variant>
        <vt:lpwstr/>
      </vt:variant>
      <vt:variant>
        <vt:lpwstr>_Toc503716696</vt:lpwstr>
      </vt:variant>
      <vt:variant>
        <vt:i4>2031665</vt:i4>
      </vt:variant>
      <vt:variant>
        <vt:i4>224</vt:i4>
      </vt:variant>
      <vt:variant>
        <vt:i4>0</vt:i4>
      </vt:variant>
      <vt:variant>
        <vt:i4>5</vt:i4>
      </vt:variant>
      <vt:variant>
        <vt:lpwstr/>
      </vt:variant>
      <vt:variant>
        <vt:lpwstr>_Toc503716695</vt:lpwstr>
      </vt:variant>
      <vt:variant>
        <vt:i4>2031665</vt:i4>
      </vt:variant>
      <vt:variant>
        <vt:i4>218</vt:i4>
      </vt:variant>
      <vt:variant>
        <vt:i4>0</vt:i4>
      </vt:variant>
      <vt:variant>
        <vt:i4>5</vt:i4>
      </vt:variant>
      <vt:variant>
        <vt:lpwstr/>
      </vt:variant>
      <vt:variant>
        <vt:lpwstr>_Toc503716694</vt:lpwstr>
      </vt:variant>
      <vt:variant>
        <vt:i4>2031665</vt:i4>
      </vt:variant>
      <vt:variant>
        <vt:i4>212</vt:i4>
      </vt:variant>
      <vt:variant>
        <vt:i4>0</vt:i4>
      </vt:variant>
      <vt:variant>
        <vt:i4>5</vt:i4>
      </vt:variant>
      <vt:variant>
        <vt:lpwstr/>
      </vt:variant>
      <vt:variant>
        <vt:lpwstr>_Toc503716693</vt:lpwstr>
      </vt:variant>
      <vt:variant>
        <vt:i4>2031665</vt:i4>
      </vt:variant>
      <vt:variant>
        <vt:i4>206</vt:i4>
      </vt:variant>
      <vt:variant>
        <vt:i4>0</vt:i4>
      </vt:variant>
      <vt:variant>
        <vt:i4>5</vt:i4>
      </vt:variant>
      <vt:variant>
        <vt:lpwstr/>
      </vt:variant>
      <vt:variant>
        <vt:lpwstr>_Toc503716692</vt:lpwstr>
      </vt:variant>
      <vt:variant>
        <vt:i4>2031665</vt:i4>
      </vt:variant>
      <vt:variant>
        <vt:i4>200</vt:i4>
      </vt:variant>
      <vt:variant>
        <vt:i4>0</vt:i4>
      </vt:variant>
      <vt:variant>
        <vt:i4>5</vt:i4>
      </vt:variant>
      <vt:variant>
        <vt:lpwstr/>
      </vt:variant>
      <vt:variant>
        <vt:lpwstr>_Toc503716691</vt:lpwstr>
      </vt:variant>
      <vt:variant>
        <vt:i4>2031665</vt:i4>
      </vt:variant>
      <vt:variant>
        <vt:i4>194</vt:i4>
      </vt:variant>
      <vt:variant>
        <vt:i4>0</vt:i4>
      </vt:variant>
      <vt:variant>
        <vt:i4>5</vt:i4>
      </vt:variant>
      <vt:variant>
        <vt:lpwstr/>
      </vt:variant>
      <vt:variant>
        <vt:lpwstr>_Toc503716690</vt:lpwstr>
      </vt:variant>
      <vt:variant>
        <vt:i4>1966129</vt:i4>
      </vt:variant>
      <vt:variant>
        <vt:i4>188</vt:i4>
      </vt:variant>
      <vt:variant>
        <vt:i4>0</vt:i4>
      </vt:variant>
      <vt:variant>
        <vt:i4>5</vt:i4>
      </vt:variant>
      <vt:variant>
        <vt:lpwstr/>
      </vt:variant>
      <vt:variant>
        <vt:lpwstr>_Toc503716689</vt:lpwstr>
      </vt:variant>
      <vt:variant>
        <vt:i4>1966129</vt:i4>
      </vt:variant>
      <vt:variant>
        <vt:i4>182</vt:i4>
      </vt:variant>
      <vt:variant>
        <vt:i4>0</vt:i4>
      </vt:variant>
      <vt:variant>
        <vt:i4>5</vt:i4>
      </vt:variant>
      <vt:variant>
        <vt:lpwstr/>
      </vt:variant>
      <vt:variant>
        <vt:lpwstr>_Toc503716688</vt:lpwstr>
      </vt:variant>
      <vt:variant>
        <vt:i4>1966129</vt:i4>
      </vt:variant>
      <vt:variant>
        <vt:i4>176</vt:i4>
      </vt:variant>
      <vt:variant>
        <vt:i4>0</vt:i4>
      </vt:variant>
      <vt:variant>
        <vt:i4>5</vt:i4>
      </vt:variant>
      <vt:variant>
        <vt:lpwstr/>
      </vt:variant>
      <vt:variant>
        <vt:lpwstr>_Toc503716687</vt:lpwstr>
      </vt:variant>
      <vt:variant>
        <vt:i4>1966129</vt:i4>
      </vt:variant>
      <vt:variant>
        <vt:i4>170</vt:i4>
      </vt:variant>
      <vt:variant>
        <vt:i4>0</vt:i4>
      </vt:variant>
      <vt:variant>
        <vt:i4>5</vt:i4>
      </vt:variant>
      <vt:variant>
        <vt:lpwstr/>
      </vt:variant>
      <vt:variant>
        <vt:lpwstr>_Toc503716686</vt:lpwstr>
      </vt:variant>
      <vt:variant>
        <vt:i4>1966129</vt:i4>
      </vt:variant>
      <vt:variant>
        <vt:i4>164</vt:i4>
      </vt:variant>
      <vt:variant>
        <vt:i4>0</vt:i4>
      </vt:variant>
      <vt:variant>
        <vt:i4>5</vt:i4>
      </vt:variant>
      <vt:variant>
        <vt:lpwstr/>
      </vt:variant>
      <vt:variant>
        <vt:lpwstr>_Toc503716685</vt:lpwstr>
      </vt:variant>
      <vt:variant>
        <vt:i4>1966129</vt:i4>
      </vt:variant>
      <vt:variant>
        <vt:i4>158</vt:i4>
      </vt:variant>
      <vt:variant>
        <vt:i4>0</vt:i4>
      </vt:variant>
      <vt:variant>
        <vt:i4>5</vt:i4>
      </vt:variant>
      <vt:variant>
        <vt:lpwstr/>
      </vt:variant>
      <vt:variant>
        <vt:lpwstr>_Toc503716684</vt:lpwstr>
      </vt:variant>
      <vt:variant>
        <vt:i4>1966129</vt:i4>
      </vt:variant>
      <vt:variant>
        <vt:i4>152</vt:i4>
      </vt:variant>
      <vt:variant>
        <vt:i4>0</vt:i4>
      </vt:variant>
      <vt:variant>
        <vt:i4>5</vt:i4>
      </vt:variant>
      <vt:variant>
        <vt:lpwstr/>
      </vt:variant>
      <vt:variant>
        <vt:lpwstr>_Toc503716683</vt:lpwstr>
      </vt:variant>
      <vt:variant>
        <vt:i4>1966129</vt:i4>
      </vt:variant>
      <vt:variant>
        <vt:i4>146</vt:i4>
      </vt:variant>
      <vt:variant>
        <vt:i4>0</vt:i4>
      </vt:variant>
      <vt:variant>
        <vt:i4>5</vt:i4>
      </vt:variant>
      <vt:variant>
        <vt:lpwstr/>
      </vt:variant>
      <vt:variant>
        <vt:lpwstr>_Toc503716682</vt:lpwstr>
      </vt:variant>
      <vt:variant>
        <vt:i4>1966129</vt:i4>
      </vt:variant>
      <vt:variant>
        <vt:i4>140</vt:i4>
      </vt:variant>
      <vt:variant>
        <vt:i4>0</vt:i4>
      </vt:variant>
      <vt:variant>
        <vt:i4>5</vt:i4>
      </vt:variant>
      <vt:variant>
        <vt:lpwstr/>
      </vt:variant>
      <vt:variant>
        <vt:lpwstr>_Toc503716681</vt:lpwstr>
      </vt:variant>
      <vt:variant>
        <vt:i4>1966129</vt:i4>
      </vt:variant>
      <vt:variant>
        <vt:i4>134</vt:i4>
      </vt:variant>
      <vt:variant>
        <vt:i4>0</vt:i4>
      </vt:variant>
      <vt:variant>
        <vt:i4>5</vt:i4>
      </vt:variant>
      <vt:variant>
        <vt:lpwstr/>
      </vt:variant>
      <vt:variant>
        <vt:lpwstr>_Toc503716680</vt:lpwstr>
      </vt:variant>
      <vt:variant>
        <vt:i4>1114161</vt:i4>
      </vt:variant>
      <vt:variant>
        <vt:i4>128</vt:i4>
      </vt:variant>
      <vt:variant>
        <vt:i4>0</vt:i4>
      </vt:variant>
      <vt:variant>
        <vt:i4>5</vt:i4>
      </vt:variant>
      <vt:variant>
        <vt:lpwstr/>
      </vt:variant>
      <vt:variant>
        <vt:lpwstr>_Toc503716679</vt:lpwstr>
      </vt:variant>
      <vt:variant>
        <vt:i4>1114161</vt:i4>
      </vt:variant>
      <vt:variant>
        <vt:i4>122</vt:i4>
      </vt:variant>
      <vt:variant>
        <vt:i4>0</vt:i4>
      </vt:variant>
      <vt:variant>
        <vt:i4>5</vt:i4>
      </vt:variant>
      <vt:variant>
        <vt:lpwstr/>
      </vt:variant>
      <vt:variant>
        <vt:lpwstr>_Toc503716678</vt:lpwstr>
      </vt:variant>
      <vt:variant>
        <vt:i4>1114161</vt:i4>
      </vt:variant>
      <vt:variant>
        <vt:i4>116</vt:i4>
      </vt:variant>
      <vt:variant>
        <vt:i4>0</vt:i4>
      </vt:variant>
      <vt:variant>
        <vt:i4>5</vt:i4>
      </vt:variant>
      <vt:variant>
        <vt:lpwstr/>
      </vt:variant>
      <vt:variant>
        <vt:lpwstr>_Toc503716677</vt:lpwstr>
      </vt:variant>
      <vt:variant>
        <vt:i4>1114161</vt:i4>
      </vt:variant>
      <vt:variant>
        <vt:i4>110</vt:i4>
      </vt:variant>
      <vt:variant>
        <vt:i4>0</vt:i4>
      </vt:variant>
      <vt:variant>
        <vt:i4>5</vt:i4>
      </vt:variant>
      <vt:variant>
        <vt:lpwstr/>
      </vt:variant>
      <vt:variant>
        <vt:lpwstr>_Toc503716676</vt:lpwstr>
      </vt:variant>
      <vt:variant>
        <vt:i4>1114161</vt:i4>
      </vt:variant>
      <vt:variant>
        <vt:i4>104</vt:i4>
      </vt:variant>
      <vt:variant>
        <vt:i4>0</vt:i4>
      </vt:variant>
      <vt:variant>
        <vt:i4>5</vt:i4>
      </vt:variant>
      <vt:variant>
        <vt:lpwstr/>
      </vt:variant>
      <vt:variant>
        <vt:lpwstr>_Toc503716675</vt:lpwstr>
      </vt:variant>
      <vt:variant>
        <vt:i4>1114161</vt:i4>
      </vt:variant>
      <vt:variant>
        <vt:i4>98</vt:i4>
      </vt:variant>
      <vt:variant>
        <vt:i4>0</vt:i4>
      </vt:variant>
      <vt:variant>
        <vt:i4>5</vt:i4>
      </vt:variant>
      <vt:variant>
        <vt:lpwstr/>
      </vt:variant>
      <vt:variant>
        <vt:lpwstr>_Toc503716674</vt:lpwstr>
      </vt:variant>
      <vt:variant>
        <vt:i4>1114161</vt:i4>
      </vt:variant>
      <vt:variant>
        <vt:i4>92</vt:i4>
      </vt:variant>
      <vt:variant>
        <vt:i4>0</vt:i4>
      </vt:variant>
      <vt:variant>
        <vt:i4>5</vt:i4>
      </vt:variant>
      <vt:variant>
        <vt:lpwstr/>
      </vt:variant>
      <vt:variant>
        <vt:lpwstr>_Toc503716673</vt:lpwstr>
      </vt:variant>
      <vt:variant>
        <vt:i4>1114161</vt:i4>
      </vt:variant>
      <vt:variant>
        <vt:i4>86</vt:i4>
      </vt:variant>
      <vt:variant>
        <vt:i4>0</vt:i4>
      </vt:variant>
      <vt:variant>
        <vt:i4>5</vt:i4>
      </vt:variant>
      <vt:variant>
        <vt:lpwstr/>
      </vt:variant>
      <vt:variant>
        <vt:lpwstr>_Toc503716672</vt:lpwstr>
      </vt:variant>
      <vt:variant>
        <vt:i4>1114161</vt:i4>
      </vt:variant>
      <vt:variant>
        <vt:i4>80</vt:i4>
      </vt:variant>
      <vt:variant>
        <vt:i4>0</vt:i4>
      </vt:variant>
      <vt:variant>
        <vt:i4>5</vt:i4>
      </vt:variant>
      <vt:variant>
        <vt:lpwstr/>
      </vt:variant>
      <vt:variant>
        <vt:lpwstr>_Toc503716671</vt:lpwstr>
      </vt:variant>
      <vt:variant>
        <vt:i4>1114161</vt:i4>
      </vt:variant>
      <vt:variant>
        <vt:i4>74</vt:i4>
      </vt:variant>
      <vt:variant>
        <vt:i4>0</vt:i4>
      </vt:variant>
      <vt:variant>
        <vt:i4>5</vt:i4>
      </vt:variant>
      <vt:variant>
        <vt:lpwstr/>
      </vt:variant>
      <vt:variant>
        <vt:lpwstr>_Toc503716670</vt:lpwstr>
      </vt:variant>
      <vt:variant>
        <vt:i4>1048625</vt:i4>
      </vt:variant>
      <vt:variant>
        <vt:i4>68</vt:i4>
      </vt:variant>
      <vt:variant>
        <vt:i4>0</vt:i4>
      </vt:variant>
      <vt:variant>
        <vt:i4>5</vt:i4>
      </vt:variant>
      <vt:variant>
        <vt:lpwstr/>
      </vt:variant>
      <vt:variant>
        <vt:lpwstr>_Toc503716669</vt:lpwstr>
      </vt:variant>
      <vt:variant>
        <vt:i4>1048625</vt:i4>
      </vt:variant>
      <vt:variant>
        <vt:i4>62</vt:i4>
      </vt:variant>
      <vt:variant>
        <vt:i4>0</vt:i4>
      </vt:variant>
      <vt:variant>
        <vt:i4>5</vt:i4>
      </vt:variant>
      <vt:variant>
        <vt:lpwstr/>
      </vt:variant>
      <vt:variant>
        <vt:lpwstr>_Toc503716668</vt:lpwstr>
      </vt:variant>
      <vt:variant>
        <vt:i4>1048625</vt:i4>
      </vt:variant>
      <vt:variant>
        <vt:i4>56</vt:i4>
      </vt:variant>
      <vt:variant>
        <vt:i4>0</vt:i4>
      </vt:variant>
      <vt:variant>
        <vt:i4>5</vt:i4>
      </vt:variant>
      <vt:variant>
        <vt:lpwstr/>
      </vt:variant>
      <vt:variant>
        <vt:lpwstr>_Toc503716667</vt:lpwstr>
      </vt:variant>
      <vt:variant>
        <vt:i4>1048625</vt:i4>
      </vt:variant>
      <vt:variant>
        <vt:i4>50</vt:i4>
      </vt:variant>
      <vt:variant>
        <vt:i4>0</vt:i4>
      </vt:variant>
      <vt:variant>
        <vt:i4>5</vt:i4>
      </vt:variant>
      <vt:variant>
        <vt:lpwstr/>
      </vt:variant>
      <vt:variant>
        <vt:lpwstr>_Toc503716666</vt:lpwstr>
      </vt:variant>
      <vt:variant>
        <vt:i4>1048625</vt:i4>
      </vt:variant>
      <vt:variant>
        <vt:i4>44</vt:i4>
      </vt:variant>
      <vt:variant>
        <vt:i4>0</vt:i4>
      </vt:variant>
      <vt:variant>
        <vt:i4>5</vt:i4>
      </vt:variant>
      <vt:variant>
        <vt:lpwstr/>
      </vt:variant>
      <vt:variant>
        <vt:lpwstr>_Toc503716665</vt:lpwstr>
      </vt:variant>
      <vt:variant>
        <vt:i4>1048625</vt:i4>
      </vt:variant>
      <vt:variant>
        <vt:i4>38</vt:i4>
      </vt:variant>
      <vt:variant>
        <vt:i4>0</vt:i4>
      </vt:variant>
      <vt:variant>
        <vt:i4>5</vt:i4>
      </vt:variant>
      <vt:variant>
        <vt:lpwstr/>
      </vt:variant>
      <vt:variant>
        <vt:lpwstr>_Toc503716664</vt:lpwstr>
      </vt:variant>
      <vt:variant>
        <vt:i4>1048625</vt:i4>
      </vt:variant>
      <vt:variant>
        <vt:i4>32</vt:i4>
      </vt:variant>
      <vt:variant>
        <vt:i4>0</vt:i4>
      </vt:variant>
      <vt:variant>
        <vt:i4>5</vt:i4>
      </vt:variant>
      <vt:variant>
        <vt:lpwstr/>
      </vt:variant>
      <vt:variant>
        <vt:lpwstr>_Toc503716663</vt:lpwstr>
      </vt:variant>
      <vt:variant>
        <vt:i4>1048625</vt:i4>
      </vt:variant>
      <vt:variant>
        <vt:i4>26</vt:i4>
      </vt:variant>
      <vt:variant>
        <vt:i4>0</vt:i4>
      </vt:variant>
      <vt:variant>
        <vt:i4>5</vt:i4>
      </vt:variant>
      <vt:variant>
        <vt:lpwstr/>
      </vt:variant>
      <vt:variant>
        <vt:lpwstr>_Toc503716662</vt:lpwstr>
      </vt:variant>
      <vt:variant>
        <vt:i4>1048625</vt:i4>
      </vt:variant>
      <vt:variant>
        <vt:i4>20</vt:i4>
      </vt:variant>
      <vt:variant>
        <vt:i4>0</vt:i4>
      </vt:variant>
      <vt:variant>
        <vt:i4>5</vt:i4>
      </vt:variant>
      <vt:variant>
        <vt:lpwstr/>
      </vt:variant>
      <vt:variant>
        <vt:lpwstr>_Toc503716661</vt:lpwstr>
      </vt:variant>
      <vt:variant>
        <vt:i4>1048625</vt:i4>
      </vt:variant>
      <vt:variant>
        <vt:i4>14</vt:i4>
      </vt:variant>
      <vt:variant>
        <vt:i4>0</vt:i4>
      </vt:variant>
      <vt:variant>
        <vt:i4>5</vt:i4>
      </vt:variant>
      <vt:variant>
        <vt:lpwstr/>
      </vt:variant>
      <vt:variant>
        <vt:lpwstr>_Toc503716660</vt:lpwstr>
      </vt:variant>
      <vt:variant>
        <vt:i4>1245233</vt:i4>
      </vt:variant>
      <vt:variant>
        <vt:i4>8</vt:i4>
      </vt:variant>
      <vt:variant>
        <vt:i4>0</vt:i4>
      </vt:variant>
      <vt:variant>
        <vt:i4>5</vt:i4>
      </vt:variant>
      <vt:variant>
        <vt:lpwstr/>
      </vt:variant>
      <vt:variant>
        <vt:lpwstr>_Toc503716659</vt:lpwstr>
      </vt:variant>
      <vt:variant>
        <vt:i4>1245233</vt:i4>
      </vt:variant>
      <vt:variant>
        <vt:i4>2</vt:i4>
      </vt:variant>
      <vt:variant>
        <vt:i4>0</vt:i4>
      </vt:variant>
      <vt:variant>
        <vt:i4>5</vt:i4>
      </vt:variant>
      <vt:variant>
        <vt:lpwstr/>
      </vt:variant>
      <vt:variant>
        <vt:lpwstr>_Toc503716658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Macková Želmíra</dc:creator>
  <cp:lastModifiedBy>Macková Želmíra</cp:lastModifiedBy>
  <cp:revision>33</cp:revision>
  <cp:lastPrinted>2018-04-16T13:31:00Z</cp:lastPrinted>
  <dcterms:created xsi:type="dcterms:W3CDTF">2018-02-06T11:57:00Z</dcterms:created>
  <dcterms:modified xsi:type="dcterms:W3CDTF">2018-04-16T13:32:00Z</dcterms:modified>
</cp:coreProperties>
</file>