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3.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charts/chart6.xml" ContentType="application/vnd.openxmlformats-officedocument.drawingml.chart+xml"/>
  <Override PartName="/word/drawings/drawing4.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drawings/drawing5.xml" ContentType="application/vnd.openxmlformats-officedocument.drawingml.chartshapes+xml"/>
  <Override PartName="/word/footer6.xml" ContentType="application/vnd.openxmlformats-officedocument.wordprocessingml.footer+xml"/>
  <Override PartName="/word/footer7.xml" ContentType="application/vnd.openxmlformats-officedocument.wordprocessingml.footer+xml"/>
  <Override PartName="/word/charts/chart9.xml" ContentType="application/vnd.openxmlformats-officedocument.drawingml.chart+xml"/>
  <Override PartName="/word/theme/themeOverride1.xml" ContentType="application/vnd.openxmlformats-officedocument.themeOverride+xml"/>
  <Override PartName="/word/drawings/drawing6.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drawings/drawing7.xml" ContentType="application/vnd.openxmlformats-officedocument.drawingml.chartshapes+xml"/>
  <Override PartName="/word/footer8.xml" ContentType="application/vnd.openxmlformats-officedocument.wordprocessingml.footer+xml"/>
  <Override PartName="/word/footer9.xml" ContentType="application/vnd.openxmlformats-officedocument.wordprocessingml.footer+xml"/>
  <Override PartName="/word/charts/chart12.xml" ContentType="application/vnd.openxmlformats-officedocument.drawingml.chart+xml"/>
  <Override PartName="/word/drawings/drawing8.xml" ContentType="application/vnd.openxmlformats-officedocument.drawingml.chartshapes+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577819" w14:textId="77777777" w:rsidR="001E7952" w:rsidRPr="00C62639" w:rsidRDefault="005F37F5" w:rsidP="001E7952">
      <w:pPr>
        <w:jc w:val="center"/>
        <w:rPr>
          <w:rFonts w:asciiTheme="minorHAnsi" w:hAnsiTheme="minorHAnsi" w:cs="Arial"/>
          <w:b/>
          <w:u w:val="single"/>
        </w:rPr>
      </w:pPr>
      <w:r>
        <w:rPr>
          <w:rFonts w:asciiTheme="minorHAnsi" w:hAnsiTheme="minorHAnsi"/>
          <w:noProof/>
          <w:lang w:eastAsia="cs-CZ"/>
        </w:rPr>
        <mc:AlternateContent>
          <mc:Choice Requires="wpg">
            <w:drawing>
              <wp:anchor distT="0" distB="0" distL="114300" distR="114300" simplePos="0" relativeHeight="251667456" behindDoc="1" locked="0" layoutInCell="1" allowOverlap="1" wp14:anchorId="64FFA1E8" wp14:editId="3DF32157">
                <wp:simplePos x="0" y="0"/>
                <wp:positionH relativeFrom="column">
                  <wp:posOffset>-271145</wp:posOffset>
                </wp:positionH>
                <wp:positionV relativeFrom="paragraph">
                  <wp:posOffset>-805815</wp:posOffset>
                </wp:positionV>
                <wp:extent cx="2598420" cy="1504950"/>
                <wp:effectExtent l="0" t="0" r="0" b="0"/>
                <wp:wrapNone/>
                <wp:docPr id="14"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8420" cy="1504950"/>
                          <a:chOff x="670" y="89"/>
                          <a:chExt cx="4092" cy="2370"/>
                        </a:xfrm>
                      </wpg:grpSpPr>
                      <pic:pic xmlns:pic="http://schemas.openxmlformats.org/drawingml/2006/picture">
                        <pic:nvPicPr>
                          <pic:cNvPr id="17" name="Picture 3"/>
                          <pic:cNvPicPr>
                            <a:picLocks noChangeAspect="1" noChangeArrowheads="1"/>
                          </pic:cNvPicPr>
                        </pic:nvPicPr>
                        <pic:blipFill>
                          <a:blip r:embed="rId8" cstate="print">
                            <a:lum contrast="6000"/>
                            <a:extLst>
                              <a:ext uri="{28A0092B-C50C-407E-A947-70E740481C1C}">
                                <a14:useLocalDpi xmlns:a14="http://schemas.microsoft.com/office/drawing/2010/main" val="0"/>
                              </a:ext>
                            </a:extLst>
                          </a:blip>
                          <a:srcRect/>
                          <a:stretch>
                            <a:fillRect/>
                          </a:stretch>
                        </pic:blipFill>
                        <pic:spPr bwMode="auto">
                          <a:xfrm>
                            <a:off x="670" y="89"/>
                            <a:ext cx="4092" cy="2370"/>
                          </a:xfrm>
                          <a:prstGeom prst="rect">
                            <a:avLst/>
                          </a:prstGeom>
                          <a:noFill/>
                          <a:extLst>
                            <a:ext uri="{909E8E84-426E-40DD-AFC4-6F175D3DCCD1}">
                              <a14:hiddenFill xmlns:a14="http://schemas.microsoft.com/office/drawing/2010/main">
                                <a:solidFill>
                                  <a:srgbClr val="FFFFFF"/>
                                </a:solidFill>
                              </a14:hiddenFill>
                            </a:ext>
                          </a:extLst>
                        </pic:spPr>
                      </pic:pic>
                      <wps:wsp>
                        <wps:cNvPr id="18" name="Rectangle 4"/>
                        <wps:cNvSpPr>
                          <a:spLocks noChangeArrowheads="1"/>
                        </wps:cNvSpPr>
                        <wps:spPr bwMode="auto">
                          <a:xfrm>
                            <a:off x="1785" y="1811"/>
                            <a:ext cx="1626" cy="408"/>
                          </a:xfrm>
                          <a:prstGeom prst="rect">
                            <a:avLst/>
                          </a:prstGeom>
                          <a:solidFill>
                            <a:srgbClr val="FFFFFF"/>
                          </a:solidFill>
                          <a:ln>
                            <a:noFill/>
                          </a:ln>
                          <a:extLst>
                            <a:ext uri="{91240B29-F687-4F45-9708-019B960494DF}">
                              <a14:hiddenLine xmlns:a14="http://schemas.microsoft.com/office/drawing/2010/main" w="0">
                                <a:solidFill>
                                  <a:srgbClr val="333333"/>
                                </a:solidFill>
                                <a:miter lim="800000"/>
                                <a:headEnd/>
                                <a:tailEnd/>
                              </a14:hiddenLine>
                            </a:ext>
                          </a:extLst>
                        </wps:spPr>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9DB3E" id="Skupina 2" o:spid="_x0000_s1026" style="position:absolute;margin-left:-21.35pt;margin-top:-63.45pt;width:204.6pt;height:118.5pt;z-index:-251646976" coordorigin="670,89" coordsize="4092,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&#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70;top:89;width:4092;height:2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aYvPCAAAA2wAAAA8AAABkcnMvZG93bnJldi54bWxET99rwjAQfh/4P4QT9jZTfdBRjaLCQGGM&#10;rRP08WjOtthcsiS23X+/DAZ7u4/v5602g2lFRz40lhVMJxkI4tLqhisFp8+Xp2cQISJrbC2Tgm8K&#10;sFmPHlaYa9vzB3VFrEQK4ZCjgjpGl0sZypoMhol1xIm7Wm8wJugrqT32Kdy0cpZlc2mw4dRQo6N9&#10;TeWtuBsF74eFK85vW9e9Xi76y/e7Y0mDUo/jYbsEEWmI/+I/90Gn+Qv4/SUdIN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GmLzwgAAANsAAAAPAAAAAAAAAAAAAAAAAJ8C&#10;AABkcnMvZG93bnJldi54bWxQSwUGAAAAAAQABAD3AAAAjgMAAAAA&#10;">
                  <v:imagedata r:id="rId9" o:title="" gain="69719f"/>
                </v:shape>
                <v:rect id="Rectangle 4" o:spid="_x0000_s1028" style="position:absolute;left:1785;top:1811;width:1626;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PQc8QA&#10;AADbAAAADwAAAGRycy9kb3ducmV2LnhtbESPQWvCQBCF7wX/wzJCb3VTQSnRVaSituClafE83Z0m&#10;wexszK4m/ffOodDbDO/Ne98s14Nv1I26WAc28DzJQBHb4GouDXx97p5eQMWE7LAJTAZ+KcJ6NXpY&#10;Yu5Czx90K1KpJIRjjgaqlNpc62gr8hgnoSUW7Sd0HpOsXaldh72E+0ZPs2yuPdYsDRW29FqRPRdX&#10;b+B4ebdxZrP+nLbXw0EfT9/FZm/M43jYLEAlGtK/+e/6zQm+wMovMoB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0HPEAAAA2wAAAA8AAAAAAAAAAAAAAAAAmAIAAGRycy9k&#10;b3ducmV2LnhtbFBLBQYAAAAABAAEAPUAAACJAwAAAAA=&#10;" stroked="f" strokecolor="#333" strokeweight="0">
                  <v:textbox inset="0,0"/>
                </v:rect>
              </v:group>
            </w:pict>
          </mc:Fallback>
        </mc:AlternateContent>
      </w:r>
    </w:p>
    <w:p w14:paraId="08A75078" w14:textId="77777777" w:rsidR="001E7952" w:rsidRPr="00C62639" w:rsidRDefault="001E7952" w:rsidP="001E7952">
      <w:pPr>
        <w:jc w:val="center"/>
        <w:rPr>
          <w:rFonts w:asciiTheme="minorHAnsi" w:hAnsiTheme="minorHAnsi" w:cs="Arial"/>
          <w:b/>
        </w:rPr>
      </w:pPr>
    </w:p>
    <w:p w14:paraId="15C6C8F7" w14:textId="77777777" w:rsidR="001E7952" w:rsidRPr="00C62639" w:rsidRDefault="001E7952" w:rsidP="001E7952">
      <w:pPr>
        <w:jc w:val="center"/>
        <w:rPr>
          <w:rFonts w:asciiTheme="minorHAnsi" w:hAnsiTheme="minorHAnsi" w:cs="Arial"/>
          <w:b/>
        </w:rPr>
      </w:pPr>
    </w:p>
    <w:p w14:paraId="06185625" w14:textId="7D97C67D" w:rsidR="001E7952" w:rsidRPr="00C62639" w:rsidRDefault="001E7952" w:rsidP="001E7952">
      <w:pPr>
        <w:rPr>
          <w:rFonts w:asciiTheme="minorHAnsi" w:hAnsiTheme="minorHAnsi" w:cs="Arial"/>
          <w:b/>
        </w:rPr>
      </w:pPr>
      <w:r w:rsidRPr="00C62639">
        <w:rPr>
          <w:rFonts w:asciiTheme="minorHAnsi" w:hAnsiTheme="minorHAnsi" w:cs="Arial"/>
          <w:b/>
        </w:rPr>
        <w:t xml:space="preserve">Odbor </w:t>
      </w:r>
      <w:r w:rsidR="00867331">
        <w:rPr>
          <w:rFonts w:asciiTheme="minorHAnsi" w:hAnsiTheme="minorHAnsi" w:cs="Arial"/>
          <w:b/>
        </w:rPr>
        <w:t>hlavního regulátora a vrchního dohledu sektoru VaK</w:t>
      </w:r>
      <w:r w:rsidRPr="00C62639">
        <w:rPr>
          <w:rFonts w:asciiTheme="minorHAnsi" w:hAnsiTheme="minorHAnsi" w:cs="Arial"/>
          <w:b/>
        </w:rPr>
        <w:t>,</w:t>
      </w:r>
    </w:p>
    <w:p w14:paraId="6EAD7592" w14:textId="77777777" w:rsidR="001E7952" w:rsidRPr="00C62639" w:rsidRDefault="001E7952" w:rsidP="001E7952">
      <w:pPr>
        <w:rPr>
          <w:rFonts w:asciiTheme="minorHAnsi" w:hAnsiTheme="minorHAnsi" w:cs="Arial"/>
          <w:b/>
        </w:rPr>
      </w:pPr>
      <w:r w:rsidRPr="00C62639">
        <w:rPr>
          <w:rFonts w:asciiTheme="minorHAnsi" w:hAnsiTheme="minorHAnsi" w:cs="Arial"/>
          <w:b/>
        </w:rPr>
        <w:t>oddělení analytické a benchmarkingu</w:t>
      </w:r>
    </w:p>
    <w:p w14:paraId="0F8461B8" w14:textId="77777777" w:rsidR="001E7952" w:rsidRPr="00C62639" w:rsidRDefault="001E7952" w:rsidP="001E7952">
      <w:pPr>
        <w:jc w:val="center"/>
        <w:rPr>
          <w:rFonts w:asciiTheme="minorHAnsi" w:hAnsiTheme="minorHAnsi" w:cs="Arial"/>
          <w:b/>
        </w:rPr>
      </w:pPr>
    </w:p>
    <w:p w14:paraId="64A59719" w14:textId="77777777" w:rsidR="001E7952" w:rsidRPr="00C62639" w:rsidRDefault="001E7952" w:rsidP="001E7952">
      <w:pPr>
        <w:jc w:val="center"/>
        <w:rPr>
          <w:rFonts w:asciiTheme="minorHAnsi" w:hAnsiTheme="minorHAnsi" w:cs="Arial"/>
          <w:b/>
        </w:rPr>
      </w:pPr>
    </w:p>
    <w:p w14:paraId="3FA29052" w14:textId="77777777" w:rsidR="001E7952" w:rsidRPr="00C62639" w:rsidRDefault="001E7952" w:rsidP="001E7952">
      <w:pPr>
        <w:jc w:val="center"/>
        <w:rPr>
          <w:rFonts w:asciiTheme="minorHAnsi" w:hAnsiTheme="minorHAnsi" w:cs="Arial"/>
          <w:b/>
        </w:rPr>
      </w:pPr>
    </w:p>
    <w:p w14:paraId="5A876564" w14:textId="77777777" w:rsidR="001E7952" w:rsidRPr="00C62639" w:rsidRDefault="001E7952" w:rsidP="001E7952">
      <w:pPr>
        <w:jc w:val="center"/>
        <w:rPr>
          <w:rFonts w:asciiTheme="minorHAnsi" w:hAnsiTheme="minorHAnsi" w:cs="Arial"/>
          <w:b/>
        </w:rPr>
      </w:pPr>
    </w:p>
    <w:p w14:paraId="174991BC" w14:textId="77777777" w:rsidR="001E7952" w:rsidRPr="00C62639" w:rsidRDefault="001E7952" w:rsidP="001E7952">
      <w:pPr>
        <w:jc w:val="center"/>
        <w:rPr>
          <w:rFonts w:asciiTheme="minorHAnsi" w:hAnsiTheme="minorHAnsi" w:cs="Arial"/>
          <w:b/>
        </w:rPr>
      </w:pPr>
    </w:p>
    <w:p w14:paraId="7C689C0E" w14:textId="77777777" w:rsidR="001E7952" w:rsidRPr="00C62639" w:rsidRDefault="001E7952" w:rsidP="001E7952">
      <w:pPr>
        <w:jc w:val="center"/>
        <w:rPr>
          <w:rFonts w:asciiTheme="minorHAnsi" w:hAnsiTheme="minorHAnsi" w:cs="Arial"/>
          <w:b/>
        </w:rPr>
      </w:pPr>
    </w:p>
    <w:p w14:paraId="5437BF38" w14:textId="77777777" w:rsidR="001E7952" w:rsidRPr="00C62639" w:rsidRDefault="001E7952" w:rsidP="001E7952">
      <w:pPr>
        <w:jc w:val="center"/>
        <w:rPr>
          <w:rFonts w:asciiTheme="minorHAnsi" w:hAnsiTheme="minorHAnsi" w:cs="Arial"/>
          <w:b/>
        </w:rPr>
      </w:pPr>
    </w:p>
    <w:p w14:paraId="79AFA42D" w14:textId="77777777" w:rsidR="001E7952" w:rsidRPr="00C62639" w:rsidRDefault="001E7952" w:rsidP="001E7952">
      <w:pPr>
        <w:jc w:val="center"/>
        <w:rPr>
          <w:rFonts w:asciiTheme="minorHAnsi" w:hAnsiTheme="minorHAnsi" w:cs="Arial"/>
          <w:b/>
        </w:rPr>
      </w:pPr>
    </w:p>
    <w:p w14:paraId="623A5492" w14:textId="77777777" w:rsidR="001E7952" w:rsidRPr="00C62639" w:rsidRDefault="001E7952" w:rsidP="001E7952">
      <w:pPr>
        <w:jc w:val="center"/>
        <w:rPr>
          <w:rFonts w:asciiTheme="minorHAnsi" w:hAnsiTheme="minorHAnsi" w:cs="Arial"/>
          <w:b/>
        </w:rPr>
      </w:pPr>
    </w:p>
    <w:p w14:paraId="72CB598D" w14:textId="77777777" w:rsidR="001E7952" w:rsidRPr="00C62639" w:rsidRDefault="001E7952" w:rsidP="001E7952">
      <w:pPr>
        <w:jc w:val="center"/>
        <w:rPr>
          <w:rFonts w:asciiTheme="minorHAnsi" w:hAnsiTheme="minorHAnsi" w:cs="Arial"/>
          <w:b/>
        </w:rPr>
      </w:pPr>
    </w:p>
    <w:p w14:paraId="7E37615E" w14:textId="77777777" w:rsidR="001E7952" w:rsidRPr="00C62639" w:rsidRDefault="001E7952" w:rsidP="001E7952">
      <w:pPr>
        <w:jc w:val="center"/>
        <w:rPr>
          <w:rFonts w:asciiTheme="minorHAnsi" w:hAnsiTheme="minorHAnsi" w:cs="Arial"/>
          <w:b/>
        </w:rPr>
      </w:pPr>
    </w:p>
    <w:p w14:paraId="2D9F49C3" w14:textId="77777777" w:rsidR="001E7952" w:rsidRPr="00C62639" w:rsidRDefault="001E7952" w:rsidP="001E7952">
      <w:pPr>
        <w:jc w:val="center"/>
        <w:rPr>
          <w:rFonts w:asciiTheme="minorHAnsi" w:hAnsiTheme="minorHAnsi" w:cs="Arial"/>
          <w:b/>
        </w:rPr>
      </w:pPr>
    </w:p>
    <w:p w14:paraId="52DD85FF" w14:textId="77777777" w:rsidR="001E7952" w:rsidRPr="00C62639" w:rsidRDefault="001E7952" w:rsidP="001E7952">
      <w:pPr>
        <w:jc w:val="center"/>
        <w:rPr>
          <w:rFonts w:asciiTheme="minorHAnsi" w:hAnsiTheme="minorHAnsi" w:cs="Arial"/>
          <w:b/>
        </w:rPr>
      </w:pPr>
    </w:p>
    <w:p w14:paraId="176A5E68" w14:textId="77777777" w:rsidR="001E7952" w:rsidRPr="00C62639" w:rsidRDefault="001E7952" w:rsidP="001E7952">
      <w:pPr>
        <w:jc w:val="center"/>
        <w:rPr>
          <w:rFonts w:asciiTheme="minorHAnsi" w:hAnsiTheme="minorHAnsi" w:cs="Arial"/>
          <w:b/>
        </w:rPr>
      </w:pPr>
    </w:p>
    <w:p w14:paraId="66B47C4B" w14:textId="77777777" w:rsidR="001E7952" w:rsidRPr="00C62639" w:rsidRDefault="001E7952" w:rsidP="001E7952">
      <w:pPr>
        <w:jc w:val="center"/>
        <w:rPr>
          <w:rFonts w:asciiTheme="minorHAnsi" w:hAnsiTheme="minorHAnsi" w:cs="Arial"/>
          <w:b/>
          <w:color w:val="000000"/>
          <w:sz w:val="28"/>
          <w:szCs w:val="28"/>
        </w:rPr>
      </w:pPr>
      <w:r w:rsidRPr="00C62639">
        <w:rPr>
          <w:rStyle w:val="Nzevknihy"/>
          <w:rFonts w:asciiTheme="minorHAnsi" w:hAnsiTheme="minorHAnsi"/>
          <w:noProof/>
          <w:color w:val="365F91"/>
          <w:sz w:val="44"/>
        </w:rPr>
        <w:t>Zpráva z benchmarkingu za rok 201</w:t>
      </w:r>
      <w:r w:rsidR="00125FA2">
        <w:rPr>
          <w:rStyle w:val="Nzevknihy"/>
          <w:rFonts w:asciiTheme="minorHAnsi" w:hAnsiTheme="minorHAnsi"/>
          <w:noProof/>
          <w:color w:val="365F91"/>
          <w:sz w:val="44"/>
        </w:rPr>
        <w:t>7</w:t>
      </w:r>
    </w:p>
    <w:p w14:paraId="35113226" w14:textId="77777777" w:rsidR="001E7952" w:rsidRPr="00C62639" w:rsidRDefault="001E7952" w:rsidP="001E7952">
      <w:pPr>
        <w:jc w:val="center"/>
        <w:rPr>
          <w:rFonts w:asciiTheme="minorHAnsi" w:hAnsiTheme="minorHAnsi" w:cs="Arial"/>
        </w:rPr>
      </w:pPr>
    </w:p>
    <w:p w14:paraId="6FBD9AAB" w14:textId="77777777" w:rsidR="001E7952" w:rsidRPr="00C62639" w:rsidRDefault="001E7952" w:rsidP="001E7952">
      <w:pPr>
        <w:jc w:val="center"/>
        <w:rPr>
          <w:rFonts w:asciiTheme="minorHAnsi" w:hAnsiTheme="minorHAnsi" w:cs="Arial"/>
        </w:rPr>
      </w:pPr>
    </w:p>
    <w:p w14:paraId="57E37B2B" w14:textId="77777777" w:rsidR="001E7952" w:rsidRPr="00C62639" w:rsidRDefault="001E7952" w:rsidP="001E7952">
      <w:pPr>
        <w:jc w:val="center"/>
        <w:rPr>
          <w:rFonts w:asciiTheme="minorHAnsi" w:hAnsiTheme="minorHAnsi" w:cs="Arial"/>
        </w:rPr>
      </w:pPr>
    </w:p>
    <w:p w14:paraId="4CF913EF" w14:textId="77777777" w:rsidR="001E7952" w:rsidRPr="00C62639" w:rsidRDefault="001E7952" w:rsidP="001E7952">
      <w:pPr>
        <w:jc w:val="center"/>
        <w:rPr>
          <w:rFonts w:asciiTheme="minorHAnsi" w:hAnsiTheme="minorHAnsi" w:cs="Arial"/>
        </w:rPr>
      </w:pPr>
    </w:p>
    <w:p w14:paraId="0A7EA692" w14:textId="77777777" w:rsidR="001E7952" w:rsidRPr="00C62639" w:rsidRDefault="001E7952" w:rsidP="001E7952">
      <w:pPr>
        <w:jc w:val="center"/>
        <w:rPr>
          <w:rFonts w:asciiTheme="minorHAnsi" w:hAnsiTheme="minorHAnsi" w:cs="Arial"/>
        </w:rPr>
      </w:pPr>
    </w:p>
    <w:p w14:paraId="37C8F459" w14:textId="77777777" w:rsidR="001E7952" w:rsidRPr="00C62639" w:rsidRDefault="001E7952" w:rsidP="001E7952">
      <w:pPr>
        <w:jc w:val="center"/>
        <w:rPr>
          <w:rFonts w:asciiTheme="minorHAnsi" w:hAnsiTheme="minorHAnsi" w:cs="Arial"/>
        </w:rPr>
      </w:pPr>
    </w:p>
    <w:p w14:paraId="3352D4D9" w14:textId="77777777" w:rsidR="001E7952" w:rsidRPr="00C62639" w:rsidRDefault="001E7952" w:rsidP="001E7952">
      <w:pPr>
        <w:jc w:val="center"/>
        <w:rPr>
          <w:rFonts w:asciiTheme="minorHAnsi" w:hAnsiTheme="minorHAnsi" w:cs="Arial"/>
        </w:rPr>
      </w:pPr>
    </w:p>
    <w:p w14:paraId="0BBC4C7F" w14:textId="77777777" w:rsidR="001E7952" w:rsidRPr="00C62639" w:rsidRDefault="001E7952" w:rsidP="001E7952">
      <w:pPr>
        <w:jc w:val="center"/>
        <w:rPr>
          <w:rFonts w:asciiTheme="minorHAnsi" w:hAnsiTheme="minorHAnsi" w:cs="Arial"/>
        </w:rPr>
      </w:pPr>
    </w:p>
    <w:p w14:paraId="51CF5870" w14:textId="77777777" w:rsidR="001E7952" w:rsidRPr="00C62639" w:rsidRDefault="001E7952" w:rsidP="001E7952">
      <w:pPr>
        <w:jc w:val="center"/>
        <w:rPr>
          <w:rFonts w:asciiTheme="minorHAnsi" w:hAnsiTheme="minorHAnsi" w:cs="Arial"/>
        </w:rPr>
      </w:pPr>
    </w:p>
    <w:p w14:paraId="1A809249" w14:textId="77777777" w:rsidR="001E7952" w:rsidRPr="00C62639" w:rsidRDefault="001E7952" w:rsidP="001E7952">
      <w:pPr>
        <w:jc w:val="center"/>
        <w:rPr>
          <w:rFonts w:asciiTheme="minorHAnsi" w:hAnsiTheme="minorHAnsi" w:cs="Arial"/>
        </w:rPr>
      </w:pPr>
    </w:p>
    <w:p w14:paraId="5178CCF1" w14:textId="77777777" w:rsidR="001E7952" w:rsidRPr="00C62639" w:rsidRDefault="001E7952" w:rsidP="001E7952">
      <w:pPr>
        <w:jc w:val="center"/>
        <w:rPr>
          <w:rFonts w:asciiTheme="minorHAnsi" w:hAnsiTheme="minorHAnsi" w:cs="Arial"/>
        </w:rPr>
      </w:pPr>
    </w:p>
    <w:p w14:paraId="225B0BE6" w14:textId="77777777" w:rsidR="001E7952" w:rsidRPr="00C62639" w:rsidRDefault="001E7952" w:rsidP="001E7952">
      <w:pPr>
        <w:jc w:val="center"/>
        <w:rPr>
          <w:rFonts w:asciiTheme="minorHAnsi" w:hAnsiTheme="minorHAnsi" w:cs="Arial"/>
        </w:rPr>
      </w:pPr>
    </w:p>
    <w:p w14:paraId="19E441EF" w14:textId="77777777" w:rsidR="001E7952" w:rsidRPr="00C62639" w:rsidRDefault="001E7952" w:rsidP="001E7952">
      <w:pPr>
        <w:jc w:val="center"/>
        <w:rPr>
          <w:rFonts w:asciiTheme="minorHAnsi" w:hAnsiTheme="minorHAnsi" w:cs="Arial"/>
        </w:rPr>
      </w:pPr>
    </w:p>
    <w:p w14:paraId="64C23D52" w14:textId="77777777" w:rsidR="001E7952" w:rsidRPr="00C62639" w:rsidRDefault="001E7952" w:rsidP="001E7952">
      <w:pPr>
        <w:jc w:val="center"/>
        <w:rPr>
          <w:rFonts w:asciiTheme="minorHAnsi" w:hAnsiTheme="minorHAnsi" w:cs="Arial"/>
        </w:rPr>
      </w:pPr>
    </w:p>
    <w:p w14:paraId="0AB76848" w14:textId="77777777" w:rsidR="001E7952" w:rsidRPr="00C62639" w:rsidRDefault="001E7952" w:rsidP="001E7952">
      <w:pPr>
        <w:jc w:val="center"/>
        <w:rPr>
          <w:rFonts w:asciiTheme="minorHAnsi" w:hAnsiTheme="minorHAnsi" w:cs="Arial"/>
        </w:rPr>
      </w:pPr>
    </w:p>
    <w:p w14:paraId="39283E71" w14:textId="77777777" w:rsidR="001E7952" w:rsidRPr="00C62639" w:rsidRDefault="001E7952" w:rsidP="001E7952">
      <w:pPr>
        <w:jc w:val="center"/>
        <w:rPr>
          <w:rFonts w:asciiTheme="minorHAnsi" w:hAnsiTheme="minorHAnsi" w:cs="Arial"/>
        </w:rPr>
      </w:pPr>
    </w:p>
    <w:p w14:paraId="57F035F0" w14:textId="77777777" w:rsidR="001E7952" w:rsidRPr="00C62639" w:rsidRDefault="001E7952" w:rsidP="001E7952">
      <w:pPr>
        <w:jc w:val="center"/>
        <w:rPr>
          <w:rFonts w:asciiTheme="minorHAnsi" w:hAnsiTheme="minorHAnsi" w:cs="Arial"/>
        </w:rPr>
      </w:pPr>
    </w:p>
    <w:p w14:paraId="35521D91" w14:textId="77777777" w:rsidR="001E7952" w:rsidRPr="00C62639" w:rsidRDefault="001E7952" w:rsidP="001E7952">
      <w:pPr>
        <w:jc w:val="center"/>
        <w:rPr>
          <w:rFonts w:asciiTheme="minorHAnsi" w:hAnsiTheme="minorHAnsi" w:cs="Arial"/>
        </w:rPr>
      </w:pPr>
    </w:p>
    <w:p w14:paraId="2A45144D" w14:textId="77777777" w:rsidR="001E7952" w:rsidRPr="00C62639" w:rsidRDefault="001E7952" w:rsidP="001E7952">
      <w:pPr>
        <w:jc w:val="center"/>
        <w:rPr>
          <w:rFonts w:asciiTheme="minorHAnsi" w:hAnsiTheme="minorHAnsi" w:cs="Arial"/>
        </w:rPr>
      </w:pPr>
    </w:p>
    <w:p w14:paraId="37289288" w14:textId="77777777" w:rsidR="001E7952" w:rsidRPr="00C62639" w:rsidRDefault="001E7952" w:rsidP="001E7952">
      <w:pPr>
        <w:jc w:val="center"/>
        <w:rPr>
          <w:rFonts w:asciiTheme="minorHAnsi" w:hAnsiTheme="minorHAnsi" w:cs="Arial"/>
        </w:rPr>
      </w:pPr>
    </w:p>
    <w:p w14:paraId="2A8A4CF7" w14:textId="77777777" w:rsidR="001E7952" w:rsidRPr="00C62639" w:rsidRDefault="001E7952" w:rsidP="001E7952">
      <w:pPr>
        <w:jc w:val="center"/>
        <w:rPr>
          <w:rFonts w:asciiTheme="minorHAnsi" w:hAnsiTheme="minorHAnsi" w:cs="Arial"/>
        </w:rPr>
      </w:pPr>
    </w:p>
    <w:p w14:paraId="16B7663E" w14:textId="77777777" w:rsidR="001E7952" w:rsidRPr="00C62639" w:rsidRDefault="001E7952" w:rsidP="001E7952">
      <w:pPr>
        <w:jc w:val="center"/>
        <w:rPr>
          <w:rFonts w:asciiTheme="minorHAnsi" w:hAnsiTheme="minorHAnsi" w:cs="Arial"/>
        </w:rPr>
      </w:pPr>
    </w:p>
    <w:p w14:paraId="14DA0914" w14:textId="77777777" w:rsidR="001E7952" w:rsidRPr="00C62639" w:rsidRDefault="001E7952" w:rsidP="001E7952">
      <w:pPr>
        <w:jc w:val="center"/>
        <w:rPr>
          <w:rFonts w:asciiTheme="minorHAnsi" w:hAnsiTheme="minorHAnsi" w:cs="Arial"/>
        </w:rPr>
      </w:pPr>
    </w:p>
    <w:p w14:paraId="0B9B12B8" w14:textId="77777777" w:rsidR="001E7952" w:rsidRPr="00C62639" w:rsidRDefault="001E7952" w:rsidP="001E7952">
      <w:pPr>
        <w:jc w:val="center"/>
        <w:rPr>
          <w:rFonts w:asciiTheme="minorHAnsi" w:hAnsiTheme="minorHAnsi" w:cs="Arial"/>
        </w:rPr>
      </w:pPr>
    </w:p>
    <w:p w14:paraId="5729D723" w14:textId="77777777" w:rsidR="001E7952" w:rsidRPr="00C62639" w:rsidRDefault="001E7952" w:rsidP="001E7952">
      <w:pPr>
        <w:jc w:val="center"/>
        <w:rPr>
          <w:rFonts w:asciiTheme="minorHAnsi" w:hAnsiTheme="minorHAnsi" w:cs="Arial"/>
        </w:rPr>
      </w:pPr>
    </w:p>
    <w:p w14:paraId="7B2F3FB0" w14:textId="77777777" w:rsidR="001E7952" w:rsidRPr="00C62639" w:rsidRDefault="001E7952" w:rsidP="001E7952">
      <w:pPr>
        <w:jc w:val="left"/>
        <w:rPr>
          <w:rStyle w:val="Nzevknihy"/>
          <w:rFonts w:asciiTheme="minorHAnsi" w:hAnsiTheme="minorHAnsi"/>
          <w:noProof/>
          <w:color w:val="365F91"/>
          <w:sz w:val="44"/>
        </w:rPr>
        <w:sectPr w:rsidR="001E7952" w:rsidRPr="00C62639" w:rsidSect="00210122">
          <w:headerReference w:type="default" r:id="rId10"/>
          <w:footerReference w:type="default" r:id="rId11"/>
          <w:pgSz w:w="11906" w:h="16838"/>
          <w:pgMar w:top="1417" w:right="1417" w:bottom="1417" w:left="1417" w:header="708" w:footer="708" w:gutter="0"/>
          <w:cols w:space="708"/>
          <w:docGrid w:linePitch="360"/>
        </w:sectPr>
      </w:pPr>
      <w:r w:rsidRPr="00C62639">
        <w:rPr>
          <w:rFonts w:asciiTheme="minorHAnsi" w:hAnsiTheme="minorHAnsi" w:cs="Arial"/>
        </w:rPr>
        <w:t>Praha</w:t>
      </w:r>
      <w:r w:rsidR="00BC485B">
        <w:rPr>
          <w:rFonts w:asciiTheme="minorHAnsi" w:hAnsiTheme="minorHAnsi" w:cs="Arial"/>
        </w:rPr>
        <w:t>, 7. února 2019</w:t>
      </w:r>
    </w:p>
    <w:p w14:paraId="5EAB4B4E" w14:textId="77777777" w:rsidR="003466F3" w:rsidRPr="00C62639" w:rsidRDefault="005F37F5" w:rsidP="009E71F3">
      <w:pPr>
        <w:pStyle w:val="Nzev"/>
        <w:jc w:val="center"/>
        <w:rPr>
          <w:rStyle w:val="Nzevknihy"/>
          <w:rFonts w:asciiTheme="minorHAnsi" w:hAnsiTheme="minorHAnsi"/>
          <w:noProof/>
          <w:color w:val="365F91"/>
          <w:sz w:val="44"/>
        </w:rPr>
      </w:pPr>
      <w:r>
        <w:rPr>
          <w:rFonts w:asciiTheme="minorHAnsi" w:hAnsiTheme="minorHAnsi"/>
          <w:noProof/>
          <w:lang w:eastAsia="cs-CZ"/>
        </w:rPr>
        <w:lastRenderedPageBreak/>
        <mc:AlternateContent>
          <mc:Choice Requires="wps">
            <w:drawing>
              <wp:anchor distT="45720" distB="45720" distL="114300" distR="114300" simplePos="0" relativeHeight="251664384" behindDoc="0" locked="0" layoutInCell="1" allowOverlap="1" wp14:anchorId="3352DB33" wp14:editId="0CB01024">
                <wp:simplePos x="0" y="0"/>
                <wp:positionH relativeFrom="column">
                  <wp:posOffset>1681480</wp:posOffset>
                </wp:positionH>
                <wp:positionV relativeFrom="paragraph">
                  <wp:posOffset>0</wp:posOffset>
                </wp:positionV>
                <wp:extent cx="2294890" cy="552450"/>
                <wp:effectExtent l="0" t="0" r="127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552450"/>
                        </a:xfrm>
                        <a:prstGeom prst="rect">
                          <a:avLst/>
                        </a:prstGeom>
                        <a:solidFill>
                          <a:srgbClr val="FFFFFF"/>
                        </a:solidFill>
                        <a:ln w="9525">
                          <a:noFill/>
                          <a:miter lim="800000"/>
                          <a:headEnd/>
                          <a:tailEnd/>
                        </a:ln>
                      </wps:spPr>
                      <wps:txbx>
                        <w:txbxContent>
                          <w:p w14:paraId="722D783F" w14:textId="77777777" w:rsidR="002E12F7" w:rsidRDefault="002E12F7" w:rsidP="00E731F3">
                            <w:pPr>
                              <w:pStyle w:val="Normlnzprva"/>
                              <w:spacing w:after="0"/>
                              <w:jc w:val="center"/>
                            </w:pPr>
                            <w:r>
                              <w:t>III.1.</w:t>
                            </w:r>
                          </w:p>
                          <w:p w14:paraId="556B07E4" w14:textId="77777777" w:rsidR="002E12F7" w:rsidRDefault="002E12F7" w:rsidP="00E731F3">
                            <w:pPr>
                              <w:pStyle w:val="Normlnzprva"/>
                              <w:spacing w:after="0"/>
                              <w:jc w:val="center"/>
                            </w:pPr>
                            <w:r>
                              <w:t>Vlastní materiál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352DB33" id="_x0000_t202" coordsize="21600,21600" o:spt="202" path="m,l,21600r21600,l21600,xe">
                <v:stroke joinstyle="miter"/>
                <v:path gradientshapeok="t" o:connecttype="rect"/>
              </v:shapetype>
              <v:shape id="Textové pole 2" o:spid="_x0000_s1026" type="#_x0000_t202" style="position:absolute;left:0;text-align:left;margin-left:132.4pt;margin-top:0;width:180.7pt;height:43.5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" stroked="f">
                <v:textbox>
                  <w:txbxContent>
                    <w:p w14:paraId="722D783F" w14:textId="77777777" w:rsidR="002E12F7" w:rsidRDefault="002E12F7" w:rsidP="00E731F3">
                      <w:pPr>
                        <w:pStyle w:val="Normlnzprva"/>
                        <w:spacing w:after="0"/>
                        <w:jc w:val="center"/>
                      </w:pPr>
                      <w:proofErr w:type="gramStart"/>
                      <w:r>
                        <w:t>III.1.</w:t>
                      </w:r>
                      <w:proofErr w:type="gramEnd"/>
                    </w:p>
                    <w:p w14:paraId="556B07E4" w14:textId="77777777" w:rsidR="002E12F7" w:rsidRDefault="002E12F7" w:rsidP="00E731F3">
                      <w:pPr>
                        <w:pStyle w:val="Normlnzprva"/>
                        <w:spacing w:after="0"/>
                        <w:jc w:val="center"/>
                      </w:pPr>
                      <w:r>
                        <w:t>Vlastní materiál</w:t>
                      </w:r>
                    </w:p>
                  </w:txbxContent>
                </v:textbox>
                <w10:wrap type="square"/>
              </v:shape>
            </w:pict>
          </mc:Fallback>
        </mc:AlternateContent>
      </w:r>
    </w:p>
    <w:p w14:paraId="6C74DFA7" w14:textId="77777777" w:rsidR="00E731F3" w:rsidRPr="00C62639" w:rsidRDefault="00E731F3" w:rsidP="009E71F3">
      <w:pPr>
        <w:pStyle w:val="Nzev"/>
        <w:jc w:val="center"/>
        <w:rPr>
          <w:rStyle w:val="Nzevknihy"/>
          <w:rFonts w:asciiTheme="minorHAnsi" w:hAnsiTheme="minorHAnsi"/>
          <w:noProof/>
          <w:color w:val="365F91"/>
          <w:sz w:val="44"/>
        </w:rPr>
      </w:pPr>
    </w:p>
    <w:p w14:paraId="5AB4EE38" w14:textId="77777777" w:rsidR="00590F65" w:rsidRPr="00C62639" w:rsidRDefault="00F623AA" w:rsidP="009E71F3">
      <w:pPr>
        <w:pStyle w:val="Nzev"/>
        <w:jc w:val="center"/>
        <w:rPr>
          <w:rStyle w:val="Nzevknihy"/>
          <w:rFonts w:asciiTheme="minorHAnsi" w:hAnsiTheme="minorHAnsi"/>
          <w:noProof/>
          <w:sz w:val="44"/>
        </w:rPr>
      </w:pPr>
      <w:r w:rsidRPr="00C62639">
        <w:rPr>
          <w:rStyle w:val="Nzevknihy"/>
          <w:rFonts w:asciiTheme="minorHAnsi" w:hAnsiTheme="minorHAnsi"/>
          <w:noProof/>
          <w:color w:val="365F91"/>
          <w:sz w:val="44"/>
        </w:rPr>
        <w:t>Zpráva z benchmarkingu</w:t>
      </w:r>
      <w:r w:rsidR="00590F65" w:rsidRPr="00C62639">
        <w:rPr>
          <w:rStyle w:val="Nzevknihy"/>
          <w:rFonts w:asciiTheme="minorHAnsi" w:hAnsiTheme="minorHAnsi"/>
          <w:noProof/>
          <w:color w:val="365F91"/>
          <w:sz w:val="44"/>
        </w:rPr>
        <w:t xml:space="preserve"> za rok 201</w:t>
      </w:r>
      <w:r w:rsidR="00125FA2">
        <w:rPr>
          <w:rStyle w:val="Nzevknihy"/>
          <w:rFonts w:asciiTheme="minorHAnsi" w:hAnsiTheme="minorHAnsi"/>
          <w:noProof/>
          <w:color w:val="365F91"/>
          <w:sz w:val="44"/>
        </w:rPr>
        <w:t>7</w:t>
      </w:r>
    </w:p>
    <w:p w14:paraId="6A23D18D" w14:textId="77777777" w:rsidR="00590F65" w:rsidRPr="00C62639" w:rsidRDefault="00590F65" w:rsidP="00E4339E">
      <w:pPr>
        <w:pStyle w:val="Nadpisobsahu"/>
        <w:rPr>
          <w:rFonts w:asciiTheme="minorHAnsi" w:hAnsiTheme="minorHAnsi"/>
          <w:noProof/>
        </w:rPr>
      </w:pPr>
      <w:r w:rsidRPr="00C62639">
        <w:rPr>
          <w:rFonts w:asciiTheme="minorHAnsi" w:hAnsiTheme="minorHAnsi"/>
          <w:noProof/>
        </w:rPr>
        <w:t>Obsah</w:t>
      </w:r>
    </w:p>
    <w:p w14:paraId="49EFB39B" w14:textId="77777777" w:rsidR="00BC03D3" w:rsidRDefault="00E9061C">
      <w:pPr>
        <w:pStyle w:val="Obsah1"/>
        <w:rPr>
          <w:rFonts w:asciiTheme="minorHAnsi" w:eastAsiaTheme="minorEastAsia" w:hAnsiTheme="minorHAnsi" w:cstheme="minorBidi"/>
          <w:noProof/>
          <w:sz w:val="22"/>
          <w:lang w:eastAsia="cs-CZ"/>
        </w:rPr>
      </w:pPr>
      <w:r w:rsidRPr="00C62639">
        <w:rPr>
          <w:rFonts w:asciiTheme="minorHAnsi" w:hAnsiTheme="minorHAnsi"/>
          <w:noProof/>
        </w:rPr>
        <w:fldChar w:fldCharType="begin"/>
      </w:r>
      <w:r w:rsidR="00590F65" w:rsidRPr="00C62639">
        <w:rPr>
          <w:rFonts w:asciiTheme="minorHAnsi" w:hAnsiTheme="minorHAnsi"/>
          <w:noProof/>
        </w:rPr>
        <w:instrText xml:space="preserve"> TOC \o "1-3" \h \z \u </w:instrText>
      </w:r>
      <w:r w:rsidRPr="00C62639">
        <w:rPr>
          <w:rFonts w:asciiTheme="minorHAnsi" w:hAnsiTheme="minorHAnsi"/>
          <w:noProof/>
        </w:rPr>
        <w:fldChar w:fldCharType="separate"/>
      </w:r>
      <w:hyperlink w:anchor="_Toc3291969" w:history="1">
        <w:r w:rsidR="00BC03D3" w:rsidRPr="005C35D9">
          <w:rPr>
            <w:rStyle w:val="Hypertextovodkaz"/>
            <w:noProof/>
          </w:rPr>
          <w:t>1.</w:t>
        </w:r>
        <w:r w:rsidR="00BC03D3">
          <w:rPr>
            <w:rFonts w:asciiTheme="minorHAnsi" w:eastAsiaTheme="minorEastAsia" w:hAnsiTheme="minorHAnsi" w:cstheme="minorBidi"/>
            <w:noProof/>
            <w:sz w:val="22"/>
            <w:lang w:eastAsia="cs-CZ"/>
          </w:rPr>
          <w:tab/>
        </w:r>
        <w:r w:rsidR="00BC03D3" w:rsidRPr="005C35D9">
          <w:rPr>
            <w:rStyle w:val="Hypertextovodkaz"/>
            <w:noProof/>
          </w:rPr>
          <w:t>Úvod</w:t>
        </w:r>
        <w:r w:rsidR="00BC03D3">
          <w:rPr>
            <w:noProof/>
            <w:webHidden/>
          </w:rPr>
          <w:tab/>
        </w:r>
        <w:r w:rsidR="00BC03D3">
          <w:rPr>
            <w:noProof/>
            <w:webHidden/>
          </w:rPr>
          <w:fldChar w:fldCharType="begin"/>
        </w:r>
        <w:r w:rsidR="00BC03D3">
          <w:rPr>
            <w:noProof/>
            <w:webHidden/>
          </w:rPr>
          <w:instrText xml:space="preserve"> PAGEREF _Toc3291969 \h </w:instrText>
        </w:r>
        <w:r w:rsidR="00BC03D3">
          <w:rPr>
            <w:noProof/>
            <w:webHidden/>
          </w:rPr>
        </w:r>
        <w:r w:rsidR="00BC03D3">
          <w:rPr>
            <w:noProof/>
            <w:webHidden/>
          </w:rPr>
          <w:fldChar w:fldCharType="separate"/>
        </w:r>
        <w:r w:rsidR="00AC7B86">
          <w:rPr>
            <w:noProof/>
            <w:webHidden/>
          </w:rPr>
          <w:t>4</w:t>
        </w:r>
        <w:r w:rsidR="00BC03D3">
          <w:rPr>
            <w:noProof/>
            <w:webHidden/>
          </w:rPr>
          <w:fldChar w:fldCharType="end"/>
        </w:r>
      </w:hyperlink>
    </w:p>
    <w:p w14:paraId="0BCA14B5" w14:textId="77777777" w:rsidR="00BC03D3" w:rsidRDefault="005169A6">
      <w:pPr>
        <w:pStyle w:val="Obsah2"/>
        <w:rPr>
          <w:rFonts w:asciiTheme="minorHAnsi" w:eastAsiaTheme="minorEastAsia" w:hAnsiTheme="minorHAnsi" w:cstheme="minorBidi"/>
          <w:noProof/>
          <w:sz w:val="22"/>
          <w:lang w:eastAsia="cs-CZ"/>
        </w:rPr>
      </w:pPr>
      <w:hyperlink w:anchor="_Toc3291970" w:history="1">
        <w:r w:rsidR="00BC03D3" w:rsidRPr="005C35D9">
          <w:rPr>
            <w:rStyle w:val="Hypertextovodkaz"/>
            <w:noProof/>
          </w:rPr>
          <w:t>1.1</w:t>
        </w:r>
        <w:r w:rsidR="00BC03D3">
          <w:rPr>
            <w:rFonts w:asciiTheme="minorHAnsi" w:eastAsiaTheme="minorEastAsia" w:hAnsiTheme="minorHAnsi" w:cstheme="minorBidi"/>
            <w:noProof/>
            <w:sz w:val="22"/>
            <w:lang w:eastAsia="cs-CZ"/>
          </w:rPr>
          <w:tab/>
        </w:r>
        <w:r w:rsidR="00BC03D3" w:rsidRPr="005C35D9">
          <w:rPr>
            <w:rStyle w:val="Hypertextovodkaz"/>
            <w:noProof/>
          </w:rPr>
          <w:t>Terminologie a použité zkratky</w:t>
        </w:r>
        <w:r w:rsidR="00BC03D3">
          <w:rPr>
            <w:noProof/>
            <w:webHidden/>
          </w:rPr>
          <w:tab/>
        </w:r>
        <w:r w:rsidR="00BC03D3">
          <w:rPr>
            <w:noProof/>
            <w:webHidden/>
          </w:rPr>
          <w:fldChar w:fldCharType="begin"/>
        </w:r>
        <w:r w:rsidR="00BC03D3">
          <w:rPr>
            <w:noProof/>
            <w:webHidden/>
          </w:rPr>
          <w:instrText xml:space="preserve"> PAGEREF _Toc3291970 \h </w:instrText>
        </w:r>
        <w:r w:rsidR="00BC03D3">
          <w:rPr>
            <w:noProof/>
            <w:webHidden/>
          </w:rPr>
        </w:r>
        <w:r w:rsidR="00BC03D3">
          <w:rPr>
            <w:noProof/>
            <w:webHidden/>
          </w:rPr>
          <w:fldChar w:fldCharType="separate"/>
        </w:r>
        <w:r w:rsidR="00AC7B86">
          <w:rPr>
            <w:noProof/>
            <w:webHidden/>
          </w:rPr>
          <w:t>4</w:t>
        </w:r>
        <w:r w:rsidR="00BC03D3">
          <w:rPr>
            <w:noProof/>
            <w:webHidden/>
          </w:rPr>
          <w:fldChar w:fldCharType="end"/>
        </w:r>
      </w:hyperlink>
    </w:p>
    <w:p w14:paraId="62891D99" w14:textId="77777777" w:rsidR="00BC03D3" w:rsidRDefault="005169A6">
      <w:pPr>
        <w:pStyle w:val="Obsah3"/>
        <w:rPr>
          <w:rFonts w:asciiTheme="minorHAnsi" w:eastAsiaTheme="minorEastAsia" w:hAnsiTheme="minorHAnsi" w:cstheme="minorBidi"/>
          <w:noProof/>
          <w:sz w:val="22"/>
          <w:lang w:eastAsia="cs-CZ"/>
        </w:rPr>
      </w:pPr>
      <w:hyperlink w:anchor="_Toc3291971" w:history="1">
        <w:r w:rsidR="00BC03D3" w:rsidRPr="005C35D9">
          <w:rPr>
            <w:rStyle w:val="Hypertextovodkaz"/>
            <w:noProof/>
          </w:rPr>
          <w:t>1.1.1</w:t>
        </w:r>
        <w:r w:rsidR="00BC03D3">
          <w:rPr>
            <w:rFonts w:asciiTheme="minorHAnsi" w:eastAsiaTheme="minorEastAsia" w:hAnsiTheme="minorHAnsi" w:cstheme="minorBidi"/>
            <w:noProof/>
            <w:sz w:val="22"/>
            <w:lang w:eastAsia="cs-CZ"/>
          </w:rPr>
          <w:tab/>
        </w:r>
        <w:r w:rsidR="00BC03D3" w:rsidRPr="005C35D9">
          <w:rPr>
            <w:rStyle w:val="Hypertextovodkaz"/>
            <w:noProof/>
          </w:rPr>
          <w:t>Terminologie</w:t>
        </w:r>
        <w:r w:rsidR="00BC03D3">
          <w:rPr>
            <w:noProof/>
            <w:webHidden/>
          </w:rPr>
          <w:tab/>
        </w:r>
        <w:r w:rsidR="00BC03D3">
          <w:rPr>
            <w:noProof/>
            <w:webHidden/>
          </w:rPr>
          <w:fldChar w:fldCharType="begin"/>
        </w:r>
        <w:r w:rsidR="00BC03D3">
          <w:rPr>
            <w:noProof/>
            <w:webHidden/>
          </w:rPr>
          <w:instrText xml:space="preserve"> PAGEREF _Toc3291971 \h </w:instrText>
        </w:r>
        <w:r w:rsidR="00BC03D3">
          <w:rPr>
            <w:noProof/>
            <w:webHidden/>
          </w:rPr>
        </w:r>
        <w:r w:rsidR="00BC03D3">
          <w:rPr>
            <w:noProof/>
            <w:webHidden/>
          </w:rPr>
          <w:fldChar w:fldCharType="separate"/>
        </w:r>
        <w:r w:rsidR="00AC7B86">
          <w:rPr>
            <w:noProof/>
            <w:webHidden/>
          </w:rPr>
          <w:t>4</w:t>
        </w:r>
        <w:r w:rsidR="00BC03D3">
          <w:rPr>
            <w:noProof/>
            <w:webHidden/>
          </w:rPr>
          <w:fldChar w:fldCharType="end"/>
        </w:r>
      </w:hyperlink>
    </w:p>
    <w:p w14:paraId="4141591D" w14:textId="77777777" w:rsidR="00BC03D3" w:rsidRDefault="005169A6">
      <w:pPr>
        <w:pStyle w:val="Obsah3"/>
        <w:rPr>
          <w:rFonts w:asciiTheme="minorHAnsi" w:eastAsiaTheme="minorEastAsia" w:hAnsiTheme="minorHAnsi" w:cstheme="minorBidi"/>
          <w:noProof/>
          <w:sz w:val="22"/>
          <w:lang w:eastAsia="cs-CZ"/>
        </w:rPr>
      </w:pPr>
      <w:hyperlink w:anchor="_Toc3291972" w:history="1">
        <w:r w:rsidR="00BC03D3" w:rsidRPr="005C35D9">
          <w:rPr>
            <w:rStyle w:val="Hypertextovodkaz"/>
            <w:noProof/>
          </w:rPr>
          <w:t>1.1.2</w:t>
        </w:r>
        <w:r w:rsidR="00BC03D3">
          <w:rPr>
            <w:rFonts w:asciiTheme="minorHAnsi" w:eastAsiaTheme="minorEastAsia" w:hAnsiTheme="minorHAnsi" w:cstheme="minorBidi"/>
            <w:noProof/>
            <w:sz w:val="22"/>
            <w:lang w:eastAsia="cs-CZ"/>
          </w:rPr>
          <w:tab/>
        </w:r>
        <w:r w:rsidR="00BC03D3" w:rsidRPr="005C35D9">
          <w:rPr>
            <w:rStyle w:val="Hypertextovodkaz"/>
            <w:noProof/>
          </w:rPr>
          <w:t>Použité zkratky</w:t>
        </w:r>
        <w:r w:rsidR="00BC03D3">
          <w:rPr>
            <w:noProof/>
            <w:webHidden/>
          </w:rPr>
          <w:tab/>
        </w:r>
        <w:r w:rsidR="00BC03D3">
          <w:rPr>
            <w:noProof/>
            <w:webHidden/>
          </w:rPr>
          <w:fldChar w:fldCharType="begin"/>
        </w:r>
        <w:r w:rsidR="00BC03D3">
          <w:rPr>
            <w:noProof/>
            <w:webHidden/>
          </w:rPr>
          <w:instrText xml:space="preserve"> PAGEREF _Toc3291972 \h </w:instrText>
        </w:r>
        <w:r w:rsidR="00BC03D3">
          <w:rPr>
            <w:noProof/>
            <w:webHidden/>
          </w:rPr>
        </w:r>
        <w:r w:rsidR="00BC03D3">
          <w:rPr>
            <w:noProof/>
            <w:webHidden/>
          </w:rPr>
          <w:fldChar w:fldCharType="separate"/>
        </w:r>
        <w:r w:rsidR="00AC7B86">
          <w:rPr>
            <w:noProof/>
            <w:webHidden/>
          </w:rPr>
          <w:t>6</w:t>
        </w:r>
        <w:r w:rsidR="00BC03D3">
          <w:rPr>
            <w:noProof/>
            <w:webHidden/>
          </w:rPr>
          <w:fldChar w:fldCharType="end"/>
        </w:r>
      </w:hyperlink>
    </w:p>
    <w:p w14:paraId="030481E9" w14:textId="77777777" w:rsidR="00BC03D3" w:rsidRDefault="005169A6">
      <w:pPr>
        <w:pStyle w:val="Obsah3"/>
        <w:rPr>
          <w:rFonts w:asciiTheme="minorHAnsi" w:eastAsiaTheme="minorEastAsia" w:hAnsiTheme="minorHAnsi" w:cstheme="minorBidi"/>
          <w:noProof/>
          <w:sz w:val="22"/>
          <w:lang w:eastAsia="cs-CZ"/>
        </w:rPr>
      </w:pPr>
      <w:hyperlink w:anchor="_Toc3291973" w:history="1">
        <w:r w:rsidR="00BC03D3" w:rsidRPr="005C35D9">
          <w:rPr>
            <w:rStyle w:val="Hypertextovodkaz"/>
            <w:noProof/>
          </w:rPr>
          <w:t>1.1.3</w:t>
        </w:r>
        <w:r w:rsidR="00BC03D3">
          <w:rPr>
            <w:rFonts w:asciiTheme="minorHAnsi" w:eastAsiaTheme="minorEastAsia" w:hAnsiTheme="minorHAnsi" w:cstheme="minorBidi"/>
            <w:noProof/>
            <w:sz w:val="22"/>
            <w:lang w:eastAsia="cs-CZ"/>
          </w:rPr>
          <w:tab/>
        </w:r>
        <w:r w:rsidR="00BC03D3" w:rsidRPr="005C35D9">
          <w:rPr>
            <w:rStyle w:val="Hypertextovodkaz"/>
            <w:noProof/>
          </w:rPr>
          <w:t>Seznam a způsob identifikace hodnocených anomálií benchmarkingu vlastnických subjektů</w:t>
        </w:r>
        <w:r w:rsidR="00BC03D3">
          <w:rPr>
            <w:noProof/>
            <w:webHidden/>
          </w:rPr>
          <w:tab/>
        </w:r>
        <w:r w:rsidR="00BC03D3">
          <w:rPr>
            <w:noProof/>
            <w:webHidden/>
          </w:rPr>
          <w:fldChar w:fldCharType="begin"/>
        </w:r>
        <w:r w:rsidR="00BC03D3">
          <w:rPr>
            <w:noProof/>
            <w:webHidden/>
          </w:rPr>
          <w:instrText xml:space="preserve"> PAGEREF _Toc3291973 \h </w:instrText>
        </w:r>
        <w:r w:rsidR="00BC03D3">
          <w:rPr>
            <w:noProof/>
            <w:webHidden/>
          </w:rPr>
        </w:r>
        <w:r w:rsidR="00BC03D3">
          <w:rPr>
            <w:noProof/>
            <w:webHidden/>
          </w:rPr>
          <w:fldChar w:fldCharType="separate"/>
        </w:r>
        <w:r w:rsidR="00AC7B86">
          <w:rPr>
            <w:noProof/>
            <w:webHidden/>
          </w:rPr>
          <w:t>6</w:t>
        </w:r>
        <w:r w:rsidR="00BC03D3">
          <w:rPr>
            <w:noProof/>
            <w:webHidden/>
          </w:rPr>
          <w:fldChar w:fldCharType="end"/>
        </w:r>
      </w:hyperlink>
    </w:p>
    <w:p w14:paraId="5EF868FC" w14:textId="77777777" w:rsidR="00BC03D3" w:rsidRDefault="005169A6">
      <w:pPr>
        <w:pStyle w:val="Obsah3"/>
        <w:rPr>
          <w:rFonts w:asciiTheme="minorHAnsi" w:eastAsiaTheme="minorEastAsia" w:hAnsiTheme="minorHAnsi" w:cstheme="minorBidi"/>
          <w:noProof/>
          <w:sz w:val="22"/>
          <w:lang w:eastAsia="cs-CZ"/>
        </w:rPr>
      </w:pPr>
      <w:hyperlink w:anchor="_Toc3291974" w:history="1">
        <w:r w:rsidR="00BC03D3" w:rsidRPr="005C35D9">
          <w:rPr>
            <w:rStyle w:val="Hypertextovodkaz"/>
            <w:noProof/>
          </w:rPr>
          <w:t>1.1.4</w:t>
        </w:r>
        <w:r w:rsidR="00BC03D3">
          <w:rPr>
            <w:rFonts w:asciiTheme="minorHAnsi" w:eastAsiaTheme="minorEastAsia" w:hAnsiTheme="minorHAnsi" w:cstheme="minorBidi"/>
            <w:noProof/>
            <w:sz w:val="22"/>
            <w:lang w:eastAsia="cs-CZ"/>
          </w:rPr>
          <w:tab/>
        </w:r>
        <w:r w:rsidR="00BC03D3" w:rsidRPr="005C35D9">
          <w:rPr>
            <w:rStyle w:val="Hypertextovodkaz"/>
            <w:noProof/>
          </w:rPr>
          <w:t>Seznam a způsob výpočtu hodnocených anomálií benchmarkingu provozovatelských subjektů</w:t>
        </w:r>
        <w:r w:rsidR="00BC03D3">
          <w:rPr>
            <w:noProof/>
            <w:webHidden/>
          </w:rPr>
          <w:tab/>
        </w:r>
        <w:r w:rsidR="00BC03D3">
          <w:rPr>
            <w:noProof/>
            <w:webHidden/>
          </w:rPr>
          <w:fldChar w:fldCharType="begin"/>
        </w:r>
        <w:r w:rsidR="00BC03D3">
          <w:rPr>
            <w:noProof/>
            <w:webHidden/>
          </w:rPr>
          <w:instrText xml:space="preserve"> PAGEREF _Toc3291974 \h </w:instrText>
        </w:r>
        <w:r w:rsidR="00BC03D3">
          <w:rPr>
            <w:noProof/>
            <w:webHidden/>
          </w:rPr>
        </w:r>
        <w:r w:rsidR="00BC03D3">
          <w:rPr>
            <w:noProof/>
            <w:webHidden/>
          </w:rPr>
          <w:fldChar w:fldCharType="separate"/>
        </w:r>
        <w:r w:rsidR="00AC7B86">
          <w:rPr>
            <w:noProof/>
            <w:webHidden/>
          </w:rPr>
          <w:t>10</w:t>
        </w:r>
        <w:r w:rsidR="00BC03D3">
          <w:rPr>
            <w:noProof/>
            <w:webHidden/>
          </w:rPr>
          <w:fldChar w:fldCharType="end"/>
        </w:r>
      </w:hyperlink>
    </w:p>
    <w:p w14:paraId="7AE0853B" w14:textId="77777777" w:rsidR="00BC03D3" w:rsidRDefault="005169A6">
      <w:pPr>
        <w:pStyle w:val="Obsah2"/>
        <w:rPr>
          <w:rFonts w:asciiTheme="minorHAnsi" w:eastAsiaTheme="minorEastAsia" w:hAnsiTheme="minorHAnsi" w:cstheme="minorBidi"/>
          <w:noProof/>
          <w:sz w:val="22"/>
          <w:lang w:eastAsia="cs-CZ"/>
        </w:rPr>
      </w:pPr>
      <w:hyperlink w:anchor="_Toc3291975" w:history="1">
        <w:r w:rsidR="00BC03D3" w:rsidRPr="005C35D9">
          <w:rPr>
            <w:rStyle w:val="Hypertextovodkaz"/>
            <w:noProof/>
          </w:rPr>
          <w:t>1.2</w:t>
        </w:r>
        <w:r w:rsidR="00BC03D3">
          <w:rPr>
            <w:rFonts w:asciiTheme="minorHAnsi" w:eastAsiaTheme="minorEastAsia" w:hAnsiTheme="minorHAnsi" w:cstheme="minorBidi"/>
            <w:noProof/>
            <w:sz w:val="22"/>
            <w:lang w:eastAsia="cs-CZ"/>
          </w:rPr>
          <w:tab/>
        </w:r>
        <w:r w:rsidR="00BC03D3" w:rsidRPr="005C35D9">
          <w:rPr>
            <w:rStyle w:val="Hypertextovodkaz"/>
            <w:noProof/>
          </w:rPr>
          <w:t>Funkce zprávy z benchmarkingu v procesu regulace - provázanost s vizí a záměry dozoru a regulace oboru VaK</w:t>
        </w:r>
        <w:r w:rsidR="00BC03D3">
          <w:rPr>
            <w:noProof/>
            <w:webHidden/>
          </w:rPr>
          <w:tab/>
        </w:r>
        <w:r w:rsidR="00BC03D3">
          <w:rPr>
            <w:noProof/>
            <w:webHidden/>
          </w:rPr>
          <w:fldChar w:fldCharType="begin"/>
        </w:r>
        <w:r w:rsidR="00BC03D3">
          <w:rPr>
            <w:noProof/>
            <w:webHidden/>
          </w:rPr>
          <w:instrText xml:space="preserve"> PAGEREF _Toc3291975 \h </w:instrText>
        </w:r>
        <w:r w:rsidR="00BC03D3">
          <w:rPr>
            <w:noProof/>
            <w:webHidden/>
          </w:rPr>
        </w:r>
        <w:r w:rsidR="00BC03D3">
          <w:rPr>
            <w:noProof/>
            <w:webHidden/>
          </w:rPr>
          <w:fldChar w:fldCharType="separate"/>
        </w:r>
        <w:r w:rsidR="00AC7B86">
          <w:rPr>
            <w:noProof/>
            <w:webHidden/>
          </w:rPr>
          <w:t>12</w:t>
        </w:r>
        <w:r w:rsidR="00BC03D3">
          <w:rPr>
            <w:noProof/>
            <w:webHidden/>
          </w:rPr>
          <w:fldChar w:fldCharType="end"/>
        </w:r>
      </w:hyperlink>
    </w:p>
    <w:p w14:paraId="126418AE" w14:textId="77777777" w:rsidR="00BC03D3" w:rsidRDefault="005169A6">
      <w:pPr>
        <w:pStyle w:val="Obsah3"/>
        <w:rPr>
          <w:rFonts w:asciiTheme="minorHAnsi" w:eastAsiaTheme="minorEastAsia" w:hAnsiTheme="minorHAnsi" w:cstheme="minorBidi"/>
          <w:noProof/>
          <w:sz w:val="22"/>
          <w:lang w:eastAsia="cs-CZ"/>
        </w:rPr>
      </w:pPr>
      <w:hyperlink w:anchor="_Toc3291976" w:history="1">
        <w:r w:rsidR="00BC03D3" w:rsidRPr="005C35D9">
          <w:rPr>
            <w:rStyle w:val="Hypertextovodkaz"/>
            <w:noProof/>
          </w:rPr>
          <w:t>1.2.1</w:t>
        </w:r>
        <w:r w:rsidR="00BC03D3">
          <w:rPr>
            <w:rFonts w:asciiTheme="minorHAnsi" w:eastAsiaTheme="minorEastAsia" w:hAnsiTheme="minorHAnsi" w:cstheme="minorBidi"/>
            <w:noProof/>
            <w:sz w:val="22"/>
            <w:lang w:eastAsia="cs-CZ"/>
          </w:rPr>
          <w:tab/>
        </w:r>
        <w:r w:rsidR="00BC03D3" w:rsidRPr="005C35D9">
          <w:rPr>
            <w:rStyle w:val="Hypertextovodkaz"/>
            <w:noProof/>
          </w:rPr>
          <w:t>Vize regulace oboru VaK</w:t>
        </w:r>
        <w:r w:rsidR="00BC03D3">
          <w:rPr>
            <w:noProof/>
            <w:webHidden/>
          </w:rPr>
          <w:tab/>
        </w:r>
        <w:r w:rsidR="00BC03D3">
          <w:rPr>
            <w:noProof/>
            <w:webHidden/>
          </w:rPr>
          <w:fldChar w:fldCharType="begin"/>
        </w:r>
        <w:r w:rsidR="00BC03D3">
          <w:rPr>
            <w:noProof/>
            <w:webHidden/>
          </w:rPr>
          <w:instrText xml:space="preserve"> PAGEREF _Toc3291976 \h </w:instrText>
        </w:r>
        <w:r w:rsidR="00BC03D3">
          <w:rPr>
            <w:noProof/>
            <w:webHidden/>
          </w:rPr>
        </w:r>
        <w:r w:rsidR="00BC03D3">
          <w:rPr>
            <w:noProof/>
            <w:webHidden/>
          </w:rPr>
          <w:fldChar w:fldCharType="separate"/>
        </w:r>
        <w:r w:rsidR="00AC7B86">
          <w:rPr>
            <w:noProof/>
            <w:webHidden/>
          </w:rPr>
          <w:t>12</w:t>
        </w:r>
        <w:r w:rsidR="00BC03D3">
          <w:rPr>
            <w:noProof/>
            <w:webHidden/>
          </w:rPr>
          <w:fldChar w:fldCharType="end"/>
        </w:r>
      </w:hyperlink>
    </w:p>
    <w:p w14:paraId="25138296" w14:textId="77777777" w:rsidR="00BC03D3" w:rsidRDefault="005169A6">
      <w:pPr>
        <w:pStyle w:val="Obsah3"/>
        <w:rPr>
          <w:rFonts w:asciiTheme="minorHAnsi" w:eastAsiaTheme="minorEastAsia" w:hAnsiTheme="minorHAnsi" w:cstheme="minorBidi"/>
          <w:noProof/>
          <w:sz w:val="22"/>
          <w:lang w:eastAsia="cs-CZ"/>
        </w:rPr>
      </w:pPr>
      <w:hyperlink w:anchor="_Toc3291977" w:history="1">
        <w:r w:rsidR="00BC03D3" w:rsidRPr="005C35D9">
          <w:rPr>
            <w:rStyle w:val="Hypertextovodkaz"/>
            <w:noProof/>
          </w:rPr>
          <w:t>1.2.2</w:t>
        </w:r>
        <w:r w:rsidR="00BC03D3">
          <w:rPr>
            <w:rFonts w:asciiTheme="minorHAnsi" w:eastAsiaTheme="minorEastAsia" w:hAnsiTheme="minorHAnsi" w:cstheme="minorBidi"/>
            <w:noProof/>
            <w:sz w:val="22"/>
            <w:lang w:eastAsia="cs-CZ"/>
          </w:rPr>
          <w:tab/>
        </w:r>
        <w:r w:rsidR="00BC03D3" w:rsidRPr="005C35D9">
          <w:rPr>
            <w:rStyle w:val="Hypertextovodkaz"/>
            <w:noProof/>
          </w:rPr>
          <w:t>Záměry regulace oboru VaK</w:t>
        </w:r>
        <w:r w:rsidR="00BC03D3">
          <w:rPr>
            <w:noProof/>
            <w:webHidden/>
          </w:rPr>
          <w:tab/>
        </w:r>
        <w:r w:rsidR="00BC03D3">
          <w:rPr>
            <w:noProof/>
            <w:webHidden/>
          </w:rPr>
          <w:fldChar w:fldCharType="begin"/>
        </w:r>
        <w:r w:rsidR="00BC03D3">
          <w:rPr>
            <w:noProof/>
            <w:webHidden/>
          </w:rPr>
          <w:instrText xml:space="preserve"> PAGEREF _Toc3291977 \h </w:instrText>
        </w:r>
        <w:r w:rsidR="00BC03D3">
          <w:rPr>
            <w:noProof/>
            <w:webHidden/>
          </w:rPr>
        </w:r>
        <w:r w:rsidR="00BC03D3">
          <w:rPr>
            <w:noProof/>
            <w:webHidden/>
          </w:rPr>
          <w:fldChar w:fldCharType="separate"/>
        </w:r>
        <w:r w:rsidR="00AC7B86">
          <w:rPr>
            <w:noProof/>
            <w:webHidden/>
          </w:rPr>
          <w:t>12</w:t>
        </w:r>
        <w:r w:rsidR="00BC03D3">
          <w:rPr>
            <w:noProof/>
            <w:webHidden/>
          </w:rPr>
          <w:fldChar w:fldCharType="end"/>
        </w:r>
      </w:hyperlink>
    </w:p>
    <w:p w14:paraId="788570E2" w14:textId="77777777" w:rsidR="00BC03D3" w:rsidRDefault="005169A6">
      <w:pPr>
        <w:pStyle w:val="Obsah1"/>
        <w:rPr>
          <w:rFonts w:asciiTheme="minorHAnsi" w:eastAsiaTheme="minorEastAsia" w:hAnsiTheme="minorHAnsi" w:cstheme="minorBidi"/>
          <w:noProof/>
          <w:sz w:val="22"/>
          <w:lang w:eastAsia="cs-CZ"/>
        </w:rPr>
      </w:pPr>
      <w:hyperlink w:anchor="_Toc3291978" w:history="1">
        <w:r w:rsidR="00BC03D3" w:rsidRPr="005C35D9">
          <w:rPr>
            <w:rStyle w:val="Hypertextovodkaz"/>
            <w:noProof/>
          </w:rPr>
          <w:t>2.</w:t>
        </w:r>
        <w:r w:rsidR="00BC03D3">
          <w:rPr>
            <w:rFonts w:asciiTheme="minorHAnsi" w:eastAsiaTheme="minorEastAsia" w:hAnsiTheme="minorHAnsi" w:cstheme="minorBidi"/>
            <w:noProof/>
            <w:sz w:val="22"/>
            <w:lang w:eastAsia="cs-CZ"/>
          </w:rPr>
          <w:tab/>
        </w:r>
        <w:r w:rsidR="00BC03D3" w:rsidRPr="005C35D9">
          <w:rPr>
            <w:rStyle w:val="Hypertextovodkaz"/>
            <w:noProof/>
          </w:rPr>
          <w:t>Proces zlepšování kvality sbíraných dat</w:t>
        </w:r>
        <w:r w:rsidR="00BC03D3">
          <w:rPr>
            <w:noProof/>
            <w:webHidden/>
          </w:rPr>
          <w:tab/>
        </w:r>
        <w:r w:rsidR="00BC03D3">
          <w:rPr>
            <w:noProof/>
            <w:webHidden/>
          </w:rPr>
          <w:fldChar w:fldCharType="begin"/>
        </w:r>
        <w:r w:rsidR="00BC03D3">
          <w:rPr>
            <w:noProof/>
            <w:webHidden/>
          </w:rPr>
          <w:instrText xml:space="preserve"> PAGEREF _Toc3291978 \h </w:instrText>
        </w:r>
        <w:r w:rsidR="00BC03D3">
          <w:rPr>
            <w:noProof/>
            <w:webHidden/>
          </w:rPr>
        </w:r>
        <w:r w:rsidR="00BC03D3">
          <w:rPr>
            <w:noProof/>
            <w:webHidden/>
          </w:rPr>
          <w:fldChar w:fldCharType="separate"/>
        </w:r>
        <w:r w:rsidR="00AC7B86">
          <w:rPr>
            <w:noProof/>
            <w:webHidden/>
          </w:rPr>
          <w:t>13</w:t>
        </w:r>
        <w:r w:rsidR="00BC03D3">
          <w:rPr>
            <w:noProof/>
            <w:webHidden/>
          </w:rPr>
          <w:fldChar w:fldCharType="end"/>
        </w:r>
      </w:hyperlink>
    </w:p>
    <w:p w14:paraId="32487761" w14:textId="77777777" w:rsidR="00BC03D3" w:rsidRDefault="005169A6">
      <w:pPr>
        <w:pStyle w:val="Obsah1"/>
        <w:rPr>
          <w:rFonts w:asciiTheme="minorHAnsi" w:eastAsiaTheme="minorEastAsia" w:hAnsiTheme="minorHAnsi" w:cstheme="minorBidi"/>
          <w:noProof/>
          <w:sz w:val="22"/>
          <w:lang w:eastAsia="cs-CZ"/>
        </w:rPr>
      </w:pPr>
      <w:hyperlink w:anchor="_Toc3291979" w:history="1">
        <w:r w:rsidR="00BC03D3" w:rsidRPr="005C35D9">
          <w:rPr>
            <w:rStyle w:val="Hypertextovodkaz"/>
            <w:noProof/>
          </w:rPr>
          <w:t>3.</w:t>
        </w:r>
        <w:r w:rsidR="00BC03D3">
          <w:rPr>
            <w:rFonts w:asciiTheme="minorHAnsi" w:eastAsiaTheme="minorEastAsia" w:hAnsiTheme="minorHAnsi" w:cstheme="minorBidi"/>
            <w:noProof/>
            <w:sz w:val="22"/>
            <w:lang w:eastAsia="cs-CZ"/>
          </w:rPr>
          <w:tab/>
        </w:r>
        <w:r w:rsidR="00BC03D3" w:rsidRPr="005C35D9">
          <w:rPr>
            <w:rStyle w:val="Hypertextovodkaz"/>
            <w:noProof/>
          </w:rPr>
          <w:t>Základní východiska a postupy, změny oproti předchozímu roku</w:t>
        </w:r>
        <w:r w:rsidR="00BC03D3">
          <w:rPr>
            <w:noProof/>
            <w:webHidden/>
          </w:rPr>
          <w:tab/>
        </w:r>
        <w:r w:rsidR="00BC03D3">
          <w:rPr>
            <w:noProof/>
            <w:webHidden/>
          </w:rPr>
          <w:fldChar w:fldCharType="begin"/>
        </w:r>
        <w:r w:rsidR="00BC03D3">
          <w:rPr>
            <w:noProof/>
            <w:webHidden/>
          </w:rPr>
          <w:instrText xml:space="preserve"> PAGEREF _Toc3291979 \h </w:instrText>
        </w:r>
        <w:r w:rsidR="00BC03D3">
          <w:rPr>
            <w:noProof/>
            <w:webHidden/>
          </w:rPr>
        </w:r>
        <w:r w:rsidR="00BC03D3">
          <w:rPr>
            <w:noProof/>
            <w:webHidden/>
          </w:rPr>
          <w:fldChar w:fldCharType="separate"/>
        </w:r>
        <w:r w:rsidR="00AC7B86">
          <w:rPr>
            <w:noProof/>
            <w:webHidden/>
          </w:rPr>
          <w:t>13</w:t>
        </w:r>
        <w:r w:rsidR="00BC03D3">
          <w:rPr>
            <w:noProof/>
            <w:webHidden/>
          </w:rPr>
          <w:fldChar w:fldCharType="end"/>
        </w:r>
      </w:hyperlink>
    </w:p>
    <w:p w14:paraId="21187FA9" w14:textId="77777777" w:rsidR="00BC03D3" w:rsidRDefault="005169A6">
      <w:pPr>
        <w:pStyle w:val="Obsah2"/>
        <w:rPr>
          <w:rFonts w:asciiTheme="minorHAnsi" w:eastAsiaTheme="minorEastAsia" w:hAnsiTheme="minorHAnsi" w:cstheme="minorBidi"/>
          <w:noProof/>
          <w:sz w:val="22"/>
          <w:lang w:eastAsia="cs-CZ"/>
        </w:rPr>
      </w:pPr>
      <w:hyperlink w:anchor="_Toc3291980" w:history="1">
        <w:r w:rsidR="00BC03D3" w:rsidRPr="005C35D9">
          <w:rPr>
            <w:rStyle w:val="Hypertextovodkaz"/>
            <w:noProof/>
          </w:rPr>
          <w:t>3.1</w:t>
        </w:r>
        <w:r w:rsidR="00BC03D3">
          <w:rPr>
            <w:rFonts w:asciiTheme="minorHAnsi" w:eastAsiaTheme="minorEastAsia" w:hAnsiTheme="minorHAnsi" w:cstheme="minorBidi"/>
            <w:noProof/>
            <w:sz w:val="22"/>
            <w:lang w:eastAsia="cs-CZ"/>
          </w:rPr>
          <w:tab/>
        </w:r>
        <w:r w:rsidR="00BC03D3" w:rsidRPr="005C35D9">
          <w:rPr>
            <w:rStyle w:val="Hypertextovodkaz"/>
            <w:noProof/>
          </w:rPr>
          <w:t>Benchmarking vlastnických subjektů - postup výpočtu skutečné dosažené výše prostředků na obnovu pro jednotlivé modely provozování a jejich podskupiny</w:t>
        </w:r>
        <w:r w:rsidR="00BC03D3">
          <w:rPr>
            <w:noProof/>
            <w:webHidden/>
          </w:rPr>
          <w:tab/>
        </w:r>
        <w:r w:rsidR="00BC03D3">
          <w:rPr>
            <w:noProof/>
            <w:webHidden/>
          </w:rPr>
          <w:fldChar w:fldCharType="begin"/>
        </w:r>
        <w:r w:rsidR="00BC03D3">
          <w:rPr>
            <w:noProof/>
            <w:webHidden/>
          </w:rPr>
          <w:instrText xml:space="preserve"> PAGEREF _Toc3291980 \h </w:instrText>
        </w:r>
        <w:r w:rsidR="00BC03D3">
          <w:rPr>
            <w:noProof/>
            <w:webHidden/>
          </w:rPr>
        </w:r>
        <w:r w:rsidR="00BC03D3">
          <w:rPr>
            <w:noProof/>
            <w:webHidden/>
          </w:rPr>
          <w:fldChar w:fldCharType="separate"/>
        </w:r>
        <w:r w:rsidR="00AC7B86">
          <w:rPr>
            <w:noProof/>
            <w:webHidden/>
          </w:rPr>
          <w:t>15</w:t>
        </w:r>
        <w:r w:rsidR="00BC03D3">
          <w:rPr>
            <w:noProof/>
            <w:webHidden/>
          </w:rPr>
          <w:fldChar w:fldCharType="end"/>
        </w:r>
      </w:hyperlink>
    </w:p>
    <w:p w14:paraId="43E62B72" w14:textId="77777777" w:rsidR="00BC03D3" w:rsidRDefault="005169A6">
      <w:pPr>
        <w:pStyle w:val="Obsah2"/>
        <w:rPr>
          <w:rFonts w:asciiTheme="minorHAnsi" w:eastAsiaTheme="minorEastAsia" w:hAnsiTheme="minorHAnsi" w:cstheme="minorBidi"/>
          <w:noProof/>
          <w:sz w:val="22"/>
          <w:lang w:eastAsia="cs-CZ"/>
        </w:rPr>
      </w:pPr>
      <w:hyperlink w:anchor="_Toc3291981" w:history="1">
        <w:r w:rsidR="00BC03D3" w:rsidRPr="005C35D9">
          <w:rPr>
            <w:rStyle w:val="Hypertextovodkaz"/>
            <w:noProof/>
          </w:rPr>
          <w:t>3.2</w:t>
        </w:r>
        <w:r w:rsidR="00BC03D3">
          <w:rPr>
            <w:rFonts w:asciiTheme="minorHAnsi" w:eastAsiaTheme="minorEastAsia" w:hAnsiTheme="minorHAnsi" w:cstheme="minorBidi"/>
            <w:noProof/>
            <w:sz w:val="22"/>
            <w:lang w:eastAsia="cs-CZ"/>
          </w:rPr>
          <w:tab/>
        </w:r>
        <w:r w:rsidR="00BC03D3" w:rsidRPr="005C35D9">
          <w:rPr>
            <w:rStyle w:val="Hypertextovodkaz"/>
            <w:noProof/>
          </w:rPr>
          <w:t>Benchmarking vlastnických subjektů - problematika vyhodnocování obnovy a řádku 20 - Prostředky obnovy infrastrukturního majetku v Porovnání a další návaznosti na benchmarking vlastnických subjektů a možnosti využití údajů pro sledování obnovy VIM</w:t>
        </w:r>
        <w:r w:rsidR="00BC03D3">
          <w:rPr>
            <w:noProof/>
            <w:webHidden/>
          </w:rPr>
          <w:tab/>
        </w:r>
        <w:r w:rsidR="00BC03D3">
          <w:rPr>
            <w:noProof/>
            <w:webHidden/>
          </w:rPr>
          <w:fldChar w:fldCharType="begin"/>
        </w:r>
        <w:r w:rsidR="00BC03D3">
          <w:rPr>
            <w:noProof/>
            <w:webHidden/>
          </w:rPr>
          <w:instrText xml:space="preserve"> PAGEREF _Toc3291981 \h </w:instrText>
        </w:r>
        <w:r w:rsidR="00BC03D3">
          <w:rPr>
            <w:noProof/>
            <w:webHidden/>
          </w:rPr>
        </w:r>
        <w:r w:rsidR="00BC03D3">
          <w:rPr>
            <w:noProof/>
            <w:webHidden/>
          </w:rPr>
          <w:fldChar w:fldCharType="separate"/>
        </w:r>
        <w:r w:rsidR="00AC7B86">
          <w:rPr>
            <w:noProof/>
            <w:webHidden/>
          </w:rPr>
          <w:t>16</w:t>
        </w:r>
        <w:r w:rsidR="00BC03D3">
          <w:rPr>
            <w:noProof/>
            <w:webHidden/>
          </w:rPr>
          <w:fldChar w:fldCharType="end"/>
        </w:r>
      </w:hyperlink>
    </w:p>
    <w:p w14:paraId="701D7EF7" w14:textId="77777777" w:rsidR="00BC03D3" w:rsidRDefault="005169A6">
      <w:pPr>
        <w:pStyle w:val="Obsah2"/>
        <w:rPr>
          <w:rFonts w:asciiTheme="minorHAnsi" w:eastAsiaTheme="minorEastAsia" w:hAnsiTheme="minorHAnsi" w:cstheme="minorBidi"/>
          <w:noProof/>
          <w:sz w:val="22"/>
          <w:lang w:eastAsia="cs-CZ"/>
        </w:rPr>
      </w:pPr>
      <w:hyperlink w:anchor="_Toc3291982" w:history="1">
        <w:r w:rsidR="00BC03D3" w:rsidRPr="005C35D9">
          <w:rPr>
            <w:rStyle w:val="Hypertextovodkaz"/>
            <w:noProof/>
          </w:rPr>
          <w:t>3.3</w:t>
        </w:r>
        <w:r w:rsidR="00BC03D3">
          <w:rPr>
            <w:rFonts w:asciiTheme="minorHAnsi" w:eastAsiaTheme="minorEastAsia" w:hAnsiTheme="minorHAnsi" w:cstheme="minorBidi"/>
            <w:noProof/>
            <w:sz w:val="22"/>
            <w:lang w:eastAsia="cs-CZ"/>
          </w:rPr>
          <w:tab/>
        </w:r>
        <w:r w:rsidR="00BC03D3" w:rsidRPr="005C35D9">
          <w:rPr>
            <w:rStyle w:val="Hypertextovodkaz"/>
            <w:noProof/>
          </w:rPr>
          <w:t>Benchmarking vlastnických subjektů - ukazatel „Teoretická cena pro vodné a stočné při pokrytí prostředků obnovy a nulovém zisku“</w:t>
        </w:r>
        <w:r w:rsidR="00BC03D3">
          <w:rPr>
            <w:noProof/>
            <w:webHidden/>
          </w:rPr>
          <w:tab/>
        </w:r>
        <w:r w:rsidR="00BC03D3">
          <w:rPr>
            <w:noProof/>
            <w:webHidden/>
          </w:rPr>
          <w:fldChar w:fldCharType="begin"/>
        </w:r>
        <w:r w:rsidR="00BC03D3">
          <w:rPr>
            <w:noProof/>
            <w:webHidden/>
          </w:rPr>
          <w:instrText xml:space="preserve"> PAGEREF _Toc3291982 \h </w:instrText>
        </w:r>
        <w:r w:rsidR="00BC03D3">
          <w:rPr>
            <w:noProof/>
            <w:webHidden/>
          </w:rPr>
        </w:r>
        <w:r w:rsidR="00BC03D3">
          <w:rPr>
            <w:noProof/>
            <w:webHidden/>
          </w:rPr>
          <w:fldChar w:fldCharType="separate"/>
        </w:r>
        <w:r w:rsidR="00AC7B86">
          <w:rPr>
            <w:noProof/>
            <w:webHidden/>
          </w:rPr>
          <w:t>17</w:t>
        </w:r>
        <w:r w:rsidR="00BC03D3">
          <w:rPr>
            <w:noProof/>
            <w:webHidden/>
          </w:rPr>
          <w:fldChar w:fldCharType="end"/>
        </w:r>
      </w:hyperlink>
    </w:p>
    <w:p w14:paraId="369CBFAB" w14:textId="77777777" w:rsidR="00BC03D3" w:rsidRDefault="005169A6">
      <w:pPr>
        <w:pStyle w:val="Obsah2"/>
        <w:rPr>
          <w:rFonts w:asciiTheme="minorHAnsi" w:eastAsiaTheme="minorEastAsia" w:hAnsiTheme="minorHAnsi" w:cstheme="minorBidi"/>
          <w:noProof/>
          <w:sz w:val="22"/>
          <w:lang w:eastAsia="cs-CZ"/>
        </w:rPr>
      </w:pPr>
      <w:hyperlink w:anchor="_Toc3291983" w:history="1">
        <w:r w:rsidR="00BC03D3" w:rsidRPr="005C35D9">
          <w:rPr>
            <w:rStyle w:val="Hypertextovodkaz"/>
            <w:noProof/>
          </w:rPr>
          <w:t>3.4</w:t>
        </w:r>
        <w:r w:rsidR="00BC03D3">
          <w:rPr>
            <w:rFonts w:asciiTheme="minorHAnsi" w:eastAsiaTheme="minorEastAsia" w:hAnsiTheme="minorHAnsi" w:cstheme="minorBidi"/>
            <w:noProof/>
            <w:sz w:val="22"/>
            <w:lang w:eastAsia="cs-CZ"/>
          </w:rPr>
          <w:tab/>
        </w:r>
        <w:r w:rsidR="00BC03D3" w:rsidRPr="005C35D9">
          <w:rPr>
            <w:rStyle w:val="Hypertextovodkaz"/>
            <w:noProof/>
          </w:rPr>
          <w:t>Benchmarking provozovatelských subjektů - postup výběru Porovnání splňujících stanovená kritéria</w:t>
        </w:r>
        <w:r w:rsidR="00BC03D3">
          <w:rPr>
            <w:noProof/>
            <w:webHidden/>
          </w:rPr>
          <w:tab/>
        </w:r>
        <w:r w:rsidR="00BC03D3">
          <w:rPr>
            <w:noProof/>
            <w:webHidden/>
          </w:rPr>
          <w:fldChar w:fldCharType="begin"/>
        </w:r>
        <w:r w:rsidR="00BC03D3">
          <w:rPr>
            <w:noProof/>
            <w:webHidden/>
          </w:rPr>
          <w:instrText xml:space="preserve"> PAGEREF _Toc3291983 \h </w:instrText>
        </w:r>
        <w:r w:rsidR="00BC03D3">
          <w:rPr>
            <w:noProof/>
            <w:webHidden/>
          </w:rPr>
        </w:r>
        <w:r w:rsidR="00BC03D3">
          <w:rPr>
            <w:noProof/>
            <w:webHidden/>
          </w:rPr>
          <w:fldChar w:fldCharType="separate"/>
        </w:r>
        <w:r w:rsidR="00AC7B86">
          <w:rPr>
            <w:noProof/>
            <w:webHidden/>
          </w:rPr>
          <w:t>18</w:t>
        </w:r>
        <w:r w:rsidR="00BC03D3">
          <w:rPr>
            <w:noProof/>
            <w:webHidden/>
          </w:rPr>
          <w:fldChar w:fldCharType="end"/>
        </w:r>
      </w:hyperlink>
    </w:p>
    <w:p w14:paraId="3671D95D" w14:textId="77777777" w:rsidR="00BC03D3" w:rsidRDefault="005169A6">
      <w:pPr>
        <w:pStyle w:val="Obsah1"/>
        <w:rPr>
          <w:rFonts w:asciiTheme="minorHAnsi" w:eastAsiaTheme="minorEastAsia" w:hAnsiTheme="minorHAnsi" w:cstheme="minorBidi"/>
          <w:noProof/>
          <w:sz w:val="22"/>
          <w:lang w:eastAsia="cs-CZ"/>
        </w:rPr>
      </w:pPr>
      <w:hyperlink w:anchor="_Toc3291984" w:history="1">
        <w:r w:rsidR="00BC03D3" w:rsidRPr="005C35D9">
          <w:rPr>
            <w:rStyle w:val="Hypertextovodkaz"/>
            <w:noProof/>
          </w:rPr>
          <w:t>4.</w:t>
        </w:r>
        <w:r w:rsidR="00BC03D3">
          <w:rPr>
            <w:rFonts w:asciiTheme="minorHAnsi" w:eastAsiaTheme="minorEastAsia" w:hAnsiTheme="minorHAnsi" w:cstheme="minorBidi"/>
            <w:noProof/>
            <w:sz w:val="22"/>
            <w:lang w:eastAsia="cs-CZ"/>
          </w:rPr>
          <w:tab/>
        </w:r>
        <w:r w:rsidR="00BC03D3" w:rsidRPr="005C35D9">
          <w:rPr>
            <w:rStyle w:val="Hypertextovodkaz"/>
            <w:noProof/>
          </w:rPr>
          <w:t>Proces vypracování zpráv z benchmarkingových projektů - řešení problematiky propojení dat</w:t>
        </w:r>
        <w:r w:rsidR="00BC03D3">
          <w:rPr>
            <w:noProof/>
            <w:webHidden/>
          </w:rPr>
          <w:tab/>
        </w:r>
        <w:r w:rsidR="00BC03D3">
          <w:rPr>
            <w:noProof/>
            <w:webHidden/>
          </w:rPr>
          <w:fldChar w:fldCharType="begin"/>
        </w:r>
        <w:r w:rsidR="00BC03D3">
          <w:rPr>
            <w:noProof/>
            <w:webHidden/>
          </w:rPr>
          <w:instrText xml:space="preserve"> PAGEREF _Toc3291984 \h </w:instrText>
        </w:r>
        <w:r w:rsidR="00BC03D3">
          <w:rPr>
            <w:noProof/>
            <w:webHidden/>
          </w:rPr>
        </w:r>
        <w:r w:rsidR="00BC03D3">
          <w:rPr>
            <w:noProof/>
            <w:webHidden/>
          </w:rPr>
          <w:fldChar w:fldCharType="separate"/>
        </w:r>
        <w:r w:rsidR="00AC7B86">
          <w:rPr>
            <w:noProof/>
            <w:webHidden/>
          </w:rPr>
          <w:t>20</w:t>
        </w:r>
        <w:r w:rsidR="00BC03D3">
          <w:rPr>
            <w:noProof/>
            <w:webHidden/>
          </w:rPr>
          <w:fldChar w:fldCharType="end"/>
        </w:r>
      </w:hyperlink>
    </w:p>
    <w:p w14:paraId="48ACA13F" w14:textId="77777777" w:rsidR="00BC03D3" w:rsidRDefault="005169A6">
      <w:pPr>
        <w:pStyle w:val="Obsah2"/>
        <w:rPr>
          <w:rFonts w:asciiTheme="minorHAnsi" w:eastAsiaTheme="minorEastAsia" w:hAnsiTheme="minorHAnsi" w:cstheme="minorBidi"/>
          <w:noProof/>
          <w:sz w:val="22"/>
          <w:lang w:eastAsia="cs-CZ"/>
        </w:rPr>
      </w:pPr>
      <w:hyperlink w:anchor="_Toc3291985" w:history="1">
        <w:r w:rsidR="00BC03D3" w:rsidRPr="005C35D9">
          <w:rPr>
            <w:rStyle w:val="Hypertextovodkaz"/>
            <w:noProof/>
          </w:rPr>
          <w:t>4.1</w:t>
        </w:r>
        <w:r w:rsidR="00BC03D3">
          <w:rPr>
            <w:rFonts w:asciiTheme="minorHAnsi" w:eastAsiaTheme="minorEastAsia" w:hAnsiTheme="minorHAnsi" w:cstheme="minorBidi"/>
            <w:noProof/>
            <w:sz w:val="22"/>
            <w:lang w:eastAsia="cs-CZ"/>
          </w:rPr>
          <w:tab/>
        </w:r>
        <w:r w:rsidR="00BC03D3" w:rsidRPr="005C35D9">
          <w:rPr>
            <w:rStyle w:val="Hypertextovodkaz"/>
            <w:noProof/>
          </w:rPr>
          <w:t>Přehled počtu očištěných dat</w:t>
        </w:r>
        <w:r w:rsidR="00BC03D3">
          <w:rPr>
            <w:noProof/>
            <w:webHidden/>
          </w:rPr>
          <w:tab/>
        </w:r>
        <w:r w:rsidR="00BC03D3">
          <w:rPr>
            <w:noProof/>
            <w:webHidden/>
          </w:rPr>
          <w:fldChar w:fldCharType="begin"/>
        </w:r>
        <w:r w:rsidR="00BC03D3">
          <w:rPr>
            <w:noProof/>
            <w:webHidden/>
          </w:rPr>
          <w:instrText xml:space="preserve"> PAGEREF _Toc3291985 \h </w:instrText>
        </w:r>
        <w:r w:rsidR="00BC03D3">
          <w:rPr>
            <w:noProof/>
            <w:webHidden/>
          </w:rPr>
        </w:r>
        <w:r w:rsidR="00BC03D3">
          <w:rPr>
            <w:noProof/>
            <w:webHidden/>
          </w:rPr>
          <w:fldChar w:fldCharType="separate"/>
        </w:r>
        <w:r w:rsidR="00AC7B86">
          <w:rPr>
            <w:noProof/>
            <w:webHidden/>
          </w:rPr>
          <w:t>21</w:t>
        </w:r>
        <w:r w:rsidR="00BC03D3">
          <w:rPr>
            <w:noProof/>
            <w:webHidden/>
          </w:rPr>
          <w:fldChar w:fldCharType="end"/>
        </w:r>
      </w:hyperlink>
    </w:p>
    <w:p w14:paraId="21B2CD46" w14:textId="77777777" w:rsidR="00BC03D3" w:rsidRDefault="005169A6">
      <w:pPr>
        <w:pStyle w:val="Obsah2"/>
        <w:rPr>
          <w:rFonts w:asciiTheme="minorHAnsi" w:eastAsiaTheme="minorEastAsia" w:hAnsiTheme="minorHAnsi" w:cstheme="minorBidi"/>
          <w:noProof/>
          <w:sz w:val="22"/>
          <w:lang w:eastAsia="cs-CZ"/>
        </w:rPr>
      </w:pPr>
      <w:hyperlink w:anchor="_Toc3291986" w:history="1">
        <w:r w:rsidR="00BC03D3" w:rsidRPr="005C35D9">
          <w:rPr>
            <w:rStyle w:val="Hypertextovodkaz"/>
            <w:noProof/>
          </w:rPr>
          <w:t>4.2</w:t>
        </w:r>
        <w:r w:rsidR="00BC03D3">
          <w:rPr>
            <w:rFonts w:asciiTheme="minorHAnsi" w:eastAsiaTheme="minorEastAsia" w:hAnsiTheme="minorHAnsi" w:cstheme="minorBidi"/>
            <w:noProof/>
            <w:sz w:val="22"/>
            <w:lang w:eastAsia="cs-CZ"/>
          </w:rPr>
          <w:tab/>
        </w:r>
        <w:r w:rsidR="00BC03D3" w:rsidRPr="005C35D9">
          <w:rPr>
            <w:rStyle w:val="Hypertextovodkaz"/>
            <w:noProof/>
          </w:rPr>
          <w:t>Důvody, které znemožňují použití dat pro benchmarking</w:t>
        </w:r>
        <w:r w:rsidR="00BC03D3">
          <w:rPr>
            <w:noProof/>
            <w:webHidden/>
          </w:rPr>
          <w:tab/>
        </w:r>
        <w:r w:rsidR="00BC03D3">
          <w:rPr>
            <w:noProof/>
            <w:webHidden/>
          </w:rPr>
          <w:fldChar w:fldCharType="begin"/>
        </w:r>
        <w:r w:rsidR="00BC03D3">
          <w:rPr>
            <w:noProof/>
            <w:webHidden/>
          </w:rPr>
          <w:instrText xml:space="preserve"> PAGEREF _Toc3291986 \h </w:instrText>
        </w:r>
        <w:r w:rsidR="00BC03D3">
          <w:rPr>
            <w:noProof/>
            <w:webHidden/>
          </w:rPr>
        </w:r>
        <w:r w:rsidR="00BC03D3">
          <w:rPr>
            <w:noProof/>
            <w:webHidden/>
          </w:rPr>
          <w:fldChar w:fldCharType="separate"/>
        </w:r>
        <w:r w:rsidR="00AC7B86">
          <w:rPr>
            <w:noProof/>
            <w:webHidden/>
          </w:rPr>
          <w:t>21</w:t>
        </w:r>
        <w:r w:rsidR="00BC03D3">
          <w:rPr>
            <w:noProof/>
            <w:webHidden/>
          </w:rPr>
          <w:fldChar w:fldCharType="end"/>
        </w:r>
      </w:hyperlink>
    </w:p>
    <w:p w14:paraId="6379B2AC" w14:textId="77777777" w:rsidR="00BC03D3" w:rsidRDefault="005169A6">
      <w:pPr>
        <w:pStyle w:val="Obsah3"/>
        <w:rPr>
          <w:rFonts w:asciiTheme="minorHAnsi" w:eastAsiaTheme="minorEastAsia" w:hAnsiTheme="minorHAnsi" w:cstheme="minorBidi"/>
          <w:noProof/>
          <w:sz w:val="22"/>
          <w:lang w:eastAsia="cs-CZ"/>
        </w:rPr>
      </w:pPr>
      <w:hyperlink w:anchor="_Toc3291987" w:history="1">
        <w:r w:rsidR="00BC03D3" w:rsidRPr="005C35D9">
          <w:rPr>
            <w:rStyle w:val="Hypertextovodkaz"/>
            <w:noProof/>
          </w:rPr>
          <w:t>4.2.1</w:t>
        </w:r>
        <w:r w:rsidR="00BC03D3">
          <w:rPr>
            <w:rFonts w:asciiTheme="minorHAnsi" w:eastAsiaTheme="minorEastAsia" w:hAnsiTheme="minorHAnsi" w:cstheme="minorBidi"/>
            <w:noProof/>
            <w:sz w:val="22"/>
            <w:lang w:eastAsia="cs-CZ"/>
          </w:rPr>
          <w:tab/>
        </w:r>
        <w:r w:rsidR="00BC03D3" w:rsidRPr="005C35D9">
          <w:rPr>
            <w:rStyle w:val="Hypertextovodkaz"/>
            <w:noProof/>
          </w:rPr>
          <w:t>Vodovod</w:t>
        </w:r>
        <w:r w:rsidR="00BC03D3">
          <w:rPr>
            <w:noProof/>
            <w:webHidden/>
          </w:rPr>
          <w:tab/>
        </w:r>
        <w:r w:rsidR="00BC03D3">
          <w:rPr>
            <w:noProof/>
            <w:webHidden/>
          </w:rPr>
          <w:fldChar w:fldCharType="begin"/>
        </w:r>
        <w:r w:rsidR="00BC03D3">
          <w:rPr>
            <w:noProof/>
            <w:webHidden/>
          </w:rPr>
          <w:instrText xml:space="preserve"> PAGEREF _Toc3291987 \h </w:instrText>
        </w:r>
        <w:r w:rsidR="00BC03D3">
          <w:rPr>
            <w:noProof/>
            <w:webHidden/>
          </w:rPr>
        </w:r>
        <w:r w:rsidR="00BC03D3">
          <w:rPr>
            <w:noProof/>
            <w:webHidden/>
          </w:rPr>
          <w:fldChar w:fldCharType="separate"/>
        </w:r>
        <w:r w:rsidR="00AC7B86">
          <w:rPr>
            <w:noProof/>
            <w:webHidden/>
          </w:rPr>
          <w:t>22</w:t>
        </w:r>
        <w:r w:rsidR="00BC03D3">
          <w:rPr>
            <w:noProof/>
            <w:webHidden/>
          </w:rPr>
          <w:fldChar w:fldCharType="end"/>
        </w:r>
      </w:hyperlink>
    </w:p>
    <w:p w14:paraId="4EC84BD2" w14:textId="77777777" w:rsidR="00BC03D3" w:rsidRDefault="005169A6">
      <w:pPr>
        <w:pStyle w:val="Obsah3"/>
        <w:rPr>
          <w:rFonts w:asciiTheme="minorHAnsi" w:eastAsiaTheme="minorEastAsia" w:hAnsiTheme="minorHAnsi" w:cstheme="minorBidi"/>
          <w:noProof/>
          <w:sz w:val="22"/>
          <w:lang w:eastAsia="cs-CZ"/>
        </w:rPr>
      </w:pPr>
      <w:hyperlink w:anchor="_Toc3291988" w:history="1">
        <w:r w:rsidR="00BC03D3" w:rsidRPr="005C35D9">
          <w:rPr>
            <w:rStyle w:val="Hypertextovodkaz"/>
            <w:noProof/>
          </w:rPr>
          <w:t>4.2.2</w:t>
        </w:r>
        <w:r w:rsidR="00BC03D3">
          <w:rPr>
            <w:rFonts w:asciiTheme="minorHAnsi" w:eastAsiaTheme="minorEastAsia" w:hAnsiTheme="minorHAnsi" w:cstheme="minorBidi"/>
            <w:noProof/>
            <w:sz w:val="22"/>
            <w:lang w:eastAsia="cs-CZ"/>
          </w:rPr>
          <w:tab/>
        </w:r>
        <w:r w:rsidR="00BC03D3" w:rsidRPr="005C35D9">
          <w:rPr>
            <w:rStyle w:val="Hypertextovodkaz"/>
            <w:noProof/>
          </w:rPr>
          <w:t>Kanalizace</w:t>
        </w:r>
        <w:r w:rsidR="00BC03D3">
          <w:rPr>
            <w:noProof/>
            <w:webHidden/>
          </w:rPr>
          <w:tab/>
        </w:r>
        <w:r w:rsidR="00BC03D3">
          <w:rPr>
            <w:noProof/>
            <w:webHidden/>
          </w:rPr>
          <w:fldChar w:fldCharType="begin"/>
        </w:r>
        <w:r w:rsidR="00BC03D3">
          <w:rPr>
            <w:noProof/>
            <w:webHidden/>
          </w:rPr>
          <w:instrText xml:space="preserve"> PAGEREF _Toc3291988 \h </w:instrText>
        </w:r>
        <w:r w:rsidR="00BC03D3">
          <w:rPr>
            <w:noProof/>
            <w:webHidden/>
          </w:rPr>
        </w:r>
        <w:r w:rsidR="00BC03D3">
          <w:rPr>
            <w:noProof/>
            <w:webHidden/>
          </w:rPr>
          <w:fldChar w:fldCharType="separate"/>
        </w:r>
        <w:r w:rsidR="00AC7B86">
          <w:rPr>
            <w:noProof/>
            <w:webHidden/>
          </w:rPr>
          <w:t>22</w:t>
        </w:r>
        <w:r w:rsidR="00BC03D3">
          <w:rPr>
            <w:noProof/>
            <w:webHidden/>
          </w:rPr>
          <w:fldChar w:fldCharType="end"/>
        </w:r>
      </w:hyperlink>
    </w:p>
    <w:p w14:paraId="7511A13C" w14:textId="77777777" w:rsidR="00BC03D3" w:rsidRDefault="005169A6">
      <w:pPr>
        <w:pStyle w:val="Obsah2"/>
        <w:rPr>
          <w:rFonts w:asciiTheme="minorHAnsi" w:eastAsiaTheme="minorEastAsia" w:hAnsiTheme="minorHAnsi" w:cstheme="minorBidi"/>
          <w:noProof/>
          <w:sz w:val="22"/>
          <w:lang w:eastAsia="cs-CZ"/>
        </w:rPr>
      </w:pPr>
      <w:hyperlink w:anchor="_Toc3291989" w:history="1">
        <w:r w:rsidR="00BC03D3" w:rsidRPr="005C35D9">
          <w:rPr>
            <w:rStyle w:val="Hypertextovodkaz"/>
            <w:noProof/>
          </w:rPr>
          <w:t>4.3</w:t>
        </w:r>
        <w:r w:rsidR="00BC03D3">
          <w:rPr>
            <w:rFonts w:asciiTheme="minorHAnsi" w:eastAsiaTheme="minorEastAsia" w:hAnsiTheme="minorHAnsi" w:cstheme="minorBidi"/>
            <w:noProof/>
            <w:sz w:val="22"/>
            <w:lang w:eastAsia="cs-CZ"/>
          </w:rPr>
          <w:tab/>
        </w:r>
        <w:r w:rsidR="00BC03D3" w:rsidRPr="005C35D9">
          <w:rPr>
            <w:rStyle w:val="Hypertextovodkaz"/>
            <w:noProof/>
          </w:rPr>
          <w:t>Rozdělení Porovnání do vlastnických a provozovatelských skupin</w:t>
        </w:r>
        <w:r w:rsidR="00BC03D3">
          <w:rPr>
            <w:noProof/>
            <w:webHidden/>
          </w:rPr>
          <w:tab/>
        </w:r>
        <w:r w:rsidR="00BC03D3">
          <w:rPr>
            <w:noProof/>
            <w:webHidden/>
          </w:rPr>
          <w:fldChar w:fldCharType="begin"/>
        </w:r>
        <w:r w:rsidR="00BC03D3">
          <w:rPr>
            <w:noProof/>
            <w:webHidden/>
          </w:rPr>
          <w:instrText xml:space="preserve"> PAGEREF _Toc3291989 \h </w:instrText>
        </w:r>
        <w:r w:rsidR="00BC03D3">
          <w:rPr>
            <w:noProof/>
            <w:webHidden/>
          </w:rPr>
        </w:r>
        <w:r w:rsidR="00BC03D3">
          <w:rPr>
            <w:noProof/>
            <w:webHidden/>
          </w:rPr>
          <w:fldChar w:fldCharType="separate"/>
        </w:r>
        <w:r w:rsidR="00AC7B86">
          <w:rPr>
            <w:noProof/>
            <w:webHidden/>
          </w:rPr>
          <w:t>22</w:t>
        </w:r>
        <w:r w:rsidR="00BC03D3">
          <w:rPr>
            <w:noProof/>
            <w:webHidden/>
          </w:rPr>
          <w:fldChar w:fldCharType="end"/>
        </w:r>
      </w:hyperlink>
    </w:p>
    <w:p w14:paraId="406374DB" w14:textId="77777777" w:rsidR="00BC03D3" w:rsidRDefault="005169A6">
      <w:pPr>
        <w:pStyle w:val="Obsah3"/>
        <w:rPr>
          <w:rFonts w:asciiTheme="minorHAnsi" w:eastAsiaTheme="minorEastAsia" w:hAnsiTheme="minorHAnsi" w:cstheme="minorBidi"/>
          <w:noProof/>
          <w:sz w:val="22"/>
          <w:lang w:eastAsia="cs-CZ"/>
        </w:rPr>
      </w:pPr>
      <w:hyperlink w:anchor="_Toc3291990" w:history="1">
        <w:r w:rsidR="00BC03D3" w:rsidRPr="005C35D9">
          <w:rPr>
            <w:rStyle w:val="Hypertextovodkaz"/>
            <w:noProof/>
          </w:rPr>
          <w:t>4.3.1</w:t>
        </w:r>
        <w:r w:rsidR="00BC03D3">
          <w:rPr>
            <w:rFonts w:asciiTheme="minorHAnsi" w:eastAsiaTheme="minorEastAsia" w:hAnsiTheme="minorHAnsi" w:cstheme="minorBidi"/>
            <w:noProof/>
            <w:sz w:val="22"/>
            <w:lang w:eastAsia="cs-CZ"/>
          </w:rPr>
          <w:tab/>
        </w:r>
        <w:r w:rsidR="00BC03D3" w:rsidRPr="005C35D9">
          <w:rPr>
            <w:rStyle w:val="Hypertextovodkaz"/>
            <w:noProof/>
          </w:rPr>
          <w:t>Skupiny vlastnického benchmarkingu</w:t>
        </w:r>
        <w:r w:rsidR="00BC03D3">
          <w:rPr>
            <w:noProof/>
            <w:webHidden/>
          </w:rPr>
          <w:tab/>
        </w:r>
        <w:r w:rsidR="00BC03D3">
          <w:rPr>
            <w:noProof/>
            <w:webHidden/>
          </w:rPr>
          <w:fldChar w:fldCharType="begin"/>
        </w:r>
        <w:r w:rsidR="00BC03D3">
          <w:rPr>
            <w:noProof/>
            <w:webHidden/>
          </w:rPr>
          <w:instrText xml:space="preserve"> PAGEREF _Toc3291990 \h </w:instrText>
        </w:r>
        <w:r w:rsidR="00BC03D3">
          <w:rPr>
            <w:noProof/>
            <w:webHidden/>
          </w:rPr>
        </w:r>
        <w:r w:rsidR="00BC03D3">
          <w:rPr>
            <w:noProof/>
            <w:webHidden/>
          </w:rPr>
          <w:fldChar w:fldCharType="separate"/>
        </w:r>
        <w:r w:rsidR="00AC7B86">
          <w:rPr>
            <w:noProof/>
            <w:webHidden/>
          </w:rPr>
          <w:t>23</w:t>
        </w:r>
        <w:r w:rsidR="00BC03D3">
          <w:rPr>
            <w:noProof/>
            <w:webHidden/>
          </w:rPr>
          <w:fldChar w:fldCharType="end"/>
        </w:r>
      </w:hyperlink>
    </w:p>
    <w:p w14:paraId="4286CB5A" w14:textId="77777777" w:rsidR="00BC03D3" w:rsidRDefault="005169A6">
      <w:pPr>
        <w:pStyle w:val="Obsah3"/>
        <w:rPr>
          <w:rFonts w:asciiTheme="minorHAnsi" w:eastAsiaTheme="minorEastAsia" w:hAnsiTheme="minorHAnsi" w:cstheme="minorBidi"/>
          <w:noProof/>
          <w:sz w:val="22"/>
          <w:lang w:eastAsia="cs-CZ"/>
        </w:rPr>
      </w:pPr>
      <w:hyperlink w:anchor="_Toc3291991" w:history="1">
        <w:r w:rsidR="00BC03D3" w:rsidRPr="005C35D9">
          <w:rPr>
            <w:rStyle w:val="Hypertextovodkaz"/>
            <w:noProof/>
          </w:rPr>
          <w:t>4.3.2</w:t>
        </w:r>
        <w:r w:rsidR="00BC03D3">
          <w:rPr>
            <w:rFonts w:asciiTheme="minorHAnsi" w:eastAsiaTheme="minorEastAsia" w:hAnsiTheme="minorHAnsi" w:cstheme="minorBidi"/>
            <w:noProof/>
            <w:sz w:val="22"/>
            <w:lang w:eastAsia="cs-CZ"/>
          </w:rPr>
          <w:tab/>
        </w:r>
        <w:r w:rsidR="00BC03D3" w:rsidRPr="005C35D9">
          <w:rPr>
            <w:rStyle w:val="Hypertextovodkaz"/>
            <w:noProof/>
          </w:rPr>
          <w:t>Skupiny provozovatelského benchmarkingu</w:t>
        </w:r>
        <w:r w:rsidR="00BC03D3">
          <w:rPr>
            <w:noProof/>
            <w:webHidden/>
          </w:rPr>
          <w:tab/>
        </w:r>
        <w:r w:rsidR="00BC03D3">
          <w:rPr>
            <w:noProof/>
            <w:webHidden/>
          </w:rPr>
          <w:fldChar w:fldCharType="begin"/>
        </w:r>
        <w:r w:rsidR="00BC03D3">
          <w:rPr>
            <w:noProof/>
            <w:webHidden/>
          </w:rPr>
          <w:instrText xml:space="preserve"> PAGEREF _Toc3291991 \h </w:instrText>
        </w:r>
        <w:r w:rsidR="00BC03D3">
          <w:rPr>
            <w:noProof/>
            <w:webHidden/>
          </w:rPr>
        </w:r>
        <w:r w:rsidR="00BC03D3">
          <w:rPr>
            <w:noProof/>
            <w:webHidden/>
          </w:rPr>
          <w:fldChar w:fldCharType="separate"/>
        </w:r>
        <w:r w:rsidR="00AC7B86">
          <w:rPr>
            <w:noProof/>
            <w:webHidden/>
          </w:rPr>
          <w:t>23</w:t>
        </w:r>
        <w:r w:rsidR="00BC03D3">
          <w:rPr>
            <w:noProof/>
            <w:webHidden/>
          </w:rPr>
          <w:fldChar w:fldCharType="end"/>
        </w:r>
      </w:hyperlink>
    </w:p>
    <w:p w14:paraId="483414B6" w14:textId="77777777" w:rsidR="00BC03D3" w:rsidRDefault="005169A6">
      <w:pPr>
        <w:pStyle w:val="Obsah1"/>
        <w:rPr>
          <w:rFonts w:asciiTheme="minorHAnsi" w:eastAsiaTheme="minorEastAsia" w:hAnsiTheme="minorHAnsi" w:cstheme="minorBidi"/>
          <w:noProof/>
          <w:sz w:val="22"/>
          <w:lang w:eastAsia="cs-CZ"/>
        </w:rPr>
      </w:pPr>
      <w:hyperlink w:anchor="_Toc3291992" w:history="1">
        <w:r w:rsidR="00BC03D3" w:rsidRPr="005C35D9">
          <w:rPr>
            <w:rStyle w:val="Hypertextovodkaz"/>
            <w:noProof/>
          </w:rPr>
          <w:t>5.</w:t>
        </w:r>
        <w:r w:rsidR="00BC03D3">
          <w:rPr>
            <w:rFonts w:asciiTheme="minorHAnsi" w:eastAsiaTheme="minorEastAsia" w:hAnsiTheme="minorHAnsi" w:cstheme="minorBidi"/>
            <w:noProof/>
            <w:sz w:val="22"/>
            <w:lang w:eastAsia="cs-CZ"/>
          </w:rPr>
          <w:tab/>
        </w:r>
        <w:r w:rsidR="00BC03D3" w:rsidRPr="005C35D9">
          <w:rPr>
            <w:rStyle w:val="Hypertextovodkaz"/>
            <w:noProof/>
          </w:rPr>
          <w:t>Benchmarking vlastnických subjektů 2017</w:t>
        </w:r>
        <w:r w:rsidR="00BC03D3">
          <w:rPr>
            <w:noProof/>
            <w:webHidden/>
          </w:rPr>
          <w:tab/>
        </w:r>
        <w:r w:rsidR="00BC03D3">
          <w:rPr>
            <w:noProof/>
            <w:webHidden/>
          </w:rPr>
          <w:fldChar w:fldCharType="begin"/>
        </w:r>
        <w:r w:rsidR="00BC03D3">
          <w:rPr>
            <w:noProof/>
            <w:webHidden/>
          </w:rPr>
          <w:instrText xml:space="preserve"> PAGEREF _Toc3291992 \h </w:instrText>
        </w:r>
        <w:r w:rsidR="00BC03D3">
          <w:rPr>
            <w:noProof/>
            <w:webHidden/>
          </w:rPr>
        </w:r>
        <w:r w:rsidR="00BC03D3">
          <w:rPr>
            <w:noProof/>
            <w:webHidden/>
          </w:rPr>
          <w:fldChar w:fldCharType="separate"/>
        </w:r>
        <w:r w:rsidR="00AC7B86">
          <w:rPr>
            <w:noProof/>
            <w:webHidden/>
          </w:rPr>
          <w:t>25</w:t>
        </w:r>
        <w:r w:rsidR="00BC03D3">
          <w:rPr>
            <w:noProof/>
            <w:webHidden/>
          </w:rPr>
          <w:fldChar w:fldCharType="end"/>
        </w:r>
      </w:hyperlink>
    </w:p>
    <w:p w14:paraId="110B5BDE" w14:textId="77777777" w:rsidR="00BC03D3" w:rsidRDefault="005169A6">
      <w:pPr>
        <w:pStyle w:val="Obsah2"/>
        <w:rPr>
          <w:rFonts w:asciiTheme="minorHAnsi" w:eastAsiaTheme="minorEastAsia" w:hAnsiTheme="minorHAnsi" w:cstheme="minorBidi"/>
          <w:noProof/>
          <w:sz w:val="22"/>
          <w:lang w:eastAsia="cs-CZ"/>
        </w:rPr>
      </w:pPr>
      <w:hyperlink w:anchor="_Toc3291993" w:history="1">
        <w:r w:rsidR="00BC03D3" w:rsidRPr="005C35D9">
          <w:rPr>
            <w:rStyle w:val="Hypertextovodkaz"/>
            <w:noProof/>
          </w:rPr>
          <w:t>5.1</w:t>
        </w:r>
        <w:r w:rsidR="00BC03D3">
          <w:rPr>
            <w:rFonts w:asciiTheme="minorHAnsi" w:eastAsiaTheme="minorEastAsia" w:hAnsiTheme="minorHAnsi" w:cstheme="minorBidi"/>
            <w:noProof/>
            <w:sz w:val="22"/>
            <w:lang w:eastAsia="cs-CZ"/>
          </w:rPr>
          <w:tab/>
        </w:r>
        <w:r w:rsidR="00BC03D3" w:rsidRPr="005C35D9">
          <w:rPr>
            <w:rStyle w:val="Hypertextovodkaz"/>
            <w:noProof/>
          </w:rPr>
          <w:t>Cíl zprávy</w:t>
        </w:r>
        <w:r w:rsidR="00BC03D3">
          <w:rPr>
            <w:noProof/>
            <w:webHidden/>
          </w:rPr>
          <w:tab/>
        </w:r>
        <w:r w:rsidR="00BC03D3">
          <w:rPr>
            <w:noProof/>
            <w:webHidden/>
          </w:rPr>
          <w:fldChar w:fldCharType="begin"/>
        </w:r>
        <w:r w:rsidR="00BC03D3">
          <w:rPr>
            <w:noProof/>
            <w:webHidden/>
          </w:rPr>
          <w:instrText xml:space="preserve"> PAGEREF _Toc3291993 \h </w:instrText>
        </w:r>
        <w:r w:rsidR="00BC03D3">
          <w:rPr>
            <w:noProof/>
            <w:webHidden/>
          </w:rPr>
        </w:r>
        <w:r w:rsidR="00BC03D3">
          <w:rPr>
            <w:noProof/>
            <w:webHidden/>
          </w:rPr>
          <w:fldChar w:fldCharType="separate"/>
        </w:r>
        <w:r w:rsidR="00AC7B86">
          <w:rPr>
            <w:noProof/>
            <w:webHidden/>
          </w:rPr>
          <w:t>25</w:t>
        </w:r>
        <w:r w:rsidR="00BC03D3">
          <w:rPr>
            <w:noProof/>
            <w:webHidden/>
          </w:rPr>
          <w:fldChar w:fldCharType="end"/>
        </w:r>
      </w:hyperlink>
    </w:p>
    <w:p w14:paraId="7BD00DA4" w14:textId="77777777" w:rsidR="00BC03D3" w:rsidRDefault="005169A6">
      <w:pPr>
        <w:pStyle w:val="Obsah2"/>
        <w:rPr>
          <w:rFonts w:asciiTheme="minorHAnsi" w:eastAsiaTheme="minorEastAsia" w:hAnsiTheme="minorHAnsi" w:cstheme="minorBidi"/>
          <w:noProof/>
          <w:sz w:val="22"/>
          <w:lang w:eastAsia="cs-CZ"/>
        </w:rPr>
      </w:pPr>
      <w:hyperlink w:anchor="_Toc3291994" w:history="1">
        <w:r w:rsidR="00BC03D3" w:rsidRPr="005C35D9">
          <w:rPr>
            <w:rStyle w:val="Hypertextovodkaz"/>
            <w:noProof/>
          </w:rPr>
          <w:t>5.2</w:t>
        </w:r>
        <w:r w:rsidR="00BC03D3">
          <w:rPr>
            <w:rFonts w:asciiTheme="minorHAnsi" w:eastAsiaTheme="minorEastAsia" w:hAnsiTheme="minorHAnsi" w:cstheme="minorBidi"/>
            <w:noProof/>
            <w:sz w:val="22"/>
            <w:lang w:eastAsia="cs-CZ"/>
          </w:rPr>
          <w:tab/>
        </w:r>
        <w:r w:rsidR="00BC03D3" w:rsidRPr="005C35D9">
          <w:rPr>
            <w:rStyle w:val="Hypertextovodkaz"/>
            <w:noProof/>
          </w:rPr>
          <w:t>Praktické využití výsledků benchmarkingu za rok 2016 MZe pro plnění záměru dosažení samofinancování VIM</w:t>
        </w:r>
        <w:r w:rsidR="00BC03D3">
          <w:rPr>
            <w:noProof/>
            <w:webHidden/>
          </w:rPr>
          <w:tab/>
        </w:r>
        <w:r w:rsidR="00BC03D3">
          <w:rPr>
            <w:noProof/>
            <w:webHidden/>
          </w:rPr>
          <w:fldChar w:fldCharType="begin"/>
        </w:r>
        <w:r w:rsidR="00BC03D3">
          <w:rPr>
            <w:noProof/>
            <w:webHidden/>
          </w:rPr>
          <w:instrText xml:space="preserve"> PAGEREF _Toc3291994 \h </w:instrText>
        </w:r>
        <w:r w:rsidR="00BC03D3">
          <w:rPr>
            <w:noProof/>
            <w:webHidden/>
          </w:rPr>
        </w:r>
        <w:r w:rsidR="00BC03D3">
          <w:rPr>
            <w:noProof/>
            <w:webHidden/>
          </w:rPr>
          <w:fldChar w:fldCharType="separate"/>
        </w:r>
        <w:r w:rsidR="00AC7B86">
          <w:rPr>
            <w:noProof/>
            <w:webHidden/>
          </w:rPr>
          <w:t>25</w:t>
        </w:r>
        <w:r w:rsidR="00BC03D3">
          <w:rPr>
            <w:noProof/>
            <w:webHidden/>
          </w:rPr>
          <w:fldChar w:fldCharType="end"/>
        </w:r>
      </w:hyperlink>
    </w:p>
    <w:p w14:paraId="77A83D0B" w14:textId="77777777" w:rsidR="00BC03D3" w:rsidRDefault="005169A6">
      <w:pPr>
        <w:pStyle w:val="Obsah2"/>
        <w:rPr>
          <w:rFonts w:asciiTheme="minorHAnsi" w:eastAsiaTheme="minorEastAsia" w:hAnsiTheme="minorHAnsi" w:cstheme="minorBidi"/>
          <w:noProof/>
          <w:sz w:val="22"/>
          <w:lang w:eastAsia="cs-CZ"/>
        </w:rPr>
      </w:pPr>
      <w:hyperlink w:anchor="_Toc3291995" w:history="1">
        <w:r w:rsidR="00BC03D3" w:rsidRPr="005C35D9">
          <w:rPr>
            <w:rStyle w:val="Hypertextovodkaz"/>
            <w:noProof/>
          </w:rPr>
          <w:t>5.3</w:t>
        </w:r>
        <w:r w:rsidR="00BC03D3">
          <w:rPr>
            <w:rFonts w:asciiTheme="minorHAnsi" w:eastAsiaTheme="minorEastAsia" w:hAnsiTheme="minorHAnsi" w:cstheme="minorBidi"/>
            <w:noProof/>
            <w:sz w:val="22"/>
            <w:lang w:eastAsia="cs-CZ"/>
          </w:rPr>
          <w:tab/>
        </w:r>
        <w:r w:rsidR="00BC03D3" w:rsidRPr="005C35D9">
          <w:rPr>
            <w:rStyle w:val="Hypertextovodkaz"/>
            <w:noProof/>
          </w:rPr>
          <w:t>Identifikované anomálie</w:t>
        </w:r>
        <w:r w:rsidR="00BC03D3">
          <w:rPr>
            <w:noProof/>
            <w:webHidden/>
          </w:rPr>
          <w:tab/>
        </w:r>
        <w:r w:rsidR="00BC03D3">
          <w:rPr>
            <w:noProof/>
            <w:webHidden/>
          </w:rPr>
          <w:fldChar w:fldCharType="begin"/>
        </w:r>
        <w:r w:rsidR="00BC03D3">
          <w:rPr>
            <w:noProof/>
            <w:webHidden/>
          </w:rPr>
          <w:instrText xml:space="preserve"> PAGEREF _Toc3291995 \h </w:instrText>
        </w:r>
        <w:r w:rsidR="00BC03D3">
          <w:rPr>
            <w:noProof/>
            <w:webHidden/>
          </w:rPr>
        </w:r>
        <w:r w:rsidR="00BC03D3">
          <w:rPr>
            <w:noProof/>
            <w:webHidden/>
          </w:rPr>
          <w:fldChar w:fldCharType="separate"/>
        </w:r>
        <w:r w:rsidR="00AC7B86">
          <w:rPr>
            <w:noProof/>
            <w:webHidden/>
          </w:rPr>
          <w:t>26</w:t>
        </w:r>
        <w:r w:rsidR="00BC03D3">
          <w:rPr>
            <w:noProof/>
            <w:webHidden/>
          </w:rPr>
          <w:fldChar w:fldCharType="end"/>
        </w:r>
      </w:hyperlink>
    </w:p>
    <w:p w14:paraId="0C3AC191" w14:textId="77777777" w:rsidR="00BC03D3" w:rsidRDefault="005169A6">
      <w:pPr>
        <w:pStyle w:val="Obsah3"/>
        <w:rPr>
          <w:rFonts w:asciiTheme="minorHAnsi" w:eastAsiaTheme="minorEastAsia" w:hAnsiTheme="minorHAnsi" w:cstheme="minorBidi"/>
          <w:noProof/>
          <w:sz w:val="22"/>
          <w:lang w:eastAsia="cs-CZ"/>
        </w:rPr>
      </w:pPr>
      <w:hyperlink w:anchor="_Toc3291996" w:history="1">
        <w:r w:rsidR="00BC03D3" w:rsidRPr="005C35D9">
          <w:rPr>
            <w:rStyle w:val="Hypertextovodkaz"/>
            <w:noProof/>
          </w:rPr>
          <w:t>5.3.1</w:t>
        </w:r>
        <w:r w:rsidR="00BC03D3">
          <w:rPr>
            <w:rFonts w:asciiTheme="minorHAnsi" w:eastAsiaTheme="minorEastAsia" w:hAnsiTheme="minorHAnsi" w:cstheme="minorBidi"/>
            <w:noProof/>
            <w:sz w:val="22"/>
            <w:lang w:eastAsia="cs-CZ"/>
          </w:rPr>
          <w:tab/>
        </w:r>
        <w:r w:rsidR="00BC03D3" w:rsidRPr="005C35D9">
          <w:rPr>
            <w:rStyle w:val="Hypertextovodkaz"/>
            <w:rFonts w:eastAsia="Calibri Light"/>
            <w:noProof/>
          </w:rPr>
          <w:t>Vodovod</w:t>
        </w:r>
        <w:r w:rsidR="00BC03D3">
          <w:rPr>
            <w:noProof/>
            <w:webHidden/>
          </w:rPr>
          <w:tab/>
        </w:r>
        <w:r w:rsidR="00BC03D3">
          <w:rPr>
            <w:noProof/>
            <w:webHidden/>
          </w:rPr>
          <w:fldChar w:fldCharType="begin"/>
        </w:r>
        <w:r w:rsidR="00BC03D3">
          <w:rPr>
            <w:noProof/>
            <w:webHidden/>
          </w:rPr>
          <w:instrText xml:space="preserve"> PAGEREF _Toc3291996 \h </w:instrText>
        </w:r>
        <w:r w:rsidR="00BC03D3">
          <w:rPr>
            <w:noProof/>
            <w:webHidden/>
          </w:rPr>
        </w:r>
        <w:r w:rsidR="00BC03D3">
          <w:rPr>
            <w:noProof/>
            <w:webHidden/>
          </w:rPr>
          <w:fldChar w:fldCharType="separate"/>
        </w:r>
        <w:r w:rsidR="00AC7B86">
          <w:rPr>
            <w:noProof/>
            <w:webHidden/>
          </w:rPr>
          <w:t>27</w:t>
        </w:r>
        <w:r w:rsidR="00BC03D3">
          <w:rPr>
            <w:noProof/>
            <w:webHidden/>
          </w:rPr>
          <w:fldChar w:fldCharType="end"/>
        </w:r>
      </w:hyperlink>
    </w:p>
    <w:p w14:paraId="452080D0" w14:textId="77777777" w:rsidR="00BC03D3" w:rsidRDefault="005169A6">
      <w:pPr>
        <w:pStyle w:val="Obsah3"/>
        <w:rPr>
          <w:rFonts w:asciiTheme="minorHAnsi" w:eastAsiaTheme="minorEastAsia" w:hAnsiTheme="minorHAnsi" w:cstheme="minorBidi"/>
          <w:noProof/>
          <w:sz w:val="22"/>
          <w:lang w:eastAsia="cs-CZ"/>
        </w:rPr>
      </w:pPr>
      <w:hyperlink w:anchor="_Toc3291997" w:history="1">
        <w:r w:rsidR="00BC03D3" w:rsidRPr="005C35D9">
          <w:rPr>
            <w:rStyle w:val="Hypertextovodkaz"/>
            <w:noProof/>
          </w:rPr>
          <w:t>5.3.2</w:t>
        </w:r>
        <w:r w:rsidR="00BC03D3">
          <w:rPr>
            <w:rFonts w:asciiTheme="minorHAnsi" w:eastAsiaTheme="minorEastAsia" w:hAnsiTheme="minorHAnsi" w:cstheme="minorBidi"/>
            <w:noProof/>
            <w:sz w:val="22"/>
            <w:lang w:eastAsia="cs-CZ"/>
          </w:rPr>
          <w:tab/>
        </w:r>
        <w:r w:rsidR="00BC03D3" w:rsidRPr="005C35D9">
          <w:rPr>
            <w:rStyle w:val="Hypertextovodkaz"/>
            <w:noProof/>
          </w:rPr>
          <w:t>Nedostatečná tvorba prostředků na obnovu</w:t>
        </w:r>
        <w:r w:rsidR="00BC03D3">
          <w:rPr>
            <w:noProof/>
            <w:webHidden/>
          </w:rPr>
          <w:tab/>
        </w:r>
        <w:r w:rsidR="00BC03D3">
          <w:rPr>
            <w:noProof/>
            <w:webHidden/>
          </w:rPr>
          <w:fldChar w:fldCharType="begin"/>
        </w:r>
        <w:r w:rsidR="00BC03D3">
          <w:rPr>
            <w:noProof/>
            <w:webHidden/>
          </w:rPr>
          <w:instrText xml:space="preserve"> PAGEREF _Toc3291997 \h </w:instrText>
        </w:r>
        <w:r w:rsidR="00BC03D3">
          <w:rPr>
            <w:noProof/>
            <w:webHidden/>
          </w:rPr>
        </w:r>
        <w:r w:rsidR="00BC03D3">
          <w:rPr>
            <w:noProof/>
            <w:webHidden/>
          </w:rPr>
          <w:fldChar w:fldCharType="separate"/>
        </w:r>
        <w:r w:rsidR="00AC7B86">
          <w:rPr>
            <w:noProof/>
            <w:webHidden/>
          </w:rPr>
          <w:t>31</w:t>
        </w:r>
        <w:r w:rsidR="00BC03D3">
          <w:rPr>
            <w:noProof/>
            <w:webHidden/>
          </w:rPr>
          <w:fldChar w:fldCharType="end"/>
        </w:r>
      </w:hyperlink>
    </w:p>
    <w:p w14:paraId="0AFA7AB1" w14:textId="77777777" w:rsidR="00BC03D3" w:rsidRDefault="005169A6">
      <w:pPr>
        <w:pStyle w:val="Obsah3"/>
        <w:rPr>
          <w:rFonts w:asciiTheme="minorHAnsi" w:eastAsiaTheme="minorEastAsia" w:hAnsiTheme="minorHAnsi" w:cstheme="minorBidi"/>
          <w:noProof/>
          <w:sz w:val="22"/>
          <w:lang w:eastAsia="cs-CZ"/>
        </w:rPr>
      </w:pPr>
      <w:hyperlink w:anchor="_Toc3291998" w:history="1">
        <w:r w:rsidR="00BC03D3" w:rsidRPr="005C35D9">
          <w:rPr>
            <w:rStyle w:val="Hypertextovodkaz"/>
            <w:noProof/>
          </w:rPr>
          <w:t>5.3.3</w:t>
        </w:r>
        <w:r w:rsidR="00BC03D3">
          <w:rPr>
            <w:rFonts w:asciiTheme="minorHAnsi" w:eastAsiaTheme="minorEastAsia" w:hAnsiTheme="minorHAnsi" w:cstheme="minorBidi"/>
            <w:noProof/>
            <w:sz w:val="22"/>
            <w:lang w:eastAsia="cs-CZ"/>
          </w:rPr>
          <w:tab/>
        </w:r>
        <w:r w:rsidR="00BC03D3" w:rsidRPr="005C35D9">
          <w:rPr>
            <w:rStyle w:val="Hypertextovodkaz"/>
            <w:noProof/>
          </w:rPr>
          <w:t>Výskyt anomálii v jednotlivých skupinách vlastníků</w:t>
        </w:r>
        <w:r w:rsidR="00BC03D3">
          <w:rPr>
            <w:noProof/>
            <w:webHidden/>
          </w:rPr>
          <w:tab/>
        </w:r>
        <w:r w:rsidR="00BC03D3">
          <w:rPr>
            <w:noProof/>
            <w:webHidden/>
          </w:rPr>
          <w:fldChar w:fldCharType="begin"/>
        </w:r>
        <w:r w:rsidR="00BC03D3">
          <w:rPr>
            <w:noProof/>
            <w:webHidden/>
          </w:rPr>
          <w:instrText xml:space="preserve"> PAGEREF _Toc3291998 \h </w:instrText>
        </w:r>
        <w:r w:rsidR="00BC03D3">
          <w:rPr>
            <w:noProof/>
            <w:webHidden/>
          </w:rPr>
        </w:r>
        <w:r w:rsidR="00BC03D3">
          <w:rPr>
            <w:noProof/>
            <w:webHidden/>
          </w:rPr>
          <w:fldChar w:fldCharType="separate"/>
        </w:r>
        <w:r w:rsidR="00AC7B86">
          <w:rPr>
            <w:noProof/>
            <w:webHidden/>
          </w:rPr>
          <w:t>34</w:t>
        </w:r>
        <w:r w:rsidR="00BC03D3">
          <w:rPr>
            <w:noProof/>
            <w:webHidden/>
          </w:rPr>
          <w:fldChar w:fldCharType="end"/>
        </w:r>
      </w:hyperlink>
    </w:p>
    <w:p w14:paraId="46418495" w14:textId="77777777" w:rsidR="00BC03D3" w:rsidRDefault="005169A6">
      <w:pPr>
        <w:pStyle w:val="Obsah3"/>
        <w:rPr>
          <w:rFonts w:asciiTheme="minorHAnsi" w:eastAsiaTheme="minorEastAsia" w:hAnsiTheme="minorHAnsi" w:cstheme="minorBidi"/>
          <w:noProof/>
          <w:sz w:val="22"/>
          <w:lang w:eastAsia="cs-CZ"/>
        </w:rPr>
      </w:pPr>
      <w:hyperlink w:anchor="_Toc3291999" w:history="1">
        <w:r w:rsidR="00BC03D3" w:rsidRPr="005C35D9">
          <w:rPr>
            <w:rStyle w:val="Hypertextovodkaz"/>
            <w:noProof/>
          </w:rPr>
          <w:t>5.3.4</w:t>
        </w:r>
        <w:r w:rsidR="00BC03D3">
          <w:rPr>
            <w:rFonts w:asciiTheme="minorHAnsi" w:eastAsiaTheme="minorEastAsia" w:hAnsiTheme="minorHAnsi" w:cstheme="minorBidi"/>
            <w:noProof/>
            <w:sz w:val="22"/>
            <w:lang w:eastAsia="cs-CZ"/>
          </w:rPr>
          <w:tab/>
        </w:r>
        <w:r w:rsidR="00BC03D3" w:rsidRPr="005C35D9">
          <w:rPr>
            <w:rStyle w:val="Hypertextovodkaz"/>
            <w:noProof/>
          </w:rPr>
          <w:t>Kanalizace</w:t>
        </w:r>
        <w:r w:rsidR="00BC03D3">
          <w:rPr>
            <w:noProof/>
            <w:webHidden/>
          </w:rPr>
          <w:tab/>
        </w:r>
        <w:r w:rsidR="00BC03D3">
          <w:rPr>
            <w:noProof/>
            <w:webHidden/>
          </w:rPr>
          <w:fldChar w:fldCharType="begin"/>
        </w:r>
        <w:r w:rsidR="00BC03D3">
          <w:rPr>
            <w:noProof/>
            <w:webHidden/>
          </w:rPr>
          <w:instrText xml:space="preserve"> PAGEREF _Toc3291999 \h </w:instrText>
        </w:r>
        <w:r w:rsidR="00BC03D3">
          <w:rPr>
            <w:noProof/>
            <w:webHidden/>
          </w:rPr>
        </w:r>
        <w:r w:rsidR="00BC03D3">
          <w:rPr>
            <w:noProof/>
            <w:webHidden/>
          </w:rPr>
          <w:fldChar w:fldCharType="separate"/>
        </w:r>
        <w:r w:rsidR="00AC7B86">
          <w:rPr>
            <w:noProof/>
            <w:webHidden/>
          </w:rPr>
          <w:t>38</w:t>
        </w:r>
        <w:r w:rsidR="00BC03D3">
          <w:rPr>
            <w:noProof/>
            <w:webHidden/>
          </w:rPr>
          <w:fldChar w:fldCharType="end"/>
        </w:r>
      </w:hyperlink>
    </w:p>
    <w:p w14:paraId="5A882F61" w14:textId="77777777" w:rsidR="00BC03D3" w:rsidRDefault="005169A6">
      <w:pPr>
        <w:pStyle w:val="Obsah3"/>
        <w:rPr>
          <w:rFonts w:asciiTheme="minorHAnsi" w:eastAsiaTheme="minorEastAsia" w:hAnsiTheme="minorHAnsi" w:cstheme="minorBidi"/>
          <w:noProof/>
          <w:sz w:val="22"/>
          <w:lang w:eastAsia="cs-CZ"/>
        </w:rPr>
      </w:pPr>
      <w:hyperlink w:anchor="_Toc3292000" w:history="1">
        <w:r w:rsidR="00BC03D3" w:rsidRPr="005C35D9">
          <w:rPr>
            <w:rStyle w:val="Hypertextovodkaz"/>
            <w:noProof/>
          </w:rPr>
          <w:t>5.3.5</w:t>
        </w:r>
        <w:r w:rsidR="00BC03D3">
          <w:rPr>
            <w:rFonts w:asciiTheme="minorHAnsi" w:eastAsiaTheme="minorEastAsia" w:hAnsiTheme="minorHAnsi" w:cstheme="minorBidi"/>
            <w:noProof/>
            <w:sz w:val="22"/>
            <w:lang w:eastAsia="cs-CZ"/>
          </w:rPr>
          <w:tab/>
        </w:r>
        <w:r w:rsidR="00BC03D3" w:rsidRPr="005C35D9">
          <w:rPr>
            <w:rStyle w:val="Hypertextovodkaz"/>
            <w:noProof/>
          </w:rPr>
          <w:t>Nedostatečná tvorba prostředků na obnovu</w:t>
        </w:r>
        <w:r w:rsidR="00BC03D3">
          <w:rPr>
            <w:noProof/>
            <w:webHidden/>
          </w:rPr>
          <w:tab/>
        </w:r>
        <w:r w:rsidR="00BC03D3">
          <w:rPr>
            <w:noProof/>
            <w:webHidden/>
          </w:rPr>
          <w:fldChar w:fldCharType="begin"/>
        </w:r>
        <w:r w:rsidR="00BC03D3">
          <w:rPr>
            <w:noProof/>
            <w:webHidden/>
          </w:rPr>
          <w:instrText xml:space="preserve"> PAGEREF _Toc3292000 \h </w:instrText>
        </w:r>
        <w:r w:rsidR="00BC03D3">
          <w:rPr>
            <w:noProof/>
            <w:webHidden/>
          </w:rPr>
        </w:r>
        <w:r w:rsidR="00BC03D3">
          <w:rPr>
            <w:noProof/>
            <w:webHidden/>
          </w:rPr>
          <w:fldChar w:fldCharType="separate"/>
        </w:r>
        <w:r w:rsidR="00AC7B86">
          <w:rPr>
            <w:noProof/>
            <w:webHidden/>
          </w:rPr>
          <w:t>42</w:t>
        </w:r>
        <w:r w:rsidR="00BC03D3">
          <w:rPr>
            <w:noProof/>
            <w:webHidden/>
          </w:rPr>
          <w:fldChar w:fldCharType="end"/>
        </w:r>
      </w:hyperlink>
    </w:p>
    <w:p w14:paraId="358E819E" w14:textId="77777777" w:rsidR="00BC03D3" w:rsidRDefault="005169A6">
      <w:pPr>
        <w:pStyle w:val="Obsah3"/>
        <w:rPr>
          <w:rFonts w:asciiTheme="minorHAnsi" w:eastAsiaTheme="minorEastAsia" w:hAnsiTheme="minorHAnsi" w:cstheme="minorBidi"/>
          <w:noProof/>
          <w:sz w:val="22"/>
          <w:lang w:eastAsia="cs-CZ"/>
        </w:rPr>
      </w:pPr>
      <w:hyperlink w:anchor="_Toc3292001" w:history="1">
        <w:r w:rsidR="00BC03D3" w:rsidRPr="005C35D9">
          <w:rPr>
            <w:rStyle w:val="Hypertextovodkaz"/>
            <w:noProof/>
          </w:rPr>
          <w:t>5.3.6</w:t>
        </w:r>
        <w:r w:rsidR="00BC03D3">
          <w:rPr>
            <w:rFonts w:asciiTheme="minorHAnsi" w:eastAsiaTheme="minorEastAsia" w:hAnsiTheme="minorHAnsi" w:cstheme="minorBidi"/>
            <w:noProof/>
            <w:sz w:val="22"/>
            <w:lang w:eastAsia="cs-CZ"/>
          </w:rPr>
          <w:tab/>
        </w:r>
        <w:r w:rsidR="00BC03D3" w:rsidRPr="005C35D9">
          <w:rPr>
            <w:rStyle w:val="Hypertextovodkaz"/>
            <w:noProof/>
          </w:rPr>
          <w:t>Výskyt anomálii v jednotlivých skupinách vlastníků</w:t>
        </w:r>
        <w:r w:rsidR="00BC03D3">
          <w:rPr>
            <w:noProof/>
            <w:webHidden/>
          </w:rPr>
          <w:tab/>
        </w:r>
        <w:r w:rsidR="00BC03D3">
          <w:rPr>
            <w:noProof/>
            <w:webHidden/>
          </w:rPr>
          <w:fldChar w:fldCharType="begin"/>
        </w:r>
        <w:r w:rsidR="00BC03D3">
          <w:rPr>
            <w:noProof/>
            <w:webHidden/>
          </w:rPr>
          <w:instrText xml:space="preserve"> PAGEREF _Toc3292001 \h </w:instrText>
        </w:r>
        <w:r w:rsidR="00BC03D3">
          <w:rPr>
            <w:noProof/>
            <w:webHidden/>
          </w:rPr>
        </w:r>
        <w:r w:rsidR="00BC03D3">
          <w:rPr>
            <w:noProof/>
            <w:webHidden/>
          </w:rPr>
          <w:fldChar w:fldCharType="separate"/>
        </w:r>
        <w:r w:rsidR="00AC7B86">
          <w:rPr>
            <w:noProof/>
            <w:webHidden/>
          </w:rPr>
          <w:t>45</w:t>
        </w:r>
        <w:r w:rsidR="00BC03D3">
          <w:rPr>
            <w:noProof/>
            <w:webHidden/>
          </w:rPr>
          <w:fldChar w:fldCharType="end"/>
        </w:r>
      </w:hyperlink>
    </w:p>
    <w:p w14:paraId="370F5B06" w14:textId="77777777" w:rsidR="00BC03D3" w:rsidRDefault="005169A6">
      <w:pPr>
        <w:pStyle w:val="Obsah2"/>
        <w:rPr>
          <w:rFonts w:asciiTheme="minorHAnsi" w:eastAsiaTheme="minorEastAsia" w:hAnsiTheme="minorHAnsi" w:cstheme="minorBidi"/>
          <w:noProof/>
          <w:sz w:val="22"/>
          <w:lang w:eastAsia="cs-CZ"/>
        </w:rPr>
      </w:pPr>
      <w:hyperlink w:anchor="_Toc3292002" w:history="1">
        <w:r w:rsidR="00BC03D3" w:rsidRPr="005C35D9">
          <w:rPr>
            <w:rStyle w:val="Hypertextovodkaz"/>
            <w:rFonts w:eastAsia="Calibri Light"/>
            <w:noProof/>
          </w:rPr>
          <w:t>5.4</w:t>
        </w:r>
        <w:r w:rsidR="00BC03D3">
          <w:rPr>
            <w:rFonts w:asciiTheme="minorHAnsi" w:eastAsiaTheme="minorEastAsia" w:hAnsiTheme="minorHAnsi" w:cstheme="minorBidi"/>
            <w:noProof/>
            <w:sz w:val="22"/>
            <w:lang w:eastAsia="cs-CZ"/>
          </w:rPr>
          <w:tab/>
        </w:r>
        <w:r w:rsidR="00BC03D3" w:rsidRPr="005C35D9">
          <w:rPr>
            <w:rStyle w:val="Hypertextovodkaz"/>
            <w:rFonts w:eastAsia="Calibri Light"/>
            <w:noProof/>
          </w:rPr>
          <w:t>Závěry benchmarkingového projektu vlastnických subjektů za rok 2017</w:t>
        </w:r>
        <w:r w:rsidR="00BC03D3">
          <w:rPr>
            <w:noProof/>
            <w:webHidden/>
          </w:rPr>
          <w:tab/>
        </w:r>
        <w:r w:rsidR="00BC03D3">
          <w:rPr>
            <w:noProof/>
            <w:webHidden/>
          </w:rPr>
          <w:fldChar w:fldCharType="begin"/>
        </w:r>
        <w:r w:rsidR="00BC03D3">
          <w:rPr>
            <w:noProof/>
            <w:webHidden/>
          </w:rPr>
          <w:instrText xml:space="preserve"> PAGEREF _Toc3292002 \h </w:instrText>
        </w:r>
        <w:r w:rsidR="00BC03D3">
          <w:rPr>
            <w:noProof/>
            <w:webHidden/>
          </w:rPr>
        </w:r>
        <w:r w:rsidR="00BC03D3">
          <w:rPr>
            <w:noProof/>
            <w:webHidden/>
          </w:rPr>
          <w:fldChar w:fldCharType="separate"/>
        </w:r>
        <w:r w:rsidR="00AC7B86">
          <w:rPr>
            <w:noProof/>
            <w:webHidden/>
          </w:rPr>
          <w:t>49</w:t>
        </w:r>
        <w:r w:rsidR="00BC03D3">
          <w:rPr>
            <w:noProof/>
            <w:webHidden/>
          </w:rPr>
          <w:fldChar w:fldCharType="end"/>
        </w:r>
      </w:hyperlink>
    </w:p>
    <w:p w14:paraId="6323B9BD" w14:textId="77777777" w:rsidR="00BC03D3" w:rsidRDefault="005169A6">
      <w:pPr>
        <w:pStyle w:val="Obsah3"/>
        <w:rPr>
          <w:rFonts w:asciiTheme="minorHAnsi" w:eastAsiaTheme="minorEastAsia" w:hAnsiTheme="minorHAnsi" w:cstheme="minorBidi"/>
          <w:noProof/>
          <w:sz w:val="22"/>
          <w:lang w:eastAsia="cs-CZ"/>
        </w:rPr>
      </w:pPr>
      <w:hyperlink w:anchor="_Toc3292003" w:history="1">
        <w:r w:rsidR="00BC03D3" w:rsidRPr="005C35D9">
          <w:rPr>
            <w:rStyle w:val="Hypertextovodkaz"/>
            <w:noProof/>
          </w:rPr>
          <w:t>5.4.1</w:t>
        </w:r>
        <w:r w:rsidR="00BC03D3">
          <w:rPr>
            <w:rFonts w:asciiTheme="minorHAnsi" w:eastAsiaTheme="minorEastAsia" w:hAnsiTheme="minorHAnsi" w:cstheme="minorBidi"/>
            <w:noProof/>
            <w:sz w:val="22"/>
            <w:lang w:eastAsia="cs-CZ"/>
          </w:rPr>
          <w:tab/>
        </w:r>
        <w:r w:rsidR="00BC03D3" w:rsidRPr="005C35D9">
          <w:rPr>
            <w:rStyle w:val="Hypertextovodkaz"/>
            <w:noProof/>
          </w:rPr>
          <w:t>SWOT analýza</w:t>
        </w:r>
        <w:r w:rsidR="00BC03D3">
          <w:rPr>
            <w:noProof/>
            <w:webHidden/>
          </w:rPr>
          <w:tab/>
        </w:r>
        <w:r w:rsidR="00BC03D3">
          <w:rPr>
            <w:noProof/>
            <w:webHidden/>
          </w:rPr>
          <w:fldChar w:fldCharType="begin"/>
        </w:r>
        <w:r w:rsidR="00BC03D3">
          <w:rPr>
            <w:noProof/>
            <w:webHidden/>
          </w:rPr>
          <w:instrText xml:space="preserve"> PAGEREF _Toc3292003 \h </w:instrText>
        </w:r>
        <w:r w:rsidR="00BC03D3">
          <w:rPr>
            <w:noProof/>
            <w:webHidden/>
          </w:rPr>
        </w:r>
        <w:r w:rsidR="00BC03D3">
          <w:rPr>
            <w:noProof/>
            <w:webHidden/>
          </w:rPr>
          <w:fldChar w:fldCharType="separate"/>
        </w:r>
        <w:r w:rsidR="00AC7B86">
          <w:rPr>
            <w:noProof/>
            <w:webHidden/>
          </w:rPr>
          <w:t>49</w:t>
        </w:r>
        <w:r w:rsidR="00BC03D3">
          <w:rPr>
            <w:noProof/>
            <w:webHidden/>
          </w:rPr>
          <w:fldChar w:fldCharType="end"/>
        </w:r>
      </w:hyperlink>
    </w:p>
    <w:p w14:paraId="6C996937" w14:textId="77777777" w:rsidR="00BC03D3" w:rsidRDefault="005169A6">
      <w:pPr>
        <w:pStyle w:val="Obsah3"/>
        <w:rPr>
          <w:rFonts w:asciiTheme="minorHAnsi" w:eastAsiaTheme="minorEastAsia" w:hAnsiTheme="minorHAnsi" w:cstheme="minorBidi"/>
          <w:noProof/>
          <w:sz w:val="22"/>
          <w:lang w:eastAsia="cs-CZ"/>
        </w:rPr>
      </w:pPr>
      <w:hyperlink w:anchor="_Toc3292004" w:history="1">
        <w:r w:rsidR="00BC03D3" w:rsidRPr="005C35D9">
          <w:rPr>
            <w:rStyle w:val="Hypertextovodkaz"/>
            <w:noProof/>
          </w:rPr>
          <w:t>5.4.2</w:t>
        </w:r>
        <w:r w:rsidR="00BC03D3">
          <w:rPr>
            <w:rFonts w:asciiTheme="minorHAnsi" w:eastAsiaTheme="minorEastAsia" w:hAnsiTheme="minorHAnsi" w:cstheme="minorBidi"/>
            <w:noProof/>
            <w:sz w:val="22"/>
            <w:lang w:eastAsia="cs-CZ"/>
          </w:rPr>
          <w:tab/>
        </w:r>
        <w:r w:rsidR="00BC03D3" w:rsidRPr="005C35D9">
          <w:rPr>
            <w:rStyle w:val="Hypertextovodkaz"/>
            <w:noProof/>
          </w:rPr>
          <w:t>Závěr, zhodnocení a návrh dalšího postupu</w:t>
        </w:r>
        <w:r w:rsidR="00BC03D3">
          <w:rPr>
            <w:noProof/>
            <w:webHidden/>
          </w:rPr>
          <w:tab/>
        </w:r>
        <w:r w:rsidR="00BC03D3">
          <w:rPr>
            <w:noProof/>
            <w:webHidden/>
          </w:rPr>
          <w:fldChar w:fldCharType="begin"/>
        </w:r>
        <w:r w:rsidR="00BC03D3">
          <w:rPr>
            <w:noProof/>
            <w:webHidden/>
          </w:rPr>
          <w:instrText xml:space="preserve"> PAGEREF _Toc3292004 \h </w:instrText>
        </w:r>
        <w:r w:rsidR="00BC03D3">
          <w:rPr>
            <w:noProof/>
            <w:webHidden/>
          </w:rPr>
        </w:r>
        <w:r w:rsidR="00BC03D3">
          <w:rPr>
            <w:noProof/>
            <w:webHidden/>
          </w:rPr>
          <w:fldChar w:fldCharType="separate"/>
        </w:r>
        <w:r w:rsidR="00AC7B86">
          <w:rPr>
            <w:noProof/>
            <w:webHidden/>
          </w:rPr>
          <w:t>52</w:t>
        </w:r>
        <w:r w:rsidR="00BC03D3">
          <w:rPr>
            <w:noProof/>
            <w:webHidden/>
          </w:rPr>
          <w:fldChar w:fldCharType="end"/>
        </w:r>
      </w:hyperlink>
    </w:p>
    <w:p w14:paraId="54664FDA" w14:textId="77777777" w:rsidR="00BC03D3" w:rsidRDefault="005169A6">
      <w:pPr>
        <w:pStyle w:val="Obsah1"/>
        <w:rPr>
          <w:rFonts w:asciiTheme="minorHAnsi" w:eastAsiaTheme="minorEastAsia" w:hAnsiTheme="minorHAnsi" w:cstheme="minorBidi"/>
          <w:noProof/>
          <w:sz w:val="22"/>
          <w:lang w:eastAsia="cs-CZ"/>
        </w:rPr>
      </w:pPr>
      <w:hyperlink w:anchor="_Toc3292005" w:history="1">
        <w:r w:rsidR="00BC03D3" w:rsidRPr="005C35D9">
          <w:rPr>
            <w:rStyle w:val="Hypertextovodkaz"/>
            <w:noProof/>
          </w:rPr>
          <w:t>6.</w:t>
        </w:r>
        <w:r w:rsidR="00BC03D3">
          <w:rPr>
            <w:rFonts w:asciiTheme="minorHAnsi" w:eastAsiaTheme="minorEastAsia" w:hAnsiTheme="minorHAnsi" w:cstheme="minorBidi"/>
            <w:noProof/>
            <w:sz w:val="22"/>
            <w:lang w:eastAsia="cs-CZ"/>
          </w:rPr>
          <w:tab/>
        </w:r>
        <w:r w:rsidR="00BC03D3" w:rsidRPr="005C35D9">
          <w:rPr>
            <w:rStyle w:val="Hypertextovodkaz"/>
            <w:noProof/>
          </w:rPr>
          <w:t>Benchmarking provozovatelských subjektů 2017</w:t>
        </w:r>
        <w:r w:rsidR="00BC03D3">
          <w:rPr>
            <w:noProof/>
            <w:webHidden/>
          </w:rPr>
          <w:tab/>
        </w:r>
        <w:r w:rsidR="00BC03D3">
          <w:rPr>
            <w:noProof/>
            <w:webHidden/>
          </w:rPr>
          <w:fldChar w:fldCharType="begin"/>
        </w:r>
        <w:r w:rsidR="00BC03D3">
          <w:rPr>
            <w:noProof/>
            <w:webHidden/>
          </w:rPr>
          <w:instrText xml:space="preserve"> PAGEREF _Toc3292005 \h </w:instrText>
        </w:r>
        <w:r w:rsidR="00BC03D3">
          <w:rPr>
            <w:noProof/>
            <w:webHidden/>
          </w:rPr>
        </w:r>
        <w:r w:rsidR="00BC03D3">
          <w:rPr>
            <w:noProof/>
            <w:webHidden/>
          </w:rPr>
          <w:fldChar w:fldCharType="separate"/>
        </w:r>
        <w:r w:rsidR="00AC7B86">
          <w:rPr>
            <w:noProof/>
            <w:webHidden/>
          </w:rPr>
          <w:t>54</w:t>
        </w:r>
        <w:r w:rsidR="00BC03D3">
          <w:rPr>
            <w:noProof/>
            <w:webHidden/>
          </w:rPr>
          <w:fldChar w:fldCharType="end"/>
        </w:r>
      </w:hyperlink>
    </w:p>
    <w:p w14:paraId="7412352F" w14:textId="77777777" w:rsidR="00BC03D3" w:rsidRDefault="005169A6">
      <w:pPr>
        <w:pStyle w:val="Obsah2"/>
        <w:rPr>
          <w:rFonts w:asciiTheme="minorHAnsi" w:eastAsiaTheme="minorEastAsia" w:hAnsiTheme="minorHAnsi" w:cstheme="minorBidi"/>
          <w:noProof/>
          <w:sz w:val="22"/>
          <w:lang w:eastAsia="cs-CZ"/>
        </w:rPr>
      </w:pPr>
      <w:hyperlink w:anchor="_Toc3292006" w:history="1">
        <w:r w:rsidR="00BC03D3" w:rsidRPr="005C35D9">
          <w:rPr>
            <w:rStyle w:val="Hypertextovodkaz"/>
            <w:noProof/>
          </w:rPr>
          <w:t>6.1</w:t>
        </w:r>
        <w:r w:rsidR="00BC03D3">
          <w:rPr>
            <w:rFonts w:asciiTheme="minorHAnsi" w:eastAsiaTheme="minorEastAsia" w:hAnsiTheme="minorHAnsi" w:cstheme="minorBidi"/>
            <w:noProof/>
            <w:sz w:val="22"/>
            <w:lang w:eastAsia="cs-CZ"/>
          </w:rPr>
          <w:tab/>
        </w:r>
        <w:r w:rsidR="00BC03D3" w:rsidRPr="005C35D9">
          <w:rPr>
            <w:rStyle w:val="Hypertextovodkaz"/>
            <w:noProof/>
          </w:rPr>
          <w:t>Cíl zprávy</w:t>
        </w:r>
        <w:r w:rsidR="00BC03D3">
          <w:rPr>
            <w:noProof/>
            <w:webHidden/>
          </w:rPr>
          <w:tab/>
        </w:r>
        <w:r w:rsidR="00BC03D3">
          <w:rPr>
            <w:noProof/>
            <w:webHidden/>
          </w:rPr>
          <w:fldChar w:fldCharType="begin"/>
        </w:r>
        <w:r w:rsidR="00BC03D3">
          <w:rPr>
            <w:noProof/>
            <w:webHidden/>
          </w:rPr>
          <w:instrText xml:space="preserve"> PAGEREF _Toc3292006 \h </w:instrText>
        </w:r>
        <w:r w:rsidR="00BC03D3">
          <w:rPr>
            <w:noProof/>
            <w:webHidden/>
          </w:rPr>
        </w:r>
        <w:r w:rsidR="00BC03D3">
          <w:rPr>
            <w:noProof/>
            <w:webHidden/>
          </w:rPr>
          <w:fldChar w:fldCharType="separate"/>
        </w:r>
        <w:r w:rsidR="00AC7B86">
          <w:rPr>
            <w:noProof/>
            <w:webHidden/>
          </w:rPr>
          <w:t>54</w:t>
        </w:r>
        <w:r w:rsidR="00BC03D3">
          <w:rPr>
            <w:noProof/>
            <w:webHidden/>
          </w:rPr>
          <w:fldChar w:fldCharType="end"/>
        </w:r>
      </w:hyperlink>
    </w:p>
    <w:p w14:paraId="798F47DA" w14:textId="77777777" w:rsidR="00BC03D3" w:rsidRDefault="005169A6">
      <w:pPr>
        <w:pStyle w:val="Obsah2"/>
        <w:rPr>
          <w:rFonts w:asciiTheme="minorHAnsi" w:eastAsiaTheme="minorEastAsia" w:hAnsiTheme="minorHAnsi" w:cstheme="minorBidi"/>
          <w:noProof/>
          <w:sz w:val="22"/>
          <w:lang w:eastAsia="cs-CZ"/>
        </w:rPr>
      </w:pPr>
      <w:hyperlink w:anchor="_Toc3292007" w:history="1">
        <w:r w:rsidR="00BC03D3" w:rsidRPr="005C35D9">
          <w:rPr>
            <w:rStyle w:val="Hypertextovodkaz"/>
            <w:noProof/>
          </w:rPr>
          <w:t>6.2</w:t>
        </w:r>
        <w:r w:rsidR="00BC03D3">
          <w:rPr>
            <w:rFonts w:asciiTheme="minorHAnsi" w:eastAsiaTheme="minorEastAsia" w:hAnsiTheme="minorHAnsi" w:cstheme="minorBidi"/>
            <w:noProof/>
            <w:sz w:val="22"/>
            <w:lang w:eastAsia="cs-CZ"/>
          </w:rPr>
          <w:tab/>
        </w:r>
        <w:r w:rsidR="00BC03D3" w:rsidRPr="005C35D9">
          <w:rPr>
            <w:rStyle w:val="Hypertextovodkaz"/>
            <w:noProof/>
          </w:rPr>
          <w:t>Identifikované anomálie</w:t>
        </w:r>
        <w:r w:rsidR="00BC03D3">
          <w:rPr>
            <w:noProof/>
            <w:webHidden/>
          </w:rPr>
          <w:tab/>
        </w:r>
        <w:r w:rsidR="00BC03D3">
          <w:rPr>
            <w:noProof/>
            <w:webHidden/>
          </w:rPr>
          <w:fldChar w:fldCharType="begin"/>
        </w:r>
        <w:r w:rsidR="00BC03D3">
          <w:rPr>
            <w:noProof/>
            <w:webHidden/>
          </w:rPr>
          <w:instrText xml:space="preserve"> PAGEREF _Toc3292007 \h </w:instrText>
        </w:r>
        <w:r w:rsidR="00BC03D3">
          <w:rPr>
            <w:noProof/>
            <w:webHidden/>
          </w:rPr>
        </w:r>
        <w:r w:rsidR="00BC03D3">
          <w:rPr>
            <w:noProof/>
            <w:webHidden/>
          </w:rPr>
          <w:fldChar w:fldCharType="separate"/>
        </w:r>
        <w:r w:rsidR="00AC7B86">
          <w:rPr>
            <w:noProof/>
            <w:webHidden/>
          </w:rPr>
          <w:t>54</w:t>
        </w:r>
        <w:r w:rsidR="00BC03D3">
          <w:rPr>
            <w:noProof/>
            <w:webHidden/>
          </w:rPr>
          <w:fldChar w:fldCharType="end"/>
        </w:r>
      </w:hyperlink>
    </w:p>
    <w:p w14:paraId="08C47919" w14:textId="77777777" w:rsidR="00BC03D3" w:rsidRDefault="005169A6">
      <w:pPr>
        <w:pStyle w:val="Obsah3"/>
        <w:rPr>
          <w:rFonts w:asciiTheme="minorHAnsi" w:eastAsiaTheme="minorEastAsia" w:hAnsiTheme="minorHAnsi" w:cstheme="minorBidi"/>
          <w:noProof/>
          <w:sz w:val="22"/>
          <w:lang w:eastAsia="cs-CZ"/>
        </w:rPr>
      </w:pPr>
      <w:hyperlink w:anchor="_Toc3292008" w:history="1">
        <w:r w:rsidR="00BC03D3" w:rsidRPr="005C35D9">
          <w:rPr>
            <w:rStyle w:val="Hypertextovodkaz"/>
            <w:rFonts w:eastAsia="Calibri Light"/>
            <w:noProof/>
          </w:rPr>
          <w:t>6.2.1</w:t>
        </w:r>
        <w:r w:rsidR="00BC03D3">
          <w:rPr>
            <w:rFonts w:asciiTheme="minorHAnsi" w:eastAsiaTheme="minorEastAsia" w:hAnsiTheme="minorHAnsi" w:cstheme="minorBidi"/>
            <w:noProof/>
            <w:sz w:val="22"/>
            <w:lang w:eastAsia="cs-CZ"/>
          </w:rPr>
          <w:tab/>
        </w:r>
        <w:r w:rsidR="00BC03D3" w:rsidRPr="005C35D9">
          <w:rPr>
            <w:rStyle w:val="Hypertextovodkaz"/>
            <w:rFonts w:eastAsia="Calibri Light"/>
            <w:noProof/>
          </w:rPr>
          <w:t>Vodovod</w:t>
        </w:r>
        <w:r w:rsidR="00BC03D3">
          <w:rPr>
            <w:noProof/>
            <w:webHidden/>
          </w:rPr>
          <w:tab/>
        </w:r>
        <w:r w:rsidR="00BC03D3">
          <w:rPr>
            <w:noProof/>
            <w:webHidden/>
          </w:rPr>
          <w:fldChar w:fldCharType="begin"/>
        </w:r>
        <w:r w:rsidR="00BC03D3">
          <w:rPr>
            <w:noProof/>
            <w:webHidden/>
          </w:rPr>
          <w:instrText xml:space="preserve"> PAGEREF _Toc3292008 \h </w:instrText>
        </w:r>
        <w:r w:rsidR="00BC03D3">
          <w:rPr>
            <w:noProof/>
            <w:webHidden/>
          </w:rPr>
        </w:r>
        <w:r w:rsidR="00BC03D3">
          <w:rPr>
            <w:noProof/>
            <w:webHidden/>
          </w:rPr>
          <w:fldChar w:fldCharType="separate"/>
        </w:r>
        <w:r w:rsidR="00AC7B86">
          <w:rPr>
            <w:noProof/>
            <w:webHidden/>
          </w:rPr>
          <w:t>54</w:t>
        </w:r>
        <w:r w:rsidR="00BC03D3">
          <w:rPr>
            <w:noProof/>
            <w:webHidden/>
          </w:rPr>
          <w:fldChar w:fldCharType="end"/>
        </w:r>
      </w:hyperlink>
    </w:p>
    <w:p w14:paraId="74667425" w14:textId="77777777" w:rsidR="00BC03D3" w:rsidRDefault="005169A6">
      <w:pPr>
        <w:pStyle w:val="Obsah3"/>
        <w:rPr>
          <w:rFonts w:asciiTheme="minorHAnsi" w:eastAsiaTheme="minorEastAsia" w:hAnsiTheme="minorHAnsi" w:cstheme="minorBidi"/>
          <w:noProof/>
          <w:sz w:val="22"/>
          <w:lang w:eastAsia="cs-CZ"/>
        </w:rPr>
      </w:pPr>
      <w:hyperlink w:anchor="_Toc3292009" w:history="1">
        <w:r w:rsidR="00BC03D3" w:rsidRPr="005C35D9">
          <w:rPr>
            <w:rStyle w:val="Hypertextovodkaz"/>
            <w:noProof/>
          </w:rPr>
          <w:t>6.2.2</w:t>
        </w:r>
        <w:r w:rsidR="00BC03D3">
          <w:rPr>
            <w:rFonts w:asciiTheme="minorHAnsi" w:eastAsiaTheme="minorEastAsia" w:hAnsiTheme="minorHAnsi" w:cstheme="minorBidi"/>
            <w:noProof/>
            <w:sz w:val="22"/>
            <w:lang w:eastAsia="cs-CZ"/>
          </w:rPr>
          <w:tab/>
        </w:r>
        <w:r w:rsidR="00BC03D3" w:rsidRPr="005C35D9">
          <w:rPr>
            <w:rStyle w:val="Hypertextovodkaz"/>
            <w:noProof/>
          </w:rPr>
          <w:t>Výskyt anomálii v jednotlivých skupinách provozovatelů</w:t>
        </w:r>
        <w:r w:rsidR="00BC03D3">
          <w:rPr>
            <w:noProof/>
            <w:webHidden/>
          </w:rPr>
          <w:tab/>
        </w:r>
        <w:r w:rsidR="00BC03D3">
          <w:rPr>
            <w:noProof/>
            <w:webHidden/>
          </w:rPr>
          <w:fldChar w:fldCharType="begin"/>
        </w:r>
        <w:r w:rsidR="00BC03D3">
          <w:rPr>
            <w:noProof/>
            <w:webHidden/>
          </w:rPr>
          <w:instrText xml:space="preserve"> PAGEREF _Toc3292009 \h </w:instrText>
        </w:r>
        <w:r w:rsidR="00BC03D3">
          <w:rPr>
            <w:noProof/>
            <w:webHidden/>
          </w:rPr>
        </w:r>
        <w:r w:rsidR="00BC03D3">
          <w:rPr>
            <w:noProof/>
            <w:webHidden/>
          </w:rPr>
          <w:fldChar w:fldCharType="separate"/>
        </w:r>
        <w:r w:rsidR="00AC7B86">
          <w:rPr>
            <w:noProof/>
            <w:webHidden/>
          </w:rPr>
          <w:t>58</w:t>
        </w:r>
        <w:r w:rsidR="00BC03D3">
          <w:rPr>
            <w:noProof/>
            <w:webHidden/>
          </w:rPr>
          <w:fldChar w:fldCharType="end"/>
        </w:r>
      </w:hyperlink>
    </w:p>
    <w:p w14:paraId="198294E6" w14:textId="77777777" w:rsidR="00BC03D3" w:rsidRDefault="005169A6">
      <w:pPr>
        <w:pStyle w:val="Obsah3"/>
        <w:rPr>
          <w:rFonts w:asciiTheme="minorHAnsi" w:eastAsiaTheme="minorEastAsia" w:hAnsiTheme="minorHAnsi" w:cstheme="minorBidi"/>
          <w:noProof/>
          <w:sz w:val="22"/>
          <w:lang w:eastAsia="cs-CZ"/>
        </w:rPr>
      </w:pPr>
      <w:hyperlink w:anchor="_Toc3292010" w:history="1">
        <w:r w:rsidR="00BC03D3" w:rsidRPr="005C35D9">
          <w:rPr>
            <w:rStyle w:val="Hypertextovodkaz"/>
            <w:noProof/>
          </w:rPr>
          <w:t>6.2.3</w:t>
        </w:r>
        <w:r w:rsidR="00BC03D3">
          <w:rPr>
            <w:rFonts w:asciiTheme="minorHAnsi" w:eastAsiaTheme="minorEastAsia" w:hAnsiTheme="minorHAnsi" w:cstheme="minorBidi"/>
            <w:noProof/>
            <w:sz w:val="22"/>
            <w:lang w:eastAsia="cs-CZ"/>
          </w:rPr>
          <w:tab/>
        </w:r>
        <w:r w:rsidR="00BC03D3" w:rsidRPr="005C35D9">
          <w:rPr>
            <w:rStyle w:val="Hypertextovodkaz"/>
            <w:bCs/>
            <w:noProof/>
          </w:rPr>
          <w:t>Porovnání průměrných hodnot sledovaných ukazatelů z Porovnání splňujících daná kritéria</w:t>
        </w:r>
        <w:r w:rsidR="00BC03D3">
          <w:rPr>
            <w:noProof/>
            <w:webHidden/>
          </w:rPr>
          <w:tab/>
        </w:r>
        <w:r w:rsidR="00BC03D3">
          <w:rPr>
            <w:noProof/>
            <w:webHidden/>
          </w:rPr>
          <w:fldChar w:fldCharType="begin"/>
        </w:r>
        <w:r w:rsidR="00BC03D3">
          <w:rPr>
            <w:noProof/>
            <w:webHidden/>
          </w:rPr>
          <w:instrText xml:space="preserve"> PAGEREF _Toc3292010 \h </w:instrText>
        </w:r>
        <w:r w:rsidR="00BC03D3">
          <w:rPr>
            <w:noProof/>
            <w:webHidden/>
          </w:rPr>
        </w:r>
        <w:r w:rsidR="00BC03D3">
          <w:rPr>
            <w:noProof/>
            <w:webHidden/>
          </w:rPr>
          <w:fldChar w:fldCharType="separate"/>
        </w:r>
        <w:r w:rsidR="00AC7B86">
          <w:rPr>
            <w:noProof/>
            <w:webHidden/>
          </w:rPr>
          <w:t>62</w:t>
        </w:r>
        <w:r w:rsidR="00BC03D3">
          <w:rPr>
            <w:noProof/>
            <w:webHidden/>
          </w:rPr>
          <w:fldChar w:fldCharType="end"/>
        </w:r>
      </w:hyperlink>
    </w:p>
    <w:p w14:paraId="4196ECEF" w14:textId="77777777" w:rsidR="00BC03D3" w:rsidRDefault="005169A6">
      <w:pPr>
        <w:pStyle w:val="Obsah3"/>
        <w:rPr>
          <w:rFonts w:asciiTheme="minorHAnsi" w:eastAsiaTheme="minorEastAsia" w:hAnsiTheme="minorHAnsi" w:cstheme="minorBidi"/>
          <w:noProof/>
          <w:sz w:val="22"/>
          <w:lang w:eastAsia="cs-CZ"/>
        </w:rPr>
      </w:pPr>
      <w:hyperlink w:anchor="_Toc3292011" w:history="1">
        <w:r w:rsidR="00BC03D3" w:rsidRPr="005C35D9">
          <w:rPr>
            <w:rStyle w:val="Hypertextovodkaz"/>
            <w:noProof/>
          </w:rPr>
          <w:t>6.2.4</w:t>
        </w:r>
        <w:r w:rsidR="00BC03D3">
          <w:rPr>
            <w:rFonts w:asciiTheme="minorHAnsi" w:eastAsiaTheme="minorEastAsia" w:hAnsiTheme="minorHAnsi" w:cstheme="minorBidi"/>
            <w:noProof/>
            <w:sz w:val="22"/>
            <w:lang w:eastAsia="cs-CZ"/>
          </w:rPr>
          <w:tab/>
        </w:r>
        <w:r w:rsidR="00BC03D3" w:rsidRPr="005C35D9">
          <w:rPr>
            <w:rStyle w:val="Hypertextovodkaz"/>
            <w:bCs/>
            <w:noProof/>
          </w:rPr>
          <w:t>Voda nefakturovaná a ztráty vody</w:t>
        </w:r>
        <w:r w:rsidR="00BC03D3">
          <w:rPr>
            <w:noProof/>
            <w:webHidden/>
          </w:rPr>
          <w:tab/>
        </w:r>
        <w:r w:rsidR="00BC03D3">
          <w:rPr>
            <w:noProof/>
            <w:webHidden/>
          </w:rPr>
          <w:fldChar w:fldCharType="begin"/>
        </w:r>
        <w:r w:rsidR="00BC03D3">
          <w:rPr>
            <w:noProof/>
            <w:webHidden/>
          </w:rPr>
          <w:instrText xml:space="preserve"> PAGEREF _Toc3292011 \h </w:instrText>
        </w:r>
        <w:r w:rsidR="00BC03D3">
          <w:rPr>
            <w:noProof/>
            <w:webHidden/>
          </w:rPr>
        </w:r>
        <w:r w:rsidR="00BC03D3">
          <w:rPr>
            <w:noProof/>
            <w:webHidden/>
          </w:rPr>
          <w:fldChar w:fldCharType="separate"/>
        </w:r>
        <w:r w:rsidR="00AC7B86">
          <w:rPr>
            <w:noProof/>
            <w:webHidden/>
          </w:rPr>
          <w:t>62</w:t>
        </w:r>
        <w:r w:rsidR="00BC03D3">
          <w:rPr>
            <w:noProof/>
            <w:webHidden/>
          </w:rPr>
          <w:fldChar w:fldCharType="end"/>
        </w:r>
      </w:hyperlink>
    </w:p>
    <w:p w14:paraId="560C5B33" w14:textId="77777777" w:rsidR="00BC03D3" w:rsidRDefault="005169A6">
      <w:pPr>
        <w:pStyle w:val="Obsah3"/>
        <w:rPr>
          <w:rFonts w:asciiTheme="minorHAnsi" w:eastAsiaTheme="minorEastAsia" w:hAnsiTheme="minorHAnsi" w:cstheme="minorBidi"/>
          <w:noProof/>
          <w:sz w:val="22"/>
          <w:lang w:eastAsia="cs-CZ"/>
        </w:rPr>
      </w:pPr>
      <w:hyperlink w:anchor="_Toc3292012" w:history="1">
        <w:r w:rsidR="00BC03D3" w:rsidRPr="005C35D9">
          <w:rPr>
            <w:rStyle w:val="Hypertextovodkaz"/>
            <w:noProof/>
          </w:rPr>
          <w:t>6.2.5</w:t>
        </w:r>
        <w:r w:rsidR="00BC03D3">
          <w:rPr>
            <w:rFonts w:asciiTheme="minorHAnsi" w:eastAsiaTheme="minorEastAsia" w:hAnsiTheme="minorHAnsi" w:cstheme="minorBidi"/>
            <w:noProof/>
            <w:sz w:val="22"/>
            <w:lang w:eastAsia="cs-CZ"/>
          </w:rPr>
          <w:tab/>
        </w:r>
        <w:r w:rsidR="00BC03D3" w:rsidRPr="005C35D9">
          <w:rPr>
            <w:rStyle w:val="Hypertextovodkaz"/>
            <w:noProof/>
          </w:rPr>
          <w:t>Kanalizace</w:t>
        </w:r>
        <w:r w:rsidR="00BC03D3">
          <w:rPr>
            <w:noProof/>
            <w:webHidden/>
          </w:rPr>
          <w:tab/>
        </w:r>
        <w:r w:rsidR="00BC03D3">
          <w:rPr>
            <w:noProof/>
            <w:webHidden/>
          </w:rPr>
          <w:fldChar w:fldCharType="begin"/>
        </w:r>
        <w:r w:rsidR="00BC03D3">
          <w:rPr>
            <w:noProof/>
            <w:webHidden/>
          </w:rPr>
          <w:instrText xml:space="preserve"> PAGEREF _Toc3292012 \h </w:instrText>
        </w:r>
        <w:r w:rsidR="00BC03D3">
          <w:rPr>
            <w:noProof/>
            <w:webHidden/>
          </w:rPr>
        </w:r>
        <w:r w:rsidR="00BC03D3">
          <w:rPr>
            <w:noProof/>
            <w:webHidden/>
          </w:rPr>
          <w:fldChar w:fldCharType="separate"/>
        </w:r>
        <w:r w:rsidR="00AC7B86">
          <w:rPr>
            <w:noProof/>
            <w:webHidden/>
          </w:rPr>
          <w:t>66</w:t>
        </w:r>
        <w:r w:rsidR="00BC03D3">
          <w:rPr>
            <w:noProof/>
            <w:webHidden/>
          </w:rPr>
          <w:fldChar w:fldCharType="end"/>
        </w:r>
      </w:hyperlink>
    </w:p>
    <w:p w14:paraId="33138D38" w14:textId="77777777" w:rsidR="00BC03D3" w:rsidRDefault="005169A6">
      <w:pPr>
        <w:pStyle w:val="Obsah3"/>
        <w:rPr>
          <w:rFonts w:asciiTheme="minorHAnsi" w:eastAsiaTheme="minorEastAsia" w:hAnsiTheme="minorHAnsi" w:cstheme="minorBidi"/>
          <w:noProof/>
          <w:sz w:val="22"/>
          <w:lang w:eastAsia="cs-CZ"/>
        </w:rPr>
      </w:pPr>
      <w:hyperlink w:anchor="_Toc3292013" w:history="1">
        <w:r w:rsidR="00BC03D3" w:rsidRPr="005C35D9">
          <w:rPr>
            <w:rStyle w:val="Hypertextovodkaz"/>
            <w:noProof/>
          </w:rPr>
          <w:t>6.2.6</w:t>
        </w:r>
        <w:r w:rsidR="00BC03D3">
          <w:rPr>
            <w:rFonts w:asciiTheme="minorHAnsi" w:eastAsiaTheme="minorEastAsia" w:hAnsiTheme="minorHAnsi" w:cstheme="minorBidi"/>
            <w:noProof/>
            <w:sz w:val="22"/>
            <w:lang w:eastAsia="cs-CZ"/>
          </w:rPr>
          <w:tab/>
        </w:r>
        <w:r w:rsidR="00BC03D3" w:rsidRPr="005C35D9">
          <w:rPr>
            <w:rStyle w:val="Hypertextovodkaz"/>
            <w:noProof/>
          </w:rPr>
          <w:t>Výskyt anomálii v jednotlivých skupinách provozovatelů</w:t>
        </w:r>
        <w:r w:rsidR="00BC03D3">
          <w:rPr>
            <w:noProof/>
            <w:webHidden/>
          </w:rPr>
          <w:tab/>
        </w:r>
        <w:r w:rsidR="00BC03D3">
          <w:rPr>
            <w:noProof/>
            <w:webHidden/>
          </w:rPr>
          <w:fldChar w:fldCharType="begin"/>
        </w:r>
        <w:r w:rsidR="00BC03D3">
          <w:rPr>
            <w:noProof/>
            <w:webHidden/>
          </w:rPr>
          <w:instrText xml:space="preserve"> PAGEREF _Toc3292013 \h </w:instrText>
        </w:r>
        <w:r w:rsidR="00BC03D3">
          <w:rPr>
            <w:noProof/>
            <w:webHidden/>
          </w:rPr>
        </w:r>
        <w:r w:rsidR="00BC03D3">
          <w:rPr>
            <w:noProof/>
            <w:webHidden/>
          </w:rPr>
          <w:fldChar w:fldCharType="separate"/>
        </w:r>
        <w:r w:rsidR="00AC7B86">
          <w:rPr>
            <w:noProof/>
            <w:webHidden/>
          </w:rPr>
          <w:t>69</w:t>
        </w:r>
        <w:r w:rsidR="00BC03D3">
          <w:rPr>
            <w:noProof/>
            <w:webHidden/>
          </w:rPr>
          <w:fldChar w:fldCharType="end"/>
        </w:r>
      </w:hyperlink>
    </w:p>
    <w:p w14:paraId="101D6115" w14:textId="77777777" w:rsidR="00BC03D3" w:rsidRDefault="005169A6">
      <w:pPr>
        <w:pStyle w:val="Obsah3"/>
        <w:rPr>
          <w:rFonts w:asciiTheme="minorHAnsi" w:eastAsiaTheme="minorEastAsia" w:hAnsiTheme="minorHAnsi" w:cstheme="minorBidi"/>
          <w:noProof/>
          <w:sz w:val="22"/>
          <w:lang w:eastAsia="cs-CZ"/>
        </w:rPr>
      </w:pPr>
      <w:hyperlink w:anchor="_Toc3292014" w:history="1">
        <w:r w:rsidR="00BC03D3" w:rsidRPr="005C35D9">
          <w:rPr>
            <w:rStyle w:val="Hypertextovodkaz"/>
            <w:noProof/>
          </w:rPr>
          <w:t>6.2.7</w:t>
        </w:r>
        <w:r w:rsidR="00BC03D3">
          <w:rPr>
            <w:rFonts w:asciiTheme="minorHAnsi" w:eastAsiaTheme="minorEastAsia" w:hAnsiTheme="minorHAnsi" w:cstheme="minorBidi"/>
            <w:noProof/>
            <w:sz w:val="22"/>
            <w:lang w:eastAsia="cs-CZ"/>
          </w:rPr>
          <w:tab/>
        </w:r>
        <w:r w:rsidR="00BC03D3" w:rsidRPr="005C35D9">
          <w:rPr>
            <w:rStyle w:val="Hypertextovodkaz"/>
            <w:bCs/>
            <w:noProof/>
          </w:rPr>
          <w:t>Porovnání průměrných hodnot sledovaných ukazatelů z Porovnání splňujících daná kritéria</w:t>
        </w:r>
        <w:r w:rsidR="00BC03D3">
          <w:rPr>
            <w:noProof/>
            <w:webHidden/>
          </w:rPr>
          <w:tab/>
        </w:r>
        <w:r w:rsidR="00BC03D3">
          <w:rPr>
            <w:noProof/>
            <w:webHidden/>
          </w:rPr>
          <w:fldChar w:fldCharType="begin"/>
        </w:r>
        <w:r w:rsidR="00BC03D3">
          <w:rPr>
            <w:noProof/>
            <w:webHidden/>
          </w:rPr>
          <w:instrText xml:space="preserve"> PAGEREF _Toc3292014 \h </w:instrText>
        </w:r>
        <w:r w:rsidR="00BC03D3">
          <w:rPr>
            <w:noProof/>
            <w:webHidden/>
          </w:rPr>
        </w:r>
        <w:r w:rsidR="00BC03D3">
          <w:rPr>
            <w:noProof/>
            <w:webHidden/>
          </w:rPr>
          <w:fldChar w:fldCharType="separate"/>
        </w:r>
        <w:r w:rsidR="00AC7B86">
          <w:rPr>
            <w:noProof/>
            <w:webHidden/>
          </w:rPr>
          <w:t>73</w:t>
        </w:r>
        <w:r w:rsidR="00BC03D3">
          <w:rPr>
            <w:noProof/>
            <w:webHidden/>
          </w:rPr>
          <w:fldChar w:fldCharType="end"/>
        </w:r>
      </w:hyperlink>
    </w:p>
    <w:p w14:paraId="52221DE5" w14:textId="77777777" w:rsidR="00BC03D3" w:rsidRDefault="005169A6">
      <w:pPr>
        <w:pStyle w:val="Obsah2"/>
        <w:rPr>
          <w:rFonts w:asciiTheme="minorHAnsi" w:eastAsiaTheme="minorEastAsia" w:hAnsiTheme="minorHAnsi" w:cstheme="minorBidi"/>
          <w:noProof/>
          <w:sz w:val="22"/>
          <w:lang w:eastAsia="cs-CZ"/>
        </w:rPr>
      </w:pPr>
      <w:hyperlink w:anchor="_Toc3292015" w:history="1">
        <w:r w:rsidR="00BC03D3" w:rsidRPr="005C35D9">
          <w:rPr>
            <w:rStyle w:val="Hypertextovodkaz"/>
            <w:rFonts w:eastAsia="Calibri Light"/>
            <w:noProof/>
          </w:rPr>
          <w:t>6.3</w:t>
        </w:r>
        <w:r w:rsidR="00BC03D3">
          <w:rPr>
            <w:rFonts w:asciiTheme="minorHAnsi" w:eastAsiaTheme="minorEastAsia" w:hAnsiTheme="minorHAnsi" w:cstheme="minorBidi"/>
            <w:noProof/>
            <w:sz w:val="22"/>
            <w:lang w:eastAsia="cs-CZ"/>
          </w:rPr>
          <w:tab/>
        </w:r>
        <w:r w:rsidR="00BC03D3" w:rsidRPr="005C35D9">
          <w:rPr>
            <w:rStyle w:val="Hypertextovodkaz"/>
            <w:rFonts w:eastAsia="Calibri Light"/>
            <w:noProof/>
          </w:rPr>
          <w:t>Závěry benchmarkingového projektu provozovatelských subjektů  za rok 2017</w:t>
        </w:r>
        <w:r w:rsidR="00BC03D3">
          <w:rPr>
            <w:noProof/>
            <w:webHidden/>
          </w:rPr>
          <w:tab/>
        </w:r>
        <w:r w:rsidR="00BC03D3">
          <w:rPr>
            <w:noProof/>
            <w:webHidden/>
          </w:rPr>
          <w:fldChar w:fldCharType="begin"/>
        </w:r>
        <w:r w:rsidR="00BC03D3">
          <w:rPr>
            <w:noProof/>
            <w:webHidden/>
          </w:rPr>
          <w:instrText xml:space="preserve"> PAGEREF _Toc3292015 \h </w:instrText>
        </w:r>
        <w:r w:rsidR="00BC03D3">
          <w:rPr>
            <w:noProof/>
            <w:webHidden/>
          </w:rPr>
        </w:r>
        <w:r w:rsidR="00BC03D3">
          <w:rPr>
            <w:noProof/>
            <w:webHidden/>
          </w:rPr>
          <w:fldChar w:fldCharType="separate"/>
        </w:r>
        <w:r w:rsidR="00AC7B86">
          <w:rPr>
            <w:noProof/>
            <w:webHidden/>
          </w:rPr>
          <w:t>74</w:t>
        </w:r>
        <w:r w:rsidR="00BC03D3">
          <w:rPr>
            <w:noProof/>
            <w:webHidden/>
          </w:rPr>
          <w:fldChar w:fldCharType="end"/>
        </w:r>
      </w:hyperlink>
    </w:p>
    <w:p w14:paraId="01E1CE09" w14:textId="77777777" w:rsidR="00BC03D3" w:rsidRDefault="005169A6">
      <w:pPr>
        <w:pStyle w:val="Obsah3"/>
        <w:rPr>
          <w:rFonts w:asciiTheme="minorHAnsi" w:eastAsiaTheme="minorEastAsia" w:hAnsiTheme="minorHAnsi" w:cstheme="minorBidi"/>
          <w:noProof/>
          <w:sz w:val="22"/>
          <w:lang w:eastAsia="cs-CZ"/>
        </w:rPr>
      </w:pPr>
      <w:hyperlink w:anchor="_Toc3292016" w:history="1">
        <w:r w:rsidR="00BC03D3" w:rsidRPr="005C35D9">
          <w:rPr>
            <w:rStyle w:val="Hypertextovodkaz"/>
            <w:rFonts w:eastAsia="Calibri Light"/>
            <w:noProof/>
          </w:rPr>
          <w:t>6.3.1</w:t>
        </w:r>
        <w:r w:rsidR="00BC03D3">
          <w:rPr>
            <w:rFonts w:asciiTheme="minorHAnsi" w:eastAsiaTheme="minorEastAsia" w:hAnsiTheme="minorHAnsi" w:cstheme="minorBidi"/>
            <w:noProof/>
            <w:sz w:val="22"/>
            <w:lang w:eastAsia="cs-CZ"/>
          </w:rPr>
          <w:tab/>
        </w:r>
        <w:r w:rsidR="00BC03D3" w:rsidRPr="005C35D9">
          <w:rPr>
            <w:rStyle w:val="Hypertextovodkaz"/>
            <w:noProof/>
          </w:rPr>
          <w:t>SWOT analýza</w:t>
        </w:r>
        <w:r w:rsidR="00BC03D3">
          <w:rPr>
            <w:noProof/>
            <w:webHidden/>
          </w:rPr>
          <w:tab/>
        </w:r>
        <w:r w:rsidR="00BC03D3">
          <w:rPr>
            <w:noProof/>
            <w:webHidden/>
          </w:rPr>
          <w:fldChar w:fldCharType="begin"/>
        </w:r>
        <w:r w:rsidR="00BC03D3">
          <w:rPr>
            <w:noProof/>
            <w:webHidden/>
          </w:rPr>
          <w:instrText xml:space="preserve"> PAGEREF _Toc3292016 \h </w:instrText>
        </w:r>
        <w:r w:rsidR="00BC03D3">
          <w:rPr>
            <w:noProof/>
            <w:webHidden/>
          </w:rPr>
        </w:r>
        <w:r w:rsidR="00BC03D3">
          <w:rPr>
            <w:noProof/>
            <w:webHidden/>
          </w:rPr>
          <w:fldChar w:fldCharType="separate"/>
        </w:r>
        <w:r w:rsidR="00AC7B86">
          <w:rPr>
            <w:noProof/>
            <w:webHidden/>
          </w:rPr>
          <w:t>74</w:t>
        </w:r>
        <w:r w:rsidR="00BC03D3">
          <w:rPr>
            <w:noProof/>
            <w:webHidden/>
          </w:rPr>
          <w:fldChar w:fldCharType="end"/>
        </w:r>
      </w:hyperlink>
    </w:p>
    <w:p w14:paraId="4EA9DBB4" w14:textId="77777777" w:rsidR="00BC03D3" w:rsidRDefault="005169A6">
      <w:pPr>
        <w:pStyle w:val="Obsah3"/>
        <w:rPr>
          <w:rFonts w:asciiTheme="minorHAnsi" w:eastAsiaTheme="minorEastAsia" w:hAnsiTheme="minorHAnsi" w:cstheme="minorBidi"/>
          <w:noProof/>
          <w:sz w:val="22"/>
          <w:lang w:eastAsia="cs-CZ"/>
        </w:rPr>
      </w:pPr>
      <w:hyperlink w:anchor="_Toc3292017" w:history="1">
        <w:r w:rsidR="00BC03D3" w:rsidRPr="005C35D9">
          <w:rPr>
            <w:rStyle w:val="Hypertextovodkaz"/>
            <w:noProof/>
          </w:rPr>
          <w:t>6.3.2</w:t>
        </w:r>
        <w:r w:rsidR="00BC03D3">
          <w:rPr>
            <w:rFonts w:asciiTheme="minorHAnsi" w:eastAsiaTheme="minorEastAsia" w:hAnsiTheme="minorHAnsi" w:cstheme="minorBidi"/>
            <w:noProof/>
            <w:sz w:val="22"/>
            <w:lang w:eastAsia="cs-CZ"/>
          </w:rPr>
          <w:tab/>
        </w:r>
        <w:r w:rsidR="00BC03D3" w:rsidRPr="005C35D9">
          <w:rPr>
            <w:rStyle w:val="Hypertextovodkaz"/>
            <w:noProof/>
          </w:rPr>
          <w:t>Závěr, zhodnocení a návrh dalšího postupu</w:t>
        </w:r>
        <w:r w:rsidR="00BC03D3">
          <w:rPr>
            <w:noProof/>
            <w:webHidden/>
          </w:rPr>
          <w:tab/>
        </w:r>
        <w:r w:rsidR="00BC03D3">
          <w:rPr>
            <w:noProof/>
            <w:webHidden/>
          </w:rPr>
          <w:fldChar w:fldCharType="begin"/>
        </w:r>
        <w:r w:rsidR="00BC03D3">
          <w:rPr>
            <w:noProof/>
            <w:webHidden/>
          </w:rPr>
          <w:instrText xml:space="preserve"> PAGEREF _Toc3292017 \h </w:instrText>
        </w:r>
        <w:r w:rsidR="00BC03D3">
          <w:rPr>
            <w:noProof/>
            <w:webHidden/>
          </w:rPr>
        </w:r>
        <w:r w:rsidR="00BC03D3">
          <w:rPr>
            <w:noProof/>
            <w:webHidden/>
          </w:rPr>
          <w:fldChar w:fldCharType="separate"/>
        </w:r>
        <w:r w:rsidR="00AC7B86">
          <w:rPr>
            <w:noProof/>
            <w:webHidden/>
          </w:rPr>
          <w:t>77</w:t>
        </w:r>
        <w:r w:rsidR="00BC03D3">
          <w:rPr>
            <w:noProof/>
            <w:webHidden/>
          </w:rPr>
          <w:fldChar w:fldCharType="end"/>
        </w:r>
      </w:hyperlink>
    </w:p>
    <w:p w14:paraId="655E5737" w14:textId="77777777" w:rsidR="00BC03D3" w:rsidRDefault="005169A6">
      <w:pPr>
        <w:pStyle w:val="Obsah1"/>
        <w:rPr>
          <w:rFonts w:asciiTheme="minorHAnsi" w:eastAsiaTheme="minorEastAsia" w:hAnsiTheme="minorHAnsi" w:cstheme="minorBidi"/>
          <w:noProof/>
          <w:sz w:val="22"/>
          <w:lang w:eastAsia="cs-CZ"/>
        </w:rPr>
      </w:pPr>
      <w:hyperlink w:anchor="_Toc3292018" w:history="1">
        <w:r w:rsidR="00BC03D3" w:rsidRPr="005C35D9">
          <w:rPr>
            <w:rStyle w:val="Hypertextovodkaz"/>
            <w:noProof/>
          </w:rPr>
          <w:t>7.</w:t>
        </w:r>
        <w:r w:rsidR="00BC03D3">
          <w:rPr>
            <w:rFonts w:asciiTheme="minorHAnsi" w:eastAsiaTheme="minorEastAsia" w:hAnsiTheme="minorHAnsi" w:cstheme="minorBidi"/>
            <w:noProof/>
            <w:sz w:val="22"/>
            <w:lang w:eastAsia="cs-CZ"/>
          </w:rPr>
          <w:tab/>
        </w:r>
        <w:r w:rsidR="00BC03D3" w:rsidRPr="005C35D9">
          <w:rPr>
            <w:rStyle w:val="Hypertextovodkaz"/>
            <w:noProof/>
          </w:rPr>
          <w:t>Posouzení závěrů a jejich porovnání se záměry regulace</w:t>
        </w:r>
        <w:r w:rsidR="00BC03D3">
          <w:rPr>
            <w:noProof/>
            <w:webHidden/>
          </w:rPr>
          <w:tab/>
        </w:r>
        <w:r w:rsidR="00BC03D3">
          <w:rPr>
            <w:noProof/>
            <w:webHidden/>
          </w:rPr>
          <w:fldChar w:fldCharType="begin"/>
        </w:r>
        <w:r w:rsidR="00BC03D3">
          <w:rPr>
            <w:noProof/>
            <w:webHidden/>
          </w:rPr>
          <w:instrText xml:space="preserve"> PAGEREF _Toc3292018 \h </w:instrText>
        </w:r>
        <w:r w:rsidR="00BC03D3">
          <w:rPr>
            <w:noProof/>
            <w:webHidden/>
          </w:rPr>
        </w:r>
        <w:r w:rsidR="00BC03D3">
          <w:rPr>
            <w:noProof/>
            <w:webHidden/>
          </w:rPr>
          <w:fldChar w:fldCharType="separate"/>
        </w:r>
        <w:r w:rsidR="00AC7B86">
          <w:rPr>
            <w:noProof/>
            <w:webHidden/>
          </w:rPr>
          <w:t>79</w:t>
        </w:r>
        <w:r w:rsidR="00BC03D3">
          <w:rPr>
            <w:noProof/>
            <w:webHidden/>
          </w:rPr>
          <w:fldChar w:fldCharType="end"/>
        </w:r>
      </w:hyperlink>
    </w:p>
    <w:p w14:paraId="6F44CD1E" w14:textId="77777777" w:rsidR="00BC03D3" w:rsidRDefault="005169A6">
      <w:pPr>
        <w:pStyle w:val="Obsah2"/>
        <w:rPr>
          <w:rFonts w:asciiTheme="minorHAnsi" w:eastAsiaTheme="minorEastAsia" w:hAnsiTheme="minorHAnsi" w:cstheme="minorBidi"/>
          <w:noProof/>
          <w:sz w:val="22"/>
          <w:lang w:eastAsia="cs-CZ"/>
        </w:rPr>
      </w:pPr>
      <w:hyperlink w:anchor="_Toc3292019" w:history="1">
        <w:r w:rsidR="00BC03D3" w:rsidRPr="005C35D9">
          <w:rPr>
            <w:rStyle w:val="Hypertextovodkaz"/>
            <w:noProof/>
          </w:rPr>
          <w:t>7.1</w:t>
        </w:r>
        <w:r w:rsidR="00BC03D3">
          <w:rPr>
            <w:rFonts w:asciiTheme="minorHAnsi" w:eastAsiaTheme="minorEastAsia" w:hAnsiTheme="minorHAnsi" w:cstheme="minorBidi"/>
            <w:noProof/>
            <w:sz w:val="22"/>
            <w:lang w:eastAsia="cs-CZ"/>
          </w:rPr>
          <w:tab/>
        </w:r>
        <w:r w:rsidR="00BC03D3" w:rsidRPr="005C35D9">
          <w:rPr>
            <w:rStyle w:val="Hypertextovodkaz"/>
            <w:noProof/>
          </w:rPr>
          <w:t>Benchmarking vlastnických subjektů</w:t>
        </w:r>
        <w:r w:rsidR="00BC03D3">
          <w:rPr>
            <w:noProof/>
            <w:webHidden/>
          </w:rPr>
          <w:tab/>
        </w:r>
        <w:r w:rsidR="00BC03D3">
          <w:rPr>
            <w:noProof/>
            <w:webHidden/>
          </w:rPr>
          <w:fldChar w:fldCharType="begin"/>
        </w:r>
        <w:r w:rsidR="00BC03D3">
          <w:rPr>
            <w:noProof/>
            <w:webHidden/>
          </w:rPr>
          <w:instrText xml:space="preserve"> PAGEREF _Toc3292019 \h </w:instrText>
        </w:r>
        <w:r w:rsidR="00BC03D3">
          <w:rPr>
            <w:noProof/>
            <w:webHidden/>
          </w:rPr>
        </w:r>
        <w:r w:rsidR="00BC03D3">
          <w:rPr>
            <w:noProof/>
            <w:webHidden/>
          </w:rPr>
          <w:fldChar w:fldCharType="separate"/>
        </w:r>
        <w:r w:rsidR="00AC7B86">
          <w:rPr>
            <w:noProof/>
            <w:webHidden/>
          </w:rPr>
          <w:t>79</w:t>
        </w:r>
        <w:r w:rsidR="00BC03D3">
          <w:rPr>
            <w:noProof/>
            <w:webHidden/>
          </w:rPr>
          <w:fldChar w:fldCharType="end"/>
        </w:r>
      </w:hyperlink>
    </w:p>
    <w:p w14:paraId="3D7DE691" w14:textId="77777777" w:rsidR="00BC03D3" w:rsidRDefault="005169A6">
      <w:pPr>
        <w:pStyle w:val="Obsah2"/>
        <w:rPr>
          <w:rFonts w:asciiTheme="minorHAnsi" w:eastAsiaTheme="minorEastAsia" w:hAnsiTheme="minorHAnsi" w:cstheme="minorBidi"/>
          <w:noProof/>
          <w:sz w:val="22"/>
          <w:lang w:eastAsia="cs-CZ"/>
        </w:rPr>
      </w:pPr>
      <w:hyperlink w:anchor="_Toc3292020" w:history="1">
        <w:r w:rsidR="00BC03D3" w:rsidRPr="005C35D9">
          <w:rPr>
            <w:rStyle w:val="Hypertextovodkaz"/>
            <w:noProof/>
          </w:rPr>
          <w:t>7.2</w:t>
        </w:r>
        <w:r w:rsidR="00BC03D3">
          <w:rPr>
            <w:rFonts w:asciiTheme="minorHAnsi" w:eastAsiaTheme="minorEastAsia" w:hAnsiTheme="minorHAnsi" w:cstheme="minorBidi"/>
            <w:noProof/>
            <w:sz w:val="22"/>
            <w:lang w:eastAsia="cs-CZ"/>
          </w:rPr>
          <w:tab/>
        </w:r>
        <w:r w:rsidR="00BC03D3" w:rsidRPr="005C35D9">
          <w:rPr>
            <w:rStyle w:val="Hypertextovodkaz"/>
            <w:noProof/>
          </w:rPr>
          <w:t>Benchmarking provozovatelských subjektů</w:t>
        </w:r>
        <w:r w:rsidR="00BC03D3">
          <w:rPr>
            <w:noProof/>
            <w:webHidden/>
          </w:rPr>
          <w:tab/>
        </w:r>
        <w:r w:rsidR="00BC03D3">
          <w:rPr>
            <w:noProof/>
            <w:webHidden/>
          </w:rPr>
          <w:fldChar w:fldCharType="begin"/>
        </w:r>
        <w:r w:rsidR="00BC03D3">
          <w:rPr>
            <w:noProof/>
            <w:webHidden/>
          </w:rPr>
          <w:instrText xml:space="preserve"> PAGEREF _Toc3292020 \h </w:instrText>
        </w:r>
        <w:r w:rsidR="00BC03D3">
          <w:rPr>
            <w:noProof/>
            <w:webHidden/>
          </w:rPr>
        </w:r>
        <w:r w:rsidR="00BC03D3">
          <w:rPr>
            <w:noProof/>
            <w:webHidden/>
          </w:rPr>
          <w:fldChar w:fldCharType="separate"/>
        </w:r>
        <w:r w:rsidR="00AC7B86">
          <w:rPr>
            <w:noProof/>
            <w:webHidden/>
          </w:rPr>
          <w:t>80</w:t>
        </w:r>
        <w:r w:rsidR="00BC03D3">
          <w:rPr>
            <w:noProof/>
            <w:webHidden/>
          </w:rPr>
          <w:fldChar w:fldCharType="end"/>
        </w:r>
      </w:hyperlink>
    </w:p>
    <w:p w14:paraId="0B1E4F4C" w14:textId="77777777" w:rsidR="00F666F7" w:rsidRDefault="00E9061C" w:rsidP="009B6BE8">
      <w:pPr>
        <w:pStyle w:val="Obsah1"/>
        <w:rPr>
          <w:noProof/>
        </w:rPr>
      </w:pPr>
      <w:r w:rsidRPr="00C62639">
        <w:rPr>
          <w:noProof/>
        </w:rPr>
        <w:fldChar w:fldCharType="end"/>
      </w:r>
      <w:bookmarkStart w:id="0" w:name="_Toc459133201"/>
    </w:p>
    <w:p w14:paraId="24D4C358" w14:textId="77777777" w:rsidR="00F666F7" w:rsidRDefault="00F666F7">
      <w:pPr>
        <w:spacing w:before="0" w:after="0"/>
        <w:contextualSpacing w:val="0"/>
        <w:jc w:val="left"/>
        <w:rPr>
          <w:rFonts w:asciiTheme="minorHAnsi" w:hAnsiTheme="minorHAnsi"/>
          <w:b/>
          <w:bCs/>
          <w:noProof/>
        </w:rPr>
      </w:pPr>
      <w:r>
        <w:rPr>
          <w:rFonts w:asciiTheme="minorHAnsi" w:hAnsiTheme="minorHAnsi"/>
          <w:b/>
          <w:bCs/>
          <w:noProof/>
        </w:rPr>
        <w:br w:type="page"/>
      </w:r>
    </w:p>
    <w:p w14:paraId="1156CB4E" w14:textId="77777777" w:rsidR="0064170D" w:rsidRPr="004958C5" w:rsidRDefault="0064170D" w:rsidP="00E4339E">
      <w:pPr>
        <w:pStyle w:val="Nadpis1"/>
        <w:rPr>
          <w:rFonts w:asciiTheme="minorHAnsi" w:hAnsiTheme="minorHAnsi"/>
          <w:noProof/>
        </w:rPr>
      </w:pPr>
      <w:bookmarkStart w:id="1" w:name="_Toc3291969"/>
      <w:bookmarkEnd w:id="0"/>
      <w:r w:rsidRPr="004958C5">
        <w:rPr>
          <w:rFonts w:asciiTheme="minorHAnsi" w:hAnsiTheme="minorHAnsi"/>
          <w:noProof/>
        </w:rPr>
        <w:lastRenderedPageBreak/>
        <w:t>Úvod</w:t>
      </w:r>
      <w:bookmarkEnd w:id="1"/>
    </w:p>
    <w:p w14:paraId="49C23BFD" w14:textId="2E103323" w:rsidR="00C62639" w:rsidRPr="00A340F8" w:rsidRDefault="00C62639" w:rsidP="004958C5">
      <w:pPr>
        <w:pStyle w:val="NORMLN0"/>
      </w:pPr>
      <w:r w:rsidRPr="00A340F8">
        <w:t>Zpráva z benchmarkingu za rok 201</w:t>
      </w:r>
      <w:r w:rsidR="00125FA2">
        <w:t>7</w:t>
      </w:r>
      <w:r w:rsidRPr="00A340F8">
        <w:t xml:space="preserve"> prezentuje</w:t>
      </w:r>
      <w:r w:rsidR="00B26631">
        <w:t xml:space="preserve"> </w:t>
      </w:r>
      <w:r w:rsidRPr="00A340F8">
        <w:t xml:space="preserve">odborné i laické veřejnosti výsledky realizovaných projektů: benchmarkingu vlastnických subjektů a benchmarkingu </w:t>
      </w:r>
      <w:r w:rsidRPr="00A340F8">
        <w:rPr>
          <w:rStyle w:val="NormlnzprvaChar"/>
        </w:rPr>
        <w:t>provoz</w:t>
      </w:r>
      <w:r w:rsidR="00EB427B">
        <w:rPr>
          <w:rStyle w:val="NormlnzprvaChar"/>
        </w:rPr>
        <w:t>ovatelských subjektů za rok 2017</w:t>
      </w:r>
      <w:r w:rsidRPr="00A340F8">
        <w:rPr>
          <w:rStyle w:val="NormlnzprvaChar"/>
        </w:rPr>
        <w:t>. Tyto výsledky dále vyhodnocuje. Cílem zprávy je</w:t>
      </w:r>
      <w:r w:rsidRPr="00A340F8">
        <w:t xml:space="preserve"> srozumitelnou formou přiblížit zjištěné nedostatky vyskytující se v jednotlivých skupinách</w:t>
      </w:r>
      <w:r w:rsidR="0055423E">
        <w:t xml:space="preserve"> vlastnických a provozovatelských subjektů</w:t>
      </w:r>
      <w:r w:rsidRPr="00A340F8">
        <w:t>, informovat o závěrech projektů a navrhnout další kroky vedoucí k plnění záměrů regulace.</w:t>
      </w:r>
    </w:p>
    <w:p w14:paraId="3B842BC8" w14:textId="77777777" w:rsidR="00C62639" w:rsidRPr="00A340F8" w:rsidRDefault="00C62639" w:rsidP="004958C5">
      <w:pPr>
        <w:pStyle w:val="NORMLN0"/>
      </w:pPr>
      <w:r w:rsidRPr="00A340F8">
        <w:t>Zpráva dále</w:t>
      </w:r>
      <w:r w:rsidR="00B26631">
        <w:t xml:space="preserve"> </w:t>
      </w:r>
      <w:r w:rsidRPr="00A340F8">
        <w:t>přibližuje a vysvětluje změny některých procesů používaných v obou benchmarkingových projektech. Tyto změny byly přijaty na základě veřejného projednání výsledků benchmarkingu za rok 201</w:t>
      </w:r>
      <w:r w:rsidR="003B4FC2">
        <w:t>6</w:t>
      </w:r>
      <w:r w:rsidRPr="00A340F8">
        <w:t>. Struktura zprávy za rok 201</w:t>
      </w:r>
      <w:r w:rsidR="003B4FC2">
        <w:t>7</w:t>
      </w:r>
      <w:r w:rsidRPr="00A340F8">
        <w:t xml:space="preserve"> odpovídá struktuře zprávy za rok 201</w:t>
      </w:r>
      <w:r w:rsidR="003B4FC2">
        <w:t>6</w:t>
      </w:r>
      <w:r w:rsidRPr="00A340F8">
        <w:t>.</w:t>
      </w:r>
    </w:p>
    <w:p w14:paraId="58906D73" w14:textId="77777777" w:rsidR="00C62639" w:rsidRPr="00A340F8" w:rsidRDefault="00C62639" w:rsidP="004958C5">
      <w:pPr>
        <w:pStyle w:val="NORMLN0"/>
      </w:pPr>
      <w:r w:rsidRPr="00A340F8">
        <w:t xml:space="preserve">Ve vztahu k činnosti MZe a Výboru pro koordinaci regulace oboru vodovodů a kanalizací je cílem zprávy poskytnout informace potřebné pro případnou úpravu strategie regulace oboru VaK nebo </w:t>
      </w:r>
      <w:r w:rsidR="003B4FC2">
        <w:t xml:space="preserve">stanovení </w:t>
      </w:r>
      <w:r w:rsidRPr="00A340F8">
        <w:t>cílů benchmarkingu pro další rok, čímž se ve smyslu platné Metodiky benchmarkingu ukončí roční cyklus benchmarkingu.</w:t>
      </w:r>
    </w:p>
    <w:p w14:paraId="37C3ADCB" w14:textId="77777777" w:rsidR="00C62639" w:rsidRPr="00A340F8" w:rsidRDefault="00C62639" w:rsidP="004958C5">
      <w:pPr>
        <w:pStyle w:val="NORMLN0"/>
      </w:pPr>
      <w:r w:rsidRPr="00A340F8">
        <w:t>Uživatelům</w:t>
      </w:r>
      <w:r w:rsidR="00B26631">
        <w:t xml:space="preserve"> </w:t>
      </w:r>
      <w:r w:rsidRPr="00A340F8">
        <w:t>výsledků</w:t>
      </w:r>
      <w:r w:rsidR="00B26631">
        <w:t xml:space="preserve"> </w:t>
      </w:r>
      <w:r w:rsidRPr="00A340F8">
        <w:t>benchmarkingu je třeba připomenout, že</w:t>
      </w:r>
      <w:r w:rsidR="00B26631">
        <w:t xml:space="preserve"> </w:t>
      </w:r>
      <w:r w:rsidRPr="00A340F8">
        <w:t>všechny tři zprávy (Benchmarking vlastnických subjektů za rok 201</w:t>
      </w:r>
      <w:r w:rsidR="003B4FC2">
        <w:t>7</w:t>
      </w:r>
      <w:r w:rsidRPr="00A340F8">
        <w:t>, Benchmarking</w:t>
      </w:r>
      <w:r w:rsidR="00B26631">
        <w:t xml:space="preserve"> </w:t>
      </w:r>
      <w:r w:rsidRPr="00A340F8">
        <w:t>provozovatelských subjektů za rok 201</w:t>
      </w:r>
      <w:r w:rsidR="003B4FC2">
        <w:t>7</w:t>
      </w:r>
      <w:r w:rsidRPr="00A340F8">
        <w:t xml:space="preserve"> a Zprávu z benchmarkingu za rok 201</w:t>
      </w:r>
      <w:r w:rsidR="003B4FC2">
        <w:t>7</w:t>
      </w:r>
      <w:r w:rsidRPr="00A340F8">
        <w:t>) je nutné vnímat jako celek a nehodnotit jednotlivé nálezy odděleně od ostatních souvislostí.</w:t>
      </w:r>
    </w:p>
    <w:p w14:paraId="68EF167E" w14:textId="6D9942C1" w:rsidR="00C62639" w:rsidRDefault="00C62639" w:rsidP="004958C5">
      <w:pPr>
        <w:pStyle w:val="NORMLN0"/>
      </w:pPr>
      <w:r w:rsidRPr="00A340F8">
        <w:t xml:space="preserve">Jedním z hlavních záměrů regulace je zvýšení informovanosti konečných odběratelů. MZe v roce 2018 </w:t>
      </w:r>
      <w:r w:rsidR="003B4FC2">
        <w:t xml:space="preserve">spustilo </w:t>
      </w:r>
      <w:r w:rsidRPr="00A340F8">
        <w:t>webov</w:t>
      </w:r>
      <w:r w:rsidR="003B4FC2">
        <w:t>ou</w:t>
      </w:r>
      <w:r w:rsidRPr="00A340F8">
        <w:t xml:space="preserve"> aplikac</w:t>
      </w:r>
      <w:r w:rsidR="003B4FC2">
        <w:t>i</w:t>
      </w:r>
      <w:r w:rsidRPr="00A340F8">
        <w:t xml:space="preserve"> zpřístupňující zájemcům vybrané informace z Porovnání zahrnutých do benchmarkingu a s nimi souvisejících VÚME a VÚPE.</w:t>
      </w:r>
      <w:r w:rsidR="003B4FC2">
        <w:t xml:space="preserve"> Po uzavření benchm</w:t>
      </w:r>
      <w:r w:rsidR="00284ED7">
        <w:t>arkingu za rok 2017</w:t>
      </w:r>
      <w:r w:rsidR="003B4FC2">
        <w:t xml:space="preserve"> budou v rámci aplikace přístupná i data</w:t>
      </w:r>
      <w:r w:rsidR="00BC03D3">
        <w:t xml:space="preserve"> </w:t>
      </w:r>
      <w:r w:rsidR="003B4FC2">
        <w:t>roku 2017.</w:t>
      </w:r>
    </w:p>
    <w:p w14:paraId="373EC022" w14:textId="77777777" w:rsidR="00590F65" w:rsidRPr="00C62639" w:rsidRDefault="00590F65" w:rsidP="00E4339E">
      <w:pPr>
        <w:pStyle w:val="Nadpis2"/>
        <w:rPr>
          <w:rFonts w:asciiTheme="minorHAnsi" w:hAnsiTheme="minorHAnsi"/>
          <w:noProof/>
        </w:rPr>
      </w:pPr>
      <w:bookmarkStart w:id="2" w:name="_Toc459133203"/>
      <w:bookmarkStart w:id="3" w:name="_Toc3291970"/>
      <w:r w:rsidRPr="00C62639">
        <w:rPr>
          <w:rFonts w:asciiTheme="minorHAnsi" w:hAnsiTheme="minorHAnsi"/>
          <w:noProof/>
        </w:rPr>
        <w:t>Terminologie a použité zkratky</w:t>
      </w:r>
      <w:bookmarkEnd w:id="2"/>
      <w:bookmarkEnd w:id="3"/>
    </w:p>
    <w:p w14:paraId="7D5DA274" w14:textId="77777777" w:rsidR="00590F65" w:rsidRPr="004958C5" w:rsidRDefault="00590F65" w:rsidP="00E4339E">
      <w:pPr>
        <w:pStyle w:val="Nadpis3"/>
        <w:rPr>
          <w:rFonts w:asciiTheme="minorHAnsi" w:hAnsiTheme="minorHAnsi"/>
          <w:noProof/>
        </w:rPr>
      </w:pPr>
      <w:bookmarkStart w:id="4" w:name="_Toc459133204"/>
      <w:bookmarkStart w:id="5" w:name="_Toc3291971"/>
      <w:r w:rsidRPr="004958C5">
        <w:rPr>
          <w:rFonts w:asciiTheme="minorHAnsi" w:hAnsiTheme="minorHAnsi"/>
          <w:noProof/>
        </w:rPr>
        <w:t>Terminologie</w:t>
      </w:r>
      <w:bookmarkEnd w:id="4"/>
      <w:bookmarkEnd w:id="5"/>
    </w:p>
    <w:p w14:paraId="0C2E2EA2" w14:textId="77777777" w:rsidR="004958C5" w:rsidRDefault="004958C5" w:rsidP="004958C5">
      <w:pPr>
        <w:pStyle w:val="NORMLN0"/>
        <w:ind w:firstLine="0"/>
      </w:pPr>
      <w:r w:rsidRPr="009A6A49">
        <w:rPr>
          <w:b/>
          <w:i/>
        </w:rPr>
        <w:t>Anomálie</w:t>
      </w:r>
      <w:r>
        <w:t xml:space="preserve"> - údaj, vztah, stav, který se významně odlišuje od střední nebo očekávané hodnoty, stavu, vztahu, případně signalizuje porušení platné legislativy a zamezuje plnění </w:t>
      </w:r>
      <w:r w:rsidRPr="00AC1DA3">
        <w:rPr>
          <w:rStyle w:val="normlntextvodstavcchChar"/>
        </w:rPr>
        <w:t>cílů regulace</w:t>
      </w:r>
      <w:r>
        <w:t>.</w:t>
      </w:r>
    </w:p>
    <w:p w14:paraId="720133F9" w14:textId="77777777" w:rsidR="004958C5" w:rsidRDefault="004958C5" w:rsidP="004958C5">
      <w:pPr>
        <w:pStyle w:val="NORMLN0"/>
        <w:ind w:firstLine="0"/>
      </w:pPr>
      <w:r w:rsidRPr="009A6A49">
        <w:rPr>
          <w:b/>
          <w:i/>
        </w:rPr>
        <w:t>Benchmarking</w:t>
      </w:r>
      <w:r>
        <w:t xml:space="preserve"> - systematický proces pro identifikaci, obeznámení se a přijetí úspěšných nástrojů, metod a postupů řízení pro srovnávané subjekty. Typicky se jedná o souvislý nebo opakující se proces, hlavním cílem benchmarkingu je zlepšení činnosti zúčastněných srovnávaných subjektů.</w:t>
      </w:r>
    </w:p>
    <w:p w14:paraId="66610617" w14:textId="77777777" w:rsidR="004958C5" w:rsidRDefault="004958C5" w:rsidP="004958C5">
      <w:pPr>
        <w:pStyle w:val="NORMLN0"/>
        <w:ind w:firstLine="0"/>
      </w:pPr>
      <w:r w:rsidRPr="009A6A49">
        <w:rPr>
          <w:b/>
          <w:i/>
        </w:rPr>
        <w:t>Investiční činnost</w:t>
      </w:r>
      <w:r>
        <w:t xml:space="preserve"> - procesy související s obnovou a rozvojem vodohospodářského infrastrukturního majetku.</w:t>
      </w:r>
    </w:p>
    <w:p w14:paraId="59877A77" w14:textId="77777777" w:rsidR="004958C5" w:rsidRDefault="004958C5" w:rsidP="004958C5">
      <w:pPr>
        <w:pStyle w:val="NORMLN0"/>
        <w:ind w:firstLine="0"/>
      </w:pPr>
      <w:r w:rsidRPr="009A6A49">
        <w:rPr>
          <w:b/>
          <w:i/>
        </w:rPr>
        <w:t>Kalkulace</w:t>
      </w:r>
      <w:r>
        <w:t xml:space="preserve"> - přiřazování nákladů, respektive zisku na jednu kalkulační jednici (zde m</w:t>
      </w:r>
      <w:r w:rsidRPr="003D64F9">
        <w:rPr>
          <w:vertAlign w:val="superscript"/>
        </w:rPr>
        <w:t>3</w:t>
      </w:r>
      <w:r>
        <w:t>).</w:t>
      </w:r>
    </w:p>
    <w:p w14:paraId="58D98A22" w14:textId="77777777" w:rsidR="004958C5" w:rsidRDefault="004958C5" w:rsidP="004958C5">
      <w:pPr>
        <w:pStyle w:val="NORMLN0"/>
        <w:ind w:firstLine="0"/>
      </w:pPr>
      <w:r w:rsidRPr="009A6A49">
        <w:rPr>
          <w:b/>
          <w:i/>
        </w:rPr>
        <w:t>Kalkulační položka</w:t>
      </w:r>
      <w:r>
        <w:t xml:space="preserve"> - část kalkulace sdružující podobné druhy nákladů, respektive zisk (zde položka v cenové kalkulaci vodného nebo stočného, dle přílohy č. 19 k vyhlášce č. 428/2001 Sb.).</w:t>
      </w:r>
    </w:p>
    <w:p w14:paraId="7081B2F5" w14:textId="77777777" w:rsidR="004958C5" w:rsidRDefault="004958C5" w:rsidP="004958C5">
      <w:pPr>
        <w:pStyle w:val="NORMLN0"/>
        <w:ind w:firstLine="0"/>
      </w:pPr>
      <w:r w:rsidRPr="009A6A49">
        <w:rPr>
          <w:b/>
          <w:i/>
        </w:rPr>
        <w:lastRenderedPageBreak/>
        <w:t>Kombinovaný model provozování</w:t>
      </w:r>
      <w:r>
        <w:t xml:space="preserve"> - jeden z vlastníků vodohospodářského infrastrukturního majetku je jeho provozovatelem, který provozuje infrastrukturní majetek na základě dlouhodobé smlouvy.</w:t>
      </w:r>
    </w:p>
    <w:p w14:paraId="415C2246" w14:textId="77777777" w:rsidR="004958C5" w:rsidRDefault="004958C5" w:rsidP="004958C5">
      <w:pPr>
        <w:pStyle w:val="NORMLN0"/>
        <w:ind w:firstLine="0"/>
      </w:pPr>
      <w:r w:rsidRPr="009A6A49">
        <w:rPr>
          <w:b/>
          <w:i/>
        </w:rPr>
        <w:t>Obnova vodohospodářské infrastruktury</w:t>
      </w:r>
      <w:r>
        <w:t xml:space="preserve"> - výměna části vodovodu, úpravny vody, kanalizace nebo čistírny odpadních vod, která je inventárně sledovanou částí majetku vlastníka nebo samostatnou položkou uvedenou ve vybraných údajích majetkové evidence za účelem prodloužení životnosti stavby a s ní související technologie (dle Zákona č. 274/2001 Sb.).</w:t>
      </w:r>
    </w:p>
    <w:p w14:paraId="1EF209F9" w14:textId="6D3DC1F0" w:rsidR="004958C5" w:rsidRDefault="004958C5" w:rsidP="004958C5">
      <w:pPr>
        <w:pStyle w:val="NORMLN0"/>
        <w:ind w:firstLine="0"/>
      </w:pPr>
      <w:r w:rsidRPr="009A6A49">
        <w:rPr>
          <w:b/>
          <w:i/>
        </w:rPr>
        <w:t>Oddílný model provozování vodohospodářského infrastrukturního majetku</w:t>
      </w:r>
      <w:r>
        <w:t xml:space="preserve"> - vlastník vodohospodářské infrastruktury uzavírá dlouhodobou smlouvu s provozovatelem zabezpečující provozování vodohospodářské infrastruktury. Příjemce vodného nebo stočného je provozovatel (koncesní smlouva) nebo vlastník (servisní smlouva), kde </w:t>
      </w:r>
      <w:r w:rsidR="0055423E">
        <w:t xml:space="preserve">je </w:t>
      </w:r>
      <w:r>
        <w:t>provozovatel</w:t>
      </w:r>
      <w:r w:rsidR="00BC03D3">
        <w:t xml:space="preserve"> </w:t>
      </w:r>
      <w:r>
        <w:t>vybrán v souladu se zákonem o veřejných zakázkách). Tento model také zahrnuje model vlastnický.</w:t>
      </w:r>
    </w:p>
    <w:p w14:paraId="1DB51C67" w14:textId="77777777" w:rsidR="004958C5" w:rsidRDefault="004958C5" w:rsidP="004958C5">
      <w:pPr>
        <w:pStyle w:val="NORMLN0"/>
        <w:ind w:firstLine="0"/>
      </w:pPr>
      <w:r w:rsidRPr="009A6A49">
        <w:rPr>
          <w:b/>
          <w:i/>
        </w:rPr>
        <w:t>Orientační ukazatele</w:t>
      </w:r>
      <w:r>
        <w:t xml:space="preserve"> - ukazatele výpočtu pořizovací (aktualizované) ceny objektů do Vybraných údajů majetkové evidence vodovodů a kanalizací, pro Plány rozvoje vodovodů a kanalizací a pro Plány financování obnovy vodovodů a kanalizací dle Metodického pokynu Ministerstva zemědělství čj.: 401/2010-15000</w:t>
      </w:r>
    </w:p>
    <w:p w14:paraId="0FED865F" w14:textId="77777777" w:rsidR="004958C5" w:rsidRDefault="004958C5" w:rsidP="004958C5">
      <w:pPr>
        <w:pStyle w:val="NORMLN0"/>
        <w:ind w:firstLine="0"/>
      </w:pPr>
      <w:r w:rsidRPr="009A6A49">
        <w:rPr>
          <w:b/>
          <w:i/>
        </w:rPr>
        <w:t>Plán financování obnovy vodohospodářské infrastruktury</w:t>
      </w:r>
      <w:r>
        <w:t xml:space="preserve"> - výkaz, jehož obsahem je vymezení infrastrukturního majetku v členění podle vybraných údajů majetkové evidence s reprodukční pořizovací cenou, vyhodnocení stavu majetku vyjádřené v % opotřebení, výpočet teoretické doby akumulace finančních prostředků, roční potřeba finančních prostředků a její krytí a doklady o čerpání vytvořených finančních prostředků včetně faktur nebo jejich kopií. Zpracování se provádí podle přílohy č. 18 k vyhlášce č. 428/2001 Sb. Každá provedená aktualizace je součástí původního plánu financování obnovy vodovodů nebo kanalizací.</w:t>
      </w:r>
    </w:p>
    <w:p w14:paraId="4E7C7B11" w14:textId="77777777" w:rsidR="004958C5" w:rsidRDefault="004958C5" w:rsidP="004958C5">
      <w:pPr>
        <w:pStyle w:val="NORMLN0"/>
        <w:ind w:firstLine="0"/>
      </w:pPr>
      <w:r w:rsidRPr="009A6A49">
        <w:rPr>
          <w:b/>
          <w:i/>
        </w:rPr>
        <w:t>Porovnání</w:t>
      </w:r>
      <w:r>
        <w:t xml:space="preserve"> - podle přílohy č. 20 k vyhlášce č. 428/2001 Sb., „Porovnání všech položek výpočtu (kalkulace) cen pro vodné a stočné za kalendářní rok a dosažené skutečnosti v témže roce“, které jednotlivé subjekty poskytující veřejnou službu povinně odevzdávají na MZe každoročně a to vždy do 30. 4. za předchozí kalendářní rok (podle §36 odst. 5, zákona č. 274/2001 Sb.).</w:t>
      </w:r>
    </w:p>
    <w:p w14:paraId="073D8AA2" w14:textId="77777777" w:rsidR="004958C5" w:rsidRDefault="004958C5" w:rsidP="004958C5">
      <w:pPr>
        <w:pStyle w:val="NORMLN0"/>
        <w:ind w:firstLine="0"/>
      </w:pPr>
      <w:r w:rsidRPr="009A6A49">
        <w:rPr>
          <w:b/>
          <w:i/>
        </w:rPr>
        <w:t>Samofinancovatelnost vodohospodářské infrastruktury</w:t>
      </w:r>
      <w:r>
        <w:t xml:space="preserve"> - stav, kdy výnosy z výběru vodného a stočného pokrývají veškeré náklady, resp. výdaje na jeho provoz, obnovu a rozvoj.</w:t>
      </w:r>
    </w:p>
    <w:p w14:paraId="5EFC22B2" w14:textId="77777777" w:rsidR="004958C5" w:rsidRDefault="004958C5" w:rsidP="004958C5">
      <w:pPr>
        <w:pStyle w:val="NORMLN0"/>
        <w:ind w:firstLine="0"/>
      </w:pPr>
      <w:r w:rsidRPr="009A6A49">
        <w:rPr>
          <w:b/>
          <w:i/>
        </w:rPr>
        <w:t>Smíšený model provozování vodohospodářského infrastrukturního majetku</w:t>
      </w:r>
      <w:r>
        <w:t xml:space="preserve"> - vlastník vodohospodářské infrastruktury vloží infrastrukturní majetek do obchodní společnosti, která jej poté vlastní i provozuje, vlastník má v provozovateli majetkový podíl. Formou smíšeného modelu je také samoprovozování v případě obcí. Pro účely této analýzy se oba tyto modely označují jako smíšené.</w:t>
      </w:r>
    </w:p>
    <w:p w14:paraId="6EBDF788" w14:textId="77777777" w:rsidR="004958C5" w:rsidRDefault="004958C5" w:rsidP="004958C5">
      <w:pPr>
        <w:pStyle w:val="NORMLN0"/>
        <w:ind w:firstLine="0"/>
      </w:pPr>
      <w:r w:rsidRPr="009A6A49">
        <w:rPr>
          <w:b/>
          <w:i/>
        </w:rPr>
        <w:t>SWOT analýza</w:t>
      </w:r>
      <w:r>
        <w:t xml:space="preserve"> - metoda, kterou identifikujeme silné (Strengths) a slabé (Weaknesses) stránky, příležitosti (Opportunities) a hrozby (Threats) spojené s určitým projektem, typem podnikání (zde s použitím metody benchmarkingu pro hodnocení hospodářských subjektů).</w:t>
      </w:r>
    </w:p>
    <w:p w14:paraId="6374BDB7" w14:textId="77777777" w:rsidR="004958C5" w:rsidRDefault="004958C5" w:rsidP="004958C5">
      <w:pPr>
        <w:pStyle w:val="NORMLN0"/>
        <w:ind w:firstLine="0"/>
      </w:pPr>
      <w:r w:rsidRPr="009A6A49">
        <w:rPr>
          <w:b/>
          <w:i/>
        </w:rPr>
        <w:t>Vlastník</w:t>
      </w:r>
      <w:r>
        <w:t xml:space="preserve"> - chápán jako majitel vodohospodářského infrastrukturního majetku</w:t>
      </w:r>
    </w:p>
    <w:p w14:paraId="3D444378" w14:textId="77777777" w:rsidR="004958C5" w:rsidRDefault="004958C5" w:rsidP="004958C5">
      <w:pPr>
        <w:pStyle w:val="NORMLN0"/>
        <w:ind w:firstLine="0"/>
      </w:pPr>
      <w:r w:rsidRPr="009A6A49">
        <w:rPr>
          <w:b/>
          <w:i/>
        </w:rPr>
        <w:t>Vlastnický model provozování</w:t>
      </w:r>
      <w:r>
        <w:t xml:space="preserve"> - podskupina oddílného modelu provozování - vlastník vodohospodářské infrastruktury uzavírá dlouhodobou smlouvu o provozování </w:t>
      </w:r>
      <w:r>
        <w:lastRenderedPageBreak/>
        <w:t>vodohospodářské infrastruktury s provozovatelem, ve kterém má vlastnický podíl. Provozování VIM se zadává formou in-house veřejného zadávání.</w:t>
      </w:r>
    </w:p>
    <w:p w14:paraId="052C9971" w14:textId="77777777" w:rsidR="004958C5" w:rsidRDefault="004958C5" w:rsidP="004958C5">
      <w:pPr>
        <w:pStyle w:val="NORMLN0"/>
        <w:ind w:firstLine="0"/>
      </w:pPr>
      <w:r>
        <w:rPr>
          <w:b/>
          <w:i/>
        </w:rPr>
        <w:t xml:space="preserve">Vyhláška č. 428/2001 Sb. - </w:t>
      </w:r>
      <w:r>
        <w:t>vyhláška č. 428/2001 Sb. Ministerstva zemědělství ze dne 16. listopadu 2001, kterou se provádí zákon č. 274/2001 Sb., o vodovodech a kanalizacích pro veřejnou potřebu a o změně některých zákonů, (zákon o vodovodech a kanalizacích).</w:t>
      </w:r>
    </w:p>
    <w:p w14:paraId="1B073116" w14:textId="77777777" w:rsidR="00C62639" w:rsidRPr="00C62639" w:rsidRDefault="00C62639" w:rsidP="00BF56FA">
      <w:pPr>
        <w:pStyle w:val="Normlnzprva"/>
        <w:ind w:firstLine="0"/>
        <w:rPr>
          <w:rFonts w:asciiTheme="minorHAnsi" w:hAnsiTheme="minorHAnsi"/>
          <w:noProof/>
        </w:rPr>
      </w:pPr>
    </w:p>
    <w:p w14:paraId="7DF2D2D5" w14:textId="77777777" w:rsidR="00590F65" w:rsidRPr="00C62639" w:rsidRDefault="0064170D" w:rsidP="00E4339E">
      <w:pPr>
        <w:pStyle w:val="Nadpis3"/>
        <w:rPr>
          <w:rFonts w:asciiTheme="minorHAnsi" w:hAnsiTheme="minorHAnsi"/>
          <w:noProof/>
        </w:rPr>
      </w:pPr>
      <w:bookmarkStart w:id="6" w:name="_Toc459133205"/>
      <w:r w:rsidRPr="00C62639">
        <w:rPr>
          <w:rFonts w:asciiTheme="minorHAnsi" w:hAnsiTheme="minorHAnsi"/>
          <w:noProof/>
        </w:rPr>
        <w:t xml:space="preserve"> </w:t>
      </w:r>
      <w:bookmarkStart w:id="7" w:name="_Toc3291972"/>
      <w:r w:rsidR="00590F65" w:rsidRPr="00C62639">
        <w:rPr>
          <w:rFonts w:asciiTheme="minorHAnsi" w:hAnsiTheme="minorHAnsi"/>
          <w:noProof/>
        </w:rPr>
        <w:t>Použité zkratky</w:t>
      </w:r>
      <w:bookmarkEnd w:id="6"/>
      <w:bookmarkEnd w:id="7"/>
    </w:p>
    <w:p w14:paraId="678F3E45" w14:textId="77777777"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MZe - </w:t>
      </w:r>
      <w:r w:rsidRPr="00C62639">
        <w:rPr>
          <w:rFonts w:asciiTheme="minorHAnsi" w:eastAsia="Times New Roman" w:hAnsiTheme="minorHAnsi"/>
          <w:noProof/>
        </w:rPr>
        <w:tab/>
      </w:r>
      <w:r w:rsidRPr="00C62639">
        <w:rPr>
          <w:rFonts w:asciiTheme="minorHAnsi" w:eastAsia="Times New Roman" w:hAnsiTheme="minorHAnsi"/>
          <w:noProof/>
        </w:rPr>
        <w:tab/>
        <w:t xml:space="preserve">Ministerstvo zemědělství </w:t>
      </w:r>
    </w:p>
    <w:p w14:paraId="7D54D7DF" w14:textId="77777777" w:rsidR="00663154" w:rsidRPr="00C62639" w:rsidRDefault="00663154" w:rsidP="006E3288">
      <w:pPr>
        <w:contextualSpacing w:val="0"/>
        <w:rPr>
          <w:rFonts w:asciiTheme="minorHAnsi" w:eastAsia="Times New Roman" w:hAnsiTheme="minorHAnsi"/>
          <w:noProof/>
        </w:rPr>
      </w:pPr>
      <w:r w:rsidRPr="00C62639">
        <w:rPr>
          <w:rFonts w:asciiTheme="minorHAnsi" w:eastAsia="Times New Roman" w:hAnsiTheme="minorHAnsi"/>
          <w:noProof/>
        </w:rPr>
        <w:t>MF -</w:t>
      </w:r>
      <w:r w:rsidRPr="00C62639">
        <w:rPr>
          <w:rFonts w:asciiTheme="minorHAnsi" w:eastAsia="Times New Roman" w:hAnsiTheme="minorHAnsi"/>
          <w:noProof/>
        </w:rPr>
        <w:tab/>
      </w:r>
      <w:r w:rsidRPr="00C62639">
        <w:rPr>
          <w:rFonts w:asciiTheme="minorHAnsi" w:eastAsia="Times New Roman" w:hAnsiTheme="minorHAnsi"/>
          <w:noProof/>
        </w:rPr>
        <w:tab/>
        <w:t>Ministerstvo financí</w:t>
      </w:r>
    </w:p>
    <w:p w14:paraId="3AEA7B0D" w14:textId="77777777" w:rsidR="00663154" w:rsidRPr="00C62639" w:rsidRDefault="00663154" w:rsidP="006E3288">
      <w:pPr>
        <w:contextualSpacing w:val="0"/>
        <w:rPr>
          <w:rFonts w:asciiTheme="minorHAnsi" w:eastAsia="Times New Roman" w:hAnsiTheme="minorHAnsi"/>
          <w:noProof/>
        </w:rPr>
      </w:pPr>
      <w:r w:rsidRPr="00C62639">
        <w:rPr>
          <w:rFonts w:asciiTheme="minorHAnsi" w:eastAsia="Times New Roman" w:hAnsiTheme="minorHAnsi"/>
          <w:noProof/>
        </w:rPr>
        <w:t>MŽP -</w:t>
      </w:r>
      <w:r w:rsidRPr="00C62639">
        <w:rPr>
          <w:rFonts w:asciiTheme="minorHAnsi" w:eastAsia="Times New Roman" w:hAnsiTheme="minorHAnsi"/>
          <w:noProof/>
        </w:rPr>
        <w:tab/>
      </w:r>
      <w:r w:rsidRPr="00C62639">
        <w:rPr>
          <w:rFonts w:asciiTheme="minorHAnsi" w:eastAsia="Times New Roman" w:hAnsiTheme="minorHAnsi"/>
          <w:noProof/>
        </w:rPr>
        <w:tab/>
        <w:t>Ministerstvo životního prostředí</w:t>
      </w:r>
    </w:p>
    <w:p w14:paraId="507F7112" w14:textId="77777777"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VÚME -</w:t>
      </w:r>
      <w:r w:rsidRPr="00C62639">
        <w:rPr>
          <w:rFonts w:asciiTheme="minorHAnsi" w:eastAsia="Times New Roman" w:hAnsiTheme="minorHAnsi"/>
          <w:noProof/>
        </w:rPr>
        <w:tab/>
        <w:t>Vybrané údaje majetkové evidence</w:t>
      </w:r>
    </w:p>
    <w:p w14:paraId="4421A717" w14:textId="77777777"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VÚPE - </w:t>
      </w:r>
      <w:r w:rsidRPr="00C62639">
        <w:rPr>
          <w:rFonts w:asciiTheme="minorHAnsi" w:eastAsia="Times New Roman" w:hAnsiTheme="minorHAnsi"/>
          <w:noProof/>
        </w:rPr>
        <w:tab/>
        <w:t>Vybrané údaje provozní evidence</w:t>
      </w:r>
    </w:p>
    <w:p w14:paraId="5A13F83E" w14:textId="77777777"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IČPE - </w:t>
      </w:r>
      <w:r w:rsidRPr="00C62639">
        <w:rPr>
          <w:rFonts w:asciiTheme="minorHAnsi" w:eastAsia="Times New Roman" w:hAnsiTheme="minorHAnsi"/>
          <w:noProof/>
        </w:rPr>
        <w:tab/>
      </w:r>
      <w:r w:rsidRPr="00C62639">
        <w:rPr>
          <w:rFonts w:asciiTheme="minorHAnsi" w:eastAsia="Times New Roman" w:hAnsiTheme="minorHAnsi"/>
          <w:noProof/>
        </w:rPr>
        <w:tab/>
        <w:t>Identifikační číslo provozní evidence</w:t>
      </w:r>
    </w:p>
    <w:p w14:paraId="4B274906" w14:textId="77777777"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 xml:space="preserve">PFO - </w:t>
      </w:r>
      <w:r w:rsidRPr="00C62639">
        <w:rPr>
          <w:rFonts w:asciiTheme="minorHAnsi" w:eastAsia="Times New Roman" w:hAnsiTheme="minorHAnsi"/>
          <w:noProof/>
        </w:rPr>
        <w:tab/>
      </w:r>
      <w:r w:rsidRPr="00C62639">
        <w:rPr>
          <w:rFonts w:asciiTheme="minorHAnsi" w:eastAsia="Times New Roman" w:hAnsiTheme="minorHAnsi"/>
          <w:noProof/>
        </w:rPr>
        <w:tab/>
        <w:t>Plán financování a obnovy vodohospodářského infrastrukturního majetku</w:t>
      </w:r>
    </w:p>
    <w:p w14:paraId="3D29579A" w14:textId="77777777" w:rsidR="00B80DA1" w:rsidRDefault="00B80DA1" w:rsidP="006E3288">
      <w:pPr>
        <w:contextualSpacing w:val="0"/>
        <w:rPr>
          <w:rFonts w:asciiTheme="minorHAnsi" w:eastAsia="Times New Roman" w:hAnsiTheme="minorHAnsi"/>
          <w:noProof/>
        </w:rPr>
      </w:pPr>
      <w:r w:rsidRPr="00C62639">
        <w:rPr>
          <w:rFonts w:asciiTheme="minorHAnsi" w:eastAsia="Times New Roman" w:hAnsiTheme="minorHAnsi"/>
          <w:noProof/>
        </w:rPr>
        <w:t>OKF -</w:t>
      </w:r>
      <w:r w:rsidRPr="00C62639">
        <w:rPr>
          <w:rFonts w:asciiTheme="minorHAnsi" w:eastAsia="Times New Roman" w:hAnsiTheme="minorHAnsi"/>
          <w:noProof/>
        </w:rPr>
        <w:tab/>
      </w:r>
      <w:r w:rsidRPr="00C62639">
        <w:rPr>
          <w:rFonts w:asciiTheme="minorHAnsi" w:eastAsia="Times New Roman" w:hAnsiTheme="minorHAnsi"/>
          <w:noProof/>
        </w:rPr>
        <w:tab/>
        <w:t>Operační koeficient (</w:t>
      </w:r>
      <w:r w:rsidR="00C01C67" w:rsidRPr="00C62639">
        <w:rPr>
          <w:rFonts w:asciiTheme="minorHAnsi" w:eastAsia="Times New Roman" w:hAnsiTheme="minorHAnsi"/>
          <w:noProof/>
        </w:rPr>
        <w:t>výpočet viz</w:t>
      </w:r>
      <w:r w:rsidRPr="00C62639">
        <w:rPr>
          <w:rFonts w:asciiTheme="minorHAnsi" w:eastAsia="Times New Roman" w:hAnsiTheme="minorHAnsi"/>
          <w:noProof/>
        </w:rPr>
        <w:t xml:space="preserve"> platná Metodika benchmarkingu)</w:t>
      </w:r>
    </w:p>
    <w:p w14:paraId="7612826A" w14:textId="77777777" w:rsidR="00715918" w:rsidRPr="004F15DC" w:rsidRDefault="00715918" w:rsidP="006E3288">
      <w:pPr>
        <w:contextualSpacing w:val="0"/>
        <w:rPr>
          <w:rFonts w:asciiTheme="minorHAnsi" w:hAnsiTheme="minorHAnsi"/>
          <w:noProof/>
        </w:rPr>
      </w:pPr>
      <w:r>
        <w:rPr>
          <w:rFonts w:asciiTheme="minorHAnsi" w:eastAsia="Times New Roman" w:hAnsiTheme="minorHAnsi"/>
          <w:noProof/>
        </w:rPr>
        <w:t>ÚVN -</w:t>
      </w:r>
      <w:r>
        <w:rPr>
          <w:rFonts w:asciiTheme="minorHAnsi" w:eastAsia="Times New Roman" w:hAnsiTheme="minorHAnsi"/>
          <w:noProof/>
        </w:rPr>
        <w:tab/>
      </w:r>
      <w:r>
        <w:rPr>
          <w:rFonts w:asciiTheme="minorHAnsi" w:eastAsia="Times New Roman" w:hAnsiTheme="minorHAnsi"/>
          <w:noProof/>
        </w:rPr>
        <w:tab/>
        <w:t>Úplné vlastní náklady</w:t>
      </w:r>
      <w:r w:rsidR="004F15DC">
        <w:rPr>
          <w:rFonts w:asciiTheme="minorHAnsi" w:eastAsia="Times New Roman" w:hAnsiTheme="minorHAnsi"/>
          <w:noProof/>
        </w:rPr>
        <w:t xml:space="preserve"> včetně řádku 4.4 prostředky na obnovu</w:t>
      </w:r>
    </w:p>
    <w:p w14:paraId="3F2203AF" w14:textId="77777777" w:rsidR="00590F65" w:rsidRPr="00C62639" w:rsidRDefault="00590F65" w:rsidP="006E3288">
      <w:pPr>
        <w:contextualSpacing w:val="0"/>
        <w:rPr>
          <w:rFonts w:asciiTheme="minorHAnsi" w:eastAsia="Times New Roman" w:hAnsiTheme="minorHAnsi"/>
          <w:noProof/>
        </w:rPr>
      </w:pPr>
      <w:r w:rsidRPr="00C62639">
        <w:rPr>
          <w:rFonts w:asciiTheme="minorHAnsi" w:eastAsia="Times New Roman" w:hAnsiTheme="minorHAnsi"/>
          <w:noProof/>
        </w:rPr>
        <w:t>VIM -</w:t>
      </w:r>
      <w:r w:rsidRPr="00C62639">
        <w:rPr>
          <w:rFonts w:asciiTheme="minorHAnsi" w:eastAsia="Times New Roman" w:hAnsiTheme="minorHAnsi"/>
          <w:noProof/>
        </w:rPr>
        <w:tab/>
      </w:r>
      <w:r w:rsidRPr="00C62639">
        <w:rPr>
          <w:rFonts w:asciiTheme="minorHAnsi" w:eastAsia="Times New Roman" w:hAnsiTheme="minorHAnsi"/>
          <w:noProof/>
        </w:rPr>
        <w:tab/>
        <w:t>Vodohospodářský infrastrukturní majetek</w:t>
      </w:r>
    </w:p>
    <w:p w14:paraId="30BE2E2A" w14:textId="77777777" w:rsidR="00F762DB" w:rsidRPr="00C62639" w:rsidRDefault="00F762DB" w:rsidP="00F762DB">
      <w:pPr>
        <w:contextualSpacing w:val="0"/>
        <w:rPr>
          <w:rFonts w:asciiTheme="minorHAnsi" w:eastAsia="Times New Roman" w:hAnsiTheme="minorHAnsi"/>
          <w:noProof/>
        </w:rPr>
      </w:pPr>
      <w:r w:rsidRPr="00C62639">
        <w:rPr>
          <w:rFonts w:asciiTheme="minorHAnsi" w:eastAsia="Times New Roman" w:hAnsiTheme="minorHAnsi"/>
          <w:noProof/>
        </w:rPr>
        <w:t>ZVK -</w:t>
      </w:r>
      <w:r w:rsidRPr="00C62639">
        <w:rPr>
          <w:rFonts w:asciiTheme="minorHAnsi" w:eastAsia="Times New Roman" w:hAnsiTheme="minorHAnsi"/>
          <w:noProof/>
        </w:rPr>
        <w:tab/>
      </w:r>
      <w:r w:rsidRPr="00C62639">
        <w:rPr>
          <w:rFonts w:asciiTheme="minorHAnsi" w:eastAsia="Times New Roman" w:hAnsiTheme="minorHAnsi"/>
          <w:noProof/>
        </w:rPr>
        <w:tab/>
        <w:t>Zákon o vodovodech a kanalizacích č. 274/2001 Sb.</w:t>
      </w:r>
    </w:p>
    <w:p w14:paraId="0AFDC153" w14:textId="77777777" w:rsidR="00F762DB" w:rsidRDefault="00F762DB" w:rsidP="00F762DB">
      <w:pPr>
        <w:contextualSpacing w:val="0"/>
        <w:rPr>
          <w:rFonts w:asciiTheme="minorHAnsi" w:eastAsia="Times New Roman" w:hAnsiTheme="minorHAnsi"/>
          <w:noProof/>
        </w:rPr>
      </w:pPr>
      <w:r w:rsidRPr="00C62639">
        <w:rPr>
          <w:rFonts w:asciiTheme="minorHAnsi" w:eastAsia="Times New Roman" w:hAnsiTheme="minorHAnsi"/>
          <w:noProof/>
        </w:rPr>
        <w:t>VaK -</w:t>
      </w:r>
      <w:r w:rsidRPr="00C62639">
        <w:rPr>
          <w:rFonts w:asciiTheme="minorHAnsi" w:eastAsia="Times New Roman" w:hAnsiTheme="minorHAnsi"/>
          <w:noProof/>
        </w:rPr>
        <w:tab/>
      </w:r>
      <w:r w:rsidRPr="00C62639">
        <w:rPr>
          <w:rFonts w:asciiTheme="minorHAnsi" w:eastAsia="Times New Roman" w:hAnsiTheme="minorHAnsi"/>
          <w:noProof/>
        </w:rPr>
        <w:tab/>
        <w:t>Vodovody a kanalizace pro veřejnou potřebu</w:t>
      </w:r>
    </w:p>
    <w:p w14:paraId="2B722D52" w14:textId="77777777" w:rsidR="00F128A6" w:rsidRDefault="00F128A6" w:rsidP="00F762DB">
      <w:pPr>
        <w:contextualSpacing w:val="0"/>
        <w:rPr>
          <w:rFonts w:asciiTheme="minorHAnsi" w:eastAsia="Times New Roman" w:hAnsiTheme="minorHAnsi"/>
          <w:noProof/>
        </w:rPr>
      </w:pPr>
    </w:p>
    <w:p w14:paraId="611B5865" w14:textId="77777777" w:rsidR="00840A86" w:rsidRDefault="00840A86" w:rsidP="00F762DB">
      <w:pPr>
        <w:contextualSpacing w:val="0"/>
        <w:rPr>
          <w:rFonts w:asciiTheme="minorHAnsi" w:eastAsia="Times New Roman" w:hAnsiTheme="minorHAnsi"/>
          <w:noProof/>
        </w:rPr>
      </w:pPr>
    </w:p>
    <w:p w14:paraId="43EE4C3E" w14:textId="17C648E9" w:rsidR="00E32D7D" w:rsidRDefault="00013E98" w:rsidP="00E32D7D">
      <w:pPr>
        <w:pStyle w:val="Nadpis3"/>
        <w:rPr>
          <w:rFonts w:asciiTheme="minorHAnsi" w:hAnsiTheme="minorHAnsi"/>
          <w:noProof/>
        </w:rPr>
      </w:pPr>
      <w:bookmarkStart w:id="8" w:name="_Toc3291973"/>
      <w:r>
        <w:rPr>
          <w:rFonts w:asciiTheme="minorHAnsi" w:hAnsiTheme="minorHAnsi"/>
          <w:noProof/>
        </w:rPr>
        <w:t>Seznam a z</w:t>
      </w:r>
      <w:r w:rsidR="00E32D7D">
        <w:rPr>
          <w:rFonts w:asciiTheme="minorHAnsi" w:hAnsiTheme="minorHAnsi"/>
          <w:noProof/>
        </w:rPr>
        <w:t xml:space="preserve">působ </w:t>
      </w:r>
      <w:r>
        <w:rPr>
          <w:rFonts w:asciiTheme="minorHAnsi" w:hAnsiTheme="minorHAnsi"/>
          <w:noProof/>
        </w:rPr>
        <w:t xml:space="preserve">identifikace </w:t>
      </w:r>
      <w:r w:rsidR="00E32D7D">
        <w:rPr>
          <w:rFonts w:asciiTheme="minorHAnsi" w:hAnsiTheme="minorHAnsi"/>
          <w:noProof/>
        </w:rPr>
        <w:t>hodnocených anomálií</w:t>
      </w:r>
      <w:r w:rsidR="00BC03D3">
        <w:rPr>
          <w:rFonts w:asciiTheme="minorHAnsi" w:hAnsiTheme="minorHAnsi"/>
          <w:noProof/>
        </w:rPr>
        <w:t xml:space="preserve"> </w:t>
      </w:r>
      <w:r w:rsidR="00E32D7D">
        <w:rPr>
          <w:rFonts w:asciiTheme="minorHAnsi" w:hAnsiTheme="minorHAnsi"/>
          <w:noProof/>
        </w:rPr>
        <w:t>benchmarkingu vlastn</w:t>
      </w:r>
      <w:r w:rsidR="00AD4CBE">
        <w:rPr>
          <w:rFonts w:asciiTheme="minorHAnsi" w:hAnsiTheme="minorHAnsi"/>
          <w:noProof/>
        </w:rPr>
        <w:t>i</w:t>
      </w:r>
      <w:r w:rsidR="00E32D7D">
        <w:rPr>
          <w:rFonts w:asciiTheme="minorHAnsi" w:hAnsiTheme="minorHAnsi"/>
          <w:noProof/>
        </w:rPr>
        <w:t>ckých subjektů</w:t>
      </w:r>
      <w:bookmarkEnd w:id="8"/>
      <w:r w:rsidR="00E32D7D">
        <w:rPr>
          <w:rFonts w:asciiTheme="minorHAnsi" w:hAnsiTheme="minorHAnsi"/>
          <w:noProof/>
        </w:rPr>
        <w:t xml:space="preserve"> </w:t>
      </w:r>
    </w:p>
    <w:p w14:paraId="27EFBE1E" w14:textId="29BF1059" w:rsidR="00EA17AD" w:rsidRDefault="00CE1DF2" w:rsidP="00235CAC">
      <w:pPr>
        <w:pStyle w:val="NORMLN0"/>
      </w:pPr>
      <w:r>
        <w:t xml:space="preserve">Aby bylo možné z provedených analýz přijmout relevantní závěry, bylo třeba stanovit mezní hodnoty </w:t>
      </w:r>
      <w:r w:rsidRPr="00BF56FA">
        <w:t>ukazatelů</w:t>
      </w:r>
      <w:r>
        <w:t xml:space="preserve"> použitých k identifikaci </w:t>
      </w:r>
      <w:r w:rsidR="00284ED7">
        <w:t xml:space="preserve">některých </w:t>
      </w:r>
      <w:r>
        <w:t>anomálií. Mezní hodnoty jsou uvedeny v tabulce níže.</w:t>
      </w:r>
    </w:p>
    <w:p w14:paraId="56415FA1" w14:textId="77777777" w:rsidR="00F128A6" w:rsidRDefault="00F128A6" w:rsidP="00235CAC">
      <w:pPr>
        <w:pStyle w:val="NORMLN0"/>
      </w:pPr>
    </w:p>
    <w:p w14:paraId="77283445" w14:textId="77777777" w:rsidR="00F128A6" w:rsidRDefault="00F128A6" w:rsidP="00235CAC">
      <w:pPr>
        <w:pStyle w:val="NORMLN0"/>
      </w:pPr>
    </w:p>
    <w:p w14:paraId="5C6A4156" w14:textId="77777777" w:rsidR="00F128A6" w:rsidRDefault="00F128A6" w:rsidP="00235CAC">
      <w:pPr>
        <w:pStyle w:val="NORMLN0"/>
      </w:pPr>
    </w:p>
    <w:p w14:paraId="73596D43" w14:textId="77777777" w:rsidR="00F128A6" w:rsidRDefault="00F128A6" w:rsidP="00235CAC">
      <w:pPr>
        <w:pStyle w:val="NORMLN0"/>
      </w:pPr>
    </w:p>
    <w:p w14:paraId="48C18831" w14:textId="77777777" w:rsidR="00F128A6" w:rsidRDefault="00F128A6" w:rsidP="00235CAC">
      <w:pPr>
        <w:pStyle w:val="NORMLN0"/>
      </w:pPr>
    </w:p>
    <w:p w14:paraId="4392AC86" w14:textId="77777777" w:rsidR="00F128A6" w:rsidRDefault="00F128A6" w:rsidP="00235CAC">
      <w:pPr>
        <w:pStyle w:val="NORMLN0"/>
      </w:pPr>
    </w:p>
    <w:p w14:paraId="6CF159A8" w14:textId="77777777" w:rsidR="00F128A6" w:rsidRDefault="00F128A6" w:rsidP="00235CAC">
      <w:pPr>
        <w:pStyle w:val="NORMLN0"/>
      </w:pPr>
    </w:p>
    <w:p w14:paraId="335D4556" w14:textId="77777777" w:rsidR="00235CAC" w:rsidRDefault="00235CAC" w:rsidP="00CE1DF2"/>
    <w:p w14:paraId="1C39D62D" w14:textId="77777777" w:rsidR="00CE1DF2" w:rsidRDefault="00B05560" w:rsidP="00CE1DF2">
      <w:pPr>
        <w:rPr>
          <w:i/>
          <w:u w:val="single"/>
        </w:rPr>
      </w:pPr>
      <w:r w:rsidRPr="00235CAC">
        <w:rPr>
          <w:i/>
          <w:u w:val="single"/>
        </w:rPr>
        <w:lastRenderedPageBreak/>
        <w:t>Benchmarking vlastnických subjektů:</w:t>
      </w:r>
    </w:p>
    <w:p w14:paraId="47CF7FFC" w14:textId="77777777" w:rsidR="00235CAC" w:rsidRPr="00235CAC" w:rsidRDefault="00235CAC" w:rsidP="00CE1DF2">
      <w:pPr>
        <w:rPr>
          <w:i/>
          <w:u w:val="single"/>
        </w:rPr>
      </w:pPr>
    </w:p>
    <w:p w14:paraId="7E6DBC90" w14:textId="77777777" w:rsidR="00CE1DF2" w:rsidRPr="002B20DB" w:rsidRDefault="00CE1DF2" w:rsidP="00CE1DF2">
      <w:pPr>
        <w:rPr>
          <w:b/>
        </w:rPr>
      </w:pPr>
      <w:r w:rsidRPr="002B20DB">
        <w:rPr>
          <w:b/>
        </w:rPr>
        <w:t>Vodovod</w:t>
      </w:r>
    </w:p>
    <w:tbl>
      <w:tblPr>
        <w:tblStyle w:val="Tmavtabulkasmkou5zvraznn13"/>
        <w:tblW w:w="5564" w:type="pct"/>
        <w:tblInd w:w="-5" w:type="dxa"/>
        <w:tblLook w:val="04A0" w:firstRow="1" w:lastRow="0" w:firstColumn="1" w:lastColumn="0" w:noHBand="0" w:noVBand="1"/>
      </w:tblPr>
      <w:tblGrid>
        <w:gridCol w:w="1986"/>
        <w:gridCol w:w="1181"/>
        <w:gridCol w:w="1183"/>
        <w:gridCol w:w="781"/>
        <w:gridCol w:w="917"/>
        <w:gridCol w:w="1316"/>
        <w:gridCol w:w="1399"/>
        <w:gridCol w:w="1319"/>
      </w:tblGrid>
      <w:tr w:rsidR="003717EF" w:rsidRPr="00C54C1D" w14:paraId="41FD67BC" w14:textId="77777777" w:rsidTr="003717EF">
        <w:trPr>
          <w:cnfStyle w:val="100000000000" w:firstRow="1" w:lastRow="0" w:firstColumn="0" w:lastColumn="0" w:oddVBand="0" w:evenVBand="0" w:oddHBand="0" w:evenHBand="0" w:firstRowFirstColumn="0" w:firstRowLastColumn="0" w:lastRowFirstColumn="0" w:lastRowLastColumn="0"/>
          <w:trHeight w:val="2782"/>
        </w:trPr>
        <w:tc>
          <w:tcPr>
            <w:cnfStyle w:val="001000000000" w:firstRow="0" w:lastRow="0" w:firstColumn="1" w:lastColumn="0" w:oddVBand="0" w:evenVBand="0" w:oddHBand="0" w:evenHBand="0" w:firstRowFirstColumn="0" w:firstRowLastColumn="0" w:lastRowFirstColumn="0" w:lastRowLastColumn="0"/>
            <w:tcW w:w="927" w:type="pct"/>
            <w:vAlign w:val="center"/>
            <w:hideMark/>
          </w:tcPr>
          <w:p w14:paraId="52E7CE3B" w14:textId="77777777" w:rsidR="004958C5" w:rsidRPr="00C54C1D" w:rsidRDefault="004958C5" w:rsidP="009F36D5">
            <w:pPr>
              <w:spacing w:before="0" w:after="0"/>
              <w:contextualSpacing w:val="0"/>
              <w:jc w:val="left"/>
              <w:rPr>
                <w:rFonts w:asciiTheme="majorHAnsi" w:eastAsia="Times New Roman" w:hAnsiTheme="majorHAnsi"/>
                <w:sz w:val="20"/>
                <w:szCs w:val="14"/>
                <w:lang w:eastAsia="cs-CZ"/>
              </w:rPr>
            </w:pPr>
            <w:r w:rsidRPr="002B20DB">
              <w:rPr>
                <w:rFonts w:asciiTheme="majorHAnsi" w:eastAsia="Times New Roman" w:hAnsiTheme="majorHAnsi"/>
                <w:smallCaps/>
                <w:sz w:val="22"/>
                <w:szCs w:val="14"/>
                <w:lang w:eastAsia="cs-CZ"/>
              </w:rPr>
              <w:t>Benchmarking vlastnických subjektů:</w:t>
            </w:r>
            <w:r w:rsidRPr="002B20DB">
              <w:rPr>
                <w:rFonts w:asciiTheme="majorHAnsi" w:eastAsia="Times New Roman" w:hAnsiTheme="majorHAnsi"/>
                <w:smallCaps/>
                <w:sz w:val="22"/>
                <w:szCs w:val="14"/>
                <w:lang w:eastAsia="cs-CZ"/>
              </w:rPr>
              <w:br/>
              <w:t xml:space="preserve">Hodnoty některých ukazatelů u Porovnání splňujících stanovená </w:t>
            </w:r>
            <w:r w:rsidR="00B05560">
              <w:rPr>
                <w:rFonts w:asciiTheme="majorHAnsi" w:eastAsia="Times New Roman" w:hAnsiTheme="majorHAnsi"/>
                <w:smallCaps/>
                <w:sz w:val="22"/>
                <w:szCs w:val="14"/>
                <w:lang w:eastAsia="cs-CZ"/>
              </w:rPr>
              <w:t>kriteria</w:t>
            </w:r>
          </w:p>
        </w:tc>
        <w:tc>
          <w:tcPr>
            <w:tcW w:w="594" w:type="pct"/>
            <w:textDirection w:val="btLr"/>
            <w:vAlign w:val="center"/>
            <w:hideMark/>
          </w:tcPr>
          <w:p w14:paraId="21DF9942" w14:textId="3CA2217A" w:rsidR="004958C5" w:rsidRPr="003717EF" w:rsidRDefault="00F5434C" w:rsidP="00F5434C">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7"/>
                <w:szCs w:val="17"/>
                <w:lang w:eastAsia="cs-CZ"/>
              </w:rPr>
            </w:pPr>
            <w:r w:rsidRPr="00235CAC">
              <w:rPr>
                <w:rFonts w:asciiTheme="majorHAnsi" w:eastAsia="Times New Roman" w:hAnsiTheme="majorHAnsi"/>
                <w:b w:val="0"/>
                <w:smallCaps/>
                <w:sz w:val="20"/>
                <w:szCs w:val="17"/>
                <w:lang w:eastAsia="cs-CZ"/>
              </w:rPr>
              <w:t>PRŮMĚR</w:t>
            </w:r>
            <w:r>
              <w:rPr>
                <w:rFonts w:asciiTheme="majorHAnsi" w:eastAsia="Times New Roman" w:hAnsiTheme="majorHAnsi"/>
                <w:b w:val="0"/>
                <w:sz w:val="17"/>
                <w:szCs w:val="17"/>
                <w:lang w:eastAsia="cs-CZ"/>
              </w:rPr>
              <w:t xml:space="preserve"> - </w:t>
            </w:r>
            <w:r w:rsidR="004958C5" w:rsidRPr="003717EF">
              <w:rPr>
                <w:rFonts w:asciiTheme="majorHAnsi" w:eastAsia="Times New Roman" w:hAnsiTheme="majorHAnsi"/>
                <w:b w:val="0"/>
                <w:sz w:val="17"/>
                <w:szCs w:val="17"/>
                <w:lang w:eastAsia="cs-CZ"/>
              </w:rPr>
              <w:t>CENA PRO VODNÉ</w:t>
            </w:r>
            <w:r w:rsidR="00BC03D3">
              <w:rPr>
                <w:rFonts w:asciiTheme="majorHAnsi" w:eastAsia="Times New Roman" w:hAnsiTheme="majorHAnsi"/>
                <w:b w:val="0"/>
                <w:sz w:val="17"/>
                <w:szCs w:val="17"/>
                <w:lang w:eastAsia="cs-CZ"/>
              </w:rPr>
              <w:t xml:space="preserve"> </w:t>
            </w:r>
            <w:r w:rsidR="004958C5" w:rsidRPr="003717EF">
              <w:rPr>
                <w:rFonts w:asciiTheme="majorHAnsi" w:eastAsia="Times New Roman" w:hAnsiTheme="majorHAnsi"/>
                <w:b w:val="0"/>
                <w:sz w:val="17"/>
                <w:szCs w:val="17"/>
                <w:lang w:eastAsia="cs-CZ"/>
              </w:rPr>
              <w:t>(KČ/M</w:t>
            </w:r>
            <w:r w:rsidR="004958C5" w:rsidRPr="003717EF">
              <w:rPr>
                <w:rFonts w:asciiTheme="majorHAnsi" w:eastAsia="Times New Roman" w:hAnsiTheme="majorHAnsi"/>
                <w:b w:val="0"/>
                <w:sz w:val="17"/>
                <w:szCs w:val="17"/>
                <w:vertAlign w:val="superscript"/>
                <w:lang w:eastAsia="cs-CZ"/>
              </w:rPr>
              <w:t>3</w:t>
            </w:r>
            <w:r w:rsidR="004958C5" w:rsidRPr="003717EF">
              <w:rPr>
                <w:rFonts w:asciiTheme="majorHAnsi" w:eastAsia="Times New Roman" w:hAnsiTheme="majorHAnsi"/>
                <w:b w:val="0"/>
                <w:sz w:val="17"/>
                <w:szCs w:val="17"/>
                <w:lang w:eastAsia="cs-CZ"/>
              </w:rPr>
              <w:t>; Z</w:t>
            </w:r>
            <w:r w:rsidR="001222B5" w:rsidRPr="003717EF">
              <w:rPr>
                <w:rFonts w:asciiTheme="majorHAnsi" w:eastAsia="Times New Roman" w:hAnsiTheme="majorHAnsi"/>
                <w:b w:val="0"/>
                <w:sz w:val="17"/>
                <w:szCs w:val="17"/>
                <w:lang w:eastAsia="cs-CZ"/>
              </w:rPr>
              <w:t> </w:t>
            </w:r>
            <w:r w:rsidR="004958C5" w:rsidRPr="003717EF">
              <w:rPr>
                <w:rFonts w:asciiTheme="majorHAnsi" w:eastAsia="Times New Roman" w:hAnsiTheme="majorHAnsi"/>
                <w:b w:val="0"/>
                <w:sz w:val="17"/>
                <w:szCs w:val="17"/>
                <w:lang w:eastAsia="cs-CZ"/>
              </w:rPr>
              <w:t>POROVNÁNÍ</w:t>
            </w:r>
            <w:r w:rsidR="001222B5" w:rsidRPr="003717EF">
              <w:rPr>
                <w:rFonts w:asciiTheme="majorHAnsi" w:eastAsia="Times New Roman" w:hAnsiTheme="majorHAnsi"/>
                <w:b w:val="0"/>
                <w:sz w:val="17"/>
                <w:szCs w:val="17"/>
                <w:lang w:eastAsia="cs-CZ"/>
              </w:rPr>
              <w:t>, KDE OKF JE</w:t>
            </w:r>
            <w:r w:rsidR="00BC03D3">
              <w:rPr>
                <w:rFonts w:asciiTheme="majorHAnsi" w:eastAsia="Times New Roman" w:hAnsiTheme="majorHAnsi"/>
                <w:b w:val="0"/>
                <w:sz w:val="17"/>
                <w:szCs w:val="17"/>
                <w:lang w:eastAsia="cs-CZ"/>
              </w:rPr>
              <w:t xml:space="preserve"> </w:t>
            </w:r>
            <w:r w:rsidR="001222B5" w:rsidRPr="003717EF">
              <w:rPr>
                <w:rFonts w:asciiTheme="majorHAnsi" w:eastAsia="Times New Roman" w:hAnsiTheme="majorHAnsi"/>
                <w:b w:val="0"/>
                <w:sz w:val="17"/>
                <w:szCs w:val="17"/>
                <w:lang w:eastAsia="cs-CZ"/>
              </w:rPr>
              <w:t>V</w:t>
            </w:r>
            <w:r w:rsidR="00BC03D3">
              <w:rPr>
                <w:rFonts w:asciiTheme="majorHAnsi" w:eastAsia="Times New Roman" w:hAnsiTheme="majorHAnsi"/>
                <w:b w:val="0"/>
                <w:sz w:val="17"/>
                <w:szCs w:val="17"/>
                <w:lang w:eastAsia="cs-CZ"/>
              </w:rPr>
              <w:t xml:space="preserve"> </w:t>
            </w:r>
            <w:r w:rsidR="00703A73">
              <w:rPr>
                <w:rFonts w:asciiTheme="majorHAnsi" w:eastAsia="Times New Roman" w:hAnsiTheme="majorHAnsi"/>
                <w:b w:val="0"/>
                <w:sz w:val="17"/>
                <w:szCs w:val="17"/>
                <w:lang w:eastAsia="cs-CZ"/>
              </w:rPr>
              <w:t>INTERVALU 1 AŽ 1,5 a Z</w:t>
            </w:r>
            <w:r w:rsidR="00BC03D3">
              <w:rPr>
                <w:rFonts w:asciiTheme="majorHAnsi" w:eastAsia="Times New Roman" w:hAnsiTheme="majorHAnsi"/>
                <w:b w:val="0"/>
                <w:sz w:val="17"/>
                <w:szCs w:val="17"/>
                <w:lang w:eastAsia="cs-CZ"/>
              </w:rPr>
              <w:t xml:space="preserve"> </w:t>
            </w:r>
            <w:r w:rsidR="004958C5" w:rsidRPr="003717EF">
              <w:rPr>
                <w:rFonts w:asciiTheme="majorHAnsi" w:eastAsia="Times New Roman" w:hAnsiTheme="majorHAnsi"/>
                <w:b w:val="0"/>
                <w:sz w:val="17"/>
                <w:szCs w:val="17"/>
                <w:lang w:eastAsia="cs-CZ"/>
              </w:rPr>
              <w:t>POROVNÁNÍ VYKAZUJ</w:t>
            </w:r>
            <w:r>
              <w:rPr>
                <w:rFonts w:asciiTheme="majorHAnsi" w:eastAsia="Times New Roman" w:hAnsiTheme="majorHAnsi"/>
                <w:b w:val="0"/>
                <w:sz w:val="17"/>
                <w:szCs w:val="17"/>
                <w:lang w:eastAsia="cs-CZ"/>
              </w:rPr>
              <w:t>ÍCÍ</w:t>
            </w:r>
            <w:r w:rsidR="00703A73">
              <w:rPr>
                <w:rFonts w:asciiTheme="majorHAnsi" w:eastAsia="Times New Roman" w:hAnsiTheme="majorHAnsi"/>
                <w:b w:val="0"/>
                <w:sz w:val="17"/>
                <w:szCs w:val="17"/>
                <w:lang w:eastAsia="cs-CZ"/>
              </w:rPr>
              <w:t>CH</w:t>
            </w:r>
            <w:r w:rsidR="004958C5" w:rsidRPr="003717EF">
              <w:rPr>
                <w:rFonts w:asciiTheme="majorHAnsi" w:eastAsia="Times New Roman" w:hAnsiTheme="majorHAnsi"/>
                <w:b w:val="0"/>
                <w:sz w:val="17"/>
                <w:szCs w:val="17"/>
                <w:lang w:eastAsia="cs-CZ"/>
              </w:rPr>
              <w:t xml:space="preserve"> PLN</w:t>
            </w:r>
            <w:r w:rsidR="001A48F9">
              <w:rPr>
                <w:rFonts w:asciiTheme="majorHAnsi" w:eastAsia="Times New Roman" w:hAnsiTheme="majorHAnsi"/>
                <w:b w:val="0"/>
                <w:sz w:val="17"/>
                <w:szCs w:val="17"/>
                <w:lang w:eastAsia="cs-CZ"/>
              </w:rPr>
              <w:t>Ě</w:t>
            </w:r>
            <w:r w:rsidR="004958C5" w:rsidRPr="003717EF">
              <w:rPr>
                <w:rFonts w:asciiTheme="majorHAnsi" w:eastAsia="Times New Roman" w:hAnsiTheme="majorHAnsi"/>
                <w:b w:val="0"/>
                <w:sz w:val="17"/>
                <w:szCs w:val="17"/>
                <w:lang w:eastAsia="cs-CZ"/>
              </w:rPr>
              <w:t>NÍ OBNOVY)</w:t>
            </w:r>
          </w:p>
        </w:tc>
        <w:tc>
          <w:tcPr>
            <w:tcW w:w="595" w:type="pct"/>
            <w:textDirection w:val="btLr"/>
            <w:vAlign w:val="center"/>
            <w:hideMark/>
          </w:tcPr>
          <w:p w14:paraId="1A073B11" w14:textId="77777777" w:rsidR="004958C5" w:rsidRPr="003717EF" w:rsidRDefault="00F5434C" w:rsidP="00703A73">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7"/>
                <w:szCs w:val="17"/>
                <w:lang w:eastAsia="cs-CZ"/>
              </w:rPr>
            </w:pPr>
            <w:r w:rsidRPr="00B05560">
              <w:rPr>
                <w:rFonts w:asciiTheme="majorHAnsi" w:eastAsia="Times New Roman" w:hAnsiTheme="majorHAnsi"/>
                <w:b w:val="0"/>
                <w:sz w:val="20"/>
                <w:szCs w:val="17"/>
                <w:lang w:eastAsia="cs-CZ"/>
              </w:rPr>
              <w:t>MEDIÁN</w:t>
            </w:r>
            <w:r w:rsidR="004958C5" w:rsidRPr="003717EF">
              <w:rPr>
                <w:rFonts w:asciiTheme="majorHAnsi" w:eastAsia="Times New Roman" w:hAnsiTheme="majorHAnsi"/>
                <w:b w:val="0"/>
                <w:sz w:val="17"/>
                <w:szCs w:val="17"/>
                <w:lang w:eastAsia="cs-CZ"/>
              </w:rPr>
              <w:t xml:space="preserve">_ POČET PORUCH NA 1 KM ROZVODNÉ SÍTĚ (KS/KM; </w:t>
            </w:r>
            <w:r w:rsidR="00703A73">
              <w:rPr>
                <w:rFonts w:asciiTheme="majorHAnsi" w:eastAsia="Times New Roman" w:hAnsiTheme="majorHAnsi"/>
                <w:b w:val="0"/>
                <w:sz w:val="17"/>
                <w:szCs w:val="17"/>
                <w:lang w:eastAsia="cs-CZ"/>
              </w:rPr>
              <w:t xml:space="preserve">Z </w:t>
            </w:r>
            <w:r w:rsidR="004958C5" w:rsidRPr="003717EF">
              <w:rPr>
                <w:rFonts w:asciiTheme="majorHAnsi" w:eastAsia="Times New Roman" w:hAnsiTheme="majorHAnsi"/>
                <w:b w:val="0"/>
                <w:sz w:val="17"/>
                <w:szCs w:val="17"/>
                <w:lang w:eastAsia="cs-CZ"/>
              </w:rPr>
              <w:t>POROVNÁNÍ VYKAZUJÍCÍ</w:t>
            </w:r>
            <w:r w:rsidR="00703A73">
              <w:rPr>
                <w:rFonts w:asciiTheme="majorHAnsi" w:eastAsia="Times New Roman" w:hAnsiTheme="majorHAnsi"/>
                <w:b w:val="0"/>
                <w:sz w:val="17"/>
                <w:szCs w:val="17"/>
                <w:lang w:eastAsia="cs-CZ"/>
              </w:rPr>
              <w:t xml:space="preserve">CH </w:t>
            </w:r>
            <w:r w:rsidR="004958C5" w:rsidRPr="003717EF">
              <w:rPr>
                <w:rFonts w:asciiTheme="majorHAnsi" w:eastAsia="Times New Roman" w:hAnsiTheme="majorHAnsi"/>
                <w:b w:val="0"/>
                <w:sz w:val="17"/>
                <w:szCs w:val="17"/>
                <w:lang w:eastAsia="cs-CZ"/>
              </w:rPr>
              <w:t>PORUCHY)</w:t>
            </w:r>
          </w:p>
        </w:tc>
        <w:tc>
          <w:tcPr>
            <w:tcW w:w="396" w:type="pct"/>
            <w:textDirection w:val="btLr"/>
            <w:vAlign w:val="center"/>
            <w:hideMark/>
          </w:tcPr>
          <w:p w14:paraId="2271B699" w14:textId="26807FCF" w:rsidR="004958C5" w:rsidRPr="003717EF" w:rsidRDefault="00F5434C" w:rsidP="00F5434C">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7"/>
                <w:szCs w:val="17"/>
                <w:lang w:eastAsia="cs-CZ"/>
              </w:rPr>
            </w:pPr>
            <w:r w:rsidRPr="00B05560">
              <w:rPr>
                <w:rFonts w:asciiTheme="majorHAnsi" w:eastAsia="Times New Roman" w:hAnsiTheme="majorHAnsi"/>
                <w:b w:val="0"/>
                <w:sz w:val="20"/>
                <w:szCs w:val="17"/>
                <w:lang w:eastAsia="cs-CZ"/>
              </w:rPr>
              <w:t>MEDIÁN</w:t>
            </w:r>
            <w:r w:rsidR="00BC03D3">
              <w:rPr>
                <w:rFonts w:asciiTheme="majorHAnsi" w:eastAsia="Times New Roman" w:hAnsiTheme="majorHAnsi"/>
                <w:b w:val="0"/>
                <w:sz w:val="17"/>
                <w:szCs w:val="17"/>
                <w:lang w:eastAsia="cs-CZ"/>
              </w:rPr>
              <w:t xml:space="preserve"> </w:t>
            </w:r>
            <w:r>
              <w:rPr>
                <w:rFonts w:asciiTheme="majorHAnsi" w:eastAsia="Times New Roman" w:hAnsiTheme="majorHAnsi"/>
                <w:b w:val="0"/>
                <w:sz w:val="17"/>
                <w:szCs w:val="17"/>
                <w:lang w:eastAsia="cs-CZ"/>
              </w:rPr>
              <w:t xml:space="preserve">- </w:t>
            </w:r>
            <w:r w:rsidR="004958C5" w:rsidRPr="003717EF">
              <w:rPr>
                <w:rFonts w:asciiTheme="majorHAnsi" w:eastAsia="Times New Roman" w:hAnsiTheme="majorHAnsi"/>
                <w:b w:val="0"/>
                <w:sz w:val="17"/>
                <w:szCs w:val="17"/>
                <w:lang w:eastAsia="cs-CZ"/>
              </w:rPr>
              <w:t>PODÍL</w:t>
            </w:r>
            <w:r w:rsidR="00BC03D3">
              <w:rPr>
                <w:rFonts w:asciiTheme="majorHAnsi" w:eastAsia="Times New Roman" w:hAnsiTheme="majorHAnsi"/>
                <w:b w:val="0"/>
                <w:sz w:val="17"/>
                <w:szCs w:val="17"/>
                <w:lang w:eastAsia="cs-CZ"/>
              </w:rPr>
              <w:t xml:space="preserve"> </w:t>
            </w:r>
            <w:r w:rsidR="00EB5D4F" w:rsidRPr="003717EF">
              <w:rPr>
                <w:rFonts w:asciiTheme="majorHAnsi" w:eastAsia="Times New Roman" w:hAnsiTheme="majorHAnsi"/>
                <w:b w:val="0"/>
                <w:sz w:val="17"/>
                <w:szCs w:val="17"/>
                <w:lang w:eastAsia="cs-CZ"/>
              </w:rPr>
              <w:t xml:space="preserve">KALK. </w:t>
            </w:r>
            <w:r w:rsidR="004958C5" w:rsidRPr="003717EF">
              <w:rPr>
                <w:rFonts w:asciiTheme="majorHAnsi" w:eastAsia="Times New Roman" w:hAnsiTheme="majorHAnsi"/>
                <w:b w:val="0"/>
                <w:sz w:val="17"/>
                <w:szCs w:val="17"/>
                <w:lang w:eastAsia="cs-CZ"/>
              </w:rPr>
              <w:t xml:space="preserve">ZISKU NA ÚVN (%; </w:t>
            </w:r>
            <w:r w:rsidR="00703A73">
              <w:rPr>
                <w:rFonts w:asciiTheme="majorHAnsi" w:eastAsia="Times New Roman" w:hAnsiTheme="majorHAnsi"/>
                <w:b w:val="0"/>
                <w:sz w:val="17"/>
                <w:szCs w:val="17"/>
                <w:lang w:eastAsia="cs-CZ"/>
              </w:rPr>
              <w:t xml:space="preserve">Z </w:t>
            </w:r>
            <w:r w:rsidR="004958C5" w:rsidRPr="003717EF">
              <w:rPr>
                <w:rFonts w:asciiTheme="majorHAnsi" w:eastAsia="Times New Roman" w:hAnsiTheme="majorHAnsi"/>
                <w:b w:val="0"/>
                <w:sz w:val="17"/>
                <w:szCs w:val="17"/>
                <w:lang w:eastAsia="cs-CZ"/>
              </w:rPr>
              <w:t>POROVNÁNÍ S KLADNÝM KALKULAČNÍM ZISKEM)</w:t>
            </w:r>
          </w:p>
        </w:tc>
        <w:tc>
          <w:tcPr>
            <w:tcW w:w="463" w:type="pct"/>
            <w:textDirection w:val="btLr"/>
            <w:vAlign w:val="center"/>
            <w:hideMark/>
          </w:tcPr>
          <w:p w14:paraId="7F76C0A1" w14:textId="4A12ABA3" w:rsidR="004958C5" w:rsidRPr="003717EF" w:rsidRDefault="00F5434C" w:rsidP="00F5434C">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7"/>
                <w:szCs w:val="17"/>
                <w:lang w:eastAsia="cs-CZ"/>
              </w:rPr>
            </w:pPr>
            <w:r w:rsidRPr="00B05560">
              <w:rPr>
                <w:rFonts w:asciiTheme="majorHAnsi" w:eastAsia="Times New Roman" w:hAnsiTheme="majorHAnsi"/>
                <w:b w:val="0"/>
                <w:sz w:val="20"/>
                <w:szCs w:val="17"/>
                <w:lang w:eastAsia="cs-CZ"/>
              </w:rPr>
              <w:t>MEDIÁN</w:t>
            </w:r>
            <w:r w:rsidR="00BC03D3">
              <w:rPr>
                <w:rFonts w:asciiTheme="majorHAnsi" w:eastAsia="Times New Roman" w:hAnsiTheme="majorHAnsi"/>
                <w:b w:val="0"/>
                <w:sz w:val="17"/>
                <w:szCs w:val="17"/>
                <w:lang w:eastAsia="cs-CZ"/>
              </w:rPr>
              <w:t xml:space="preserve"> </w:t>
            </w:r>
            <w:r>
              <w:rPr>
                <w:rFonts w:asciiTheme="majorHAnsi" w:eastAsia="Times New Roman" w:hAnsiTheme="majorHAnsi"/>
                <w:b w:val="0"/>
                <w:sz w:val="17"/>
                <w:szCs w:val="17"/>
                <w:lang w:eastAsia="cs-CZ"/>
              </w:rPr>
              <w:t xml:space="preserve">- </w:t>
            </w:r>
            <w:r w:rsidR="00EB5D4F" w:rsidRPr="003717EF">
              <w:rPr>
                <w:rFonts w:asciiTheme="majorHAnsi" w:eastAsia="Times New Roman" w:hAnsiTheme="majorHAnsi"/>
                <w:b w:val="0"/>
                <w:sz w:val="17"/>
                <w:szCs w:val="17"/>
                <w:lang w:eastAsia="cs-CZ"/>
              </w:rPr>
              <w:t>PODÍL KALK.</w:t>
            </w:r>
            <w:r w:rsidR="004958C5" w:rsidRPr="003717EF">
              <w:rPr>
                <w:rFonts w:asciiTheme="majorHAnsi" w:eastAsia="Times New Roman" w:hAnsiTheme="majorHAnsi"/>
                <w:b w:val="0"/>
                <w:sz w:val="17"/>
                <w:szCs w:val="17"/>
                <w:lang w:eastAsia="cs-CZ"/>
              </w:rPr>
              <w:t xml:space="preserve"> ZISK</w:t>
            </w:r>
            <w:r w:rsidR="00EB5D4F" w:rsidRPr="003717EF">
              <w:rPr>
                <w:rFonts w:asciiTheme="majorHAnsi" w:eastAsia="Times New Roman" w:hAnsiTheme="majorHAnsi"/>
                <w:b w:val="0"/>
                <w:sz w:val="17"/>
                <w:szCs w:val="17"/>
                <w:lang w:eastAsia="cs-CZ"/>
              </w:rPr>
              <w:t>U</w:t>
            </w:r>
            <w:r w:rsidR="004958C5" w:rsidRPr="003717EF">
              <w:rPr>
                <w:rFonts w:asciiTheme="majorHAnsi" w:eastAsia="Times New Roman" w:hAnsiTheme="majorHAnsi"/>
                <w:b w:val="0"/>
                <w:sz w:val="17"/>
                <w:szCs w:val="17"/>
                <w:lang w:eastAsia="cs-CZ"/>
              </w:rPr>
              <w:t xml:space="preserve"> K ROZDĚLENÍ NA ÚVN (%;</w:t>
            </w:r>
            <w:r w:rsidR="00703A73">
              <w:rPr>
                <w:rFonts w:asciiTheme="majorHAnsi" w:eastAsia="Times New Roman" w:hAnsiTheme="majorHAnsi"/>
                <w:b w:val="0"/>
                <w:sz w:val="17"/>
                <w:szCs w:val="17"/>
                <w:lang w:eastAsia="cs-CZ"/>
              </w:rPr>
              <w:t xml:space="preserve"> Z</w:t>
            </w:r>
            <w:r w:rsidR="004958C5" w:rsidRPr="003717EF">
              <w:rPr>
                <w:rFonts w:asciiTheme="majorHAnsi" w:eastAsia="Times New Roman" w:hAnsiTheme="majorHAnsi"/>
                <w:b w:val="0"/>
                <w:sz w:val="17"/>
                <w:szCs w:val="17"/>
                <w:lang w:eastAsia="cs-CZ"/>
              </w:rPr>
              <w:t xml:space="preserve"> POROVNÁNÍ S KLADNÝM</w:t>
            </w:r>
            <w:r w:rsidR="00BC03D3">
              <w:rPr>
                <w:rFonts w:asciiTheme="majorHAnsi" w:eastAsia="Times New Roman" w:hAnsiTheme="majorHAnsi"/>
                <w:b w:val="0"/>
                <w:sz w:val="17"/>
                <w:szCs w:val="17"/>
                <w:lang w:eastAsia="cs-CZ"/>
              </w:rPr>
              <w:t xml:space="preserve"> </w:t>
            </w:r>
            <w:r w:rsidR="00EB5D4F" w:rsidRPr="003717EF">
              <w:rPr>
                <w:rFonts w:asciiTheme="majorHAnsi" w:eastAsia="Times New Roman" w:hAnsiTheme="majorHAnsi"/>
                <w:b w:val="0"/>
                <w:sz w:val="17"/>
                <w:szCs w:val="17"/>
                <w:lang w:eastAsia="cs-CZ"/>
              </w:rPr>
              <w:t>KALK.</w:t>
            </w:r>
            <w:r w:rsidR="009A28D5">
              <w:rPr>
                <w:rFonts w:asciiTheme="majorHAnsi" w:eastAsia="Times New Roman" w:hAnsiTheme="majorHAnsi"/>
                <w:b w:val="0"/>
                <w:sz w:val="17"/>
                <w:szCs w:val="17"/>
                <w:lang w:eastAsia="cs-CZ"/>
              </w:rPr>
              <w:t xml:space="preserve"> </w:t>
            </w:r>
            <w:r w:rsidR="004958C5" w:rsidRPr="003717EF">
              <w:rPr>
                <w:rFonts w:asciiTheme="majorHAnsi" w:eastAsia="Times New Roman" w:hAnsiTheme="majorHAnsi"/>
                <w:b w:val="0"/>
                <w:sz w:val="17"/>
                <w:szCs w:val="17"/>
                <w:lang w:eastAsia="cs-CZ"/>
              </w:rPr>
              <w:t>ZISKEM)</w:t>
            </w:r>
          </w:p>
        </w:tc>
        <w:tc>
          <w:tcPr>
            <w:tcW w:w="661" w:type="pct"/>
            <w:textDirection w:val="btLr"/>
            <w:vAlign w:val="center"/>
            <w:hideMark/>
          </w:tcPr>
          <w:p w14:paraId="09C8D169" w14:textId="77777777" w:rsidR="004958C5" w:rsidRPr="003717EF" w:rsidRDefault="009A28D5" w:rsidP="009A28D5">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7"/>
                <w:szCs w:val="17"/>
                <w:lang w:eastAsia="cs-CZ"/>
              </w:rPr>
            </w:pPr>
            <w:r w:rsidRPr="009A28D5">
              <w:rPr>
                <w:rFonts w:asciiTheme="majorHAnsi" w:eastAsia="Times New Roman" w:hAnsiTheme="majorHAnsi"/>
                <w:b w:val="0"/>
                <w:sz w:val="17"/>
                <w:szCs w:val="17"/>
                <w:lang w:eastAsia="cs-CZ"/>
              </w:rPr>
              <w:t>PRŮMĚRNÉ NÁKLADY NA ODSTRANĚNÍ JEDNÉ PORUCHY (KČ/KS; ARITMETICKÝ PRŮMĚR POČÍTÁNÝ BEZ POROVNÁNÍ S NULOV</w:t>
            </w:r>
            <w:r>
              <w:rPr>
                <w:rFonts w:asciiTheme="majorHAnsi" w:eastAsia="Times New Roman" w:hAnsiTheme="majorHAnsi"/>
                <w:b w:val="0"/>
                <w:sz w:val="17"/>
                <w:szCs w:val="17"/>
                <w:lang w:eastAsia="cs-CZ"/>
              </w:rPr>
              <w:t>Ý</w:t>
            </w:r>
            <w:r w:rsidRPr="009A28D5">
              <w:rPr>
                <w:rFonts w:asciiTheme="majorHAnsi" w:eastAsia="Times New Roman" w:hAnsiTheme="majorHAnsi"/>
                <w:b w:val="0"/>
                <w:sz w:val="17"/>
                <w:szCs w:val="17"/>
                <w:lang w:eastAsia="cs-CZ"/>
              </w:rPr>
              <w:t>MI PORUCHAMI</w:t>
            </w:r>
            <w:r>
              <w:rPr>
                <w:rFonts w:asciiTheme="majorHAnsi" w:eastAsia="Times New Roman" w:hAnsiTheme="majorHAnsi"/>
                <w:b w:val="0"/>
                <w:sz w:val="17"/>
                <w:szCs w:val="17"/>
                <w:lang w:eastAsia="cs-CZ"/>
              </w:rPr>
              <w:t>)</w:t>
            </w:r>
            <w:r w:rsidRPr="009A28D5">
              <w:rPr>
                <w:rFonts w:asciiTheme="majorHAnsi" w:eastAsia="Times New Roman" w:hAnsiTheme="majorHAnsi"/>
                <w:b w:val="0"/>
                <w:sz w:val="17"/>
                <w:szCs w:val="17"/>
                <w:lang w:eastAsia="cs-CZ"/>
              </w:rPr>
              <w:t xml:space="preserve"> </w:t>
            </w:r>
          </w:p>
        </w:tc>
        <w:tc>
          <w:tcPr>
            <w:tcW w:w="702" w:type="pct"/>
            <w:textDirection w:val="btLr"/>
            <w:vAlign w:val="center"/>
            <w:hideMark/>
          </w:tcPr>
          <w:p w14:paraId="7816526D" w14:textId="336F4B26" w:rsidR="004958C5" w:rsidRPr="003717EF" w:rsidRDefault="00EF1007" w:rsidP="009A28D5">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7"/>
                <w:szCs w:val="17"/>
                <w:lang w:eastAsia="cs-CZ"/>
              </w:rPr>
            </w:pPr>
            <w:r w:rsidRPr="003717EF">
              <w:rPr>
                <w:rFonts w:asciiTheme="majorHAnsi" w:eastAsia="Times New Roman" w:hAnsiTheme="majorHAnsi"/>
                <w:b w:val="0"/>
                <w:sz w:val="17"/>
                <w:szCs w:val="17"/>
                <w:lang w:eastAsia="cs-CZ"/>
              </w:rPr>
              <w:t>ZTRÁTY VODY NA 1 KM PŘEPOČTENÉ DÉLKY VODOVODNÍHO ŘADU NA DEN</w:t>
            </w:r>
            <w:r w:rsidR="00BC03D3">
              <w:rPr>
                <w:rFonts w:asciiTheme="majorHAnsi" w:eastAsia="Times New Roman" w:hAnsiTheme="majorHAnsi"/>
                <w:b w:val="0"/>
                <w:sz w:val="17"/>
                <w:szCs w:val="17"/>
                <w:lang w:eastAsia="cs-CZ"/>
              </w:rPr>
              <w:t xml:space="preserve"> </w:t>
            </w:r>
            <w:r w:rsidR="009A28D5">
              <w:rPr>
                <w:rFonts w:asciiTheme="majorHAnsi" w:eastAsia="Times New Roman" w:hAnsiTheme="majorHAnsi"/>
                <w:b w:val="0"/>
                <w:sz w:val="17"/>
                <w:szCs w:val="17"/>
                <w:lang w:eastAsia="cs-CZ"/>
              </w:rPr>
              <w:t>(</w:t>
            </w:r>
            <w:r w:rsidRPr="003717EF">
              <w:rPr>
                <w:rFonts w:asciiTheme="majorHAnsi" w:eastAsia="Times New Roman" w:hAnsiTheme="majorHAnsi"/>
                <w:b w:val="0"/>
                <w:sz w:val="17"/>
                <w:szCs w:val="17"/>
                <w:lang w:eastAsia="cs-CZ"/>
              </w:rPr>
              <w:t>M3/KM/DEN</w:t>
            </w:r>
            <w:r w:rsidR="009A28D5">
              <w:rPr>
                <w:rFonts w:asciiTheme="majorHAnsi" w:eastAsia="Times New Roman" w:hAnsiTheme="majorHAnsi"/>
                <w:b w:val="0"/>
                <w:sz w:val="17"/>
                <w:szCs w:val="17"/>
                <w:lang w:eastAsia="cs-CZ"/>
              </w:rPr>
              <w:t>;</w:t>
            </w:r>
            <w:r w:rsidRPr="003717EF">
              <w:rPr>
                <w:rFonts w:asciiTheme="majorHAnsi" w:eastAsia="Times New Roman" w:hAnsiTheme="majorHAnsi"/>
                <w:b w:val="0"/>
                <w:sz w:val="17"/>
                <w:szCs w:val="17"/>
                <w:lang w:eastAsia="cs-CZ"/>
              </w:rPr>
              <w:t xml:space="preserve"> </w:t>
            </w:r>
            <w:r w:rsidR="00703A73">
              <w:rPr>
                <w:rFonts w:asciiTheme="majorHAnsi" w:eastAsia="Times New Roman" w:hAnsiTheme="majorHAnsi"/>
                <w:b w:val="0"/>
                <w:sz w:val="17"/>
                <w:szCs w:val="17"/>
                <w:lang w:eastAsia="cs-CZ"/>
              </w:rPr>
              <w:t xml:space="preserve">Z </w:t>
            </w:r>
            <w:r w:rsidRPr="003717EF">
              <w:rPr>
                <w:rFonts w:asciiTheme="majorHAnsi" w:eastAsia="Times New Roman" w:hAnsiTheme="majorHAnsi"/>
                <w:b w:val="0"/>
                <w:sz w:val="17"/>
                <w:szCs w:val="17"/>
                <w:lang w:eastAsia="cs-CZ"/>
              </w:rPr>
              <w:t>POROVNÁNÍ VYKAZUJÍCÍ</w:t>
            </w:r>
            <w:r w:rsidR="00703A73">
              <w:rPr>
                <w:rFonts w:asciiTheme="majorHAnsi" w:eastAsia="Times New Roman" w:hAnsiTheme="majorHAnsi"/>
                <w:b w:val="0"/>
                <w:sz w:val="17"/>
                <w:szCs w:val="17"/>
                <w:lang w:eastAsia="cs-CZ"/>
              </w:rPr>
              <w:t>CH</w:t>
            </w:r>
            <w:r w:rsidR="00BC03D3">
              <w:rPr>
                <w:rFonts w:asciiTheme="majorHAnsi" w:eastAsia="Times New Roman" w:hAnsiTheme="majorHAnsi"/>
                <w:b w:val="0"/>
                <w:sz w:val="17"/>
                <w:szCs w:val="17"/>
                <w:lang w:eastAsia="cs-CZ"/>
              </w:rPr>
              <w:t xml:space="preserve"> </w:t>
            </w:r>
            <w:r w:rsidRPr="003717EF">
              <w:rPr>
                <w:rFonts w:asciiTheme="majorHAnsi" w:eastAsia="Times New Roman" w:hAnsiTheme="majorHAnsi"/>
                <w:b w:val="0"/>
                <w:sz w:val="17"/>
                <w:szCs w:val="17"/>
                <w:lang w:eastAsia="cs-CZ"/>
              </w:rPr>
              <w:t>ZTRÁTY VODY NAD 4 M3/KM/DEN)</w:t>
            </w:r>
          </w:p>
        </w:tc>
        <w:tc>
          <w:tcPr>
            <w:tcW w:w="662" w:type="pct"/>
            <w:textDirection w:val="btLr"/>
          </w:tcPr>
          <w:p w14:paraId="0B652307" w14:textId="09CD9117" w:rsidR="004958C5" w:rsidRPr="003717EF" w:rsidRDefault="003717EF" w:rsidP="00703A73">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7"/>
                <w:szCs w:val="17"/>
                <w:lang w:eastAsia="cs-CZ"/>
              </w:rPr>
            </w:pPr>
            <w:r w:rsidRPr="003717EF">
              <w:rPr>
                <w:rFonts w:asciiTheme="majorHAnsi" w:eastAsia="Times New Roman" w:hAnsiTheme="majorHAnsi"/>
                <w:b w:val="0"/>
                <w:sz w:val="17"/>
                <w:szCs w:val="17"/>
                <w:lang w:eastAsia="cs-CZ"/>
              </w:rPr>
              <w:t xml:space="preserve">HODNOTA VODY NEFAKTUROVANÉ NA KM PŘEPOČTENÉ DÉLKY </w:t>
            </w:r>
            <w:r w:rsidR="009A28D5">
              <w:rPr>
                <w:rFonts w:asciiTheme="majorHAnsi" w:eastAsia="Times New Roman" w:hAnsiTheme="majorHAnsi"/>
                <w:b w:val="0"/>
                <w:sz w:val="17"/>
                <w:szCs w:val="17"/>
                <w:lang w:eastAsia="cs-CZ"/>
              </w:rPr>
              <w:t>(</w:t>
            </w:r>
            <w:r w:rsidRPr="003717EF">
              <w:rPr>
                <w:rFonts w:asciiTheme="majorHAnsi" w:eastAsia="Times New Roman" w:hAnsiTheme="majorHAnsi"/>
                <w:b w:val="0"/>
                <w:sz w:val="17"/>
                <w:szCs w:val="17"/>
                <w:lang w:eastAsia="cs-CZ"/>
              </w:rPr>
              <w:t>M3/KM/DEN</w:t>
            </w:r>
            <w:r w:rsidR="009A28D5">
              <w:rPr>
                <w:rFonts w:asciiTheme="majorHAnsi" w:eastAsia="Times New Roman" w:hAnsiTheme="majorHAnsi"/>
                <w:b w:val="0"/>
                <w:sz w:val="17"/>
                <w:szCs w:val="17"/>
                <w:lang w:eastAsia="cs-CZ"/>
              </w:rPr>
              <w:t>;</w:t>
            </w:r>
            <w:r w:rsidRPr="003717EF">
              <w:rPr>
                <w:rFonts w:asciiTheme="majorHAnsi" w:eastAsia="Times New Roman" w:hAnsiTheme="majorHAnsi"/>
                <w:b w:val="0"/>
                <w:sz w:val="17"/>
                <w:szCs w:val="17"/>
                <w:lang w:eastAsia="cs-CZ"/>
              </w:rPr>
              <w:t> </w:t>
            </w:r>
            <w:r w:rsidR="00703A73">
              <w:rPr>
                <w:rFonts w:asciiTheme="majorHAnsi" w:eastAsia="Times New Roman" w:hAnsiTheme="majorHAnsi"/>
                <w:b w:val="0"/>
                <w:sz w:val="17"/>
                <w:szCs w:val="17"/>
                <w:lang w:eastAsia="cs-CZ"/>
              </w:rPr>
              <w:t xml:space="preserve">Z </w:t>
            </w:r>
            <w:r w:rsidRPr="003717EF">
              <w:rPr>
                <w:rFonts w:asciiTheme="majorHAnsi" w:eastAsia="Times New Roman" w:hAnsiTheme="majorHAnsi"/>
                <w:b w:val="0"/>
                <w:sz w:val="17"/>
                <w:szCs w:val="17"/>
                <w:lang w:eastAsia="cs-CZ"/>
              </w:rPr>
              <w:t>POROVNÁNÍ VYKAZUJÍCÍ</w:t>
            </w:r>
            <w:r w:rsidR="00703A73">
              <w:rPr>
                <w:rFonts w:asciiTheme="majorHAnsi" w:eastAsia="Times New Roman" w:hAnsiTheme="majorHAnsi"/>
                <w:b w:val="0"/>
                <w:sz w:val="17"/>
                <w:szCs w:val="17"/>
                <w:lang w:eastAsia="cs-CZ"/>
              </w:rPr>
              <w:t xml:space="preserve">CH </w:t>
            </w:r>
            <w:r w:rsidRPr="003717EF">
              <w:rPr>
                <w:rFonts w:asciiTheme="majorHAnsi" w:eastAsia="Times New Roman" w:hAnsiTheme="majorHAnsi"/>
                <w:b w:val="0"/>
                <w:sz w:val="17"/>
                <w:szCs w:val="17"/>
                <w:lang w:eastAsia="cs-CZ"/>
              </w:rPr>
              <w:t>ZTRÁTY VODY NAD 4 M3/KM/DEN)</w:t>
            </w:r>
          </w:p>
        </w:tc>
      </w:tr>
      <w:tr w:rsidR="003717EF" w:rsidRPr="00C54C1D" w14:paraId="505C7935" w14:textId="77777777" w:rsidTr="003717E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927" w:type="pct"/>
            <w:noWrap/>
            <w:vAlign w:val="center"/>
            <w:hideMark/>
          </w:tcPr>
          <w:p w14:paraId="318166DF" w14:textId="77777777" w:rsidR="003717EF" w:rsidRPr="00C54C1D" w:rsidRDefault="003717EF" w:rsidP="003717EF">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I.skupina(&gt;10 000mil.Kč)</w:t>
            </w:r>
          </w:p>
        </w:tc>
        <w:tc>
          <w:tcPr>
            <w:tcW w:w="594" w:type="pct"/>
            <w:noWrap/>
            <w:vAlign w:val="center"/>
            <w:hideMark/>
          </w:tcPr>
          <w:p w14:paraId="4C544F1B"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39,947</w:t>
            </w:r>
          </w:p>
        </w:tc>
        <w:tc>
          <w:tcPr>
            <w:tcW w:w="595" w:type="pct"/>
            <w:noWrap/>
            <w:vAlign w:val="center"/>
            <w:hideMark/>
          </w:tcPr>
          <w:p w14:paraId="596B8D55"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0,706</w:t>
            </w:r>
          </w:p>
        </w:tc>
        <w:tc>
          <w:tcPr>
            <w:tcW w:w="396" w:type="pct"/>
            <w:noWrap/>
            <w:vAlign w:val="center"/>
            <w:hideMark/>
          </w:tcPr>
          <w:p w14:paraId="0E19DD82"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11,955</w:t>
            </w:r>
          </w:p>
        </w:tc>
        <w:tc>
          <w:tcPr>
            <w:tcW w:w="463" w:type="pct"/>
            <w:noWrap/>
            <w:vAlign w:val="center"/>
            <w:hideMark/>
          </w:tcPr>
          <w:p w14:paraId="11537FB9"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11,955</w:t>
            </w:r>
          </w:p>
        </w:tc>
        <w:tc>
          <w:tcPr>
            <w:tcW w:w="661" w:type="pct"/>
            <w:noWrap/>
            <w:vAlign w:val="center"/>
            <w:hideMark/>
          </w:tcPr>
          <w:p w14:paraId="4B579839"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60 649,552</w:t>
            </w:r>
          </w:p>
        </w:tc>
        <w:tc>
          <w:tcPr>
            <w:tcW w:w="702" w:type="pct"/>
            <w:noWrap/>
            <w:vAlign w:val="bottom"/>
          </w:tcPr>
          <w:p w14:paraId="7A77AF80"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3717EF">
              <w:rPr>
                <w:rFonts w:ascii="Calibri Light" w:hAnsi="Calibri Light"/>
                <w:sz w:val="20"/>
              </w:rPr>
              <w:t>4,72</w:t>
            </w:r>
          </w:p>
        </w:tc>
        <w:tc>
          <w:tcPr>
            <w:tcW w:w="662" w:type="pct"/>
            <w:vAlign w:val="bottom"/>
          </w:tcPr>
          <w:p w14:paraId="5C94B7CF" w14:textId="77777777" w:rsidR="003717EF"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3717EF">
              <w:rPr>
                <w:rFonts w:ascii="Calibri Light" w:hAnsi="Calibri Light"/>
                <w:sz w:val="20"/>
              </w:rPr>
              <w:t>5,6</w:t>
            </w:r>
          </w:p>
        </w:tc>
      </w:tr>
      <w:tr w:rsidR="003717EF" w:rsidRPr="00C54C1D" w14:paraId="140CEB39" w14:textId="77777777" w:rsidTr="003717EF">
        <w:trPr>
          <w:trHeight w:val="259"/>
        </w:trPr>
        <w:tc>
          <w:tcPr>
            <w:cnfStyle w:val="001000000000" w:firstRow="0" w:lastRow="0" w:firstColumn="1" w:lastColumn="0" w:oddVBand="0" w:evenVBand="0" w:oddHBand="0" w:evenHBand="0" w:firstRowFirstColumn="0" w:firstRowLastColumn="0" w:lastRowFirstColumn="0" w:lastRowLastColumn="0"/>
            <w:tcW w:w="927" w:type="pct"/>
            <w:noWrap/>
            <w:vAlign w:val="center"/>
            <w:hideMark/>
          </w:tcPr>
          <w:p w14:paraId="06A2CD82" w14:textId="77777777" w:rsidR="003717EF" w:rsidRPr="00C54C1D" w:rsidRDefault="003717EF" w:rsidP="003717EF">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II.skupina(&gt;1 000mil.Kč)</w:t>
            </w:r>
          </w:p>
        </w:tc>
        <w:tc>
          <w:tcPr>
            <w:tcW w:w="594" w:type="pct"/>
            <w:noWrap/>
            <w:vAlign w:val="center"/>
            <w:hideMark/>
          </w:tcPr>
          <w:p w14:paraId="2EB2B33E"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37,480</w:t>
            </w:r>
          </w:p>
        </w:tc>
        <w:tc>
          <w:tcPr>
            <w:tcW w:w="595" w:type="pct"/>
            <w:noWrap/>
            <w:vAlign w:val="center"/>
            <w:hideMark/>
          </w:tcPr>
          <w:p w14:paraId="18932226"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0,307</w:t>
            </w:r>
          </w:p>
        </w:tc>
        <w:tc>
          <w:tcPr>
            <w:tcW w:w="396" w:type="pct"/>
            <w:noWrap/>
            <w:vAlign w:val="center"/>
            <w:hideMark/>
          </w:tcPr>
          <w:p w14:paraId="5F91D05D"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5,965</w:t>
            </w:r>
          </w:p>
        </w:tc>
        <w:tc>
          <w:tcPr>
            <w:tcW w:w="463" w:type="pct"/>
            <w:noWrap/>
            <w:vAlign w:val="center"/>
            <w:hideMark/>
          </w:tcPr>
          <w:p w14:paraId="77F36157"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4,970</w:t>
            </w:r>
          </w:p>
        </w:tc>
        <w:tc>
          <w:tcPr>
            <w:tcW w:w="661" w:type="pct"/>
            <w:noWrap/>
            <w:vAlign w:val="center"/>
            <w:hideMark/>
          </w:tcPr>
          <w:p w14:paraId="4EEA337A"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130 404,896</w:t>
            </w:r>
          </w:p>
        </w:tc>
        <w:tc>
          <w:tcPr>
            <w:tcW w:w="702" w:type="pct"/>
            <w:noWrap/>
            <w:vAlign w:val="bottom"/>
          </w:tcPr>
          <w:p w14:paraId="09C5A651"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3717EF">
              <w:rPr>
                <w:rFonts w:ascii="Calibri Light" w:hAnsi="Calibri Light"/>
                <w:sz w:val="20"/>
              </w:rPr>
              <w:t>6,24</w:t>
            </w:r>
          </w:p>
        </w:tc>
        <w:tc>
          <w:tcPr>
            <w:tcW w:w="662" w:type="pct"/>
            <w:vAlign w:val="bottom"/>
          </w:tcPr>
          <w:p w14:paraId="7E8A207A" w14:textId="77777777" w:rsidR="003717EF" w:rsidRPr="00685B81"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3717EF">
              <w:rPr>
                <w:rFonts w:ascii="Calibri Light" w:hAnsi="Calibri Light"/>
                <w:sz w:val="20"/>
              </w:rPr>
              <w:t>6,78</w:t>
            </w:r>
          </w:p>
        </w:tc>
      </w:tr>
      <w:tr w:rsidR="003717EF" w:rsidRPr="00C54C1D" w14:paraId="7E031504" w14:textId="77777777" w:rsidTr="003717E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927" w:type="pct"/>
            <w:noWrap/>
            <w:vAlign w:val="center"/>
            <w:hideMark/>
          </w:tcPr>
          <w:p w14:paraId="4EA8A9C5" w14:textId="77777777" w:rsidR="003717EF" w:rsidRPr="00C54C1D" w:rsidRDefault="003717EF" w:rsidP="003717EF">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III.skupina(&gt;100mil.Kč)</w:t>
            </w:r>
          </w:p>
        </w:tc>
        <w:tc>
          <w:tcPr>
            <w:tcW w:w="594" w:type="pct"/>
            <w:noWrap/>
            <w:vAlign w:val="center"/>
            <w:hideMark/>
          </w:tcPr>
          <w:p w14:paraId="3785D005"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36,018</w:t>
            </w:r>
          </w:p>
        </w:tc>
        <w:tc>
          <w:tcPr>
            <w:tcW w:w="595" w:type="pct"/>
            <w:noWrap/>
            <w:vAlign w:val="center"/>
            <w:hideMark/>
          </w:tcPr>
          <w:p w14:paraId="238A2769"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0,347</w:t>
            </w:r>
          </w:p>
        </w:tc>
        <w:tc>
          <w:tcPr>
            <w:tcW w:w="396" w:type="pct"/>
            <w:noWrap/>
            <w:vAlign w:val="center"/>
            <w:hideMark/>
          </w:tcPr>
          <w:p w14:paraId="0616A796"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7,012</w:t>
            </w:r>
          </w:p>
        </w:tc>
        <w:tc>
          <w:tcPr>
            <w:tcW w:w="463" w:type="pct"/>
            <w:noWrap/>
            <w:vAlign w:val="center"/>
            <w:hideMark/>
          </w:tcPr>
          <w:p w14:paraId="2E27E110"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6,500</w:t>
            </w:r>
          </w:p>
        </w:tc>
        <w:tc>
          <w:tcPr>
            <w:tcW w:w="661" w:type="pct"/>
            <w:noWrap/>
            <w:vAlign w:val="center"/>
            <w:hideMark/>
          </w:tcPr>
          <w:p w14:paraId="4AF1E5CC"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64 785,475</w:t>
            </w:r>
          </w:p>
        </w:tc>
        <w:tc>
          <w:tcPr>
            <w:tcW w:w="702" w:type="pct"/>
            <w:noWrap/>
            <w:vAlign w:val="bottom"/>
          </w:tcPr>
          <w:p w14:paraId="3D09ABC9"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3717EF">
              <w:rPr>
                <w:rFonts w:ascii="Calibri Light" w:hAnsi="Calibri Light"/>
                <w:sz w:val="20"/>
              </w:rPr>
              <w:t>6,55</w:t>
            </w:r>
          </w:p>
        </w:tc>
        <w:tc>
          <w:tcPr>
            <w:tcW w:w="662" w:type="pct"/>
            <w:vAlign w:val="bottom"/>
          </w:tcPr>
          <w:p w14:paraId="37100E58" w14:textId="77777777" w:rsidR="003717EF" w:rsidRPr="00685B81"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3717EF">
              <w:rPr>
                <w:rFonts w:ascii="Calibri Light" w:hAnsi="Calibri Light"/>
                <w:sz w:val="20"/>
              </w:rPr>
              <w:t>7,72</w:t>
            </w:r>
          </w:p>
        </w:tc>
      </w:tr>
      <w:tr w:rsidR="003717EF" w:rsidRPr="00C54C1D" w14:paraId="4B291A23" w14:textId="77777777" w:rsidTr="003717EF">
        <w:trPr>
          <w:trHeight w:val="259"/>
        </w:trPr>
        <w:tc>
          <w:tcPr>
            <w:cnfStyle w:val="001000000000" w:firstRow="0" w:lastRow="0" w:firstColumn="1" w:lastColumn="0" w:oddVBand="0" w:evenVBand="0" w:oddHBand="0" w:evenHBand="0" w:firstRowFirstColumn="0" w:firstRowLastColumn="0" w:lastRowFirstColumn="0" w:lastRowLastColumn="0"/>
            <w:tcW w:w="927" w:type="pct"/>
            <w:noWrap/>
            <w:vAlign w:val="center"/>
            <w:hideMark/>
          </w:tcPr>
          <w:p w14:paraId="574A2C7E" w14:textId="77777777" w:rsidR="003717EF" w:rsidRPr="00C54C1D" w:rsidRDefault="003717EF" w:rsidP="003717EF">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IV.skupina(&gt;10mil.Kč)</w:t>
            </w:r>
          </w:p>
        </w:tc>
        <w:tc>
          <w:tcPr>
            <w:tcW w:w="594" w:type="pct"/>
            <w:noWrap/>
            <w:vAlign w:val="center"/>
            <w:hideMark/>
          </w:tcPr>
          <w:p w14:paraId="5399C94B"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36,309</w:t>
            </w:r>
          </w:p>
        </w:tc>
        <w:tc>
          <w:tcPr>
            <w:tcW w:w="595" w:type="pct"/>
            <w:noWrap/>
            <w:vAlign w:val="center"/>
            <w:hideMark/>
          </w:tcPr>
          <w:p w14:paraId="4DCC3530"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0,324</w:t>
            </w:r>
          </w:p>
        </w:tc>
        <w:tc>
          <w:tcPr>
            <w:tcW w:w="396" w:type="pct"/>
            <w:noWrap/>
            <w:vAlign w:val="center"/>
            <w:hideMark/>
          </w:tcPr>
          <w:p w14:paraId="2E213E57"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36,668</w:t>
            </w:r>
          </w:p>
        </w:tc>
        <w:tc>
          <w:tcPr>
            <w:tcW w:w="463" w:type="pct"/>
            <w:noWrap/>
            <w:vAlign w:val="center"/>
            <w:hideMark/>
          </w:tcPr>
          <w:p w14:paraId="4C616985"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8,185</w:t>
            </w:r>
          </w:p>
        </w:tc>
        <w:tc>
          <w:tcPr>
            <w:tcW w:w="661" w:type="pct"/>
            <w:noWrap/>
            <w:vAlign w:val="center"/>
            <w:hideMark/>
          </w:tcPr>
          <w:p w14:paraId="5019EBF5"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47 281,646</w:t>
            </w:r>
          </w:p>
        </w:tc>
        <w:tc>
          <w:tcPr>
            <w:tcW w:w="702" w:type="pct"/>
            <w:noWrap/>
            <w:vAlign w:val="bottom"/>
          </w:tcPr>
          <w:p w14:paraId="0D7DEB47"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3717EF">
              <w:rPr>
                <w:rFonts w:ascii="Calibri Light" w:hAnsi="Calibri Light"/>
                <w:sz w:val="20"/>
              </w:rPr>
              <w:t>6,14</w:t>
            </w:r>
          </w:p>
        </w:tc>
        <w:tc>
          <w:tcPr>
            <w:tcW w:w="662" w:type="pct"/>
            <w:vAlign w:val="bottom"/>
          </w:tcPr>
          <w:p w14:paraId="32B7AB08" w14:textId="77777777" w:rsidR="003717EF" w:rsidRPr="00685B81"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3717EF">
              <w:rPr>
                <w:rFonts w:ascii="Calibri Light" w:hAnsi="Calibri Light"/>
                <w:sz w:val="20"/>
              </w:rPr>
              <w:t>6,93</w:t>
            </w:r>
          </w:p>
        </w:tc>
      </w:tr>
      <w:tr w:rsidR="003717EF" w:rsidRPr="00C54C1D" w14:paraId="55B24CA5" w14:textId="77777777" w:rsidTr="003717E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927" w:type="pct"/>
            <w:noWrap/>
            <w:vAlign w:val="center"/>
            <w:hideMark/>
          </w:tcPr>
          <w:p w14:paraId="02DC8E74" w14:textId="77777777" w:rsidR="003717EF" w:rsidRPr="00C54C1D" w:rsidRDefault="003717EF" w:rsidP="003717EF">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V.skupina(&gt;1mil.Kč)</w:t>
            </w:r>
          </w:p>
        </w:tc>
        <w:tc>
          <w:tcPr>
            <w:tcW w:w="594" w:type="pct"/>
            <w:noWrap/>
            <w:vAlign w:val="center"/>
            <w:hideMark/>
          </w:tcPr>
          <w:p w14:paraId="6251B488"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44,726</w:t>
            </w:r>
          </w:p>
        </w:tc>
        <w:tc>
          <w:tcPr>
            <w:tcW w:w="595" w:type="pct"/>
            <w:noWrap/>
            <w:vAlign w:val="center"/>
            <w:hideMark/>
          </w:tcPr>
          <w:p w14:paraId="7387AEAE"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0,627</w:t>
            </w:r>
          </w:p>
        </w:tc>
        <w:tc>
          <w:tcPr>
            <w:tcW w:w="396" w:type="pct"/>
            <w:noWrap/>
            <w:vAlign w:val="center"/>
            <w:hideMark/>
          </w:tcPr>
          <w:p w14:paraId="374541EC"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8,377</w:t>
            </w:r>
          </w:p>
        </w:tc>
        <w:tc>
          <w:tcPr>
            <w:tcW w:w="463" w:type="pct"/>
            <w:noWrap/>
            <w:vAlign w:val="center"/>
            <w:hideMark/>
          </w:tcPr>
          <w:p w14:paraId="76FEC62F"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8,190</w:t>
            </w:r>
          </w:p>
        </w:tc>
        <w:tc>
          <w:tcPr>
            <w:tcW w:w="661" w:type="pct"/>
            <w:noWrap/>
            <w:vAlign w:val="center"/>
            <w:hideMark/>
          </w:tcPr>
          <w:p w14:paraId="2705F5E8"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46 336,391</w:t>
            </w:r>
          </w:p>
        </w:tc>
        <w:tc>
          <w:tcPr>
            <w:tcW w:w="702" w:type="pct"/>
            <w:noWrap/>
            <w:vAlign w:val="bottom"/>
          </w:tcPr>
          <w:p w14:paraId="2AB79070" w14:textId="77777777" w:rsidR="003717EF" w:rsidRPr="00B83F37"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3717EF">
              <w:rPr>
                <w:rFonts w:ascii="Calibri Light" w:hAnsi="Calibri Light"/>
                <w:sz w:val="20"/>
              </w:rPr>
              <w:t>7,5</w:t>
            </w:r>
          </w:p>
        </w:tc>
        <w:tc>
          <w:tcPr>
            <w:tcW w:w="662" w:type="pct"/>
            <w:vAlign w:val="bottom"/>
          </w:tcPr>
          <w:p w14:paraId="5F2CD348" w14:textId="77777777" w:rsidR="003717EF" w:rsidRPr="00685B81" w:rsidRDefault="003717EF" w:rsidP="003717EF">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3717EF">
              <w:rPr>
                <w:rFonts w:ascii="Calibri Light" w:hAnsi="Calibri Light"/>
                <w:sz w:val="20"/>
              </w:rPr>
              <w:t>7,76</w:t>
            </w:r>
          </w:p>
        </w:tc>
      </w:tr>
      <w:tr w:rsidR="003717EF" w:rsidRPr="00C54C1D" w14:paraId="36CCEDA6" w14:textId="77777777" w:rsidTr="003717EF">
        <w:trPr>
          <w:trHeight w:val="259"/>
        </w:trPr>
        <w:tc>
          <w:tcPr>
            <w:cnfStyle w:val="001000000000" w:firstRow="0" w:lastRow="0" w:firstColumn="1" w:lastColumn="0" w:oddVBand="0" w:evenVBand="0" w:oddHBand="0" w:evenHBand="0" w:firstRowFirstColumn="0" w:firstRowLastColumn="0" w:lastRowFirstColumn="0" w:lastRowLastColumn="0"/>
            <w:tcW w:w="927" w:type="pct"/>
            <w:noWrap/>
            <w:vAlign w:val="center"/>
            <w:hideMark/>
          </w:tcPr>
          <w:p w14:paraId="34332777" w14:textId="77777777" w:rsidR="003717EF" w:rsidRPr="00C54C1D" w:rsidRDefault="003717EF" w:rsidP="003717EF">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VI.skupina(&lt;1mil.Kč)</w:t>
            </w:r>
          </w:p>
        </w:tc>
        <w:tc>
          <w:tcPr>
            <w:tcW w:w="594" w:type="pct"/>
            <w:noWrap/>
            <w:vAlign w:val="center"/>
            <w:hideMark/>
          </w:tcPr>
          <w:p w14:paraId="297DCBAF"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58,355</w:t>
            </w:r>
          </w:p>
        </w:tc>
        <w:tc>
          <w:tcPr>
            <w:tcW w:w="595" w:type="pct"/>
            <w:noWrap/>
            <w:vAlign w:val="center"/>
            <w:hideMark/>
          </w:tcPr>
          <w:p w14:paraId="59FBCF0A"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1,036</w:t>
            </w:r>
          </w:p>
        </w:tc>
        <w:tc>
          <w:tcPr>
            <w:tcW w:w="396" w:type="pct"/>
            <w:noWrap/>
            <w:vAlign w:val="center"/>
            <w:hideMark/>
          </w:tcPr>
          <w:p w14:paraId="2C42A400"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0,067</w:t>
            </w:r>
          </w:p>
        </w:tc>
        <w:tc>
          <w:tcPr>
            <w:tcW w:w="463" w:type="pct"/>
            <w:noWrap/>
            <w:vAlign w:val="center"/>
            <w:hideMark/>
          </w:tcPr>
          <w:p w14:paraId="139A6706"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19,318</w:t>
            </w:r>
          </w:p>
        </w:tc>
        <w:tc>
          <w:tcPr>
            <w:tcW w:w="661" w:type="pct"/>
            <w:noWrap/>
            <w:vAlign w:val="center"/>
            <w:hideMark/>
          </w:tcPr>
          <w:p w14:paraId="256F0E8C"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4 709,667</w:t>
            </w:r>
          </w:p>
        </w:tc>
        <w:tc>
          <w:tcPr>
            <w:tcW w:w="702" w:type="pct"/>
            <w:noWrap/>
            <w:vAlign w:val="bottom"/>
          </w:tcPr>
          <w:p w14:paraId="308DE1A2" w14:textId="77777777" w:rsidR="003717EF" w:rsidRPr="00B83F37"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3717EF">
              <w:rPr>
                <w:rFonts w:ascii="Calibri Light" w:hAnsi="Calibri Light"/>
                <w:sz w:val="20"/>
              </w:rPr>
              <w:t>12,47</w:t>
            </w:r>
          </w:p>
        </w:tc>
        <w:tc>
          <w:tcPr>
            <w:tcW w:w="662" w:type="pct"/>
            <w:vAlign w:val="bottom"/>
          </w:tcPr>
          <w:p w14:paraId="4E15D659" w14:textId="77777777" w:rsidR="003717EF" w:rsidRPr="00685B81" w:rsidRDefault="003717EF" w:rsidP="003717EF">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3717EF">
              <w:rPr>
                <w:rFonts w:ascii="Calibri Light" w:hAnsi="Calibri Light"/>
                <w:sz w:val="20"/>
              </w:rPr>
              <w:t>12,47</w:t>
            </w:r>
          </w:p>
        </w:tc>
      </w:tr>
    </w:tbl>
    <w:p w14:paraId="6EC5C08F" w14:textId="77777777" w:rsidR="00CE1DF2" w:rsidRDefault="00CE1DF2" w:rsidP="00CE1DF2"/>
    <w:p w14:paraId="496E1131" w14:textId="77777777" w:rsidR="00235CAC" w:rsidRDefault="00235CAC" w:rsidP="00CE1DF2"/>
    <w:p w14:paraId="1E9650C8" w14:textId="2E43D455" w:rsidR="00CE1DF2" w:rsidRPr="00BC03D3" w:rsidRDefault="00CE1DF2" w:rsidP="00CE1DF2">
      <w:pPr>
        <w:rPr>
          <w:b/>
        </w:rPr>
      </w:pPr>
      <w:r w:rsidRPr="00BC03D3">
        <w:rPr>
          <w:b/>
        </w:rPr>
        <w:t>Kanalizace</w:t>
      </w:r>
    </w:p>
    <w:tbl>
      <w:tblPr>
        <w:tblStyle w:val="Tmavtabulkasmkou5zvraznn21"/>
        <w:tblW w:w="5476" w:type="pct"/>
        <w:tblInd w:w="-5" w:type="dxa"/>
        <w:tblLook w:val="04A0" w:firstRow="1" w:lastRow="0" w:firstColumn="1" w:lastColumn="0" w:noHBand="0" w:noVBand="1"/>
      </w:tblPr>
      <w:tblGrid>
        <w:gridCol w:w="2687"/>
        <w:gridCol w:w="1419"/>
        <w:gridCol w:w="1433"/>
        <w:gridCol w:w="1270"/>
        <w:gridCol w:w="1431"/>
        <w:gridCol w:w="1683"/>
      </w:tblGrid>
      <w:tr w:rsidR="00CE1DF2" w:rsidRPr="00C54C1D" w14:paraId="1E72E64A" w14:textId="77777777" w:rsidTr="009F36D5">
        <w:trPr>
          <w:cnfStyle w:val="100000000000" w:firstRow="1" w:lastRow="0" w:firstColumn="0" w:lastColumn="0" w:oddVBand="0" w:evenVBand="0" w:oddHBand="0" w:evenHBand="0" w:firstRowFirstColumn="0" w:firstRowLastColumn="0" w:lastRowFirstColumn="0" w:lastRowLastColumn="0"/>
          <w:trHeight w:val="2543"/>
        </w:trPr>
        <w:tc>
          <w:tcPr>
            <w:cnfStyle w:val="001000000000" w:firstRow="0" w:lastRow="0" w:firstColumn="1" w:lastColumn="0" w:oddVBand="0" w:evenVBand="0" w:oddHBand="0" w:evenHBand="0" w:firstRowFirstColumn="0" w:firstRowLastColumn="0" w:lastRowFirstColumn="0" w:lastRowLastColumn="0"/>
            <w:tcW w:w="1354" w:type="pct"/>
            <w:vAlign w:val="center"/>
            <w:hideMark/>
          </w:tcPr>
          <w:p w14:paraId="07A5C32E" w14:textId="77777777" w:rsidR="00CE1DF2" w:rsidRPr="0056088D" w:rsidRDefault="00CE1DF2" w:rsidP="009F36D5">
            <w:pPr>
              <w:spacing w:before="0" w:after="0"/>
              <w:contextualSpacing w:val="0"/>
              <w:jc w:val="left"/>
              <w:rPr>
                <w:rFonts w:asciiTheme="majorHAnsi" w:eastAsia="Times New Roman" w:hAnsiTheme="majorHAnsi"/>
                <w:smallCaps/>
                <w:sz w:val="22"/>
                <w:szCs w:val="14"/>
                <w:lang w:eastAsia="cs-CZ"/>
              </w:rPr>
            </w:pPr>
            <w:r w:rsidRPr="002B20DB">
              <w:rPr>
                <w:rFonts w:asciiTheme="majorHAnsi" w:eastAsia="Times New Roman" w:hAnsiTheme="majorHAnsi"/>
                <w:smallCaps/>
                <w:sz w:val="22"/>
                <w:szCs w:val="14"/>
                <w:lang w:eastAsia="cs-CZ"/>
              </w:rPr>
              <w:t>Benchmarking vlastnických subjektů:</w:t>
            </w:r>
            <w:r w:rsidRPr="002B20DB">
              <w:rPr>
                <w:rFonts w:asciiTheme="majorHAnsi" w:eastAsia="Times New Roman" w:hAnsiTheme="majorHAnsi"/>
                <w:smallCaps/>
                <w:sz w:val="22"/>
                <w:szCs w:val="14"/>
                <w:lang w:eastAsia="cs-CZ"/>
              </w:rPr>
              <w:br/>
              <w:t xml:space="preserve">Hodnoty některých ukazatelů u Porovnání splňujících stanovená kritéria: </w:t>
            </w:r>
          </w:p>
        </w:tc>
        <w:tc>
          <w:tcPr>
            <w:tcW w:w="715" w:type="pct"/>
            <w:textDirection w:val="btLr"/>
            <w:vAlign w:val="center"/>
            <w:hideMark/>
          </w:tcPr>
          <w:p w14:paraId="7D3D69DD" w14:textId="2F1BEA25" w:rsidR="00CE1DF2" w:rsidRPr="00C54C1D" w:rsidRDefault="00CE1DF2" w:rsidP="001B25B3">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8"/>
                <w:szCs w:val="14"/>
                <w:lang w:eastAsia="cs-CZ"/>
              </w:rPr>
            </w:pPr>
            <w:r w:rsidRPr="00B83F37">
              <w:rPr>
                <w:rFonts w:asciiTheme="majorHAnsi" w:eastAsia="Times New Roman" w:hAnsiTheme="majorHAnsi"/>
                <w:b w:val="0"/>
                <w:sz w:val="18"/>
                <w:szCs w:val="14"/>
                <w:lang w:eastAsia="cs-CZ"/>
              </w:rPr>
              <w:t>PRŮMĚR</w:t>
            </w:r>
            <w:r w:rsidR="009A28D5">
              <w:rPr>
                <w:rFonts w:asciiTheme="majorHAnsi" w:eastAsia="Times New Roman" w:hAnsiTheme="majorHAnsi"/>
                <w:b w:val="0"/>
                <w:sz w:val="18"/>
                <w:szCs w:val="14"/>
                <w:lang w:eastAsia="cs-CZ"/>
              </w:rPr>
              <w:t>_</w:t>
            </w:r>
            <w:r w:rsidRPr="00B83F37">
              <w:rPr>
                <w:rFonts w:asciiTheme="majorHAnsi" w:eastAsia="Times New Roman" w:hAnsiTheme="majorHAnsi"/>
                <w:b w:val="0"/>
                <w:sz w:val="18"/>
                <w:szCs w:val="14"/>
                <w:lang w:eastAsia="cs-CZ"/>
              </w:rPr>
              <w:t xml:space="preserve">CENA PRO </w:t>
            </w:r>
            <w:r>
              <w:rPr>
                <w:rFonts w:asciiTheme="majorHAnsi" w:eastAsia="Times New Roman" w:hAnsiTheme="majorHAnsi"/>
                <w:b w:val="0"/>
                <w:sz w:val="18"/>
                <w:szCs w:val="14"/>
                <w:lang w:eastAsia="cs-CZ"/>
              </w:rPr>
              <w:t>STOČNÉ (KČ/M</w:t>
            </w:r>
            <w:r w:rsidRPr="00EA2BE6">
              <w:rPr>
                <w:rFonts w:asciiTheme="majorHAnsi" w:eastAsia="Times New Roman" w:hAnsiTheme="majorHAnsi"/>
                <w:b w:val="0"/>
                <w:sz w:val="18"/>
                <w:szCs w:val="14"/>
                <w:vertAlign w:val="superscript"/>
                <w:lang w:eastAsia="cs-CZ"/>
              </w:rPr>
              <w:t>3</w:t>
            </w:r>
            <w:r>
              <w:rPr>
                <w:rFonts w:asciiTheme="majorHAnsi" w:eastAsia="Times New Roman" w:hAnsiTheme="majorHAnsi"/>
                <w:b w:val="0"/>
                <w:sz w:val="18"/>
                <w:szCs w:val="14"/>
                <w:lang w:eastAsia="cs-CZ"/>
              </w:rPr>
              <w:t>;</w:t>
            </w:r>
            <w:r w:rsidR="00EB5D4F">
              <w:rPr>
                <w:rFonts w:asciiTheme="majorHAnsi" w:eastAsia="Times New Roman" w:hAnsiTheme="majorHAnsi"/>
                <w:b w:val="0"/>
                <w:smallCaps/>
                <w:sz w:val="18"/>
                <w:szCs w:val="14"/>
                <w:lang w:eastAsia="cs-CZ"/>
              </w:rPr>
              <w:t> </w:t>
            </w:r>
            <w:r>
              <w:rPr>
                <w:rFonts w:asciiTheme="majorHAnsi" w:eastAsia="Times New Roman" w:hAnsiTheme="majorHAnsi"/>
                <w:b w:val="0"/>
                <w:smallCaps/>
                <w:sz w:val="18"/>
                <w:szCs w:val="14"/>
                <w:lang w:eastAsia="cs-CZ"/>
              </w:rPr>
              <w:t>POROVNÁNÍ</w:t>
            </w:r>
            <w:r w:rsidR="00EB5D4F">
              <w:rPr>
                <w:rFonts w:asciiTheme="majorHAnsi" w:eastAsia="Times New Roman" w:hAnsiTheme="majorHAnsi"/>
                <w:b w:val="0"/>
                <w:sz w:val="18"/>
                <w:szCs w:val="14"/>
                <w:lang w:eastAsia="cs-CZ"/>
              </w:rPr>
              <w:t xml:space="preserve">, </w:t>
            </w:r>
            <w:r>
              <w:rPr>
                <w:rFonts w:asciiTheme="majorHAnsi" w:eastAsia="Times New Roman" w:hAnsiTheme="majorHAnsi"/>
                <w:b w:val="0"/>
                <w:sz w:val="18"/>
                <w:szCs w:val="14"/>
                <w:lang w:eastAsia="cs-CZ"/>
              </w:rPr>
              <w:t>KDE OKF JE</w:t>
            </w:r>
            <w:r w:rsidR="00EB5D4F">
              <w:rPr>
                <w:rFonts w:asciiTheme="majorHAnsi" w:eastAsia="Times New Roman" w:hAnsiTheme="majorHAnsi"/>
                <w:b w:val="0"/>
                <w:sz w:val="18"/>
                <w:szCs w:val="14"/>
                <w:lang w:eastAsia="cs-CZ"/>
              </w:rPr>
              <w:t xml:space="preserve"> V </w:t>
            </w:r>
            <w:r>
              <w:rPr>
                <w:rFonts w:asciiTheme="majorHAnsi" w:eastAsia="Times New Roman" w:hAnsiTheme="majorHAnsi"/>
                <w:b w:val="0"/>
                <w:sz w:val="18"/>
                <w:szCs w:val="14"/>
                <w:lang w:eastAsia="cs-CZ"/>
              </w:rPr>
              <w:t>INTERVALU 1 AŽ 1,5</w:t>
            </w:r>
            <w:r w:rsidR="00703A73">
              <w:rPr>
                <w:rFonts w:asciiTheme="majorHAnsi" w:eastAsia="Times New Roman" w:hAnsiTheme="majorHAnsi"/>
                <w:b w:val="0"/>
                <w:sz w:val="18"/>
                <w:szCs w:val="14"/>
                <w:lang w:eastAsia="cs-CZ"/>
              </w:rPr>
              <w:t>;</w:t>
            </w:r>
            <w:r w:rsidR="009A28D5">
              <w:rPr>
                <w:rFonts w:asciiTheme="majorHAnsi" w:eastAsia="Times New Roman" w:hAnsiTheme="majorHAnsi"/>
                <w:b w:val="0"/>
                <w:sz w:val="18"/>
                <w:szCs w:val="14"/>
                <w:lang w:eastAsia="cs-CZ"/>
              </w:rPr>
              <w:t xml:space="preserve"> </w:t>
            </w:r>
            <w:r w:rsidR="00703A73">
              <w:rPr>
                <w:rFonts w:asciiTheme="majorHAnsi" w:eastAsia="Times New Roman" w:hAnsiTheme="majorHAnsi"/>
                <w:b w:val="0"/>
                <w:sz w:val="18"/>
                <w:szCs w:val="14"/>
                <w:lang w:eastAsia="cs-CZ"/>
              </w:rPr>
              <w:t>Z</w:t>
            </w:r>
            <w:r>
              <w:rPr>
                <w:rFonts w:asciiTheme="majorHAnsi" w:eastAsia="Times New Roman" w:hAnsiTheme="majorHAnsi"/>
                <w:b w:val="0"/>
                <w:sz w:val="18"/>
                <w:szCs w:val="14"/>
                <w:lang w:eastAsia="cs-CZ"/>
              </w:rPr>
              <w:t xml:space="preserve"> PO</w:t>
            </w:r>
            <w:r w:rsidR="004958C5">
              <w:rPr>
                <w:rFonts w:asciiTheme="majorHAnsi" w:eastAsia="Times New Roman" w:hAnsiTheme="majorHAnsi"/>
                <w:b w:val="0"/>
                <w:sz w:val="18"/>
                <w:szCs w:val="14"/>
                <w:lang w:eastAsia="cs-CZ"/>
              </w:rPr>
              <w:t>ROVNÁNÍ VYKAZUJ</w:t>
            </w:r>
            <w:r w:rsidR="001B25B3">
              <w:rPr>
                <w:rFonts w:asciiTheme="majorHAnsi" w:eastAsia="Times New Roman" w:hAnsiTheme="majorHAnsi"/>
                <w:b w:val="0"/>
                <w:sz w:val="18"/>
                <w:szCs w:val="14"/>
                <w:lang w:eastAsia="cs-CZ"/>
              </w:rPr>
              <w:t>ÍCÍCH PLNĚ</w:t>
            </w:r>
            <w:r w:rsidR="004958C5">
              <w:rPr>
                <w:rFonts w:asciiTheme="majorHAnsi" w:eastAsia="Times New Roman" w:hAnsiTheme="majorHAnsi"/>
                <w:b w:val="0"/>
                <w:sz w:val="18"/>
                <w:szCs w:val="14"/>
                <w:lang w:eastAsia="cs-CZ"/>
              </w:rPr>
              <w:t>NÍ OBNOVY)</w:t>
            </w:r>
          </w:p>
        </w:tc>
        <w:tc>
          <w:tcPr>
            <w:tcW w:w="722" w:type="pct"/>
            <w:textDirection w:val="btLr"/>
            <w:vAlign w:val="center"/>
            <w:hideMark/>
          </w:tcPr>
          <w:p w14:paraId="38133F4B" w14:textId="7B358476" w:rsidR="00CE1DF2" w:rsidRPr="00C54C1D" w:rsidRDefault="00CE1DF2" w:rsidP="00E8744A">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8"/>
                <w:szCs w:val="14"/>
                <w:lang w:eastAsia="cs-CZ"/>
              </w:rPr>
            </w:pPr>
            <w:r w:rsidRPr="00B83F37">
              <w:rPr>
                <w:rFonts w:asciiTheme="majorHAnsi" w:eastAsia="Times New Roman" w:hAnsiTheme="majorHAnsi"/>
                <w:b w:val="0"/>
                <w:sz w:val="18"/>
                <w:szCs w:val="14"/>
                <w:lang w:eastAsia="cs-CZ"/>
              </w:rPr>
              <w:t>MEDIAN</w:t>
            </w:r>
            <w:r w:rsidR="009A28D5">
              <w:rPr>
                <w:rFonts w:asciiTheme="majorHAnsi" w:eastAsia="Times New Roman" w:hAnsiTheme="majorHAnsi"/>
                <w:b w:val="0"/>
                <w:sz w:val="18"/>
                <w:szCs w:val="14"/>
                <w:lang w:eastAsia="cs-CZ"/>
              </w:rPr>
              <w:t>_</w:t>
            </w:r>
            <w:r w:rsidRPr="00B83F37">
              <w:rPr>
                <w:rFonts w:asciiTheme="majorHAnsi" w:eastAsia="Times New Roman" w:hAnsiTheme="majorHAnsi"/>
                <w:b w:val="0"/>
                <w:sz w:val="18"/>
                <w:szCs w:val="14"/>
                <w:lang w:eastAsia="cs-CZ"/>
              </w:rPr>
              <w:t>SKUPINY POČTU PORUCH NA 1 KM SÍTÍ (</w:t>
            </w:r>
            <w:r>
              <w:rPr>
                <w:rFonts w:asciiTheme="majorHAnsi" w:eastAsia="Times New Roman" w:hAnsiTheme="majorHAnsi"/>
                <w:b w:val="0"/>
                <w:sz w:val="18"/>
                <w:szCs w:val="14"/>
                <w:lang w:eastAsia="cs-CZ"/>
              </w:rPr>
              <w:t xml:space="preserve">KS/KM; </w:t>
            </w:r>
            <w:r w:rsidR="001B25B3">
              <w:rPr>
                <w:rFonts w:asciiTheme="majorHAnsi" w:eastAsia="Times New Roman" w:hAnsiTheme="majorHAnsi"/>
                <w:b w:val="0"/>
                <w:sz w:val="18"/>
                <w:szCs w:val="14"/>
                <w:lang w:eastAsia="cs-CZ"/>
              </w:rPr>
              <w:t>Z</w:t>
            </w:r>
            <w:r w:rsidRPr="00B83F37">
              <w:rPr>
                <w:rFonts w:asciiTheme="majorHAnsi" w:eastAsia="Times New Roman" w:hAnsiTheme="majorHAnsi"/>
                <w:b w:val="0"/>
                <w:sz w:val="18"/>
                <w:szCs w:val="14"/>
                <w:lang w:eastAsia="cs-CZ"/>
              </w:rPr>
              <w:t xml:space="preserve"> POROVNÁNÍ VYKAZUJÍCÍCH PORUCHY)</w:t>
            </w:r>
          </w:p>
        </w:tc>
        <w:tc>
          <w:tcPr>
            <w:tcW w:w="640" w:type="pct"/>
            <w:textDirection w:val="btLr"/>
            <w:vAlign w:val="center"/>
            <w:hideMark/>
          </w:tcPr>
          <w:p w14:paraId="556FEB66" w14:textId="62D302DE" w:rsidR="00CE1DF2" w:rsidRPr="00C54C1D" w:rsidRDefault="00CE1DF2" w:rsidP="009F36D5">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8"/>
                <w:szCs w:val="14"/>
                <w:lang w:eastAsia="cs-CZ"/>
              </w:rPr>
            </w:pPr>
            <w:r w:rsidRPr="00B83F37">
              <w:rPr>
                <w:rFonts w:asciiTheme="majorHAnsi" w:eastAsia="Times New Roman" w:hAnsiTheme="majorHAnsi"/>
                <w:b w:val="0"/>
                <w:sz w:val="18"/>
                <w:szCs w:val="14"/>
                <w:lang w:eastAsia="cs-CZ"/>
              </w:rPr>
              <w:t>MEDIAN_PODÍL</w:t>
            </w:r>
            <w:r w:rsidR="00EB5D4F">
              <w:rPr>
                <w:rFonts w:asciiTheme="majorHAnsi" w:eastAsia="Times New Roman" w:hAnsiTheme="majorHAnsi"/>
                <w:b w:val="0"/>
                <w:sz w:val="18"/>
                <w:szCs w:val="14"/>
                <w:lang w:eastAsia="cs-CZ"/>
              </w:rPr>
              <w:t xml:space="preserve"> KALKUL.</w:t>
            </w:r>
            <w:r w:rsidR="00BC03D3">
              <w:rPr>
                <w:rFonts w:asciiTheme="majorHAnsi" w:eastAsia="Times New Roman" w:hAnsiTheme="majorHAnsi"/>
                <w:b w:val="0"/>
                <w:sz w:val="18"/>
                <w:szCs w:val="14"/>
                <w:lang w:eastAsia="cs-CZ"/>
              </w:rPr>
              <w:t xml:space="preserve"> </w:t>
            </w:r>
            <w:r w:rsidRPr="00B83F37">
              <w:rPr>
                <w:rFonts w:asciiTheme="majorHAnsi" w:eastAsia="Times New Roman" w:hAnsiTheme="majorHAnsi"/>
                <w:b w:val="0"/>
                <w:sz w:val="18"/>
                <w:szCs w:val="14"/>
                <w:lang w:eastAsia="cs-CZ"/>
              </w:rPr>
              <w:t>ZISKU NA ÚVN (</w:t>
            </w:r>
            <w:r>
              <w:rPr>
                <w:rFonts w:asciiTheme="majorHAnsi" w:eastAsia="Times New Roman" w:hAnsiTheme="majorHAnsi"/>
                <w:b w:val="0"/>
                <w:sz w:val="18"/>
                <w:szCs w:val="14"/>
                <w:lang w:eastAsia="cs-CZ"/>
              </w:rPr>
              <w:t xml:space="preserve">%; </w:t>
            </w:r>
            <w:r w:rsidR="001B25B3">
              <w:rPr>
                <w:rFonts w:asciiTheme="majorHAnsi" w:eastAsia="Times New Roman" w:hAnsiTheme="majorHAnsi"/>
                <w:b w:val="0"/>
                <w:sz w:val="18"/>
                <w:szCs w:val="14"/>
                <w:lang w:eastAsia="cs-CZ"/>
              </w:rPr>
              <w:t xml:space="preserve">Z </w:t>
            </w:r>
            <w:r w:rsidR="00EB5D4F">
              <w:rPr>
                <w:rFonts w:asciiTheme="majorHAnsi" w:eastAsia="Times New Roman" w:hAnsiTheme="majorHAnsi"/>
                <w:b w:val="0"/>
                <w:sz w:val="18"/>
                <w:szCs w:val="14"/>
                <w:lang w:eastAsia="cs-CZ"/>
              </w:rPr>
              <w:t>POROVNÁNÍ S KLADNÝM KALKUL.</w:t>
            </w:r>
            <w:r w:rsidR="00BC03D3">
              <w:rPr>
                <w:rFonts w:asciiTheme="majorHAnsi" w:eastAsia="Times New Roman" w:hAnsiTheme="majorHAnsi"/>
                <w:b w:val="0"/>
                <w:sz w:val="18"/>
                <w:szCs w:val="14"/>
                <w:lang w:eastAsia="cs-CZ"/>
              </w:rPr>
              <w:t xml:space="preserve"> </w:t>
            </w:r>
            <w:r w:rsidRPr="00B83F37">
              <w:rPr>
                <w:rFonts w:asciiTheme="majorHAnsi" w:eastAsia="Times New Roman" w:hAnsiTheme="majorHAnsi"/>
                <w:b w:val="0"/>
                <w:sz w:val="18"/>
                <w:szCs w:val="14"/>
                <w:lang w:eastAsia="cs-CZ"/>
              </w:rPr>
              <w:t>ZISKEM)</w:t>
            </w:r>
          </w:p>
        </w:tc>
        <w:tc>
          <w:tcPr>
            <w:tcW w:w="721" w:type="pct"/>
            <w:textDirection w:val="btLr"/>
            <w:vAlign w:val="center"/>
            <w:hideMark/>
          </w:tcPr>
          <w:p w14:paraId="41A68903" w14:textId="3338910A" w:rsidR="00CE1DF2" w:rsidRPr="00C54C1D" w:rsidRDefault="00EB5D4F" w:rsidP="00EB5D4F">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8"/>
                <w:szCs w:val="14"/>
                <w:lang w:eastAsia="cs-CZ"/>
              </w:rPr>
            </w:pPr>
            <w:r>
              <w:rPr>
                <w:rFonts w:asciiTheme="majorHAnsi" w:eastAsia="Times New Roman" w:hAnsiTheme="majorHAnsi"/>
                <w:b w:val="0"/>
                <w:sz w:val="18"/>
                <w:szCs w:val="14"/>
                <w:lang w:eastAsia="cs-CZ"/>
              </w:rPr>
              <w:t>MEDIAN_PODÍL KAKUL.</w:t>
            </w:r>
            <w:r w:rsidR="00CE1DF2" w:rsidRPr="00B83F37">
              <w:rPr>
                <w:rFonts w:asciiTheme="majorHAnsi" w:eastAsia="Times New Roman" w:hAnsiTheme="majorHAnsi"/>
                <w:b w:val="0"/>
                <w:sz w:val="18"/>
                <w:szCs w:val="14"/>
                <w:lang w:eastAsia="cs-CZ"/>
              </w:rPr>
              <w:t xml:space="preserve"> ZISK</w:t>
            </w:r>
            <w:r>
              <w:rPr>
                <w:rFonts w:asciiTheme="majorHAnsi" w:eastAsia="Times New Roman" w:hAnsiTheme="majorHAnsi"/>
                <w:b w:val="0"/>
                <w:sz w:val="18"/>
                <w:szCs w:val="14"/>
                <w:lang w:eastAsia="cs-CZ"/>
              </w:rPr>
              <w:t>U K</w:t>
            </w:r>
            <w:r w:rsidR="00CE1DF2" w:rsidRPr="00B83F37">
              <w:rPr>
                <w:rFonts w:asciiTheme="majorHAnsi" w:eastAsia="Times New Roman" w:hAnsiTheme="majorHAnsi"/>
                <w:b w:val="0"/>
                <w:sz w:val="18"/>
                <w:szCs w:val="14"/>
                <w:lang w:eastAsia="cs-CZ"/>
              </w:rPr>
              <w:t xml:space="preserve"> ROZDĚLENÍ NA ÚVN (</w:t>
            </w:r>
            <w:r w:rsidR="00CE1DF2">
              <w:rPr>
                <w:rFonts w:asciiTheme="majorHAnsi" w:eastAsia="Times New Roman" w:hAnsiTheme="majorHAnsi"/>
                <w:b w:val="0"/>
                <w:sz w:val="18"/>
                <w:szCs w:val="14"/>
                <w:lang w:eastAsia="cs-CZ"/>
              </w:rPr>
              <w:t>%;</w:t>
            </w:r>
            <w:r w:rsidR="001B25B3">
              <w:rPr>
                <w:rFonts w:asciiTheme="majorHAnsi" w:eastAsia="Times New Roman" w:hAnsiTheme="majorHAnsi"/>
                <w:b w:val="0"/>
                <w:sz w:val="18"/>
                <w:szCs w:val="14"/>
                <w:lang w:eastAsia="cs-CZ"/>
              </w:rPr>
              <w:t xml:space="preserve"> Z</w:t>
            </w:r>
            <w:r w:rsidR="00CE1DF2">
              <w:rPr>
                <w:rFonts w:asciiTheme="majorHAnsi" w:eastAsia="Times New Roman" w:hAnsiTheme="majorHAnsi"/>
                <w:b w:val="0"/>
                <w:sz w:val="18"/>
                <w:szCs w:val="14"/>
                <w:lang w:eastAsia="cs-CZ"/>
              </w:rPr>
              <w:t xml:space="preserve"> </w:t>
            </w:r>
            <w:r w:rsidR="00CE1DF2" w:rsidRPr="00B83F37">
              <w:rPr>
                <w:rFonts w:asciiTheme="majorHAnsi" w:eastAsia="Times New Roman" w:hAnsiTheme="majorHAnsi"/>
                <w:b w:val="0"/>
                <w:sz w:val="18"/>
                <w:szCs w:val="14"/>
                <w:lang w:eastAsia="cs-CZ"/>
              </w:rPr>
              <w:t>POROVNÁNÍ S KLADNÝM</w:t>
            </w:r>
            <w:r w:rsidR="00BC03D3">
              <w:rPr>
                <w:rFonts w:asciiTheme="majorHAnsi" w:eastAsia="Times New Roman" w:hAnsiTheme="majorHAnsi"/>
                <w:b w:val="0"/>
                <w:sz w:val="18"/>
                <w:szCs w:val="14"/>
                <w:lang w:eastAsia="cs-CZ"/>
              </w:rPr>
              <w:t xml:space="preserve"> </w:t>
            </w:r>
            <w:r>
              <w:rPr>
                <w:rFonts w:asciiTheme="majorHAnsi" w:eastAsia="Times New Roman" w:hAnsiTheme="majorHAnsi"/>
                <w:b w:val="0"/>
                <w:sz w:val="18"/>
                <w:szCs w:val="14"/>
                <w:lang w:eastAsia="cs-CZ"/>
              </w:rPr>
              <w:t xml:space="preserve">KALKUL. </w:t>
            </w:r>
            <w:r w:rsidR="00CE1DF2" w:rsidRPr="00B83F37">
              <w:rPr>
                <w:rFonts w:asciiTheme="majorHAnsi" w:eastAsia="Times New Roman" w:hAnsiTheme="majorHAnsi"/>
                <w:b w:val="0"/>
                <w:sz w:val="18"/>
                <w:szCs w:val="14"/>
                <w:lang w:eastAsia="cs-CZ"/>
              </w:rPr>
              <w:t xml:space="preserve">ZISKEM) </w:t>
            </w:r>
          </w:p>
        </w:tc>
        <w:tc>
          <w:tcPr>
            <w:tcW w:w="848" w:type="pct"/>
            <w:textDirection w:val="btLr"/>
            <w:vAlign w:val="center"/>
            <w:hideMark/>
          </w:tcPr>
          <w:p w14:paraId="2CE31394" w14:textId="2BE89141" w:rsidR="00CE1DF2" w:rsidRPr="00C54C1D" w:rsidRDefault="008160B2" w:rsidP="008160B2">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8"/>
                <w:szCs w:val="14"/>
                <w:lang w:eastAsia="cs-CZ"/>
              </w:rPr>
            </w:pPr>
            <w:r w:rsidRPr="008160B2">
              <w:rPr>
                <w:rFonts w:asciiTheme="majorHAnsi" w:eastAsia="Times New Roman" w:hAnsiTheme="majorHAnsi"/>
                <w:b w:val="0"/>
                <w:sz w:val="18"/>
                <w:szCs w:val="14"/>
                <w:lang w:eastAsia="cs-CZ"/>
              </w:rPr>
              <w:t>PRŮMĚRNÉ NÁKLADY NA ODSTRANĚNÍ JEDNÉ PORUCHY (KČ/KS; ARITMETICKÝ PRŮMĚR POČÍTÁNÝ BEZ POROVNÁNÍ S NULOVÝMI PORUCHAMI)</w:t>
            </w:r>
          </w:p>
        </w:tc>
      </w:tr>
      <w:tr w:rsidR="00CE1DF2" w:rsidRPr="00C54C1D" w14:paraId="65B3B1A8" w14:textId="77777777" w:rsidTr="009F36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54" w:type="pct"/>
            <w:noWrap/>
            <w:vAlign w:val="center"/>
            <w:hideMark/>
          </w:tcPr>
          <w:p w14:paraId="38F97056" w14:textId="77777777" w:rsidR="00CE1DF2" w:rsidRPr="00C54C1D" w:rsidRDefault="00CE1DF2" w:rsidP="009F36D5">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I.skupina(&gt;10 000mil.Kč)</w:t>
            </w:r>
          </w:p>
        </w:tc>
        <w:tc>
          <w:tcPr>
            <w:tcW w:w="715" w:type="pct"/>
            <w:noWrap/>
            <w:hideMark/>
          </w:tcPr>
          <w:p w14:paraId="545769B5"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33,90</w:t>
            </w:r>
          </w:p>
        </w:tc>
        <w:tc>
          <w:tcPr>
            <w:tcW w:w="722" w:type="pct"/>
            <w:noWrap/>
            <w:hideMark/>
          </w:tcPr>
          <w:p w14:paraId="387F361F"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0,12</w:t>
            </w:r>
          </w:p>
        </w:tc>
        <w:tc>
          <w:tcPr>
            <w:tcW w:w="640" w:type="pct"/>
            <w:noWrap/>
            <w:hideMark/>
          </w:tcPr>
          <w:p w14:paraId="034C1649"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12,88</w:t>
            </w:r>
          </w:p>
        </w:tc>
        <w:tc>
          <w:tcPr>
            <w:tcW w:w="721" w:type="pct"/>
            <w:noWrap/>
            <w:hideMark/>
          </w:tcPr>
          <w:p w14:paraId="18FFABE3"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184 715,55</w:t>
            </w:r>
          </w:p>
        </w:tc>
        <w:tc>
          <w:tcPr>
            <w:tcW w:w="848" w:type="pct"/>
            <w:noWrap/>
            <w:hideMark/>
          </w:tcPr>
          <w:p w14:paraId="2371F43E"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30,51</w:t>
            </w:r>
          </w:p>
        </w:tc>
      </w:tr>
      <w:tr w:rsidR="00CE1DF2" w:rsidRPr="00C54C1D" w14:paraId="6876A455" w14:textId="77777777" w:rsidTr="009F36D5">
        <w:trPr>
          <w:trHeight w:val="300"/>
        </w:trPr>
        <w:tc>
          <w:tcPr>
            <w:cnfStyle w:val="001000000000" w:firstRow="0" w:lastRow="0" w:firstColumn="1" w:lastColumn="0" w:oddVBand="0" w:evenVBand="0" w:oddHBand="0" w:evenHBand="0" w:firstRowFirstColumn="0" w:firstRowLastColumn="0" w:lastRowFirstColumn="0" w:lastRowLastColumn="0"/>
            <w:tcW w:w="1354" w:type="pct"/>
            <w:noWrap/>
            <w:vAlign w:val="center"/>
            <w:hideMark/>
          </w:tcPr>
          <w:p w14:paraId="39B370A5" w14:textId="77777777" w:rsidR="00CE1DF2" w:rsidRPr="00C54C1D" w:rsidRDefault="00CE1DF2" w:rsidP="009F36D5">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II.skupina(&gt;1 000mil.Kč)</w:t>
            </w:r>
          </w:p>
        </w:tc>
        <w:tc>
          <w:tcPr>
            <w:tcW w:w="715" w:type="pct"/>
            <w:noWrap/>
            <w:hideMark/>
          </w:tcPr>
          <w:p w14:paraId="33F53206"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36,49</w:t>
            </w:r>
          </w:p>
        </w:tc>
        <w:tc>
          <w:tcPr>
            <w:tcW w:w="722" w:type="pct"/>
            <w:noWrap/>
            <w:hideMark/>
          </w:tcPr>
          <w:p w14:paraId="608CDFFA"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0,09</w:t>
            </w:r>
          </w:p>
        </w:tc>
        <w:tc>
          <w:tcPr>
            <w:tcW w:w="640" w:type="pct"/>
            <w:noWrap/>
            <w:hideMark/>
          </w:tcPr>
          <w:p w14:paraId="177964D2"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4,66</w:t>
            </w:r>
          </w:p>
        </w:tc>
        <w:tc>
          <w:tcPr>
            <w:tcW w:w="721" w:type="pct"/>
            <w:noWrap/>
            <w:hideMark/>
          </w:tcPr>
          <w:p w14:paraId="271D8E74"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249 984,46</w:t>
            </w:r>
          </w:p>
        </w:tc>
        <w:tc>
          <w:tcPr>
            <w:tcW w:w="848" w:type="pct"/>
            <w:noWrap/>
            <w:hideMark/>
          </w:tcPr>
          <w:p w14:paraId="33EEBA87"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33,19</w:t>
            </w:r>
          </w:p>
        </w:tc>
      </w:tr>
      <w:tr w:rsidR="00CE1DF2" w:rsidRPr="00C54C1D" w14:paraId="3416A48F" w14:textId="77777777" w:rsidTr="009F36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54" w:type="pct"/>
            <w:noWrap/>
            <w:vAlign w:val="center"/>
            <w:hideMark/>
          </w:tcPr>
          <w:p w14:paraId="2A8B422C" w14:textId="77777777" w:rsidR="00CE1DF2" w:rsidRPr="00C54C1D" w:rsidRDefault="00CE1DF2" w:rsidP="009F36D5">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III.skupina(&gt;100mil.Kč)</w:t>
            </w:r>
          </w:p>
        </w:tc>
        <w:tc>
          <w:tcPr>
            <w:tcW w:w="715" w:type="pct"/>
            <w:noWrap/>
            <w:hideMark/>
          </w:tcPr>
          <w:p w14:paraId="3B765E0A"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34,29</w:t>
            </w:r>
          </w:p>
        </w:tc>
        <w:tc>
          <w:tcPr>
            <w:tcW w:w="722" w:type="pct"/>
            <w:noWrap/>
            <w:hideMark/>
          </w:tcPr>
          <w:p w14:paraId="4702671F"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0,17</w:t>
            </w:r>
          </w:p>
        </w:tc>
        <w:tc>
          <w:tcPr>
            <w:tcW w:w="640" w:type="pct"/>
            <w:noWrap/>
            <w:hideMark/>
          </w:tcPr>
          <w:p w14:paraId="423AE0A9"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3,75</w:t>
            </w:r>
          </w:p>
        </w:tc>
        <w:tc>
          <w:tcPr>
            <w:tcW w:w="721" w:type="pct"/>
            <w:noWrap/>
            <w:hideMark/>
          </w:tcPr>
          <w:p w14:paraId="67C98969"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62 856,10</w:t>
            </w:r>
          </w:p>
        </w:tc>
        <w:tc>
          <w:tcPr>
            <w:tcW w:w="848" w:type="pct"/>
            <w:noWrap/>
            <w:hideMark/>
          </w:tcPr>
          <w:p w14:paraId="39A96F11"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32,31</w:t>
            </w:r>
          </w:p>
        </w:tc>
      </w:tr>
      <w:tr w:rsidR="00CE1DF2" w:rsidRPr="00C54C1D" w14:paraId="3D2E2EBA" w14:textId="77777777" w:rsidTr="009F36D5">
        <w:trPr>
          <w:trHeight w:val="300"/>
        </w:trPr>
        <w:tc>
          <w:tcPr>
            <w:cnfStyle w:val="001000000000" w:firstRow="0" w:lastRow="0" w:firstColumn="1" w:lastColumn="0" w:oddVBand="0" w:evenVBand="0" w:oddHBand="0" w:evenHBand="0" w:firstRowFirstColumn="0" w:firstRowLastColumn="0" w:lastRowFirstColumn="0" w:lastRowLastColumn="0"/>
            <w:tcW w:w="1354" w:type="pct"/>
            <w:noWrap/>
            <w:vAlign w:val="center"/>
            <w:hideMark/>
          </w:tcPr>
          <w:p w14:paraId="63B3E36E" w14:textId="77777777" w:rsidR="00CE1DF2" w:rsidRPr="00C54C1D" w:rsidRDefault="00CE1DF2" w:rsidP="009F36D5">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IV.skupina(&gt;10mil.Kč)</w:t>
            </w:r>
          </w:p>
        </w:tc>
        <w:tc>
          <w:tcPr>
            <w:tcW w:w="715" w:type="pct"/>
            <w:noWrap/>
            <w:hideMark/>
          </w:tcPr>
          <w:p w14:paraId="0728D8DE"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45,26</w:t>
            </w:r>
          </w:p>
        </w:tc>
        <w:tc>
          <w:tcPr>
            <w:tcW w:w="722" w:type="pct"/>
            <w:noWrap/>
            <w:hideMark/>
          </w:tcPr>
          <w:p w14:paraId="45147153"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0,30</w:t>
            </w:r>
          </w:p>
        </w:tc>
        <w:tc>
          <w:tcPr>
            <w:tcW w:w="640" w:type="pct"/>
            <w:noWrap/>
            <w:hideMark/>
          </w:tcPr>
          <w:p w14:paraId="3C4C4B3A"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8,64</w:t>
            </w:r>
          </w:p>
        </w:tc>
        <w:tc>
          <w:tcPr>
            <w:tcW w:w="721" w:type="pct"/>
            <w:noWrap/>
            <w:hideMark/>
          </w:tcPr>
          <w:p w14:paraId="55EED440"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27 551,70</w:t>
            </w:r>
          </w:p>
        </w:tc>
        <w:tc>
          <w:tcPr>
            <w:tcW w:w="848" w:type="pct"/>
            <w:noWrap/>
            <w:hideMark/>
          </w:tcPr>
          <w:p w14:paraId="46516F78"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42,68</w:t>
            </w:r>
          </w:p>
        </w:tc>
      </w:tr>
      <w:tr w:rsidR="00CE1DF2" w:rsidRPr="00C54C1D" w14:paraId="3CDE3CCB" w14:textId="77777777" w:rsidTr="009F36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54" w:type="pct"/>
            <w:noWrap/>
            <w:vAlign w:val="center"/>
            <w:hideMark/>
          </w:tcPr>
          <w:p w14:paraId="2FC37122" w14:textId="77777777" w:rsidR="00CE1DF2" w:rsidRPr="00C54C1D" w:rsidRDefault="00CE1DF2" w:rsidP="009F36D5">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V.skupina(&gt;1mil.Kč)</w:t>
            </w:r>
          </w:p>
        </w:tc>
        <w:tc>
          <w:tcPr>
            <w:tcW w:w="715" w:type="pct"/>
            <w:noWrap/>
            <w:hideMark/>
          </w:tcPr>
          <w:p w14:paraId="77D7FDD7"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43,13</w:t>
            </w:r>
          </w:p>
        </w:tc>
        <w:tc>
          <w:tcPr>
            <w:tcW w:w="722" w:type="pct"/>
            <w:noWrap/>
            <w:hideMark/>
          </w:tcPr>
          <w:p w14:paraId="34320ECD"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0,86</w:t>
            </w:r>
          </w:p>
        </w:tc>
        <w:tc>
          <w:tcPr>
            <w:tcW w:w="640" w:type="pct"/>
            <w:noWrap/>
            <w:hideMark/>
          </w:tcPr>
          <w:p w14:paraId="7F6EA550"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5,63</w:t>
            </w:r>
          </w:p>
        </w:tc>
        <w:tc>
          <w:tcPr>
            <w:tcW w:w="721" w:type="pct"/>
            <w:noWrap/>
            <w:hideMark/>
          </w:tcPr>
          <w:p w14:paraId="52C8DBE8"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26 681,26</w:t>
            </w:r>
          </w:p>
        </w:tc>
        <w:tc>
          <w:tcPr>
            <w:tcW w:w="848" w:type="pct"/>
            <w:noWrap/>
            <w:hideMark/>
          </w:tcPr>
          <w:p w14:paraId="7EA93835" w14:textId="77777777" w:rsidR="00CE1DF2" w:rsidRPr="00B83F37" w:rsidRDefault="00CE1DF2" w:rsidP="009F36D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B83F37">
              <w:rPr>
                <w:rFonts w:ascii="Calibri Light" w:hAnsi="Calibri Light"/>
                <w:sz w:val="20"/>
              </w:rPr>
              <w:t>40,60</w:t>
            </w:r>
          </w:p>
        </w:tc>
      </w:tr>
      <w:tr w:rsidR="00CE1DF2" w:rsidRPr="00C54C1D" w14:paraId="5127A74F" w14:textId="77777777" w:rsidTr="009F36D5">
        <w:trPr>
          <w:trHeight w:val="300"/>
        </w:trPr>
        <w:tc>
          <w:tcPr>
            <w:cnfStyle w:val="001000000000" w:firstRow="0" w:lastRow="0" w:firstColumn="1" w:lastColumn="0" w:oddVBand="0" w:evenVBand="0" w:oddHBand="0" w:evenHBand="0" w:firstRowFirstColumn="0" w:firstRowLastColumn="0" w:lastRowFirstColumn="0" w:lastRowLastColumn="0"/>
            <w:tcW w:w="1354" w:type="pct"/>
            <w:noWrap/>
            <w:vAlign w:val="center"/>
            <w:hideMark/>
          </w:tcPr>
          <w:p w14:paraId="34CF152F" w14:textId="77777777" w:rsidR="00CE1DF2" w:rsidRPr="00C54C1D" w:rsidRDefault="00CE1DF2" w:rsidP="009F36D5">
            <w:pPr>
              <w:spacing w:before="0" w:after="0"/>
              <w:contextualSpacing w:val="0"/>
              <w:jc w:val="left"/>
              <w:rPr>
                <w:rFonts w:asciiTheme="majorHAnsi" w:eastAsia="Times New Roman" w:hAnsiTheme="majorHAnsi"/>
                <w:b w:val="0"/>
                <w:sz w:val="18"/>
                <w:szCs w:val="14"/>
                <w:lang w:eastAsia="cs-CZ"/>
              </w:rPr>
            </w:pPr>
            <w:r w:rsidRPr="00C54C1D">
              <w:rPr>
                <w:rFonts w:asciiTheme="majorHAnsi" w:eastAsia="Times New Roman" w:hAnsiTheme="majorHAnsi"/>
                <w:b w:val="0"/>
                <w:sz w:val="18"/>
                <w:szCs w:val="14"/>
                <w:lang w:eastAsia="cs-CZ"/>
              </w:rPr>
              <w:t>VI.skupina(&lt;1mil.Kč)</w:t>
            </w:r>
          </w:p>
        </w:tc>
        <w:tc>
          <w:tcPr>
            <w:tcW w:w="715" w:type="pct"/>
            <w:noWrap/>
            <w:hideMark/>
          </w:tcPr>
          <w:p w14:paraId="076C72F6"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9,81</w:t>
            </w:r>
          </w:p>
        </w:tc>
        <w:tc>
          <w:tcPr>
            <w:tcW w:w="722" w:type="pct"/>
            <w:noWrap/>
            <w:hideMark/>
          </w:tcPr>
          <w:p w14:paraId="6682F466"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0,00</w:t>
            </w:r>
          </w:p>
        </w:tc>
        <w:tc>
          <w:tcPr>
            <w:tcW w:w="640" w:type="pct"/>
            <w:noWrap/>
            <w:hideMark/>
          </w:tcPr>
          <w:p w14:paraId="48E6CD43"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1,84</w:t>
            </w:r>
          </w:p>
        </w:tc>
        <w:tc>
          <w:tcPr>
            <w:tcW w:w="721" w:type="pct"/>
            <w:noWrap/>
            <w:hideMark/>
          </w:tcPr>
          <w:p w14:paraId="595D65DF"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0,00</w:t>
            </w:r>
          </w:p>
        </w:tc>
        <w:tc>
          <w:tcPr>
            <w:tcW w:w="848" w:type="pct"/>
            <w:noWrap/>
            <w:hideMark/>
          </w:tcPr>
          <w:p w14:paraId="6F19F061" w14:textId="77777777" w:rsidR="00CE1DF2" w:rsidRPr="00B83F37" w:rsidRDefault="00CE1DF2" w:rsidP="009F36D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B83F37">
              <w:rPr>
                <w:rFonts w:ascii="Calibri Light" w:hAnsi="Calibri Light"/>
                <w:sz w:val="20"/>
              </w:rPr>
              <w:t>8,95</w:t>
            </w:r>
          </w:p>
        </w:tc>
      </w:tr>
    </w:tbl>
    <w:p w14:paraId="794A5517" w14:textId="77777777" w:rsidR="00CE1DF2" w:rsidRDefault="00CE1DF2" w:rsidP="00CE1DF2"/>
    <w:p w14:paraId="33AF59EE" w14:textId="141946DA" w:rsidR="002B20DB" w:rsidRDefault="00CE1DF2" w:rsidP="005468B0">
      <w:pPr>
        <w:pStyle w:val="NORMLN0"/>
      </w:pPr>
      <w:r>
        <w:t xml:space="preserve">Dále je uveden seznam ukazatelů (způsob jejich stanovení </w:t>
      </w:r>
      <w:r w:rsidR="001B25B3">
        <w:t>a zdůvodněním) poukazujících</w:t>
      </w:r>
      <w:r>
        <w:t xml:space="preserve"> na výskyt anomálie v rozdělení na vodovod a kanalizaci.</w:t>
      </w:r>
    </w:p>
    <w:p w14:paraId="6919BBA0" w14:textId="77777777" w:rsidR="00AD4CBE" w:rsidRDefault="00AD4CBE" w:rsidP="00E32D7D"/>
    <w:tbl>
      <w:tblPr>
        <w:tblStyle w:val="Tabulkasmkou4zvraznn111"/>
        <w:tblW w:w="5000" w:type="pct"/>
        <w:tblLayout w:type="fixed"/>
        <w:tblLook w:val="04A0" w:firstRow="1" w:lastRow="0" w:firstColumn="1" w:lastColumn="0" w:noHBand="0" w:noVBand="1"/>
      </w:tblPr>
      <w:tblGrid>
        <w:gridCol w:w="487"/>
        <w:gridCol w:w="4186"/>
        <w:gridCol w:w="4387"/>
      </w:tblGrid>
      <w:tr w:rsidR="00235CAC" w:rsidRPr="006E2F29" w14:paraId="7D1536A0" w14:textId="77777777" w:rsidTr="00235CAC">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1B3FE3DC" w14:textId="77777777" w:rsidR="00235CAC" w:rsidRPr="00235CAC" w:rsidRDefault="00235CAC" w:rsidP="001657BD">
            <w:pPr>
              <w:spacing w:before="0" w:after="0"/>
              <w:contextualSpacing w:val="0"/>
              <w:jc w:val="left"/>
              <w:rPr>
                <w:rFonts w:asciiTheme="majorHAnsi" w:eastAsia="Times New Roman" w:hAnsiTheme="majorHAnsi"/>
                <w:bCs w:val="0"/>
                <w:smallCaps/>
                <w:sz w:val="20"/>
                <w:szCs w:val="20"/>
                <w:lang w:eastAsia="cs-CZ"/>
              </w:rPr>
            </w:pPr>
            <w:r w:rsidRPr="00235CAC">
              <w:rPr>
                <w:rFonts w:asciiTheme="majorHAnsi" w:eastAsia="Times New Roman" w:hAnsiTheme="majorHAnsi"/>
                <w:bCs w:val="0"/>
                <w:smallCaps/>
                <w:szCs w:val="20"/>
                <w:lang w:eastAsia="cs-CZ"/>
              </w:rPr>
              <w:t>Benchmarking vlastnických subjektů:</w:t>
            </w:r>
          </w:p>
        </w:tc>
      </w:tr>
      <w:tr w:rsidR="00083D0E" w:rsidRPr="006E2F29" w14:paraId="4CCF939A" w14:textId="77777777" w:rsidTr="001657BD">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269" w:type="pct"/>
            <w:vAlign w:val="center"/>
          </w:tcPr>
          <w:p w14:paraId="31DD91CF" w14:textId="77777777" w:rsidR="00083D0E" w:rsidRPr="003717EF" w:rsidRDefault="00083D0E" w:rsidP="001657BD">
            <w:pPr>
              <w:spacing w:before="0" w:after="0"/>
              <w:contextualSpacing w:val="0"/>
              <w:jc w:val="left"/>
              <w:rPr>
                <w:rFonts w:ascii="Calibri Light" w:eastAsia="Times New Roman" w:hAnsi="Calibri Light"/>
                <w:b w:val="0"/>
                <w:bCs w:val="0"/>
                <w:sz w:val="20"/>
                <w:lang w:eastAsia="cs-CZ"/>
              </w:rPr>
            </w:pPr>
          </w:p>
        </w:tc>
        <w:tc>
          <w:tcPr>
            <w:tcW w:w="2310" w:type="pct"/>
            <w:vAlign w:val="center"/>
            <w:hideMark/>
          </w:tcPr>
          <w:p w14:paraId="1C2F8B71" w14:textId="77777777" w:rsidR="00083D0E" w:rsidRPr="005468B0" w:rsidRDefault="008B2EA0" w:rsidP="001657BD">
            <w:pPr>
              <w:spacing w:before="0" w:after="0"/>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Cs w:val="0"/>
                <w:smallCaps/>
                <w:sz w:val="20"/>
                <w:szCs w:val="20"/>
                <w:lang w:eastAsia="cs-CZ"/>
              </w:rPr>
            </w:pPr>
            <w:r w:rsidRPr="005468B0">
              <w:rPr>
                <w:rFonts w:asciiTheme="majorHAnsi" w:eastAsia="Times New Roman" w:hAnsiTheme="majorHAnsi"/>
                <w:bCs w:val="0"/>
                <w:smallCaps/>
                <w:sz w:val="20"/>
                <w:szCs w:val="20"/>
                <w:lang w:eastAsia="cs-CZ"/>
              </w:rPr>
              <w:t>VODOVOD</w:t>
            </w:r>
          </w:p>
        </w:tc>
        <w:tc>
          <w:tcPr>
            <w:tcW w:w="2421" w:type="pct"/>
            <w:vAlign w:val="center"/>
          </w:tcPr>
          <w:p w14:paraId="67052E56" w14:textId="77777777" w:rsidR="00083D0E" w:rsidRPr="001657BD" w:rsidRDefault="008B2EA0" w:rsidP="001657BD">
            <w:pPr>
              <w:spacing w:before="0" w:after="0"/>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Cs w:val="0"/>
                <w:sz w:val="20"/>
                <w:szCs w:val="20"/>
                <w:lang w:eastAsia="cs-CZ"/>
              </w:rPr>
            </w:pPr>
            <w:r w:rsidRPr="001657BD">
              <w:rPr>
                <w:rFonts w:asciiTheme="majorHAnsi" w:eastAsia="Times New Roman" w:hAnsiTheme="majorHAnsi"/>
                <w:bCs w:val="0"/>
                <w:sz w:val="20"/>
                <w:szCs w:val="20"/>
                <w:lang w:eastAsia="cs-CZ"/>
              </w:rPr>
              <w:t>ZDŮVODNĚNÍ</w:t>
            </w:r>
          </w:p>
        </w:tc>
      </w:tr>
      <w:tr w:rsidR="003717EF" w:rsidRPr="003E21FD" w14:paraId="6ECBD3FC"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525E462C" w14:textId="77777777" w:rsidR="003717EF"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w:t>
            </w:r>
          </w:p>
        </w:tc>
        <w:tc>
          <w:tcPr>
            <w:tcW w:w="2310" w:type="pct"/>
            <w:vAlign w:val="center"/>
          </w:tcPr>
          <w:p w14:paraId="05B6EDEA" w14:textId="77777777" w:rsidR="003717EF" w:rsidRPr="001657BD" w:rsidRDefault="003717EF"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Nedostatečná tvorba prostředků na obnovu VIM</w:t>
            </w:r>
          </w:p>
        </w:tc>
        <w:tc>
          <w:tcPr>
            <w:tcW w:w="2421" w:type="pct"/>
            <w:vAlign w:val="center"/>
          </w:tcPr>
          <w:p w14:paraId="55D1DB03" w14:textId="77777777" w:rsidR="003717EF" w:rsidRPr="001657BD" w:rsidRDefault="003717EF"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neplněn záměr udržitelnosti VIM</w:t>
            </w:r>
          </w:p>
        </w:tc>
      </w:tr>
      <w:tr w:rsidR="003717EF" w:rsidRPr="003E21FD" w14:paraId="206670E4"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1C9058D8" w14:textId="77777777" w:rsidR="003717EF"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2</w:t>
            </w:r>
          </w:p>
        </w:tc>
        <w:tc>
          <w:tcPr>
            <w:tcW w:w="2310" w:type="pct"/>
            <w:noWrap/>
            <w:vAlign w:val="center"/>
          </w:tcPr>
          <w:p w14:paraId="68AD1854" w14:textId="77777777" w:rsidR="003717EF" w:rsidRPr="001657BD" w:rsidRDefault="003717EF"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Nulový celý řádek 20</w:t>
            </w:r>
          </w:p>
        </w:tc>
        <w:tc>
          <w:tcPr>
            <w:tcW w:w="2421" w:type="pct"/>
            <w:vAlign w:val="center"/>
          </w:tcPr>
          <w:p w14:paraId="538B41C1" w14:textId="77777777" w:rsidR="003717EF" w:rsidRPr="001657BD" w:rsidRDefault="003717EF"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nevykazování tvorby a čerpání prostředků na obnovu</w:t>
            </w:r>
          </w:p>
        </w:tc>
      </w:tr>
      <w:tr w:rsidR="003717EF" w:rsidRPr="003E21FD" w14:paraId="4F17BE89"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1505A443" w14:textId="77777777" w:rsidR="003717EF"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3</w:t>
            </w:r>
          </w:p>
        </w:tc>
        <w:tc>
          <w:tcPr>
            <w:tcW w:w="2310" w:type="pct"/>
            <w:vAlign w:val="center"/>
          </w:tcPr>
          <w:p w14:paraId="147B521E" w14:textId="77777777" w:rsidR="003717EF" w:rsidRPr="001657BD" w:rsidRDefault="003717EF"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Nulové odpisy + nulové opravy + nulový 4.4 ve smíšeném nebo kombinovaném modelu</w:t>
            </w:r>
          </w:p>
        </w:tc>
        <w:tc>
          <w:tcPr>
            <w:tcW w:w="2421" w:type="pct"/>
            <w:vAlign w:val="center"/>
          </w:tcPr>
          <w:p w14:paraId="5A0A1014" w14:textId="77777777" w:rsidR="003717EF" w:rsidRPr="001657BD" w:rsidRDefault="003717EF"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nezapočtení prostředků na obnovu do ceny pro vodné</w:t>
            </w:r>
          </w:p>
        </w:tc>
      </w:tr>
      <w:tr w:rsidR="003717EF" w:rsidRPr="003E21FD" w14:paraId="583FD646"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5CF55D7E" w14:textId="77777777" w:rsidR="003717EF"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lastRenderedPageBreak/>
              <w:t>4</w:t>
            </w:r>
          </w:p>
        </w:tc>
        <w:tc>
          <w:tcPr>
            <w:tcW w:w="2310" w:type="pct"/>
            <w:noWrap/>
            <w:vAlign w:val="center"/>
          </w:tcPr>
          <w:p w14:paraId="4C108ECD" w14:textId="77777777" w:rsidR="003717EF" w:rsidRPr="001657BD" w:rsidRDefault="003717EF"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Nájem je menší nebo roven nula v oddílném (bez servisních smluv) nebo kombinovaném modelu</w:t>
            </w:r>
          </w:p>
        </w:tc>
        <w:tc>
          <w:tcPr>
            <w:tcW w:w="2421" w:type="pct"/>
            <w:vAlign w:val="center"/>
          </w:tcPr>
          <w:p w14:paraId="32433B1F" w14:textId="77777777" w:rsidR="003717EF" w:rsidRPr="001657BD" w:rsidRDefault="003717EF"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chybné vykazování dat</w:t>
            </w:r>
            <w:r w:rsidR="00703A73">
              <w:rPr>
                <w:rFonts w:asciiTheme="majorHAnsi" w:hAnsiTheme="majorHAnsi"/>
                <w:sz w:val="20"/>
                <w:szCs w:val="20"/>
              </w:rPr>
              <w:t xml:space="preserve"> nebo nevyvážené nastavení smluvních vztahů</w:t>
            </w:r>
          </w:p>
        </w:tc>
      </w:tr>
      <w:tr w:rsidR="003717EF" w:rsidRPr="003E21FD" w14:paraId="69C6A0BB"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240C163F" w14:textId="77777777" w:rsidR="003717EF"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5</w:t>
            </w:r>
          </w:p>
        </w:tc>
        <w:tc>
          <w:tcPr>
            <w:tcW w:w="2310" w:type="pct"/>
            <w:vAlign w:val="center"/>
          </w:tcPr>
          <w:p w14:paraId="7EBE280E" w14:textId="77777777" w:rsidR="003717EF" w:rsidRPr="001657BD" w:rsidRDefault="003717EF"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Nájem je větší než nula ve smíšeném modelu nebo oddílném se servisní smlouvou</w:t>
            </w:r>
          </w:p>
        </w:tc>
        <w:tc>
          <w:tcPr>
            <w:tcW w:w="2421" w:type="pct"/>
            <w:vAlign w:val="center"/>
          </w:tcPr>
          <w:p w14:paraId="601391A0" w14:textId="77777777" w:rsidR="003717EF" w:rsidRPr="001657BD" w:rsidRDefault="003717EF"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chybné vykazování dat</w:t>
            </w:r>
          </w:p>
        </w:tc>
      </w:tr>
      <w:tr w:rsidR="003717EF" w:rsidRPr="003E21FD" w14:paraId="160BADCF"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04111E92" w14:textId="77777777" w:rsidR="003717EF"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6</w:t>
            </w:r>
          </w:p>
        </w:tc>
        <w:tc>
          <w:tcPr>
            <w:tcW w:w="2310" w:type="pct"/>
            <w:vAlign w:val="center"/>
          </w:tcPr>
          <w:p w14:paraId="1FCE8B73" w14:textId="3DBC05E4" w:rsidR="003717EF" w:rsidRPr="00E96C9A" w:rsidRDefault="003717EF" w:rsidP="008160B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C51E5">
              <w:rPr>
                <w:rFonts w:asciiTheme="majorHAnsi" w:hAnsiTheme="majorHAnsi"/>
                <w:smallCaps/>
                <w:sz w:val="20"/>
                <w:szCs w:val="20"/>
              </w:rPr>
              <w:t>Nulový počet poruch + opravy vyšší než průměrné náklady na odstranění jedné poruchy ve skupině (průměr počítán bez porovnání, kde je 0 poruch, jako</w:t>
            </w:r>
            <w:r w:rsidRPr="00E96C9A">
              <w:rPr>
                <w:rFonts w:asciiTheme="majorHAnsi" w:hAnsiTheme="majorHAnsi"/>
                <w:smallCaps/>
                <w:sz w:val="20"/>
                <w:szCs w:val="20"/>
              </w:rPr>
              <w:t xml:space="preserve"> aritmetický průměr ukazatele vom02)</w:t>
            </w:r>
          </w:p>
        </w:tc>
        <w:tc>
          <w:tcPr>
            <w:tcW w:w="2421" w:type="pct"/>
            <w:vAlign w:val="center"/>
          </w:tcPr>
          <w:p w14:paraId="51C88E66" w14:textId="77777777" w:rsidR="003717EF" w:rsidRPr="001C51E5" w:rsidRDefault="003717EF"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C51E5">
              <w:rPr>
                <w:rFonts w:asciiTheme="majorHAnsi" w:hAnsiTheme="majorHAnsi"/>
                <w:sz w:val="20"/>
                <w:szCs w:val="20"/>
              </w:rPr>
              <w:t>chybné vykazování dat</w:t>
            </w:r>
          </w:p>
        </w:tc>
      </w:tr>
      <w:tr w:rsidR="003717EF" w:rsidRPr="003E21FD" w14:paraId="096DE20C"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59178E01" w14:textId="77777777" w:rsidR="003717EF"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7</w:t>
            </w:r>
          </w:p>
        </w:tc>
        <w:tc>
          <w:tcPr>
            <w:tcW w:w="2310" w:type="pct"/>
            <w:noWrap/>
            <w:vAlign w:val="center"/>
          </w:tcPr>
          <w:p w14:paraId="77AF91DA" w14:textId="77777777" w:rsidR="003717EF" w:rsidRPr="001657BD" w:rsidRDefault="003717EF"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Nenulový počet poruch a nulové náklady na opravy</w:t>
            </w:r>
          </w:p>
        </w:tc>
        <w:tc>
          <w:tcPr>
            <w:tcW w:w="2421" w:type="pct"/>
            <w:vAlign w:val="center"/>
          </w:tcPr>
          <w:p w14:paraId="257B6211" w14:textId="77777777" w:rsidR="003717EF" w:rsidRPr="001657BD" w:rsidRDefault="003717EF"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nevykazování 100</w:t>
            </w:r>
            <w:r w:rsidR="00054418">
              <w:rPr>
                <w:rFonts w:asciiTheme="majorHAnsi" w:hAnsiTheme="majorHAnsi"/>
                <w:sz w:val="20"/>
                <w:szCs w:val="20"/>
              </w:rPr>
              <w:t xml:space="preserve"> </w:t>
            </w:r>
            <w:r w:rsidRPr="001657BD">
              <w:rPr>
                <w:rFonts w:asciiTheme="majorHAnsi" w:hAnsiTheme="majorHAnsi"/>
                <w:sz w:val="20"/>
                <w:szCs w:val="20"/>
              </w:rPr>
              <w:t>% výše všech ekonomicky oprávněných nákladů – snižování vypovídací schopnosti dat; problém s tvorbou ceny</w:t>
            </w:r>
          </w:p>
        </w:tc>
      </w:tr>
      <w:tr w:rsidR="001657BD" w:rsidRPr="003E21FD" w14:paraId="1C536A5E"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57859EDB" w14:textId="77777777" w:rsidR="001657BD" w:rsidRPr="003717EF" w:rsidRDefault="001657BD" w:rsidP="001657BD">
            <w:pPr>
              <w:spacing w:before="0" w:after="0"/>
              <w:contextualSpacing w:val="0"/>
              <w:jc w:val="left"/>
              <w:rPr>
                <w:rFonts w:ascii="Calibri Light" w:hAnsi="Calibri Light"/>
                <w:b w:val="0"/>
                <w:color w:val="000000"/>
                <w:sz w:val="20"/>
                <w:szCs w:val="20"/>
              </w:rPr>
            </w:pPr>
            <w:r>
              <w:rPr>
                <w:rFonts w:ascii="Calibri Light" w:hAnsi="Calibri Light"/>
                <w:b w:val="0"/>
                <w:color w:val="000000"/>
                <w:sz w:val="20"/>
                <w:szCs w:val="20"/>
              </w:rPr>
              <w:t>8</w:t>
            </w:r>
          </w:p>
        </w:tc>
        <w:tc>
          <w:tcPr>
            <w:tcW w:w="2310" w:type="pct"/>
            <w:vAlign w:val="center"/>
          </w:tcPr>
          <w:p w14:paraId="3C2C0FC0"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OKF &gt; 1 a neplní obnovu</w:t>
            </w:r>
          </w:p>
        </w:tc>
        <w:tc>
          <w:tcPr>
            <w:tcW w:w="2421" w:type="pct"/>
            <w:vAlign w:val="center"/>
          </w:tcPr>
          <w:p w14:paraId="01650A93" w14:textId="648E2C74" w:rsidR="001657BD" w:rsidRPr="001657BD" w:rsidRDefault="001657BD" w:rsidP="008160B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657BD">
              <w:rPr>
                <w:rFonts w:asciiTheme="majorHAnsi" w:hAnsiTheme="majorHAnsi"/>
                <w:sz w:val="20"/>
                <w:szCs w:val="20"/>
              </w:rPr>
              <w:t xml:space="preserve">generuje se zisk, ale prostředky </w:t>
            </w:r>
            <w:r w:rsidR="008160B2">
              <w:rPr>
                <w:rFonts w:asciiTheme="majorHAnsi" w:hAnsiTheme="majorHAnsi"/>
                <w:sz w:val="20"/>
                <w:szCs w:val="20"/>
              </w:rPr>
              <w:t>obnovy VIM nejsou generovány</w:t>
            </w:r>
          </w:p>
        </w:tc>
      </w:tr>
      <w:tr w:rsidR="001657BD" w:rsidRPr="003E21FD" w14:paraId="37B305F6"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47245E22"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9</w:t>
            </w:r>
          </w:p>
        </w:tc>
        <w:tc>
          <w:tcPr>
            <w:tcW w:w="2310" w:type="pct"/>
            <w:vAlign w:val="center"/>
          </w:tcPr>
          <w:p w14:paraId="593C165B"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Vysoká cena pro vodné (hodnota více než 1,5 násobek průměrné ceny pro vodné porovnání splňujících stanovená kritéria skupiny; OKF mezi 1 až 1,5; plnění obnovy)</w:t>
            </w:r>
          </w:p>
        </w:tc>
        <w:tc>
          <w:tcPr>
            <w:tcW w:w="2421" w:type="pct"/>
            <w:vAlign w:val="center"/>
          </w:tcPr>
          <w:p w14:paraId="713274AD"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vysoká nákladovost nebo ziskovost, problém sociální únosnosti ceny</w:t>
            </w:r>
          </w:p>
        </w:tc>
      </w:tr>
      <w:tr w:rsidR="001657BD" w:rsidRPr="003E21FD" w14:paraId="33D142FA"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69F8849B"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10</w:t>
            </w:r>
          </w:p>
        </w:tc>
        <w:tc>
          <w:tcPr>
            <w:tcW w:w="2310" w:type="pct"/>
            <w:noWrap/>
            <w:vAlign w:val="center"/>
          </w:tcPr>
          <w:p w14:paraId="7E043121"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Nulové vodné</w:t>
            </w:r>
          </w:p>
        </w:tc>
        <w:tc>
          <w:tcPr>
            <w:tcW w:w="2421" w:type="pct"/>
            <w:vAlign w:val="center"/>
          </w:tcPr>
          <w:p w14:paraId="01DDC4BD"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dotace ceny a problém s tvorbou prostředků na obnovu VIM</w:t>
            </w:r>
          </w:p>
        </w:tc>
      </w:tr>
      <w:tr w:rsidR="001657BD" w:rsidRPr="003E21FD" w14:paraId="0702DBFE"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7E035320"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11</w:t>
            </w:r>
          </w:p>
        </w:tc>
        <w:tc>
          <w:tcPr>
            <w:tcW w:w="2310" w:type="pct"/>
            <w:vAlign w:val="center"/>
          </w:tcPr>
          <w:p w14:paraId="6098EF74"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Záporný kalkulační zisk</w:t>
            </w:r>
          </w:p>
        </w:tc>
        <w:tc>
          <w:tcPr>
            <w:tcW w:w="2421" w:type="pct"/>
            <w:vAlign w:val="center"/>
          </w:tcPr>
          <w:p w14:paraId="662726A8" w14:textId="77777777" w:rsidR="001657BD" w:rsidRPr="001657BD" w:rsidRDefault="00703A73"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Pr>
                <w:rFonts w:asciiTheme="majorHAnsi" w:hAnsiTheme="majorHAnsi"/>
                <w:sz w:val="20"/>
                <w:szCs w:val="20"/>
              </w:rPr>
              <w:t>dotace ceny,</w:t>
            </w:r>
            <w:r w:rsidR="001657BD" w:rsidRPr="001657BD">
              <w:rPr>
                <w:rFonts w:asciiTheme="majorHAnsi" w:hAnsiTheme="majorHAnsi"/>
                <w:sz w:val="20"/>
                <w:szCs w:val="20"/>
              </w:rPr>
              <w:t xml:space="preserve"> ztrátové hospodaření</w:t>
            </w:r>
          </w:p>
        </w:tc>
      </w:tr>
      <w:tr w:rsidR="001657BD" w:rsidRPr="003E21FD" w14:paraId="6659BDCF"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13BE5467" w14:textId="3D4C385B"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12</w:t>
            </w:r>
          </w:p>
        </w:tc>
        <w:tc>
          <w:tcPr>
            <w:tcW w:w="2310" w:type="pct"/>
            <w:vAlign w:val="center"/>
          </w:tcPr>
          <w:p w14:paraId="07B89E95"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Kalkulován kladný nebo nulový zisk a dosažen záporný</w:t>
            </w:r>
          </w:p>
        </w:tc>
        <w:tc>
          <w:tcPr>
            <w:tcW w:w="2421" w:type="pct"/>
            <w:vAlign w:val="center"/>
          </w:tcPr>
          <w:p w14:paraId="50A85F38" w14:textId="77777777" w:rsidR="001657BD" w:rsidRPr="001657BD" w:rsidRDefault="001657BD" w:rsidP="00703A7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neziskové hospodaření v daném roce</w:t>
            </w:r>
            <w:r w:rsidR="00703A73">
              <w:rPr>
                <w:rFonts w:asciiTheme="majorHAnsi" w:hAnsiTheme="majorHAnsi"/>
                <w:sz w:val="20"/>
                <w:szCs w:val="20"/>
              </w:rPr>
              <w:t xml:space="preserve"> vlivem </w:t>
            </w:r>
            <w:r w:rsidRPr="001657BD">
              <w:rPr>
                <w:rFonts w:asciiTheme="majorHAnsi" w:hAnsiTheme="majorHAnsi"/>
                <w:sz w:val="20"/>
                <w:szCs w:val="20"/>
              </w:rPr>
              <w:t>nepředvídaný</w:t>
            </w:r>
            <w:r w:rsidR="00703A73">
              <w:rPr>
                <w:rFonts w:asciiTheme="majorHAnsi" w:hAnsiTheme="majorHAnsi"/>
                <w:sz w:val="20"/>
                <w:szCs w:val="20"/>
              </w:rPr>
              <w:t>ch</w:t>
            </w:r>
            <w:r w:rsidRPr="001657BD">
              <w:rPr>
                <w:rFonts w:asciiTheme="majorHAnsi" w:hAnsiTheme="majorHAnsi"/>
                <w:sz w:val="20"/>
                <w:szCs w:val="20"/>
              </w:rPr>
              <w:t xml:space="preserve"> okolnost</w:t>
            </w:r>
            <w:r w:rsidR="00703A73">
              <w:rPr>
                <w:rFonts w:asciiTheme="majorHAnsi" w:hAnsiTheme="majorHAnsi"/>
                <w:sz w:val="20"/>
                <w:szCs w:val="20"/>
              </w:rPr>
              <w:t>í</w:t>
            </w:r>
          </w:p>
        </w:tc>
      </w:tr>
      <w:tr w:rsidR="001657BD" w:rsidRPr="003E21FD" w14:paraId="476F1377"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1BD39F91"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13</w:t>
            </w:r>
          </w:p>
        </w:tc>
        <w:tc>
          <w:tcPr>
            <w:tcW w:w="2310" w:type="pct"/>
            <w:vAlign w:val="center"/>
          </w:tcPr>
          <w:p w14:paraId="209D50B3"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Záporný zisk kalkulován a záporný zisk dosažen</w:t>
            </w:r>
          </w:p>
        </w:tc>
        <w:tc>
          <w:tcPr>
            <w:tcW w:w="2421" w:type="pct"/>
            <w:vAlign w:val="center"/>
          </w:tcPr>
          <w:p w14:paraId="4E2DA065"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vědomě dotovaný provoz a obnova VIM</w:t>
            </w:r>
          </w:p>
        </w:tc>
      </w:tr>
      <w:tr w:rsidR="001657BD" w:rsidRPr="003E21FD" w14:paraId="197F8615"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0B4A8EBB"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14</w:t>
            </w:r>
          </w:p>
        </w:tc>
        <w:tc>
          <w:tcPr>
            <w:tcW w:w="2310" w:type="pct"/>
            <w:vAlign w:val="center"/>
          </w:tcPr>
          <w:p w14:paraId="46524EE3"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Vysoký podíl zisku na ÚVN (hodnota více než 1,5 násobek mediánu skupiny z porovnání s kladným kalkulačním ziskem)</w:t>
            </w:r>
          </w:p>
        </w:tc>
        <w:tc>
          <w:tcPr>
            <w:tcW w:w="2421" w:type="pct"/>
            <w:vAlign w:val="center"/>
          </w:tcPr>
          <w:p w14:paraId="5EA921B8"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vysoký kalkulační zisk</w:t>
            </w:r>
          </w:p>
        </w:tc>
      </w:tr>
      <w:tr w:rsidR="001657BD" w:rsidRPr="003E21FD" w14:paraId="7A5DD87D"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4C479F3B"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15</w:t>
            </w:r>
          </w:p>
        </w:tc>
        <w:tc>
          <w:tcPr>
            <w:tcW w:w="2310" w:type="pct"/>
            <w:vAlign w:val="center"/>
          </w:tcPr>
          <w:p w14:paraId="72B47ED6"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Vysoký podíl kalkulačního zisku k rozdělení na ÚVN (porovnání s podílem zisku k rozdělení vyšším než 1,5nás. hodnoty mediánu skupiny z porovnání s kladným ziskem a podíl zisku k rozdělení na ÚVN &gt;0)</w:t>
            </w:r>
          </w:p>
        </w:tc>
        <w:tc>
          <w:tcPr>
            <w:tcW w:w="2421" w:type="pct"/>
            <w:vAlign w:val="center"/>
          </w:tcPr>
          <w:p w14:paraId="1172C0DF"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příliš vysoká ziskovost a odliv prostředků ze sektoru</w:t>
            </w:r>
          </w:p>
        </w:tc>
      </w:tr>
      <w:tr w:rsidR="001657BD" w:rsidRPr="003E21FD" w14:paraId="5BE7A3E1"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7D473D6D"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16</w:t>
            </w:r>
          </w:p>
        </w:tc>
        <w:tc>
          <w:tcPr>
            <w:tcW w:w="2310" w:type="pct"/>
            <w:vAlign w:val="center"/>
          </w:tcPr>
          <w:p w14:paraId="310C6EEB"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Nulové ztráty vody</w:t>
            </w:r>
          </w:p>
        </w:tc>
        <w:tc>
          <w:tcPr>
            <w:tcW w:w="2421" w:type="pct"/>
            <w:vAlign w:val="center"/>
          </w:tcPr>
          <w:p w14:paraId="4507EBA3"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nesledování ztrát (naznačují problém se systematickou péčí o VIM)</w:t>
            </w:r>
          </w:p>
        </w:tc>
      </w:tr>
      <w:tr w:rsidR="001657BD" w:rsidRPr="003E21FD" w14:paraId="34CA1C6D"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6086DC82"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17</w:t>
            </w:r>
          </w:p>
        </w:tc>
        <w:tc>
          <w:tcPr>
            <w:tcW w:w="2310" w:type="pct"/>
            <w:vAlign w:val="center"/>
          </w:tcPr>
          <w:p w14:paraId="30C6450A"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vysoká hodnota nefakturované vody na km přepočtené délky v m</w:t>
            </w:r>
            <w:r w:rsidRPr="00BC03D3">
              <w:rPr>
                <w:rFonts w:asciiTheme="majorHAnsi" w:hAnsiTheme="majorHAnsi"/>
                <w:smallCaps/>
                <w:sz w:val="20"/>
                <w:szCs w:val="20"/>
                <w:vertAlign w:val="superscript"/>
              </w:rPr>
              <w:t>3</w:t>
            </w:r>
            <w:r w:rsidRPr="001657BD">
              <w:rPr>
                <w:rFonts w:asciiTheme="majorHAnsi" w:hAnsiTheme="majorHAnsi"/>
                <w:smallCaps/>
                <w:sz w:val="20"/>
                <w:szCs w:val="20"/>
              </w:rPr>
              <w:t>/km/den (převyšuje 1,5 násobek mediánu skupiny z porovnání vykazujících ztráty vody nad 4 m</w:t>
            </w:r>
            <w:r w:rsidRPr="00BC03D3">
              <w:rPr>
                <w:rFonts w:asciiTheme="majorHAnsi" w:hAnsiTheme="majorHAnsi"/>
                <w:smallCaps/>
                <w:sz w:val="20"/>
                <w:szCs w:val="20"/>
                <w:vertAlign w:val="superscript"/>
              </w:rPr>
              <w:t>3</w:t>
            </w:r>
            <w:r w:rsidRPr="001657BD">
              <w:rPr>
                <w:rFonts w:asciiTheme="majorHAnsi" w:hAnsiTheme="majorHAnsi"/>
                <w:smallCaps/>
                <w:sz w:val="20"/>
                <w:szCs w:val="20"/>
              </w:rPr>
              <w:t>/km/den)</w:t>
            </w:r>
          </w:p>
        </w:tc>
        <w:tc>
          <w:tcPr>
            <w:tcW w:w="2421" w:type="pct"/>
            <w:vAlign w:val="center"/>
          </w:tcPr>
          <w:p w14:paraId="415353FE" w14:textId="77777777" w:rsidR="001657BD" w:rsidRPr="001657BD" w:rsidRDefault="00194804"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Pr>
                <w:rFonts w:asciiTheme="majorHAnsi" w:hAnsiTheme="majorHAnsi"/>
                <w:sz w:val="20"/>
                <w:szCs w:val="20"/>
              </w:rPr>
              <w:t>voda</w:t>
            </w:r>
            <w:r w:rsidR="001657BD" w:rsidRPr="001657BD">
              <w:rPr>
                <w:rFonts w:asciiTheme="majorHAnsi" w:hAnsiTheme="majorHAnsi"/>
                <w:sz w:val="20"/>
                <w:szCs w:val="20"/>
              </w:rPr>
              <w:t xml:space="preserve"> nepřinášející výnosy k pokrytí souvisejících nákladů (zkreslen např. tzv. areálovými vodovody), doplňuje údaje o ztrátách vody</w:t>
            </w:r>
          </w:p>
        </w:tc>
      </w:tr>
      <w:tr w:rsidR="001657BD" w:rsidRPr="003E21FD" w14:paraId="592DFB17"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48B163AE"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18</w:t>
            </w:r>
          </w:p>
        </w:tc>
        <w:tc>
          <w:tcPr>
            <w:tcW w:w="2310" w:type="pct"/>
            <w:vAlign w:val="center"/>
          </w:tcPr>
          <w:p w14:paraId="5849DB22"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Vysoká poruchovost (porovnání, kde je počet poruch/km vyšší než 1,5nás. mediánu skupiny bez porovnání s nulovým počtem poruch)</w:t>
            </w:r>
          </w:p>
        </w:tc>
        <w:tc>
          <w:tcPr>
            <w:tcW w:w="2421" w:type="pct"/>
            <w:vAlign w:val="center"/>
          </w:tcPr>
          <w:p w14:paraId="246887C9" w14:textId="77777777" w:rsidR="001657BD" w:rsidRPr="001657BD" w:rsidRDefault="001657BD" w:rsidP="001657B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nedostatečná péče o VIM</w:t>
            </w:r>
          </w:p>
        </w:tc>
      </w:tr>
      <w:tr w:rsidR="001657BD" w:rsidRPr="003E21FD" w14:paraId="74708B22"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54068FB9" w14:textId="77777777" w:rsidR="001657BD" w:rsidRPr="003717EF" w:rsidRDefault="001657BD" w:rsidP="001657BD">
            <w:pPr>
              <w:spacing w:before="0" w:after="0"/>
              <w:contextualSpacing w:val="0"/>
              <w:jc w:val="left"/>
              <w:rPr>
                <w:rFonts w:ascii="Calibri Light" w:eastAsia="Times New Roman" w:hAnsi="Calibri Light"/>
                <w:b w:val="0"/>
                <w:color w:val="000000"/>
                <w:sz w:val="20"/>
                <w:szCs w:val="20"/>
                <w:lang w:eastAsia="cs-CZ"/>
              </w:rPr>
            </w:pPr>
            <w:r>
              <w:rPr>
                <w:rFonts w:ascii="Calibri Light" w:eastAsia="Times New Roman" w:hAnsi="Calibri Light"/>
                <w:b w:val="0"/>
                <w:color w:val="000000"/>
                <w:sz w:val="20"/>
                <w:szCs w:val="20"/>
                <w:lang w:eastAsia="cs-CZ"/>
              </w:rPr>
              <w:t>19</w:t>
            </w:r>
          </w:p>
        </w:tc>
        <w:tc>
          <w:tcPr>
            <w:tcW w:w="2310" w:type="pct"/>
            <w:vAlign w:val="center"/>
          </w:tcPr>
          <w:p w14:paraId="1AC49B67"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mallCaps/>
                <w:sz w:val="20"/>
                <w:szCs w:val="20"/>
              </w:rPr>
              <w:t>Vysoké ztráty vody na 1 km přepočtené délky vodovodního řadu na den v m</w:t>
            </w:r>
            <w:r w:rsidRPr="00BC03D3">
              <w:rPr>
                <w:rFonts w:asciiTheme="majorHAnsi" w:hAnsiTheme="majorHAnsi"/>
                <w:smallCaps/>
                <w:sz w:val="20"/>
                <w:szCs w:val="20"/>
                <w:vertAlign w:val="superscript"/>
              </w:rPr>
              <w:t>3</w:t>
            </w:r>
            <w:r w:rsidRPr="001657BD">
              <w:rPr>
                <w:rFonts w:asciiTheme="majorHAnsi" w:hAnsiTheme="majorHAnsi"/>
                <w:smallCaps/>
                <w:sz w:val="20"/>
                <w:szCs w:val="20"/>
              </w:rPr>
              <w:t>/km/den (převyšuje 1,5 násobek mediánu skupiny z porovnání vykazujících ztráty vody nad 4 m3/km/den)</w:t>
            </w:r>
          </w:p>
        </w:tc>
        <w:tc>
          <w:tcPr>
            <w:tcW w:w="2421" w:type="pct"/>
            <w:vAlign w:val="center"/>
          </w:tcPr>
          <w:p w14:paraId="038A872D" w14:textId="77777777" w:rsidR="001657BD" w:rsidRPr="001657BD" w:rsidRDefault="001657BD" w:rsidP="001657B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szCs w:val="20"/>
              </w:rPr>
            </w:pPr>
            <w:r w:rsidRPr="001657BD">
              <w:rPr>
                <w:rFonts w:asciiTheme="majorHAnsi" w:hAnsiTheme="majorHAnsi"/>
                <w:sz w:val="20"/>
                <w:szCs w:val="20"/>
              </w:rPr>
              <w:t>nedostatečná péče o VIM</w:t>
            </w:r>
          </w:p>
        </w:tc>
      </w:tr>
    </w:tbl>
    <w:p w14:paraId="1C9683A0" w14:textId="77777777" w:rsidR="006D4F4D" w:rsidRDefault="006D4F4D" w:rsidP="00E32D7D">
      <w:pPr>
        <w:rPr>
          <w:sz w:val="20"/>
          <w:szCs w:val="20"/>
        </w:rPr>
      </w:pPr>
    </w:p>
    <w:p w14:paraId="02097F17" w14:textId="77777777" w:rsidR="00F128A6" w:rsidRDefault="00F128A6" w:rsidP="00E32D7D">
      <w:pPr>
        <w:rPr>
          <w:sz w:val="20"/>
          <w:szCs w:val="20"/>
        </w:rPr>
      </w:pPr>
    </w:p>
    <w:p w14:paraId="415D4EFA" w14:textId="77777777" w:rsidR="00F128A6" w:rsidRDefault="00F128A6" w:rsidP="00E32D7D">
      <w:pPr>
        <w:rPr>
          <w:sz w:val="20"/>
          <w:szCs w:val="20"/>
        </w:rPr>
      </w:pPr>
    </w:p>
    <w:p w14:paraId="33AB9A73" w14:textId="77777777" w:rsidR="00F128A6" w:rsidRDefault="00F128A6" w:rsidP="00E32D7D">
      <w:pPr>
        <w:rPr>
          <w:sz w:val="20"/>
          <w:szCs w:val="20"/>
        </w:rPr>
      </w:pPr>
    </w:p>
    <w:p w14:paraId="5950FF26" w14:textId="77777777" w:rsidR="00F128A6" w:rsidRDefault="00F128A6" w:rsidP="00E32D7D">
      <w:pPr>
        <w:rPr>
          <w:sz w:val="20"/>
          <w:szCs w:val="20"/>
        </w:rPr>
      </w:pPr>
    </w:p>
    <w:p w14:paraId="135938B0" w14:textId="77777777" w:rsidR="00F128A6" w:rsidRDefault="00F128A6" w:rsidP="00E32D7D">
      <w:pPr>
        <w:rPr>
          <w:sz w:val="20"/>
          <w:szCs w:val="20"/>
        </w:rPr>
      </w:pPr>
    </w:p>
    <w:p w14:paraId="60E07048" w14:textId="77777777" w:rsidR="00F128A6" w:rsidRPr="00837030" w:rsidRDefault="00F128A6" w:rsidP="00E32D7D">
      <w:pPr>
        <w:rPr>
          <w:sz w:val="20"/>
          <w:szCs w:val="20"/>
        </w:rPr>
      </w:pPr>
    </w:p>
    <w:tbl>
      <w:tblPr>
        <w:tblStyle w:val="Tabulkasmkou4zvraznn21"/>
        <w:tblW w:w="5000" w:type="pct"/>
        <w:tblLayout w:type="fixed"/>
        <w:tblLook w:val="04A0" w:firstRow="1" w:lastRow="0" w:firstColumn="1" w:lastColumn="0" w:noHBand="0" w:noVBand="1"/>
      </w:tblPr>
      <w:tblGrid>
        <w:gridCol w:w="487"/>
        <w:gridCol w:w="4753"/>
        <w:gridCol w:w="3820"/>
      </w:tblGrid>
      <w:tr w:rsidR="00235CAC" w:rsidRPr="00CB5E46" w14:paraId="39C03A52" w14:textId="77777777" w:rsidTr="00235CAC">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554456BB" w14:textId="77777777" w:rsidR="00235CAC" w:rsidRPr="001657BD" w:rsidRDefault="00235CAC" w:rsidP="00235CAC">
            <w:pPr>
              <w:spacing w:before="0" w:after="0"/>
              <w:contextualSpacing w:val="0"/>
              <w:jc w:val="left"/>
              <w:rPr>
                <w:rFonts w:asciiTheme="majorHAnsi" w:eastAsia="Times New Roman" w:hAnsiTheme="majorHAnsi"/>
                <w:bCs w:val="0"/>
                <w:sz w:val="20"/>
                <w:szCs w:val="20"/>
                <w:lang w:eastAsia="cs-CZ"/>
              </w:rPr>
            </w:pPr>
            <w:r w:rsidRPr="00235CAC">
              <w:rPr>
                <w:rFonts w:asciiTheme="majorHAnsi" w:eastAsia="Times New Roman" w:hAnsiTheme="majorHAnsi"/>
                <w:bCs w:val="0"/>
                <w:smallCaps/>
                <w:szCs w:val="20"/>
                <w:lang w:eastAsia="cs-CZ"/>
              </w:rPr>
              <w:lastRenderedPageBreak/>
              <w:t>Benchmarking vlastnických subjektů:</w:t>
            </w:r>
          </w:p>
        </w:tc>
      </w:tr>
      <w:tr w:rsidR="00CB5E46" w:rsidRPr="00CB5E46" w14:paraId="1B47CEF0" w14:textId="77777777" w:rsidTr="001657BD">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269" w:type="pct"/>
            <w:vAlign w:val="center"/>
          </w:tcPr>
          <w:p w14:paraId="1E8A3555" w14:textId="77777777" w:rsidR="00CB5E46" w:rsidRPr="00DB4EE8" w:rsidRDefault="00CB5E46" w:rsidP="00CE3AD4">
            <w:pPr>
              <w:spacing w:before="0" w:after="0"/>
              <w:contextualSpacing w:val="0"/>
              <w:jc w:val="center"/>
              <w:rPr>
                <w:rFonts w:asciiTheme="majorHAnsi" w:eastAsia="Times New Roman" w:hAnsiTheme="majorHAnsi"/>
                <w:b w:val="0"/>
                <w:bCs w:val="0"/>
                <w:color w:val="FFFFFF"/>
                <w:sz w:val="20"/>
                <w:lang w:eastAsia="cs-CZ"/>
              </w:rPr>
            </w:pPr>
          </w:p>
        </w:tc>
        <w:tc>
          <w:tcPr>
            <w:tcW w:w="2623" w:type="pct"/>
            <w:vAlign w:val="center"/>
            <w:hideMark/>
          </w:tcPr>
          <w:p w14:paraId="372CB3AE" w14:textId="77777777" w:rsidR="00CB5E46" w:rsidRPr="001657BD" w:rsidRDefault="008B2EA0" w:rsidP="00DB4EE8">
            <w:pPr>
              <w:spacing w:before="0" w:after="0"/>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Cs w:val="0"/>
                <w:smallCaps/>
                <w:color w:val="FFFFFF"/>
                <w:sz w:val="20"/>
                <w:szCs w:val="20"/>
                <w:lang w:eastAsia="cs-CZ"/>
              </w:rPr>
            </w:pPr>
            <w:r w:rsidRPr="001657BD">
              <w:rPr>
                <w:rFonts w:asciiTheme="majorHAnsi" w:eastAsia="Times New Roman" w:hAnsiTheme="majorHAnsi"/>
                <w:bCs w:val="0"/>
                <w:smallCaps/>
                <w:color w:val="FFFFFF"/>
                <w:sz w:val="20"/>
                <w:szCs w:val="20"/>
                <w:lang w:eastAsia="cs-CZ"/>
              </w:rPr>
              <w:t>KANALIZACE</w:t>
            </w:r>
          </w:p>
        </w:tc>
        <w:tc>
          <w:tcPr>
            <w:tcW w:w="2108" w:type="pct"/>
            <w:vAlign w:val="center"/>
          </w:tcPr>
          <w:p w14:paraId="48F5DDB9" w14:textId="77777777" w:rsidR="00CB5E46" w:rsidRPr="001657BD" w:rsidRDefault="005468B0" w:rsidP="00DB4EE8">
            <w:pPr>
              <w:spacing w:before="0" w:after="0"/>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Cs w:val="0"/>
                <w:color w:val="FFFFFF"/>
                <w:sz w:val="20"/>
                <w:szCs w:val="20"/>
                <w:lang w:eastAsia="cs-CZ"/>
              </w:rPr>
            </w:pPr>
            <w:r w:rsidRPr="001657BD">
              <w:rPr>
                <w:rFonts w:asciiTheme="majorHAnsi" w:eastAsia="Times New Roman" w:hAnsiTheme="majorHAnsi"/>
                <w:bCs w:val="0"/>
                <w:sz w:val="20"/>
                <w:szCs w:val="20"/>
                <w:lang w:eastAsia="cs-CZ"/>
              </w:rPr>
              <w:t>ZDŮVODNĚNÍ</w:t>
            </w:r>
          </w:p>
        </w:tc>
      </w:tr>
      <w:tr w:rsidR="001657BD" w:rsidRPr="00CB5E46" w14:paraId="6F148EEB"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2CDA80AA"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Pr>
                <w:rFonts w:asciiTheme="majorHAnsi" w:eastAsia="Times New Roman" w:hAnsiTheme="majorHAnsi"/>
                <w:b w:val="0"/>
                <w:color w:val="000000"/>
                <w:sz w:val="20"/>
                <w:lang w:eastAsia="cs-CZ"/>
              </w:rPr>
              <w:t>1</w:t>
            </w:r>
          </w:p>
        </w:tc>
        <w:tc>
          <w:tcPr>
            <w:tcW w:w="2623" w:type="pct"/>
            <w:noWrap/>
            <w:vAlign w:val="center"/>
            <w:hideMark/>
          </w:tcPr>
          <w:p w14:paraId="5586CB6E"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Nedostatečná tvorba prostředků na obnovu VIM</w:t>
            </w:r>
          </w:p>
        </w:tc>
        <w:tc>
          <w:tcPr>
            <w:tcW w:w="2108" w:type="pct"/>
            <w:vAlign w:val="center"/>
          </w:tcPr>
          <w:p w14:paraId="2F37145A"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color w:val="000000"/>
                <w:sz w:val="20"/>
                <w:szCs w:val="20"/>
              </w:rPr>
              <w:t>n</w:t>
            </w:r>
            <w:r w:rsidRPr="001657BD">
              <w:rPr>
                <w:rFonts w:asciiTheme="majorHAnsi" w:hAnsiTheme="majorHAnsi"/>
                <w:color w:val="000000"/>
                <w:sz w:val="20"/>
                <w:szCs w:val="20"/>
              </w:rPr>
              <w:t>eplněn záměr udržitelnosti VIM</w:t>
            </w:r>
          </w:p>
        </w:tc>
      </w:tr>
      <w:tr w:rsidR="001657BD" w:rsidRPr="00CB5E46" w14:paraId="72D7B251"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02BBBF7E"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Pr>
                <w:rFonts w:asciiTheme="majorHAnsi" w:eastAsia="Times New Roman" w:hAnsiTheme="majorHAnsi"/>
                <w:b w:val="0"/>
                <w:color w:val="000000"/>
                <w:sz w:val="20"/>
                <w:lang w:eastAsia="cs-CZ"/>
              </w:rPr>
              <w:t>2</w:t>
            </w:r>
          </w:p>
        </w:tc>
        <w:tc>
          <w:tcPr>
            <w:tcW w:w="2623" w:type="pct"/>
            <w:vAlign w:val="center"/>
            <w:hideMark/>
          </w:tcPr>
          <w:p w14:paraId="77ADEA76"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Nulový celý řádek 20</w:t>
            </w:r>
          </w:p>
        </w:tc>
        <w:tc>
          <w:tcPr>
            <w:tcW w:w="2108" w:type="pct"/>
            <w:vAlign w:val="center"/>
          </w:tcPr>
          <w:p w14:paraId="660898B8"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657BD">
              <w:rPr>
                <w:rFonts w:asciiTheme="majorHAnsi" w:hAnsiTheme="majorHAnsi"/>
                <w:color w:val="000000"/>
                <w:sz w:val="20"/>
                <w:szCs w:val="20"/>
              </w:rPr>
              <w:t xml:space="preserve">nevykazování tvorby a čerpání prostředků na obnovu </w:t>
            </w:r>
          </w:p>
        </w:tc>
      </w:tr>
      <w:tr w:rsidR="001657BD" w:rsidRPr="00CB5E46" w14:paraId="315D47BA"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57E0C7B5"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Pr>
                <w:rFonts w:asciiTheme="majorHAnsi" w:eastAsia="Times New Roman" w:hAnsiTheme="majorHAnsi"/>
                <w:b w:val="0"/>
                <w:color w:val="000000"/>
                <w:sz w:val="20"/>
                <w:lang w:eastAsia="cs-CZ"/>
              </w:rPr>
              <w:t>3</w:t>
            </w:r>
          </w:p>
        </w:tc>
        <w:tc>
          <w:tcPr>
            <w:tcW w:w="2623" w:type="pct"/>
            <w:vAlign w:val="center"/>
            <w:hideMark/>
          </w:tcPr>
          <w:p w14:paraId="655A5560"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Nájem je menší nebo roven nula v oddílném (bez servisních smluv) nebo kombinovaném modelu</w:t>
            </w:r>
          </w:p>
        </w:tc>
        <w:tc>
          <w:tcPr>
            <w:tcW w:w="2108" w:type="pct"/>
            <w:vAlign w:val="center"/>
          </w:tcPr>
          <w:p w14:paraId="558A2FEC" w14:textId="77777777" w:rsidR="001657BD" w:rsidRPr="001657BD" w:rsidRDefault="001657BD" w:rsidP="00703A73">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1657BD">
              <w:rPr>
                <w:rFonts w:asciiTheme="majorHAnsi" w:hAnsiTheme="majorHAnsi"/>
                <w:color w:val="000000"/>
                <w:sz w:val="20"/>
                <w:szCs w:val="20"/>
              </w:rPr>
              <w:t>chybné vykazování dat</w:t>
            </w:r>
            <w:r w:rsidR="00703A73">
              <w:rPr>
                <w:rFonts w:asciiTheme="majorHAnsi" w:hAnsiTheme="majorHAnsi"/>
                <w:color w:val="000000"/>
                <w:sz w:val="20"/>
                <w:szCs w:val="20"/>
              </w:rPr>
              <w:t xml:space="preserve"> nebo nevyvážené nastavení smluvních vztahů</w:t>
            </w:r>
          </w:p>
        </w:tc>
      </w:tr>
      <w:tr w:rsidR="001657BD" w:rsidRPr="00CB5E46" w14:paraId="5E7F5DB0"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62957FFD"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Pr>
                <w:rFonts w:asciiTheme="majorHAnsi" w:eastAsia="Times New Roman" w:hAnsiTheme="majorHAnsi"/>
                <w:b w:val="0"/>
                <w:color w:val="000000"/>
                <w:sz w:val="20"/>
                <w:lang w:eastAsia="cs-CZ"/>
              </w:rPr>
              <w:t>4</w:t>
            </w:r>
          </w:p>
        </w:tc>
        <w:tc>
          <w:tcPr>
            <w:tcW w:w="2623" w:type="pct"/>
            <w:noWrap/>
            <w:vAlign w:val="center"/>
            <w:hideMark/>
          </w:tcPr>
          <w:p w14:paraId="1C5BE973"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Nájem je větší než nula ve smíšeném modelu nebo oddílném se servisní smlouvou</w:t>
            </w:r>
          </w:p>
        </w:tc>
        <w:tc>
          <w:tcPr>
            <w:tcW w:w="2108" w:type="pct"/>
            <w:vAlign w:val="center"/>
          </w:tcPr>
          <w:p w14:paraId="0D17A0C5"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657BD">
              <w:rPr>
                <w:rFonts w:asciiTheme="majorHAnsi" w:hAnsiTheme="majorHAnsi"/>
                <w:color w:val="000000"/>
                <w:sz w:val="20"/>
                <w:szCs w:val="20"/>
              </w:rPr>
              <w:t>chybné vykazování dat</w:t>
            </w:r>
          </w:p>
        </w:tc>
      </w:tr>
      <w:tr w:rsidR="001657BD" w:rsidRPr="00CB5E46" w14:paraId="4CF3968E"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573A04A6"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Pr>
                <w:rFonts w:asciiTheme="majorHAnsi" w:eastAsia="Times New Roman" w:hAnsiTheme="majorHAnsi"/>
                <w:b w:val="0"/>
                <w:color w:val="000000"/>
                <w:sz w:val="20"/>
                <w:lang w:eastAsia="cs-CZ"/>
              </w:rPr>
              <w:t>5</w:t>
            </w:r>
          </w:p>
        </w:tc>
        <w:tc>
          <w:tcPr>
            <w:tcW w:w="2623" w:type="pct"/>
            <w:vAlign w:val="center"/>
            <w:hideMark/>
          </w:tcPr>
          <w:p w14:paraId="67D13ABB"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Nenulový počet poruch a nulové náklady na opravy</w:t>
            </w:r>
          </w:p>
        </w:tc>
        <w:tc>
          <w:tcPr>
            <w:tcW w:w="2108" w:type="pct"/>
            <w:vAlign w:val="center"/>
          </w:tcPr>
          <w:p w14:paraId="60C6FD63"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1657BD">
              <w:rPr>
                <w:rFonts w:asciiTheme="majorHAnsi" w:hAnsiTheme="majorHAnsi"/>
                <w:color w:val="000000"/>
                <w:sz w:val="20"/>
                <w:szCs w:val="20"/>
              </w:rPr>
              <w:t>nevykazování 100</w:t>
            </w:r>
            <w:r w:rsidR="00F5434C">
              <w:rPr>
                <w:rFonts w:asciiTheme="majorHAnsi" w:hAnsiTheme="majorHAnsi"/>
                <w:color w:val="000000"/>
                <w:sz w:val="20"/>
                <w:szCs w:val="20"/>
              </w:rPr>
              <w:t xml:space="preserve"> </w:t>
            </w:r>
            <w:r w:rsidRPr="001657BD">
              <w:rPr>
                <w:rFonts w:asciiTheme="majorHAnsi" w:hAnsiTheme="majorHAnsi"/>
                <w:color w:val="000000"/>
                <w:sz w:val="20"/>
                <w:szCs w:val="20"/>
              </w:rPr>
              <w:t xml:space="preserve">% výše všech ekonomicky oprávněných nákladů – snižování vypovídací schopnosti dat; problém s tvorbou ceny </w:t>
            </w:r>
          </w:p>
        </w:tc>
      </w:tr>
      <w:tr w:rsidR="001657BD" w:rsidRPr="00CB5E46" w14:paraId="7F95B3CE"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37E3AC63"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Pr>
                <w:rFonts w:asciiTheme="majorHAnsi" w:eastAsia="Times New Roman" w:hAnsiTheme="majorHAnsi"/>
                <w:b w:val="0"/>
                <w:color w:val="000000"/>
                <w:sz w:val="20"/>
                <w:lang w:eastAsia="cs-CZ"/>
              </w:rPr>
              <w:t>6</w:t>
            </w:r>
          </w:p>
        </w:tc>
        <w:tc>
          <w:tcPr>
            <w:tcW w:w="2623" w:type="pct"/>
            <w:vAlign w:val="center"/>
            <w:hideMark/>
          </w:tcPr>
          <w:p w14:paraId="345933E6"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Nulové odpisy + nulové opravy +4.4 ve smíšeném nebo kombinovaném modelu</w:t>
            </w:r>
          </w:p>
        </w:tc>
        <w:tc>
          <w:tcPr>
            <w:tcW w:w="2108" w:type="pct"/>
            <w:vAlign w:val="center"/>
          </w:tcPr>
          <w:p w14:paraId="5D28C18A"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1657BD">
              <w:rPr>
                <w:rFonts w:asciiTheme="majorHAnsi" w:hAnsiTheme="majorHAnsi"/>
                <w:color w:val="000000"/>
                <w:sz w:val="20"/>
                <w:szCs w:val="20"/>
              </w:rPr>
              <w:t>nezapočtení prostředků na obnovu do ceny</w:t>
            </w:r>
          </w:p>
        </w:tc>
      </w:tr>
      <w:tr w:rsidR="001657BD" w:rsidRPr="00CB5E46" w14:paraId="12E6C00C"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2D1FDC86"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Pr>
                <w:rFonts w:asciiTheme="majorHAnsi" w:eastAsia="Times New Roman" w:hAnsiTheme="majorHAnsi"/>
                <w:b w:val="0"/>
                <w:color w:val="000000"/>
                <w:sz w:val="20"/>
                <w:lang w:eastAsia="cs-CZ"/>
              </w:rPr>
              <w:t>7</w:t>
            </w:r>
          </w:p>
        </w:tc>
        <w:tc>
          <w:tcPr>
            <w:tcW w:w="2623" w:type="pct"/>
            <w:vAlign w:val="center"/>
            <w:hideMark/>
          </w:tcPr>
          <w:p w14:paraId="3A5BCFBB"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 xml:space="preserve">Nulové stočné celkem </w:t>
            </w:r>
          </w:p>
        </w:tc>
        <w:tc>
          <w:tcPr>
            <w:tcW w:w="2108" w:type="pct"/>
            <w:vAlign w:val="center"/>
          </w:tcPr>
          <w:p w14:paraId="6F3D049C"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1657BD">
              <w:rPr>
                <w:rFonts w:asciiTheme="majorHAnsi" w:hAnsiTheme="majorHAnsi"/>
                <w:color w:val="000000"/>
                <w:sz w:val="20"/>
                <w:szCs w:val="20"/>
              </w:rPr>
              <w:t>dotování ceny a problémy s tvorbou prostředků na obnovu</w:t>
            </w:r>
          </w:p>
        </w:tc>
      </w:tr>
      <w:tr w:rsidR="001657BD" w:rsidRPr="00CB5E46" w14:paraId="4B10A932"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39624B13"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Pr>
                <w:rFonts w:asciiTheme="majorHAnsi" w:eastAsia="Times New Roman" w:hAnsiTheme="majorHAnsi"/>
                <w:b w:val="0"/>
                <w:color w:val="000000"/>
                <w:sz w:val="20"/>
                <w:lang w:eastAsia="cs-CZ"/>
              </w:rPr>
              <w:t>8</w:t>
            </w:r>
          </w:p>
        </w:tc>
        <w:tc>
          <w:tcPr>
            <w:tcW w:w="2623" w:type="pct"/>
            <w:noWrap/>
            <w:vAlign w:val="center"/>
            <w:hideMark/>
          </w:tcPr>
          <w:p w14:paraId="0AE6F305"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Vysoká cena pro stočné (hodnota více než 1,5 násobek průměrné ceny pro stočné porovnání skupiny splňujících stanovená kritéria: OKF mezi 1 až 1,5; plnění obnovy, kladný kalkulační zisk)</w:t>
            </w:r>
          </w:p>
        </w:tc>
        <w:tc>
          <w:tcPr>
            <w:tcW w:w="2108" w:type="pct"/>
            <w:vAlign w:val="center"/>
          </w:tcPr>
          <w:p w14:paraId="5905B57F"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1657BD">
              <w:rPr>
                <w:rFonts w:asciiTheme="majorHAnsi" w:hAnsiTheme="majorHAnsi"/>
                <w:color w:val="000000"/>
                <w:sz w:val="20"/>
                <w:szCs w:val="20"/>
              </w:rPr>
              <w:t>vysoká nákladovost nebo ziskovost, problém sociální únosnosti ceny</w:t>
            </w:r>
          </w:p>
        </w:tc>
      </w:tr>
      <w:tr w:rsidR="001657BD" w:rsidRPr="00CB5E46" w14:paraId="0CE1C66E"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5937B7C2"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Pr>
                <w:rFonts w:asciiTheme="majorHAnsi" w:eastAsia="Times New Roman" w:hAnsiTheme="majorHAnsi"/>
                <w:b w:val="0"/>
                <w:color w:val="000000"/>
                <w:sz w:val="20"/>
                <w:lang w:eastAsia="cs-CZ"/>
              </w:rPr>
              <w:t>9</w:t>
            </w:r>
          </w:p>
        </w:tc>
        <w:tc>
          <w:tcPr>
            <w:tcW w:w="2623" w:type="pct"/>
            <w:vAlign w:val="center"/>
            <w:hideMark/>
          </w:tcPr>
          <w:p w14:paraId="49916A16" w14:textId="193740BB" w:rsidR="001657BD" w:rsidRPr="001C51E5"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rPr>
            </w:pPr>
            <w:r w:rsidRPr="001C51E5">
              <w:rPr>
                <w:rFonts w:asciiTheme="majorHAnsi" w:hAnsiTheme="majorHAnsi"/>
                <w:smallCaps/>
                <w:color w:val="000000"/>
                <w:sz w:val="20"/>
                <w:szCs w:val="20"/>
              </w:rPr>
              <w:t>Nulový počet poruch + opravy vyšší než průměrné náklady na odstranění poruchy všech subjektu, které mají nenulový počet poruch</w:t>
            </w:r>
          </w:p>
        </w:tc>
        <w:tc>
          <w:tcPr>
            <w:tcW w:w="2108" w:type="pct"/>
            <w:vAlign w:val="center"/>
          </w:tcPr>
          <w:p w14:paraId="6A9FBB4F"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1657BD">
              <w:rPr>
                <w:rFonts w:asciiTheme="majorHAnsi" w:hAnsiTheme="majorHAnsi"/>
                <w:color w:val="000000"/>
                <w:sz w:val="20"/>
                <w:szCs w:val="20"/>
              </w:rPr>
              <w:t>chybné vykazování dat</w:t>
            </w:r>
          </w:p>
        </w:tc>
      </w:tr>
      <w:tr w:rsidR="001657BD" w:rsidRPr="00CB5E46" w14:paraId="020CB4E0"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4C861FAF"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sidRPr="00DB4EE8">
              <w:rPr>
                <w:rFonts w:asciiTheme="majorHAnsi" w:eastAsia="Times New Roman" w:hAnsiTheme="majorHAnsi"/>
                <w:b w:val="0"/>
                <w:color w:val="000000"/>
                <w:sz w:val="20"/>
                <w:lang w:eastAsia="cs-CZ"/>
              </w:rPr>
              <w:t>1</w:t>
            </w:r>
            <w:r>
              <w:rPr>
                <w:rFonts w:asciiTheme="majorHAnsi" w:eastAsia="Times New Roman" w:hAnsiTheme="majorHAnsi"/>
                <w:b w:val="0"/>
                <w:color w:val="000000"/>
                <w:sz w:val="20"/>
                <w:lang w:eastAsia="cs-CZ"/>
              </w:rPr>
              <w:t>0</w:t>
            </w:r>
          </w:p>
        </w:tc>
        <w:tc>
          <w:tcPr>
            <w:tcW w:w="2623" w:type="pct"/>
            <w:noWrap/>
            <w:vAlign w:val="center"/>
            <w:hideMark/>
          </w:tcPr>
          <w:p w14:paraId="507A5F7B"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Vysoký počet poruch na 1 km stokové sítě / rok (hodnota 1,5 násobku mediánu skupiny z porovnání bez nulové hodnoty ukazatele)</w:t>
            </w:r>
          </w:p>
        </w:tc>
        <w:tc>
          <w:tcPr>
            <w:tcW w:w="2108" w:type="pct"/>
            <w:vAlign w:val="center"/>
          </w:tcPr>
          <w:p w14:paraId="01ADC289"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1657BD">
              <w:rPr>
                <w:rFonts w:asciiTheme="majorHAnsi" w:hAnsiTheme="majorHAnsi"/>
                <w:color w:val="000000"/>
                <w:sz w:val="20"/>
                <w:szCs w:val="20"/>
              </w:rPr>
              <w:t>nedostatečná péče o VIM</w:t>
            </w:r>
          </w:p>
        </w:tc>
      </w:tr>
      <w:tr w:rsidR="001657BD" w:rsidRPr="00CB5E46" w14:paraId="2F687721"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3C83A435"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sidRPr="00DB4EE8">
              <w:rPr>
                <w:rFonts w:asciiTheme="majorHAnsi" w:eastAsia="Times New Roman" w:hAnsiTheme="majorHAnsi"/>
                <w:b w:val="0"/>
                <w:color w:val="000000"/>
                <w:sz w:val="20"/>
                <w:lang w:eastAsia="cs-CZ"/>
              </w:rPr>
              <w:t>1</w:t>
            </w:r>
            <w:r>
              <w:rPr>
                <w:rFonts w:asciiTheme="majorHAnsi" w:eastAsia="Times New Roman" w:hAnsiTheme="majorHAnsi"/>
                <w:b w:val="0"/>
                <w:color w:val="000000"/>
                <w:sz w:val="20"/>
                <w:lang w:eastAsia="cs-CZ"/>
              </w:rPr>
              <w:t>1</w:t>
            </w:r>
          </w:p>
        </w:tc>
        <w:tc>
          <w:tcPr>
            <w:tcW w:w="2623" w:type="pct"/>
            <w:noWrap/>
            <w:vAlign w:val="center"/>
            <w:hideMark/>
          </w:tcPr>
          <w:p w14:paraId="213F63E3"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Záporný kalkulační zisk</w:t>
            </w:r>
          </w:p>
        </w:tc>
        <w:tc>
          <w:tcPr>
            <w:tcW w:w="2108" w:type="pct"/>
            <w:vAlign w:val="center"/>
          </w:tcPr>
          <w:p w14:paraId="17E7B71C" w14:textId="77777777" w:rsidR="001657BD" w:rsidRPr="001657BD" w:rsidRDefault="00703A73"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Pr>
                <w:rFonts w:asciiTheme="majorHAnsi" w:hAnsiTheme="majorHAnsi"/>
                <w:color w:val="000000"/>
                <w:sz w:val="20"/>
                <w:szCs w:val="20"/>
              </w:rPr>
              <w:t>dotace ceny,</w:t>
            </w:r>
            <w:r w:rsidR="001657BD" w:rsidRPr="001657BD">
              <w:rPr>
                <w:rFonts w:asciiTheme="majorHAnsi" w:hAnsiTheme="majorHAnsi"/>
                <w:color w:val="000000"/>
                <w:sz w:val="20"/>
                <w:szCs w:val="20"/>
              </w:rPr>
              <w:t xml:space="preserve"> ztrátové hospodaření</w:t>
            </w:r>
          </w:p>
        </w:tc>
      </w:tr>
      <w:tr w:rsidR="001657BD" w:rsidRPr="00CB5E46" w14:paraId="0FAA62EC"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55AEEB2E"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sidRPr="00DB4EE8">
              <w:rPr>
                <w:rFonts w:asciiTheme="majorHAnsi" w:eastAsia="Times New Roman" w:hAnsiTheme="majorHAnsi"/>
                <w:b w:val="0"/>
                <w:color w:val="000000"/>
                <w:sz w:val="20"/>
                <w:lang w:eastAsia="cs-CZ"/>
              </w:rPr>
              <w:t>1</w:t>
            </w:r>
            <w:r>
              <w:rPr>
                <w:rFonts w:asciiTheme="majorHAnsi" w:eastAsia="Times New Roman" w:hAnsiTheme="majorHAnsi"/>
                <w:b w:val="0"/>
                <w:color w:val="000000"/>
                <w:sz w:val="20"/>
                <w:lang w:eastAsia="cs-CZ"/>
              </w:rPr>
              <w:t>2</w:t>
            </w:r>
          </w:p>
        </w:tc>
        <w:tc>
          <w:tcPr>
            <w:tcW w:w="2623" w:type="pct"/>
            <w:noWrap/>
            <w:vAlign w:val="center"/>
          </w:tcPr>
          <w:p w14:paraId="32811469"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Kalkulován kladný nebo nulový zisk a dosažen záporný</w:t>
            </w:r>
          </w:p>
        </w:tc>
        <w:tc>
          <w:tcPr>
            <w:tcW w:w="2108" w:type="pct"/>
            <w:vAlign w:val="center"/>
          </w:tcPr>
          <w:p w14:paraId="1CF8CBAD"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1657BD">
              <w:rPr>
                <w:rFonts w:asciiTheme="majorHAnsi" w:hAnsiTheme="majorHAnsi"/>
                <w:color w:val="000000"/>
                <w:sz w:val="20"/>
                <w:szCs w:val="20"/>
              </w:rPr>
              <w:t>neziskové hospodaře</w:t>
            </w:r>
            <w:r w:rsidR="00703A73">
              <w:rPr>
                <w:rFonts w:asciiTheme="majorHAnsi" w:hAnsiTheme="majorHAnsi"/>
                <w:color w:val="000000"/>
                <w:sz w:val="20"/>
                <w:szCs w:val="20"/>
              </w:rPr>
              <w:t>ní v daném roce vlivem nepředvídanými okolností</w:t>
            </w:r>
          </w:p>
        </w:tc>
      </w:tr>
      <w:tr w:rsidR="001657BD" w:rsidRPr="00CB5E46" w14:paraId="10CEE82D" w14:textId="77777777" w:rsidTr="001657B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16A1BE9F"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sidRPr="00DB4EE8">
              <w:rPr>
                <w:rFonts w:asciiTheme="majorHAnsi" w:eastAsia="Times New Roman" w:hAnsiTheme="majorHAnsi"/>
                <w:b w:val="0"/>
                <w:color w:val="000000"/>
                <w:sz w:val="20"/>
                <w:lang w:eastAsia="cs-CZ"/>
              </w:rPr>
              <w:t>1</w:t>
            </w:r>
            <w:r>
              <w:rPr>
                <w:rFonts w:asciiTheme="majorHAnsi" w:eastAsia="Times New Roman" w:hAnsiTheme="majorHAnsi"/>
                <w:b w:val="0"/>
                <w:color w:val="000000"/>
                <w:sz w:val="20"/>
                <w:lang w:eastAsia="cs-CZ"/>
              </w:rPr>
              <w:t>3</w:t>
            </w:r>
          </w:p>
        </w:tc>
        <w:tc>
          <w:tcPr>
            <w:tcW w:w="2623" w:type="pct"/>
            <w:noWrap/>
            <w:vAlign w:val="center"/>
          </w:tcPr>
          <w:p w14:paraId="561A86CB"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Záporný zisk kalkulován a záporný zisk dosažen</w:t>
            </w:r>
          </w:p>
        </w:tc>
        <w:tc>
          <w:tcPr>
            <w:tcW w:w="2108" w:type="pct"/>
            <w:vAlign w:val="center"/>
          </w:tcPr>
          <w:p w14:paraId="52B1F9F4" w14:textId="77777777" w:rsidR="001657BD" w:rsidRPr="001657BD" w:rsidRDefault="001657BD" w:rsidP="001657BD">
            <w:pPr>
              <w:spacing w:before="0"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1657BD">
              <w:rPr>
                <w:rFonts w:asciiTheme="majorHAnsi" w:hAnsiTheme="majorHAnsi"/>
                <w:color w:val="000000"/>
                <w:sz w:val="20"/>
                <w:szCs w:val="20"/>
              </w:rPr>
              <w:t>vědomě dotovaný provoz a obnova VIM</w:t>
            </w:r>
          </w:p>
        </w:tc>
      </w:tr>
      <w:tr w:rsidR="001657BD" w:rsidRPr="00CB5E46" w14:paraId="4AE7B5CA" w14:textId="77777777" w:rsidTr="001657BD">
        <w:trPr>
          <w:trHeight w:val="319"/>
        </w:trPr>
        <w:tc>
          <w:tcPr>
            <w:cnfStyle w:val="001000000000" w:firstRow="0" w:lastRow="0" w:firstColumn="1" w:lastColumn="0" w:oddVBand="0" w:evenVBand="0" w:oddHBand="0" w:evenHBand="0" w:firstRowFirstColumn="0" w:firstRowLastColumn="0" w:lastRowFirstColumn="0" w:lastRowLastColumn="0"/>
            <w:tcW w:w="269" w:type="pct"/>
            <w:vAlign w:val="center"/>
          </w:tcPr>
          <w:p w14:paraId="6CADB45A" w14:textId="77777777" w:rsidR="001657BD" w:rsidRPr="00DB4EE8" w:rsidRDefault="001657BD" w:rsidP="001657BD">
            <w:pPr>
              <w:spacing w:before="0" w:after="0"/>
              <w:contextualSpacing w:val="0"/>
              <w:jc w:val="center"/>
              <w:rPr>
                <w:rFonts w:asciiTheme="majorHAnsi" w:eastAsia="Times New Roman" w:hAnsiTheme="majorHAnsi"/>
                <w:b w:val="0"/>
                <w:color w:val="000000"/>
                <w:sz w:val="20"/>
                <w:lang w:eastAsia="cs-CZ"/>
              </w:rPr>
            </w:pPr>
            <w:r w:rsidRPr="00DB4EE8">
              <w:rPr>
                <w:rFonts w:asciiTheme="majorHAnsi" w:eastAsia="Times New Roman" w:hAnsiTheme="majorHAnsi"/>
                <w:b w:val="0"/>
                <w:color w:val="000000"/>
                <w:sz w:val="20"/>
                <w:lang w:eastAsia="cs-CZ"/>
              </w:rPr>
              <w:t>1</w:t>
            </w:r>
            <w:r>
              <w:rPr>
                <w:rFonts w:asciiTheme="majorHAnsi" w:eastAsia="Times New Roman" w:hAnsiTheme="majorHAnsi"/>
                <w:b w:val="0"/>
                <w:color w:val="000000"/>
                <w:sz w:val="20"/>
                <w:lang w:eastAsia="cs-CZ"/>
              </w:rPr>
              <w:t>4</w:t>
            </w:r>
          </w:p>
        </w:tc>
        <w:tc>
          <w:tcPr>
            <w:tcW w:w="2623" w:type="pct"/>
            <w:noWrap/>
            <w:vAlign w:val="center"/>
          </w:tcPr>
          <w:p w14:paraId="5EECCEC3"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mallCaps/>
                <w:sz w:val="20"/>
              </w:rPr>
            </w:pPr>
            <w:r w:rsidRPr="001657BD">
              <w:rPr>
                <w:rFonts w:asciiTheme="majorHAnsi" w:hAnsiTheme="majorHAnsi"/>
                <w:smallCaps/>
                <w:color w:val="000000"/>
                <w:sz w:val="20"/>
                <w:szCs w:val="20"/>
              </w:rPr>
              <w:t>Vysoký podíl kalkulačního zisku k rozdělení na ÚVN (hodnota více než 1,5 násobek mediánu skupiny z porovnání s kladným kalkulačním ziskem)</w:t>
            </w:r>
          </w:p>
        </w:tc>
        <w:tc>
          <w:tcPr>
            <w:tcW w:w="2108" w:type="pct"/>
            <w:vAlign w:val="center"/>
          </w:tcPr>
          <w:p w14:paraId="3DC50899" w14:textId="77777777" w:rsidR="001657BD" w:rsidRPr="001657BD" w:rsidRDefault="001657BD" w:rsidP="001657BD">
            <w:pPr>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Pr>
                <w:rFonts w:asciiTheme="majorHAnsi" w:hAnsiTheme="majorHAnsi"/>
                <w:color w:val="000000"/>
                <w:sz w:val="20"/>
                <w:szCs w:val="20"/>
              </w:rPr>
              <w:t>p</w:t>
            </w:r>
            <w:r w:rsidRPr="001657BD">
              <w:rPr>
                <w:rFonts w:asciiTheme="majorHAnsi" w:hAnsiTheme="majorHAnsi"/>
                <w:color w:val="000000"/>
                <w:sz w:val="20"/>
                <w:szCs w:val="20"/>
              </w:rPr>
              <w:t>říliš vysoká ziskovost a odliv prostředků ze sektoru</w:t>
            </w:r>
          </w:p>
        </w:tc>
      </w:tr>
    </w:tbl>
    <w:p w14:paraId="3635E8EA" w14:textId="77777777" w:rsidR="00BB6E99" w:rsidRDefault="00BB6E99" w:rsidP="00235CAC">
      <w:pPr>
        <w:pStyle w:val="NORMLN0"/>
      </w:pPr>
    </w:p>
    <w:p w14:paraId="4D352D60" w14:textId="77777777" w:rsidR="00235CAC" w:rsidRDefault="00235CAC">
      <w:pPr>
        <w:spacing w:before="0" w:after="0"/>
        <w:contextualSpacing w:val="0"/>
        <w:jc w:val="left"/>
        <w:rPr>
          <w:rFonts w:eastAsia="Times New Roman"/>
          <w:noProof/>
          <w:color w:val="243F60"/>
          <w:szCs w:val="24"/>
        </w:rPr>
      </w:pPr>
      <w:r>
        <w:rPr>
          <w:noProof/>
        </w:rPr>
        <w:br w:type="page"/>
      </w:r>
    </w:p>
    <w:p w14:paraId="0C1AA9F3" w14:textId="3633AD79" w:rsidR="00E32D7D" w:rsidRDefault="005468B0" w:rsidP="005468B0">
      <w:pPr>
        <w:pStyle w:val="Nadpis3"/>
        <w:rPr>
          <w:noProof/>
        </w:rPr>
      </w:pPr>
      <w:bookmarkStart w:id="9" w:name="_Toc3291974"/>
      <w:r>
        <w:rPr>
          <w:noProof/>
        </w:rPr>
        <w:lastRenderedPageBreak/>
        <w:t>Seznam a způsob výpočtu hodnocených anomálií</w:t>
      </w:r>
      <w:r w:rsidR="00BC03D3">
        <w:rPr>
          <w:noProof/>
        </w:rPr>
        <w:t xml:space="preserve"> </w:t>
      </w:r>
      <w:r>
        <w:rPr>
          <w:noProof/>
        </w:rPr>
        <w:t>benchmarkingu provozovatelských subjektů</w:t>
      </w:r>
      <w:bookmarkEnd w:id="9"/>
    </w:p>
    <w:p w14:paraId="75F67C3B" w14:textId="77777777" w:rsidR="00235CAC" w:rsidRDefault="00235CAC" w:rsidP="00235CAC">
      <w:pPr>
        <w:rPr>
          <w:i/>
          <w:u w:val="single"/>
        </w:rPr>
      </w:pPr>
      <w:r>
        <w:t xml:space="preserve">Mezní hodnoty některých </w:t>
      </w:r>
      <w:r w:rsidRPr="00BF56FA">
        <w:t>ukazatelů</w:t>
      </w:r>
      <w:r>
        <w:t xml:space="preserve"> použitých k identifikaci anomálií:</w:t>
      </w:r>
    </w:p>
    <w:p w14:paraId="0C08E30A" w14:textId="77777777" w:rsidR="006B7A44" w:rsidRDefault="006B7A44" w:rsidP="00235CAC">
      <w:pPr>
        <w:rPr>
          <w:b/>
        </w:rPr>
      </w:pPr>
    </w:p>
    <w:p w14:paraId="4BFAB6FF" w14:textId="77777777" w:rsidR="006B7A44" w:rsidRDefault="006B7A44" w:rsidP="00235CAC">
      <w:pPr>
        <w:rPr>
          <w:b/>
        </w:rPr>
      </w:pPr>
    </w:p>
    <w:p w14:paraId="6C4B2F99" w14:textId="77777777" w:rsidR="00235CAC" w:rsidRPr="002B20DB" w:rsidRDefault="00235CAC" w:rsidP="00235CAC">
      <w:pPr>
        <w:rPr>
          <w:b/>
        </w:rPr>
      </w:pPr>
      <w:r w:rsidRPr="002B20DB">
        <w:rPr>
          <w:b/>
        </w:rPr>
        <w:t>Vodovod</w:t>
      </w:r>
    </w:p>
    <w:tbl>
      <w:tblPr>
        <w:tblStyle w:val="Tmavtabulkasmkou5zvraznn13"/>
        <w:tblW w:w="5417" w:type="pct"/>
        <w:tblInd w:w="-5" w:type="dxa"/>
        <w:tblLayout w:type="fixed"/>
        <w:tblLook w:val="04A0" w:firstRow="1" w:lastRow="0" w:firstColumn="1" w:lastColumn="0" w:noHBand="0" w:noVBand="1"/>
      </w:tblPr>
      <w:tblGrid>
        <w:gridCol w:w="2378"/>
        <w:gridCol w:w="1621"/>
        <w:gridCol w:w="1664"/>
        <w:gridCol w:w="1468"/>
        <w:gridCol w:w="1468"/>
        <w:gridCol w:w="1217"/>
      </w:tblGrid>
      <w:tr w:rsidR="00235CAC" w:rsidRPr="00C54C1D" w14:paraId="64C4082A" w14:textId="77777777" w:rsidTr="00140C3D">
        <w:trPr>
          <w:cnfStyle w:val="100000000000" w:firstRow="1" w:lastRow="0" w:firstColumn="0" w:lastColumn="0" w:oddVBand="0" w:evenVBand="0" w:oddHBand="0" w:evenHBand="0" w:firstRowFirstColumn="0" w:firstRowLastColumn="0" w:lastRowFirstColumn="0" w:lastRowLastColumn="0"/>
          <w:trHeight w:val="2975"/>
        </w:trPr>
        <w:tc>
          <w:tcPr>
            <w:cnfStyle w:val="001000000000" w:firstRow="0" w:lastRow="0" w:firstColumn="1" w:lastColumn="0" w:oddVBand="0" w:evenVBand="0" w:oddHBand="0" w:evenHBand="0" w:firstRowFirstColumn="0" w:firstRowLastColumn="0" w:lastRowFirstColumn="0" w:lastRowLastColumn="0"/>
            <w:tcW w:w="1211" w:type="pct"/>
            <w:tcBorders>
              <w:right w:val="single" w:sz="4" w:space="0" w:color="FFFFFF" w:themeColor="background1"/>
            </w:tcBorders>
            <w:vAlign w:val="center"/>
            <w:hideMark/>
          </w:tcPr>
          <w:p w14:paraId="1B6DEE0E" w14:textId="77777777" w:rsidR="00235CAC" w:rsidRPr="00C54C1D" w:rsidRDefault="00235CAC" w:rsidP="00140C3D">
            <w:pPr>
              <w:spacing w:before="0" w:after="0"/>
              <w:contextualSpacing w:val="0"/>
              <w:jc w:val="left"/>
              <w:rPr>
                <w:rFonts w:asciiTheme="majorHAnsi" w:eastAsia="Times New Roman" w:hAnsiTheme="majorHAnsi"/>
                <w:sz w:val="20"/>
                <w:szCs w:val="14"/>
                <w:lang w:eastAsia="cs-CZ"/>
              </w:rPr>
            </w:pPr>
            <w:r w:rsidRPr="002B20DB">
              <w:rPr>
                <w:rFonts w:asciiTheme="majorHAnsi" w:eastAsia="Times New Roman" w:hAnsiTheme="majorHAnsi"/>
                <w:smallCaps/>
                <w:sz w:val="22"/>
                <w:szCs w:val="14"/>
                <w:lang w:eastAsia="cs-CZ"/>
              </w:rPr>
              <w:t xml:space="preserve">Benchmarking </w:t>
            </w:r>
            <w:r>
              <w:rPr>
                <w:rFonts w:asciiTheme="majorHAnsi" w:eastAsia="Times New Roman" w:hAnsiTheme="majorHAnsi"/>
                <w:smallCaps/>
                <w:sz w:val="22"/>
                <w:szCs w:val="14"/>
                <w:lang w:eastAsia="cs-CZ"/>
              </w:rPr>
              <w:t>provozovatelských</w:t>
            </w:r>
            <w:r w:rsidRPr="002B20DB">
              <w:rPr>
                <w:rFonts w:asciiTheme="majorHAnsi" w:eastAsia="Times New Roman" w:hAnsiTheme="majorHAnsi"/>
                <w:smallCaps/>
                <w:sz w:val="22"/>
                <w:szCs w:val="14"/>
                <w:lang w:eastAsia="cs-CZ"/>
              </w:rPr>
              <w:t xml:space="preserve"> subjektů:</w:t>
            </w:r>
            <w:r w:rsidRPr="002B20DB">
              <w:rPr>
                <w:rFonts w:asciiTheme="majorHAnsi" w:eastAsia="Times New Roman" w:hAnsiTheme="majorHAnsi"/>
                <w:smallCaps/>
                <w:sz w:val="22"/>
                <w:szCs w:val="14"/>
                <w:lang w:eastAsia="cs-CZ"/>
              </w:rPr>
              <w:br/>
              <w:t xml:space="preserve">Hodnoty některých ukazatelů u Porovnání splňujících stanovená </w:t>
            </w:r>
            <w:r>
              <w:rPr>
                <w:rFonts w:asciiTheme="majorHAnsi" w:eastAsia="Times New Roman" w:hAnsiTheme="majorHAnsi"/>
                <w:smallCaps/>
                <w:sz w:val="22"/>
                <w:szCs w:val="14"/>
                <w:lang w:eastAsia="cs-CZ"/>
              </w:rPr>
              <w:t>kritéria</w:t>
            </w:r>
          </w:p>
        </w:tc>
        <w:tc>
          <w:tcPr>
            <w:tcW w:w="825" w:type="pct"/>
            <w:tcBorders>
              <w:left w:val="single" w:sz="4" w:space="0" w:color="FFFFFF" w:themeColor="background1"/>
              <w:right w:val="single" w:sz="4" w:space="0" w:color="FFFFFF" w:themeColor="background1"/>
            </w:tcBorders>
            <w:textDirection w:val="btLr"/>
            <w:vAlign w:val="center"/>
            <w:hideMark/>
          </w:tcPr>
          <w:p w14:paraId="63525119" w14:textId="77777777" w:rsidR="00235CAC" w:rsidRPr="00B05560" w:rsidRDefault="00235CAC" w:rsidP="00140C3D">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20"/>
                <w:szCs w:val="17"/>
                <w:lang w:eastAsia="cs-CZ"/>
              </w:rPr>
            </w:pPr>
            <w:r w:rsidRPr="00B05560">
              <w:rPr>
                <w:rFonts w:asciiTheme="majorHAnsi" w:eastAsia="Times New Roman" w:hAnsiTheme="majorHAnsi"/>
                <w:b w:val="0"/>
                <w:sz w:val="20"/>
                <w:szCs w:val="17"/>
                <w:lang w:eastAsia="cs-CZ"/>
              </w:rPr>
              <w:t xml:space="preserve">MEDIÁN </w:t>
            </w:r>
            <w:r w:rsidRPr="00B05560">
              <w:rPr>
                <w:rFonts w:asciiTheme="majorHAnsi" w:eastAsia="Times New Roman" w:hAnsiTheme="majorHAnsi"/>
                <w:b w:val="0"/>
                <w:smallCaps/>
                <w:sz w:val="20"/>
                <w:szCs w:val="17"/>
                <w:lang w:eastAsia="cs-CZ"/>
              </w:rPr>
              <w:t>- Voda nefakturovaná na 1 km přepočtené délky vodovodního řadu na den (převyšuje 1,5 násobek mediánu skupiny z porovnání vykazujících ztráty vody nad 4 m</w:t>
            </w:r>
            <w:r w:rsidRPr="00BC03D3">
              <w:rPr>
                <w:rFonts w:asciiTheme="majorHAnsi" w:eastAsia="Times New Roman" w:hAnsiTheme="majorHAnsi"/>
                <w:smallCaps/>
                <w:sz w:val="20"/>
                <w:szCs w:val="17"/>
                <w:vertAlign w:val="superscript"/>
                <w:lang w:eastAsia="cs-CZ"/>
              </w:rPr>
              <w:t>3</w:t>
            </w:r>
            <w:r w:rsidRPr="00B05560">
              <w:rPr>
                <w:rFonts w:asciiTheme="majorHAnsi" w:eastAsia="Times New Roman" w:hAnsiTheme="majorHAnsi"/>
                <w:b w:val="0"/>
                <w:smallCaps/>
                <w:sz w:val="20"/>
                <w:szCs w:val="17"/>
                <w:lang w:eastAsia="cs-CZ"/>
              </w:rPr>
              <w:t>/km/den)</w:t>
            </w:r>
          </w:p>
        </w:tc>
        <w:tc>
          <w:tcPr>
            <w:tcW w:w="847" w:type="pct"/>
            <w:tcBorders>
              <w:left w:val="single" w:sz="4" w:space="0" w:color="FFFFFF" w:themeColor="background1"/>
              <w:right w:val="single" w:sz="4" w:space="0" w:color="FFFFFF" w:themeColor="background1"/>
            </w:tcBorders>
            <w:textDirection w:val="btLr"/>
            <w:vAlign w:val="center"/>
            <w:hideMark/>
          </w:tcPr>
          <w:p w14:paraId="67FE06E5" w14:textId="77777777" w:rsidR="00235CAC" w:rsidRPr="00B05560" w:rsidRDefault="00235CAC" w:rsidP="00140C3D">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20"/>
                <w:szCs w:val="17"/>
                <w:lang w:eastAsia="cs-CZ"/>
              </w:rPr>
            </w:pPr>
            <w:r w:rsidRPr="00B05560">
              <w:rPr>
                <w:rFonts w:asciiTheme="majorHAnsi" w:eastAsia="Times New Roman" w:hAnsiTheme="majorHAnsi"/>
                <w:b w:val="0"/>
                <w:sz w:val="20"/>
                <w:szCs w:val="17"/>
                <w:lang w:eastAsia="cs-CZ"/>
              </w:rPr>
              <w:t>MEDI</w:t>
            </w:r>
            <w:r>
              <w:rPr>
                <w:rFonts w:asciiTheme="majorHAnsi" w:eastAsia="Times New Roman" w:hAnsiTheme="majorHAnsi"/>
                <w:b w:val="0"/>
                <w:sz w:val="20"/>
                <w:szCs w:val="17"/>
                <w:lang w:eastAsia="cs-CZ"/>
              </w:rPr>
              <w:t>Á</w:t>
            </w:r>
            <w:r w:rsidRPr="00B05560">
              <w:rPr>
                <w:rFonts w:asciiTheme="majorHAnsi" w:eastAsia="Times New Roman" w:hAnsiTheme="majorHAnsi"/>
                <w:b w:val="0"/>
                <w:sz w:val="20"/>
                <w:szCs w:val="17"/>
                <w:lang w:eastAsia="cs-CZ"/>
              </w:rPr>
              <w:t xml:space="preserve">N </w:t>
            </w:r>
            <w:r w:rsidRPr="00B05560">
              <w:rPr>
                <w:rFonts w:asciiTheme="majorHAnsi" w:eastAsia="Times New Roman" w:hAnsiTheme="majorHAnsi"/>
                <w:b w:val="0"/>
                <w:smallCaps/>
                <w:sz w:val="20"/>
                <w:szCs w:val="17"/>
                <w:lang w:eastAsia="cs-CZ"/>
              </w:rPr>
              <w:t>- Ztráty vody v m</w:t>
            </w:r>
            <w:r w:rsidRPr="00BC03D3">
              <w:rPr>
                <w:rFonts w:asciiTheme="majorHAnsi" w:eastAsia="Times New Roman" w:hAnsiTheme="majorHAnsi"/>
                <w:smallCaps/>
                <w:sz w:val="20"/>
                <w:szCs w:val="17"/>
                <w:vertAlign w:val="superscript"/>
                <w:lang w:eastAsia="cs-CZ"/>
              </w:rPr>
              <w:t>3</w:t>
            </w:r>
            <w:r w:rsidRPr="00B05560">
              <w:rPr>
                <w:rFonts w:asciiTheme="majorHAnsi" w:eastAsia="Times New Roman" w:hAnsiTheme="majorHAnsi"/>
                <w:b w:val="0"/>
                <w:smallCaps/>
                <w:sz w:val="20"/>
                <w:szCs w:val="17"/>
                <w:lang w:eastAsia="cs-CZ"/>
              </w:rPr>
              <w:t xml:space="preserve"> na 1 km přepočtené délky vodovodního řadu na den (převyšuje 1,5 násobek mediánu skupiny z porovnání vykazujících ztráty vody nad 4 m</w:t>
            </w:r>
            <w:r w:rsidRPr="00BC03D3">
              <w:rPr>
                <w:rFonts w:asciiTheme="majorHAnsi" w:eastAsia="Times New Roman" w:hAnsiTheme="majorHAnsi"/>
                <w:smallCaps/>
                <w:sz w:val="20"/>
                <w:szCs w:val="17"/>
                <w:vertAlign w:val="superscript"/>
                <w:lang w:eastAsia="cs-CZ"/>
              </w:rPr>
              <w:t>3</w:t>
            </w:r>
            <w:r w:rsidRPr="00B05560">
              <w:rPr>
                <w:rFonts w:asciiTheme="majorHAnsi" w:eastAsia="Times New Roman" w:hAnsiTheme="majorHAnsi"/>
                <w:b w:val="0"/>
                <w:smallCaps/>
                <w:sz w:val="20"/>
                <w:szCs w:val="17"/>
                <w:lang w:eastAsia="cs-CZ"/>
              </w:rPr>
              <w:t>/km/den)</w:t>
            </w:r>
          </w:p>
        </w:tc>
        <w:tc>
          <w:tcPr>
            <w:tcW w:w="748" w:type="pct"/>
            <w:tcBorders>
              <w:left w:val="single" w:sz="4" w:space="0" w:color="FFFFFF" w:themeColor="background1"/>
              <w:right w:val="single" w:sz="4" w:space="0" w:color="FFFFFF" w:themeColor="background1"/>
            </w:tcBorders>
            <w:textDirection w:val="btLr"/>
            <w:vAlign w:val="center"/>
            <w:hideMark/>
          </w:tcPr>
          <w:p w14:paraId="175B5EBA" w14:textId="77777777" w:rsidR="00235CAC" w:rsidRPr="00235CAC" w:rsidRDefault="00235CAC" w:rsidP="00140C3D">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mallCaps/>
                <w:sz w:val="20"/>
                <w:szCs w:val="17"/>
                <w:lang w:eastAsia="cs-CZ"/>
              </w:rPr>
            </w:pPr>
            <w:r w:rsidRPr="00235CAC">
              <w:rPr>
                <w:rFonts w:asciiTheme="majorHAnsi" w:eastAsia="Times New Roman" w:hAnsiTheme="majorHAnsi"/>
                <w:b w:val="0"/>
                <w:smallCaps/>
                <w:sz w:val="20"/>
                <w:szCs w:val="17"/>
                <w:lang w:eastAsia="cs-CZ"/>
              </w:rPr>
              <w:t>MEDIÁLN - Podíl ztrát vody na vodě určené k realizaci (převyšuje 1,5 násobek mediánu skupiny z porovnání vykazujících ztráty vody nad 4 m</w:t>
            </w:r>
            <w:r w:rsidRPr="00BC03D3">
              <w:rPr>
                <w:rFonts w:asciiTheme="majorHAnsi" w:eastAsia="Times New Roman" w:hAnsiTheme="majorHAnsi"/>
                <w:smallCaps/>
                <w:sz w:val="20"/>
                <w:szCs w:val="17"/>
                <w:vertAlign w:val="superscript"/>
                <w:lang w:eastAsia="cs-CZ"/>
              </w:rPr>
              <w:t>3</w:t>
            </w:r>
            <w:r w:rsidRPr="00235CAC">
              <w:rPr>
                <w:rFonts w:asciiTheme="majorHAnsi" w:eastAsia="Times New Roman" w:hAnsiTheme="majorHAnsi"/>
                <w:b w:val="0"/>
                <w:smallCaps/>
                <w:sz w:val="20"/>
                <w:szCs w:val="17"/>
                <w:lang w:eastAsia="cs-CZ"/>
              </w:rPr>
              <w:t>/km/den)</w:t>
            </w:r>
          </w:p>
        </w:tc>
        <w:tc>
          <w:tcPr>
            <w:tcW w:w="748" w:type="pct"/>
            <w:tcBorders>
              <w:left w:val="single" w:sz="4" w:space="0" w:color="FFFFFF" w:themeColor="background1"/>
              <w:right w:val="single" w:sz="4" w:space="0" w:color="FFFFFF" w:themeColor="background1"/>
            </w:tcBorders>
            <w:textDirection w:val="btLr"/>
            <w:vAlign w:val="center"/>
            <w:hideMark/>
          </w:tcPr>
          <w:p w14:paraId="274DCFC0" w14:textId="77777777" w:rsidR="00235CAC" w:rsidRPr="00235CAC" w:rsidRDefault="00235CAC" w:rsidP="00140C3D">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mallCaps/>
                <w:sz w:val="20"/>
                <w:szCs w:val="17"/>
                <w:lang w:eastAsia="cs-CZ"/>
              </w:rPr>
            </w:pPr>
            <w:r w:rsidRPr="00235CAC">
              <w:rPr>
                <w:rFonts w:asciiTheme="majorHAnsi" w:eastAsia="Times New Roman" w:hAnsiTheme="majorHAnsi"/>
                <w:b w:val="0"/>
                <w:smallCaps/>
                <w:sz w:val="20"/>
                <w:szCs w:val="17"/>
                <w:lang w:eastAsia="cs-CZ"/>
              </w:rPr>
              <w:t>PRŮMĚR - Vysoký podíl kalkulačního zisku k rozdělení na ÚVN (více než 1,5 násobek průměru z porovnání splňujících stanovená kritéria)</w:t>
            </w:r>
          </w:p>
        </w:tc>
        <w:tc>
          <w:tcPr>
            <w:tcW w:w="620" w:type="pct"/>
            <w:tcBorders>
              <w:left w:val="single" w:sz="4" w:space="0" w:color="FFFFFF" w:themeColor="background1"/>
            </w:tcBorders>
            <w:textDirection w:val="btLr"/>
          </w:tcPr>
          <w:p w14:paraId="6F27CBD8" w14:textId="77777777" w:rsidR="00235CAC" w:rsidRPr="00235CAC" w:rsidRDefault="00235CAC" w:rsidP="00140C3D">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mallCaps/>
                <w:sz w:val="20"/>
                <w:szCs w:val="17"/>
                <w:lang w:eastAsia="cs-CZ"/>
              </w:rPr>
            </w:pPr>
            <w:r w:rsidRPr="00235CAC">
              <w:rPr>
                <w:rFonts w:asciiTheme="majorHAnsi" w:eastAsia="Times New Roman" w:hAnsiTheme="majorHAnsi"/>
                <w:b w:val="0"/>
                <w:smallCaps/>
                <w:sz w:val="20"/>
                <w:szCs w:val="17"/>
                <w:lang w:eastAsia="cs-CZ"/>
              </w:rPr>
              <w:t>PRŮMĚR - Vysoká cena pro vodné (více než 1,5 násobek průměru z porovnání splňujících stanovená kritéria)</w:t>
            </w:r>
          </w:p>
        </w:tc>
      </w:tr>
      <w:tr w:rsidR="00235CAC" w:rsidRPr="00C54C1D" w14:paraId="5E9BD395" w14:textId="77777777" w:rsidTr="00140C3D">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211" w:type="pct"/>
            <w:noWrap/>
            <w:hideMark/>
          </w:tcPr>
          <w:p w14:paraId="4F7A2646" w14:textId="77777777" w:rsidR="00235CAC" w:rsidRPr="00B05560" w:rsidRDefault="00235CAC" w:rsidP="00140C3D">
            <w:pPr>
              <w:spacing w:before="0" w:after="0"/>
              <w:contextualSpacing w:val="0"/>
              <w:jc w:val="left"/>
              <w:rPr>
                <w:rFonts w:ascii="Calibri Light" w:eastAsia="Times New Roman" w:hAnsi="Calibri Light"/>
                <w:b w:val="0"/>
                <w:sz w:val="18"/>
                <w:szCs w:val="14"/>
                <w:lang w:eastAsia="cs-CZ"/>
              </w:rPr>
            </w:pPr>
            <w:r w:rsidRPr="00B05560">
              <w:rPr>
                <w:rFonts w:ascii="Calibri Light" w:hAnsi="Calibri Light"/>
                <w:b w:val="0"/>
                <w:sz w:val="18"/>
              </w:rPr>
              <w:t>I.skupina(&gt;500 000př.ob.)</w:t>
            </w:r>
          </w:p>
        </w:tc>
        <w:tc>
          <w:tcPr>
            <w:tcW w:w="825" w:type="pct"/>
            <w:noWrap/>
            <w:hideMark/>
          </w:tcPr>
          <w:p w14:paraId="1C1B1E4E"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5,60</w:t>
            </w:r>
          </w:p>
        </w:tc>
        <w:tc>
          <w:tcPr>
            <w:tcW w:w="847" w:type="pct"/>
            <w:noWrap/>
            <w:hideMark/>
          </w:tcPr>
          <w:p w14:paraId="576645C4"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17,71</w:t>
            </w:r>
          </w:p>
        </w:tc>
        <w:tc>
          <w:tcPr>
            <w:tcW w:w="748" w:type="pct"/>
            <w:noWrap/>
            <w:hideMark/>
          </w:tcPr>
          <w:p w14:paraId="098F4939"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4,72</w:t>
            </w:r>
          </w:p>
        </w:tc>
        <w:tc>
          <w:tcPr>
            <w:tcW w:w="748" w:type="pct"/>
            <w:noWrap/>
            <w:hideMark/>
          </w:tcPr>
          <w:p w14:paraId="58F8BB17"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17,26</w:t>
            </w:r>
          </w:p>
        </w:tc>
        <w:tc>
          <w:tcPr>
            <w:tcW w:w="620" w:type="pct"/>
          </w:tcPr>
          <w:p w14:paraId="592E41B6"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39,95</w:t>
            </w:r>
          </w:p>
        </w:tc>
      </w:tr>
      <w:tr w:rsidR="00235CAC" w:rsidRPr="00C54C1D" w14:paraId="64E35193" w14:textId="77777777" w:rsidTr="00140C3D">
        <w:trPr>
          <w:trHeight w:val="183"/>
        </w:trPr>
        <w:tc>
          <w:tcPr>
            <w:cnfStyle w:val="001000000000" w:firstRow="0" w:lastRow="0" w:firstColumn="1" w:lastColumn="0" w:oddVBand="0" w:evenVBand="0" w:oddHBand="0" w:evenHBand="0" w:firstRowFirstColumn="0" w:firstRowLastColumn="0" w:lastRowFirstColumn="0" w:lastRowLastColumn="0"/>
            <w:tcW w:w="1211" w:type="pct"/>
            <w:noWrap/>
            <w:hideMark/>
          </w:tcPr>
          <w:p w14:paraId="1B10ED9F" w14:textId="77777777" w:rsidR="00235CAC" w:rsidRPr="00B05560" w:rsidRDefault="00235CAC" w:rsidP="00140C3D">
            <w:pPr>
              <w:spacing w:before="0" w:after="0"/>
              <w:contextualSpacing w:val="0"/>
              <w:jc w:val="left"/>
              <w:rPr>
                <w:rFonts w:ascii="Calibri Light" w:eastAsia="Times New Roman" w:hAnsi="Calibri Light"/>
                <w:b w:val="0"/>
                <w:sz w:val="18"/>
                <w:szCs w:val="14"/>
                <w:lang w:eastAsia="cs-CZ"/>
              </w:rPr>
            </w:pPr>
            <w:r w:rsidRPr="00B05560">
              <w:rPr>
                <w:rFonts w:ascii="Calibri Light" w:hAnsi="Calibri Light"/>
                <w:b w:val="0"/>
                <w:sz w:val="18"/>
              </w:rPr>
              <w:t>II.skupina(&gt;200 000př.ob.)</w:t>
            </w:r>
          </w:p>
        </w:tc>
        <w:tc>
          <w:tcPr>
            <w:tcW w:w="825" w:type="pct"/>
            <w:noWrap/>
            <w:hideMark/>
          </w:tcPr>
          <w:p w14:paraId="7378B537"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5,49</w:t>
            </w:r>
          </w:p>
        </w:tc>
        <w:tc>
          <w:tcPr>
            <w:tcW w:w="847" w:type="pct"/>
            <w:noWrap/>
            <w:hideMark/>
          </w:tcPr>
          <w:p w14:paraId="78CCF19E"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13,47</w:t>
            </w:r>
          </w:p>
        </w:tc>
        <w:tc>
          <w:tcPr>
            <w:tcW w:w="748" w:type="pct"/>
            <w:noWrap/>
            <w:hideMark/>
          </w:tcPr>
          <w:p w14:paraId="695E374D"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5,20</w:t>
            </w:r>
          </w:p>
        </w:tc>
        <w:tc>
          <w:tcPr>
            <w:tcW w:w="748" w:type="pct"/>
            <w:noWrap/>
            <w:hideMark/>
          </w:tcPr>
          <w:p w14:paraId="5E7C7D62"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9,45</w:t>
            </w:r>
          </w:p>
        </w:tc>
        <w:tc>
          <w:tcPr>
            <w:tcW w:w="620" w:type="pct"/>
          </w:tcPr>
          <w:p w14:paraId="68E2EE78"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37,00</w:t>
            </w:r>
          </w:p>
        </w:tc>
      </w:tr>
      <w:tr w:rsidR="00235CAC" w:rsidRPr="00C54C1D" w14:paraId="5502D993" w14:textId="77777777" w:rsidTr="00140C3D">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211" w:type="pct"/>
            <w:noWrap/>
            <w:hideMark/>
          </w:tcPr>
          <w:p w14:paraId="7FBD6863" w14:textId="77777777" w:rsidR="00235CAC" w:rsidRPr="00B05560" w:rsidRDefault="00235CAC" w:rsidP="00140C3D">
            <w:pPr>
              <w:spacing w:before="0" w:after="0"/>
              <w:contextualSpacing w:val="0"/>
              <w:jc w:val="left"/>
              <w:rPr>
                <w:rFonts w:ascii="Calibri Light" w:eastAsia="Times New Roman" w:hAnsi="Calibri Light"/>
                <w:b w:val="0"/>
                <w:sz w:val="18"/>
                <w:szCs w:val="14"/>
                <w:lang w:eastAsia="cs-CZ"/>
              </w:rPr>
            </w:pPr>
            <w:r w:rsidRPr="00B05560">
              <w:rPr>
                <w:rFonts w:ascii="Calibri Light" w:hAnsi="Calibri Light"/>
                <w:b w:val="0"/>
                <w:sz w:val="18"/>
              </w:rPr>
              <w:t>III.skupina(&gt;100 000př.ob.)</w:t>
            </w:r>
          </w:p>
        </w:tc>
        <w:tc>
          <w:tcPr>
            <w:tcW w:w="825" w:type="pct"/>
            <w:noWrap/>
            <w:hideMark/>
          </w:tcPr>
          <w:p w14:paraId="205AA510"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10,05</w:t>
            </w:r>
          </w:p>
        </w:tc>
        <w:tc>
          <w:tcPr>
            <w:tcW w:w="847" w:type="pct"/>
            <w:noWrap/>
            <w:hideMark/>
          </w:tcPr>
          <w:p w14:paraId="507B1D78"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24,03</w:t>
            </w:r>
          </w:p>
        </w:tc>
        <w:tc>
          <w:tcPr>
            <w:tcW w:w="748" w:type="pct"/>
            <w:noWrap/>
            <w:hideMark/>
          </w:tcPr>
          <w:p w14:paraId="1E266973"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8,26</w:t>
            </w:r>
          </w:p>
        </w:tc>
        <w:tc>
          <w:tcPr>
            <w:tcW w:w="748" w:type="pct"/>
            <w:noWrap/>
            <w:hideMark/>
          </w:tcPr>
          <w:p w14:paraId="42A826FC"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2,27</w:t>
            </w:r>
          </w:p>
        </w:tc>
        <w:tc>
          <w:tcPr>
            <w:tcW w:w="620" w:type="pct"/>
          </w:tcPr>
          <w:p w14:paraId="47EC72F4"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37,22</w:t>
            </w:r>
          </w:p>
        </w:tc>
      </w:tr>
      <w:tr w:rsidR="00235CAC" w:rsidRPr="00C54C1D" w14:paraId="01ADE929" w14:textId="77777777" w:rsidTr="00140C3D">
        <w:trPr>
          <w:trHeight w:val="183"/>
        </w:trPr>
        <w:tc>
          <w:tcPr>
            <w:cnfStyle w:val="001000000000" w:firstRow="0" w:lastRow="0" w:firstColumn="1" w:lastColumn="0" w:oddVBand="0" w:evenVBand="0" w:oddHBand="0" w:evenHBand="0" w:firstRowFirstColumn="0" w:firstRowLastColumn="0" w:lastRowFirstColumn="0" w:lastRowLastColumn="0"/>
            <w:tcW w:w="1211" w:type="pct"/>
            <w:noWrap/>
            <w:hideMark/>
          </w:tcPr>
          <w:p w14:paraId="6961BB8F" w14:textId="77777777" w:rsidR="00235CAC" w:rsidRPr="00B05560" w:rsidRDefault="00235CAC" w:rsidP="00140C3D">
            <w:pPr>
              <w:spacing w:before="0" w:after="0"/>
              <w:contextualSpacing w:val="0"/>
              <w:jc w:val="left"/>
              <w:rPr>
                <w:rFonts w:ascii="Calibri Light" w:eastAsia="Times New Roman" w:hAnsi="Calibri Light"/>
                <w:b w:val="0"/>
                <w:sz w:val="18"/>
                <w:szCs w:val="14"/>
                <w:lang w:eastAsia="cs-CZ"/>
              </w:rPr>
            </w:pPr>
            <w:r w:rsidRPr="00B05560">
              <w:rPr>
                <w:rFonts w:ascii="Calibri Light" w:hAnsi="Calibri Light"/>
                <w:b w:val="0"/>
                <w:sz w:val="18"/>
              </w:rPr>
              <w:t>IV.skupina(&gt;50 000př.ob.)</w:t>
            </w:r>
          </w:p>
        </w:tc>
        <w:tc>
          <w:tcPr>
            <w:tcW w:w="825" w:type="pct"/>
            <w:noWrap/>
            <w:hideMark/>
          </w:tcPr>
          <w:p w14:paraId="65655103"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5,64</w:t>
            </w:r>
          </w:p>
        </w:tc>
        <w:tc>
          <w:tcPr>
            <w:tcW w:w="847" w:type="pct"/>
            <w:noWrap/>
            <w:hideMark/>
          </w:tcPr>
          <w:p w14:paraId="7AE1C7CA"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20,94</w:t>
            </w:r>
          </w:p>
        </w:tc>
        <w:tc>
          <w:tcPr>
            <w:tcW w:w="748" w:type="pct"/>
            <w:noWrap/>
            <w:hideMark/>
          </w:tcPr>
          <w:p w14:paraId="42BA7935"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5,15</w:t>
            </w:r>
          </w:p>
        </w:tc>
        <w:tc>
          <w:tcPr>
            <w:tcW w:w="748" w:type="pct"/>
            <w:noWrap/>
            <w:hideMark/>
          </w:tcPr>
          <w:p w14:paraId="06C8C498"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3,40</w:t>
            </w:r>
          </w:p>
        </w:tc>
        <w:tc>
          <w:tcPr>
            <w:tcW w:w="620" w:type="pct"/>
          </w:tcPr>
          <w:p w14:paraId="5F2AA2A1"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40,37</w:t>
            </w:r>
          </w:p>
        </w:tc>
      </w:tr>
      <w:tr w:rsidR="00235CAC" w:rsidRPr="00C54C1D" w14:paraId="638FDA34" w14:textId="77777777" w:rsidTr="00140C3D">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211" w:type="pct"/>
            <w:noWrap/>
            <w:hideMark/>
          </w:tcPr>
          <w:p w14:paraId="07D6883D" w14:textId="77777777" w:rsidR="00235CAC" w:rsidRPr="00B05560" w:rsidRDefault="00235CAC" w:rsidP="00140C3D">
            <w:pPr>
              <w:spacing w:before="0" w:after="0"/>
              <w:contextualSpacing w:val="0"/>
              <w:jc w:val="left"/>
              <w:rPr>
                <w:rFonts w:ascii="Calibri Light" w:eastAsia="Times New Roman" w:hAnsi="Calibri Light"/>
                <w:b w:val="0"/>
                <w:sz w:val="18"/>
                <w:szCs w:val="14"/>
                <w:lang w:eastAsia="cs-CZ"/>
              </w:rPr>
            </w:pPr>
            <w:r w:rsidRPr="00B05560">
              <w:rPr>
                <w:rFonts w:ascii="Calibri Light" w:hAnsi="Calibri Light"/>
                <w:b w:val="0"/>
                <w:sz w:val="18"/>
              </w:rPr>
              <w:t>V.skupina(&gt;10 000př.ob.)</w:t>
            </w:r>
          </w:p>
        </w:tc>
        <w:tc>
          <w:tcPr>
            <w:tcW w:w="825" w:type="pct"/>
            <w:noWrap/>
            <w:hideMark/>
          </w:tcPr>
          <w:p w14:paraId="4C35446F"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7,74</w:t>
            </w:r>
          </w:p>
        </w:tc>
        <w:tc>
          <w:tcPr>
            <w:tcW w:w="847" w:type="pct"/>
            <w:noWrap/>
            <w:hideMark/>
          </w:tcPr>
          <w:p w14:paraId="328F309B"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22,18</w:t>
            </w:r>
          </w:p>
        </w:tc>
        <w:tc>
          <w:tcPr>
            <w:tcW w:w="748" w:type="pct"/>
            <w:noWrap/>
            <w:hideMark/>
          </w:tcPr>
          <w:p w14:paraId="3A487024"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6,54</w:t>
            </w:r>
          </w:p>
        </w:tc>
        <w:tc>
          <w:tcPr>
            <w:tcW w:w="748" w:type="pct"/>
            <w:noWrap/>
            <w:hideMark/>
          </w:tcPr>
          <w:p w14:paraId="0802FA03"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6,96</w:t>
            </w:r>
          </w:p>
        </w:tc>
        <w:tc>
          <w:tcPr>
            <w:tcW w:w="620" w:type="pct"/>
          </w:tcPr>
          <w:p w14:paraId="753DEBE6"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35,42</w:t>
            </w:r>
          </w:p>
        </w:tc>
      </w:tr>
      <w:tr w:rsidR="00235CAC" w:rsidRPr="00C54C1D" w14:paraId="52E87BF0" w14:textId="77777777" w:rsidTr="00140C3D">
        <w:trPr>
          <w:trHeight w:val="183"/>
        </w:trPr>
        <w:tc>
          <w:tcPr>
            <w:cnfStyle w:val="001000000000" w:firstRow="0" w:lastRow="0" w:firstColumn="1" w:lastColumn="0" w:oddVBand="0" w:evenVBand="0" w:oddHBand="0" w:evenHBand="0" w:firstRowFirstColumn="0" w:firstRowLastColumn="0" w:lastRowFirstColumn="0" w:lastRowLastColumn="0"/>
            <w:tcW w:w="1211" w:type="pct"/>
            <w:noWrap/>
            <w:hideMark/>
          </w:tcPr>
          <w:p w14:paraId="20B2DC47" w14:textId="77777777" w:rsidR="00235CAC" w:rsidRPr="00B05560" w:rsidRDefault="00235CAC" w:rsidP="00140C3D">
            <w:pPr>
              <w:spacing w:before="0" w:after="0"/>
              <w:contextualSpacing w:val="0"/>
              <w:jc w:val="left"/>
              <w:rPr>
                <w:rFonts w:ascii="Calibri Light" w:eastAsia="Times New Roman" w:hAnsi="Calibri Light"/>
                <w:b w:val="0"/>
                <w:sz w:val="18"/>
                <w:szCs w:val="14"/>
                <w:lang w:eastAsia="cs-CZ"/>
              </w:rPr>
            </w:pPr>
            <w:r w:rsidRPr="00B05560">
              <w:rPr>
                <w:rFonts w:ascii="Calibri Light" w:hAnsi="Calibri Light"/>
                <w:b w:val="0"/>
                <w:sz w:val="18"/>
              </w:rPr>
              <w:t>VI.skupina(&gt;1 000př.ob.)</w:t>
            </w:r>
          </w:p>
        </w:tc>
        <w:tc>
          <w:tcPr>
            <w:tcW w:w="825" w:type="pct"/>
            <w:noWrap/>
            <w:hideMark/>
          </w:tcPr>
          <w:p w14:paraId="08B94C0A"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6,98</w:t>
            </w:r>
          </w:p>
        </w:tc>
        <w:tc>
          <w:tcPr>
            <w:tcW w:w="847" w:type="pct"/>
            <w:noWrap/>
            <w:hideMark/>
          </w:tcPr>
          <w:p w14:paraId="47A6D09B"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26,65</w:t>
            </w:r>
          </w:p>
        </w:tc>
        <w:tc>
          <w:tcPr>
            <w:tcW w:w="748" w:type="pct"/>
            <w:noWrap/>
            <w:hideMark/>
          </w:tcPr>
          <w:p w14:paraId="659DB441"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6,15</w:t>
            </w:r>
          </w:p>
        </w:tc>
        <w:tc>
          <w:tcPr>
            <w:tcW w:w="748" w:type="pct"/>
            <w:noWrap/>
            <w:hideMark/>
          </w:tcPr>
          <w:p w14:paraId="6E191BAB"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9,57</w:t>
            </w:r>
          </w:p>
        </w:tc>
        <w:tc>
          <w:tcPr>
            <w:tcW w:w="620" w:type="pct"/>
          </w:tcPr>
          <w:p w14:paraId="54476B34"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35,26</w:t>
            </w:r>
          </w:p>
        </w:tc>
      </w:tr>
      <w:tr w:rsidR="00235CAC" w:rsidRPr="00C54C1D" w14:paraId="39CB70D2" w14:textId="77777777" w:rsidTr="00140C3D">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211" w:type="pct"/>
            <w:noWrap/>
          </w:tcPr>
          <w:p w14:paraId="3BE77C0E" w14:textId="77777777" w:rsidR="00235CAC" w:rsidRPr="00B05560" w:rsidRDefault="00235CAC" w:rsidP="00140C3D">
            <w:pPr>
              <w:spacing w:before="0" w:after="0"/>
              <w:contextualSpacing w:val="0"/>
              <w:jc w:val="left"/>
              <w:rPr>
                <w:rFonts w:ascii="Calibri Light" w:eastAsia="Times New Roman" w:hAnsi="Calibri Light"/>
                <w:b w:val="0"/>
                <w:sz w:val="18"/>
                <w:szCs w:val="14"/>
                <w:lang w:eastAsia="cs-CZ"/>
              </w:rPr>
            </w:pPr>
            <w:r w:rsidRPr="00B05560">
              <w:rPr>
                <w:rFonts w:ascii="Calibri Light" w:hAnsi="Calibri Light"/>
                <w:b w:val="0"/>
                <w:sz w:val="18"/>
              </w:rPr>
              <w:t>VII.skupina(&gt;300př.ob.)</w:t>
            </w:r>
          </w:p>
        </w:tc>
        <w:tc>
          <w:tcPr>
            <w:tcW w:w="825" w:type="pct"/>
            <w:noWrap/>
          </w:tcPr>
          <w:p w14:paraId="3A8F0512"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6,70</w:t>
            </w:r>
          </w:p>
        </w:tc>
        <w:tc>
          <w:tcPr>
            <w:tcW w:w="847" w:type="pct"/>
            <w:noWrap/>
          </w:tcPr>
          <w:p w14:paraId="1BC2512B"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31,08</w:t>
            </w:r>
          </w:p>
        </w:tc>
        <w:tc>
          <w:tcPr>
            <w:tcW w:w="748" w:type="pct"/>
            <w:noWrap/>
          </w:tcPr>
          <w:p w14:paraId="08B098FE"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6,19</w:t>
            </w:r>
          </w:p>
        </w:tc>
        <w:tc>
          <w:tcPr>
            <w:tcW w:w="748" w:type="pct"/>
            <w:noWrap/>
          </w:tcPr>
          <w:p w14:paraId="79EA0EDA"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10,83</w:t>
            </w:r>
          </w:p>
        </w:tc>
        <w:tc>
          <w:tcPr>
            <w:tcW w:w="620" w:type="pct"/>
          </w:tcPr>
          <w:p w14:paraId="2348C572"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34,00</w:t>
            </w:r>
          </w:p>
        </w:tc>
      </w:tr>
      <w:tr w:rsidR="00235CAC" w:rsidRPr="00C54C1D" w14:paraId="07189B95" w14:textId="77777777" w:rsidTr="00140C3D">
        <w:trPr>
          <w:trHeight w:val="183"/>
        </w:trPr>
        <w:tc>
          <w:tcPr>
            <w:cnfStyle w:val="001000000000" w:firstRow="0" w:lastRow="0" w:firstColumn="1" w:lastColumn="0" w:oddVBand="0" w:evenVBand="0" w:oddHBand="0" w:evenHBand="0" w:firstRowFirstColumn="0" w:firstRowLastColumn="0" w:lastRowFirstColumn="0" w:lastRowLastColumn="0"/>
            <w:tcW w:w="1211" w:type="pct"/>
            <w:noWrap/>
          </w:tcPr>
          <w:p w14:paraId="4CB3E9ED" w14:textId="77777777" w:rsidR="00235CAC" w:rsidRPr="00B05560" w:rsidRDefault="00235CAC" w:rsidP="00140C3D">
            <w:pPr>
              <w:spacing w:before="0" w:after="0"/>
              <w:contextualSpacing w:val="0"/>
              <w:jc w:val="left"/>
              <w:rPr>
                <w:rFonts w:ascii="Calibri Light" w:eastAsia="Times New Roman" w:hAnsi="Calibri Light"/>
                <w:b w:val="0"/>
                <w:sz w:val="18"/>
                <w:szCs w:val="14"/>
                <w:lang w:eastAsia="cs-CZ"/>
              </w:rPr>
            </w:pPr>
            <w:r w:rsidRPr="00B05560">
              <w:rPr>
                <w:rFonts w:ascii="Calibri Light" w:hAnsi="Calibri Light"/>
                <w:b w:val="0"/>
                <w:sz w:val="18"/>
              </w:rPr>
              <w:t>VIII.skupina(&lt;300př.ob.)</w:t>
            </w:r>
          </w:p>
        </w:tc>
        <w:tc>
          <w:tcPr>
            <w:tcW w:w="825" w:type="pct"/>
            <w:noWrap/>
          </w:tcPr>
          <w:p w14:paraId="2D22076F"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8,03</w:t>
            </w:r>
          </w:p>
        </w:tc>
        <w:tc>
          <w:tcPr>
            <w:tcW w:w="847" w:type="pct"/>
            <w:noWrap/>
          </w:tcPr>
          <w:p w14:paraId="0D83FB1A"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39,63</w:t>
            </w:r>
          </w:p>
        </w:tc>
        <w:tc>
          <w:tcPr>
            <w:tcW w:w="748" w:type="pct"/>
            <w:noWrap/>
          </w:tcPr>
          <w:p w14:paraId="1B44DCC1"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7,72</w:t>
            </w:r>
          </w:p>
        </w:tc>
        <w:tc>
          <w:tcPr>
            <w:tcW w:w="748" w:type="pct"/>
            <w:noWrap/>
          </w:tcPr>
          <w:p w14:paraId="3BD59674"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21,17</w:t>
            </w:r>
          </w:p>
        </w:tc>
        <w:tc>
          <w:tcPr>
            <w:tcW w:w="620" w:type="pct"/>
          </w:tcPr>
          <w:p w14:paraId="0BF9BEC7"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34,85</w:t>
            </w:r>
          </w:p>
        </w:tc>
      </w:tr>
    </w:tbl>
    <w:p w14:paraId="56155AF3" w14:textId="77777777" w:rsidR="00235CAC" w:rsidRDefault="00235CAC" w:rsidP="00235CAC">
      <w:pPr>
        <w:pStyle w:val="NORMLN0"/>
        <w:ind w:firstLine="0"/>
      </w:pPr>
    </w:p>
    <w:p w14:paraId="0C4F027C" w14:textId="77777777" w:rsidR="00235CAC" w:rsidRDefault="00235CAC" w:rsidP="00235CAC">
      <w:pPr>
        <w:pStyle w:val="NORMLN0"/>
        <w:ind w:firstLine="0"/>
      </w:pPr>
    </w:p>
    <w:p w14:paraId="4E1EF93B" w14:textId="77777777" w:rsidR="00235CAC" w:rsidRDefault="00235CAC" w:rsidP="00235CAC">
      <w:pPr>
        <w:pStyle w:val="NORMLN0"/>
        <w:ind w:firstLine="0"/>
      </w:pPr>
    </w:p>
    <w:p w14:paraId="154C3064" w14:textId="60253296" w:rsidR="00235CAC" w:rsidRPr="00BC03D3" w:rsidRDefault="00235CAC" w:rsidP="00235CAC">
      <w:pPr>
        <w:rPr>
          <w:b/>
        </w:rPr>
      </w:pPr>
      <w:r w:rsidRPr="00BC03D3">
        <w:rPr>
          <w:b/>
        </w:rPr>
        <w:t>Kanalizace</w:t>
      </w:r>
    </w:p>
    <w:tbl>
      <w:tblPr>
        <w:tblStyle w:val="Tmavtabulkasmkou5zvraznn21"/>
        <w:tblW w:w="4897" w:type="pct"/>
        <w:tblInd w:w="-5" w:type="dxa"/>
        <w:tblLook w:val="04A0" w:firstRow="1" w:lastRow="0" w:firstColumn="1" w:lastColumn="0" w:noHBand="0" w:noVBand="1"/>
      </w:tblPr>
      <w:tblGrid>
        <w:gridCol w:w="4085"/>
        <w:gridCol w:w="2612"/>
        <w:gridCol w:w="2176"/>
      </w:tblGrid>
      <w:tr w:rsidR="00235CAC" w:rsidRPr="00C54C1D" w14:paraId="21774AAA" w14:textId="77777777" w:rsidTr="00140C3D">
        <w:trPr>
          <w:cnfStyle w:val="100000000000" w:firstRow="1" w:lastRow="0" w:firstColumn="0" w:lastColumn="0" w:oddVBand="0" w:evenVBand="0" w:oddHBand="0" w:evenHBand="0" w:firstRowFirstColumn="0" w:firstRowLastColumn="0" w:lastRowFirstColumn="0" w:lastRowLastColumn="0"/>
          <w:trHeight w:val="1846"/>
        </w:trPr>
        <w:tc>
          <w:tcPr>
            <w:cnfStyle w:val="001000000000" w:firstRow="0" w:lastRow="0" w:firstColumn="1" w:lastColumn="0" w:oddVBand="0" w:evenVBand="0" w:oddHBand="0" w:evenHBand="0" w:firstRowFirstColumn="0" w:firstRowLastColumn="0" w:lastRowFirstColumn="0" w:lastRowLastColumn="0"/>
            <w:tcW w:w="2302" w:type="pct"/>
            <w:tcBorders>
              <w:right w:val="single" w:sz="4" w:space="0" w:color="FFFFFF" w:themeColor="background1"/>
            </w:tcBorders>
            <w:vAlign w:val="center"/>
            <w:hideMark/>
          </w:tcPr>
          <w:p w14:paraId="26E92BA5" w14:textId="77777777" w:rsidR="00235CAC" w:rsidRPr="0056088D" w:rsidRDefault="00235CAC" w:rsidP="00140C3D">
            <w:pPr>
              <w:spacing w:before="0" w:after="0"/>
              <w:contextualSpacing w:val="0"/>
              <w:jc w:val="left"/>
              <w:rPr>
                <w:rFonts w:asciiTheme="majorHAnsi" w:eastAsia="Times New Roman" w:hAnsiTheme="majorHAnsi"/>
                <w:smallCaps/>
                <w:sz w:val="22"/>
                <w:szCs w:val="14"/>
                <w:lang w:eastAsia="cs-CZ"/>
              </w:rPr>
            </w:pPr>
            <w:r w:rsidRPr="002B20DB">
              <w:rPr>
                <w:rFonts w:asciiTheme="majorHAnsi" w:eastAsia="Times New Roman" w:hAnsiTheme="majorHAnsi"/>
                <w:smallCaps/>
                <w:sz w:val="22"/>
                <w:szCs w:val="14"/>
                <w:lang w:eastAsia="cs-CZ"/>
              </w:rPr>
              <w:t>Benchmarking vlastnických subjektů:</w:t>
            </w:r>
            <w:r w:rsidRPr="002B20DB">
              <w:rPr>
                <w:rFonts w:asciiTheme="majorHAnsi" w:eastAsia="Times New Roman" w:hAnsiTheme="majorHAnsi"/>
                <w:smallCaps/>
                <w:sz w:val="22"/>
                <w:szCs w:val="14"/>
                <w:lang w:eastAsia="cs-CZ"/>
              </w:rPr>
              <w:br/>
              <w:t xml:space="preserve">Hodnoty některých ukazatelů u Porovnání splňujících stanovená kritéria: </w:t>
            </w:r>
          </w:p>
        </w:tc>
        <w:tc>
          <w:tcPr>
            <w:tcW w:w="1472" w:type="pct"/>
            <w:tcBorders>
              <w:left w:val="single" w:sz="4" w:space="0" w:color="FFFFFF" w:themeColor="background1"/>
              <w:bottom w:val="nil"/>
              <w:right w:val="single" w:sz="4" w:space="0" w:color="FFFFFF" w:themeColor="background1"/>
            </w:tcBorders>
            <w:textDirection w:val="btLr"/>
            <w:vAlign w:val="center"/>
            <w:hideMark/>
          </w:tcPr>
          <w:p w14:paraId="5A3C1F13" w14:textId="77777777" w:rsidR="00235CAC" w:rsidRPr="00C54C1D" w:rsidRDefault="00235CAC" w:rsidP="00140C3D">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8"/>
                <w:szCs w:val="14"/>
                <w:lang w:eastAsia="cs-CZ"/>
              </w:rPr>
            </w:pPr>
            <w:r w:rsidRPr="00235CAC">
              <w:rPr>
                <w:rFonts w:asciiTheme="majorHAnsi" w:eastAsia="Times New Roman" w:hAnsiTheme="majorHAnsi"/>
                <w:b w:val="0"/>
                <w:smallCaps/>
                <w:sz w:val="20"/>
                <w:szCs w:val="17"/>
                <w:lang w:eastAsia="cs-CZ"/>
              </w:rPr>
              <w:t>PRŮMĚR - Vysoký podíl kalkulačního zisku k rozdělení na ÚVN (více než 1,5 násobek průměru z porovnání splňujících stanovená kritéria)</w:t>
            </w:r>
          </w:p>
        </w:tc>
        <w:tc>
          <w:tcPr>
            <w:tcW w:w="1226" w:type="pct"/>
            <w:tcBorders>
              <w:left w:val="single" w:sz="4" w:space="0" w:color="FFFFFF" w:themeColor="background1"/>
              <w:bottom w:val="nil"/>
            </w:tcBorders>
            <w:textDirection w:val="btLr"/>
            <w:hideMark/>
          </w:tcPr>
          <w:p w14:paraId="4F80F657" w14:textId="77777777" w:rsidR="00235CAC" w:rsidRPr="00C54C1D" w:rsidRDefault="00235CAC" w:rsidP="00140C3D">
            <w:pPr>
              <w:spacing w:before="0" w:after="0"/>
              <w:ind w:left="113" w:right="113"/>
              <w:contextualSpacing w:val="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b w:val="0"/>
                <w:sz w:val="18"/>
                <w:szCs w:val="14"/>
                <w:lang w:eastAsia="cs-CZ"/>
              </w:rPr>
            </w:pPr>
            <w:r w:rsidRPr="00235CAC">
              <w:rPr>
                <w:rFonts w:asciiTheme="majorHAnsi" w:eastAsia="Times New Roman" w:hAnsiTheme="majorHAnsi"/>
                <w:b w:val="0"/>
                <w:smallCaps/>
                <w:sz w:val="20"/>
                <w:szCs w:val="17"/>
                <w:lang w:eastAsia="cs-CZ"/>
              </w:rPr>
              <w:t xml:space="preserve">PRŮMĚR - Vysoká cena pro </w:t>
            </w:r>
            <w:r>
              <w:rPr>
                <w:rFonts w:asciiTheme="majorHAnsi" w:eastAsia="Times New Roman" w:hAnsiTheme="majorHAnsi"/>
                <w:b w:val="0"/>
                <w:smallCaps/>
                <w:sz w:val="20"/>
                <w:szCs w:val="17"/>
                <w:lang w:eastAsia="cs-CZ"/>
              </w:rPr>
              <w:t>stočné</w:t>
            </w:r>
            <w:r w:rsidRPr="00235CAC">
              <w:rPr>
                <w:rFonts w:asciiTheme="majorHAnsi" w:eastAsia="Times New Roman" w:hAnsiTheme="majorHAnsi"/>
                <w:b w:val="0"/>
                <w:smallCaps/>
                <w:sz w:val="20"/>
                <w:szCs w:val="17"/>
                <w:lang w:eastAsia="cs-CZ"/>
              </w:rPr>
              <w:t xml:space="preserve"> (více než 1,5 násobek průměru z porovnání splňujících stanovená kritéria)</w:t>
            </w:r>
          </w:p>
        </w:tc>
      </w:tr>
      <w:tr w:rsidR="00235CAC" w:rsidRPr="00C54C1D" w14:paraId="348D1528" w14:textId="77777777" w:rsidTr="00140C3D">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2302" w:type="pct"/>
            <w:noWrap/>
            <w:hideMark/>
          </w:tcPr>
          <w:p w14:paraId="7878142D" w14:textId="77777777" w:rsidR="00235CAC" w:rsidRPr="00C54C1D" w:rsidRDefault="00235CAC" w:rsidP="00140C3D">
            <w:pPr>
              <w:spacing w:before="0" w:after="0"/>
              <w:contextualSpacing w:val="0"/>
              <w:jc w:val="left"/>
              <w:rPr>
                <w:rFonts w:asciiTheme="majorHAnsi" w:eastAsia="Times New Roman" w:hAnsiTheme="majorHAnsi"/>
                <w:b w:val="0"/>
                <w:sz w:val="18"/>
                <w:szCs w:val="14"/>
                <w:lang w:eastAsia="cs-CZ"/>
              </w:rPr>
            </w:pPr>
            <w:r w:rsidRPr="00B05560">
              <w:rPr>
                <w:rFonts w:ascii="Calibri Light" w:hAnsi="Calibri Light"/>
                <w:b w:val="0"/>
                <w:sz w:val="18"/>
              </w:rPr>
              <w:t>I.skupina(&gt;500 000př.ob.)</w:t>
            </w:r>
          </w:p>
        </w:tc>
        <w:tc>
          <w:tcPr>
            <w:tcW w:w="1472" w:type="pct"/>
            <w:tcBorders>
              <w:top w:val="nil"/>
            </w:tcBorders>
            <w:noWrap/>
            <w:hideMark/>
          </w:tcPr>
          <w:p w14:paraId="31AAF9EF"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11,67</w:t>
            </w:r>
          </w:p>
        </w:tc>
        <w:tc>
          <w:tcPr>
            <w:tcW w:w="1226" w:type="pct"/>
            <w:tcBorders>
              <w:top w:val="nil"/>
            </w:tcBorders>
            <w:noWrap/>
            <w:vAlign w:val="bottom"/>
            <w:hideMark/>
          </w:tcPr>
          <w:p w14:paraId="07431BC5"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37,97</w:t>
            </w:r>
          </w:p>
        </w:tc>
      </w:tr>
      <w:tr w:rsidR="00235CAC" w:rsidRPr="00C54C1D" w14:paraId="5C878640" w14:textId="77777777" w:rsidTr="00140C3D">
        <w:trPr>
          <w:trHeight w:val="217"/>
        </w:trPr>
        <w:tc>
          <w:tcPr>
            <w:cnfStyle w:val="001000000000" w:firstRow="0" w:lastRow="0" w:firstColumn="1" w:lastColumn="0" w:oddVBand="0" w:evenVBand="0" w:oddHBand="0" w:evenHBand="0" w:firstRowFirstColumn="0" w:firstRowLastColumn="0" w:lastRowFirstColumn="0" w:lastRowLastColumn="0"/>
            <w:tcW w:w="2302" w:type="pct"/>
            <w:noWrap/>
            <w:hideMark/>
          </w:tcPr>
          <w:p w14:paraId="2371690A" w14:textId="77777777" w:rsidR="00235CAC" w:rsidRPr="00C54C1D" w:rsidRDefault="00235CAC" w:rsidP="00140C3D">
            <w:pPr>
              <w:spacing w:before="0" w:after="0"/>
              <w:contextualSpacing w:val="0"/>
              <w:jc w:val="left"/>
              <w:rPr>
                <w:rFonts w:asciiTheme="majorHAnsi" w:eastAsia="Times New Roman" w:hAnsiTheme="majorHAnsi"/>
                <w:b w:val="0"/>
                <w:sz w:val="18"/>
                <w:szCs w:val="14"/>
                <w:lang w:eastAsia="cs-CZ"/>
              </w:rPr>
            </w:pPr>
            <w:r w:rsidRPr="00B05560">
              <w:rPr>
                <w:rFonts w:ascii="Calibri Light" w:hAnsi="Calibri Light"/>
                <w:b w:val="0"/>
                <w:sz w:val="18"/>
              </w:rPr>
              <w:t>II.skupina(&gt;200 000př.ob.)</w:t>
            </w:r>
          </w:p>
        </w:tc>
        <w:tc>
          <w:tcPr>
            <w:tcW w:w="1472" w:type="pct"/>
            <w:noWrap/>
            <w:hideMark/>
          </w:tcPr>
          <w:p w14:paraId="50D75F60"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17,92</w:t>
            </w:r>
          </w:p>
        </w:tc>
        <w:tc>
          <w:tcPr>
            <w:tcW w:w="1226" w:type="pct"/>
            <w:noWrap/>
            <w:vAlign w:val="bottom"/>
            <w:hideMark/>
          </w:tcPr>
          <w:p w14:paraId="7172CF4C"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33,41</w:t>
            </w:r>
          </w:p>
        </w:tc>
      </w:tr>
      <w:tr w:rsidR="00235CAC" w:rsidRPr="00C54C1D" w14:paraId="4872D271" w14:textId="77777777" w:rsidTr="00140C3D">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2302" w:type="pct"/>
            <w:noWrap/>
            <w:hideMark/>
          </w:tcPr>
          <w:p w14:paraId="563637F7" w14:textId="77777777" w:rsidR="00235CAC" w:rsidRPr="00C54C1D" w:rsidRDefault="00235CAC" w:rsidP="00140C3D">
            <w:pPr>
              <w:spacing w:before="0" w:after="0"/>
              <w:contextualSpacing w:val="0"/>
              <w:jc w:val="left"/>
              <w:rPr>
                <w:rFonts w:asciiTheme="majorHAnsi" w:eastAsia="Times New Roman" w:hAnsiTheme="majorHAnsi"/>
                <w:b w:val="0"/>
                <w:sz w:val="18"/>
                <w:szCs w:val="14"/>
                <w:lang w:eastAsia="cs-CZ"/>
              </w:rPr>
            </w:pPr>
            <w:r w:rsidRPr="00B05560">
              <w:rPr>
                <w:rFonts w:ascii="Calibri Light" w:hAnsi="Calibri Light"/>
                <w:b w:val="0"/>
                <w:sz w:val="18"/>
              </w:rPr>
              <w:t>III.skupina(&gt;100 000př.ob.)</w:t>
            </w:r>
          </w:p>
        </w:tc>
        <w:tc>
          <w:tcPr>
            <w:tcW w:w="1472" w:type="pct"/>
            <w:noWrap/>
            <w:hideMark/>
          </w:tcPr>
          <w:p w14:paraId="790DDC17"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9,70</w:t>
            </w:r>
          </w:p>
        </w:tc>
        <w:tc>
          <w:tcPr>
            <w:tcW w:w="1226" w:type="pct"/>
            <w:noWrap/>
            <w:vAlign w:val="bottom"/>
            <w:hideMark/>
          </w:tcPr>
          <w:p w14:paraId="23C144A2"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34,18</w:t>
            </w:r>
          </w:p>
        </w:tc>
      </w:tr>
      <w:tr w:rsidR="00235CAC" w:rsidRPr="00C54C1D" w14:paraId="3970CD01" w14:textId="77777777" w:rsidTr="00140C3D">
        <w:trPr>
          <w:trHeight w:val="217"/>
        </w:trPr>
        <w:tc>
          <w:tcPr>
            <w:cnfStyle w:val="001000000000" w:firstRow="0" w:lastRow="0" w:firstColumn="1" w:lastColumn="0" w:oddVBand="0" w:evenVBand="0" w:oddHBand="0" w:evenHBand="0" w:firstRowFirstColumn="0" w:firstRowLastColumn="0" w:lastRowFirstColumn="0" w:lastRowLastColumn="0"/>
            <w:tcW w:w="2302" w:type="pct"/>
            <w:noWrap/>
            <w:hideMark/>
          </w:tcPr>
          <w:p w14:paraId="78001FD9" w14:textId="77777777" w:rsidR="00235CAC" w:rsidRPr="00C54C1D" w:rsidRDefault="00235CAC" w:rsidP="00140C3D">
            <w:pPr>
              <w:spacing w:before="0" w:after="0"/>
              <w:contextualSpacing w:val="0"/>
              <w:jc w:val="left"/>
              <w:rPr>
                <w:rFonts w:asciiTheme="majorHAnsi" w:eastAsia="Times New Roman" w:hAnsiTheme="majorHAnsi"/>
                <w:b w:val="0"/>
                <w:sz w:val="18"/>
                <w:szCs w:val="14"/>
                <w:lang w:eastAsia="cs-CZ"/>
              </w:rPr>
            </w:pPr>
            <w:r w:rsidRPr="00B05560">
              <w:rPr>
                <w:rFonts w:ascii="Calibri Light" w:hAnsi="Calibri Light"/>
                <w:b w:val="0"/>
                <w:sz w:val="18"/>
              </w:rPr>
              <w:t>IV.skupina(&gt;50 000př.ob.)</w:t>
            </w:r>
          </w:p>
        </w:tc>
        <w:tc>
          <w:tcPr>
            <w:tcW w:w="1472" w:type="pct"/>
            <w:noWrap/>
            <w:hideMark/>
          </w:tcPr>
          <w:p w14:paraId="37D2D021"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6,83</w:t>
            </w:r>
          </w:p>
        </w:tc>
        <w:tc>
          <w:tcPr>
            <w:tcW w:w="1226" w:type="pct"/>
            <w:noWrap/>
            <w:vAlign w:val="bottom"/>
            <w:hideMark/>
          </w:tcPr>
          <w:p w14:paraId="2D87450D"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35,72</w:t>
            </w:r>
          </w:p>
        </w:tc>
      </w:tr>
      <w:tr w:rsidR="00235CAC" w:rsidRPr="00C54C1D" w14:paraId="2FC434B7" w14:textId="77777777" w:rsidTr="00140C3D">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2302" w:type="pct"/>
            <w:noWrap/>
            <w:hideMark/>
          </w:tcPr>
          <w:p w14:paraId="37756B91" w14:textId="77777777" w:rsidR="00235CAC" w:rsidRPr="00C54C1D" w:rsidRDefault="00235CAC" w:rsidP="00140C3D">
            <w:pPr>
              <w:spacing w:before="0" w:after="0"/>
              <w:contextualSpacing w:val="0"/>
              <w:jc w:val="left"/>
              <w:rPr>
                <w:rFonts w:asciiTheme="majorHAnsi" w:eastAsia="Times New Roman" w:hAnsiTheme="majorHAnsi"/>
                <w:b w:val="0"/>
                <w:sz w:val="18"/>
                <w:szCs w:val="14"/>
                <w:lang w:eastAsia="cs-CZ"/>
              </w:rPr>
            </w:pPr>
            <w:r w:rsidRPr="00B05560">
              <w:rPr>
                <w:rFonts w:ascii="Calibri Light" w:hAnsi="Calibri Light"/>
                <w:b w:val="0"/>
                <w:sz w:val="18"/>
              </w:rPr>
              <w:t>V.skupina(&gt;10 000př.ob.)</w:t>
            </w:r>
          </w:p>
        </w:tc>
        <w:tc>
          <w:tcPr>
            <w:tcW w:w="1472" w:type="pct"/>
            <w:noWrap/>
            <w:hideMark/>
          </w:tcPr>
          <w:p w14:paraId="2EAC691A"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5,88</w:t>
            </w:r>
          </w:p>
        </w:tc>
        <w:tc>
          <w:tcPr>
            <w:tcW w:w="1226" w:type="pct"/>
            <w:noWrap/>
            <w:vAlign w:val="bottom"/>
            <w:hideMark/>
          </w:tcPr>
          <w:p w14:paraId="2748D29A" w14:textId="653881D9"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34,7</w:t>
            </w:r>
            <w:r w:rsidR="00F128A6">
              <w:rPr>
                <w:rFonts w:ascii="Calibri Light" w:hAnsi="Calibri Light"/>
                <w:sz w:val="20"/>
              </w:rPr>
              <w:t>0</w:t>
            </w:r>
          </w:p>
        </w:tc>
      </w:tr>
      <w:tr w:rsidR="00235CAC" w:rsidRPr="00C54C1D" w14:paraId="37D53AAB" w14:textId="77777777" w:rsidTr="00140C3D">
        <w:trPr>
          <w:trHeight w:val="217"/>
        </w:trPr>
        <w:tc>
          <w:tcPr>
            <w:cnfStyle w:val="001000000000" w:firstRow="0" w:lastRow="0" w:firstColumn="1" w:lastColumn="0" w:oddVBand="0" w:evenVBand="0" w:oddHBand="0" w:evenHBand="0" w:firstRowFirstColumn="0" w:firstRowLastColumn="0" w:lastRowFirstColumn="0" w:lastRowLastColumn="0"/>
            <w:tcW w:w="2302" w:type="pct"/>
            <w:noWrap/>
            <w:hideMark/>
          </w:tcPr>
          <w:p w14:paraId="152710FF" w14:textId="77777777" w:rsidR="00235CAC" w:rsidRPr="00C54C1D" w:rsidRDefault="00235CAC" w:rsidP="00140C3D">
            <w:pPr>
              <w:spacing w:before="0" w:after="0"/>
              <w:contextualSpacing w:val="0"/>
              <w:jc w:val="left"/>
              <w:rPr>
                <w:rFonts w:asciiTheme="majorHAnsi" w:eastAsia="Times New Roman" w:hAnsiTheme="majorHAnsi"/>
                <w:b w:val="0"/>
                <w:sz w:val="18"/>
                <w:szCs w:val="14"/>
                <w:lang w:eastAsia="cs-CZ"/>
              </w:rPr>
            </w:pPr>
            <w:r w:rsidRPr="00B05560">
              <w:rPr>
                <w:rFonts w:ascii="Calibri Light" w:hAnsi="Calibri Light"/>
                <w:b w:val="0"/>
                <w:sz w:val="18"/>
              </w:rPr>
              <w:t>VI.skupina(&gt;1 000př.ob.)</w:t>
            </w:r>
          </w:p>
        </w:tc>
        <w:tc>
          <w:tcPr>
            <w:tcW w:w="1472" w:type="pct"/>
            <w:noWrap/>
            <w:hideMark/>
          </w:tcPr>
          <w:p w14:paraId="16C3C92D"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7,00</w:t>
            </w:r>
          </w:p>
        </w:tc>
        <w:tc>
          <w:tcPr>
            <w:tcW w:w="1226" w:type="pct"/>
            <w:noWrap/>
            <w:vAlign w:val="bottom"/>
            <w:hideMark/>
          </w:tcPr>
          <w:p w14:paraId="70098236"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34,71</w:t>
            </w:r>
          </w:p>
        </w:tc>
      </w:tr>
      <w:tr w:rsidR="00235CAC" w:rsidRPr="00C54C1D" w14:paraId="631C4487" w14:textId="77777777" w:rsidTr="00140C3D">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2302" w:type="pct"/>
            <w:noWrap/>
          </w:tcPr>
          <w:p w14:paraId="0A387F13" w14:textId="77777777" w:rsidR="00235CAC" w:rsidRPr="00C54C1D" w:rsidRDefault="00235CAC" w:rsidP="00140C3D">
            <w:pPr>
              <w:spacing w:before="0" w:after="0"/>
              <w:contextualSpacing w:val="0"/>
              <w:jc w:val="left"/>
              <w:rPr>
                <w:rFonts w:asciiTheme="majorHAnsi" w:eastAsia="Times New Roman" w:hAnsiTheme="majorHAnsi"/>
                <w:b w:val="0"/>
                <w:sz w:val="18"/>
                <w:szCs w:val="14"/>
                <w:lang w:eastAsia="cs-CZ"/>
              </w:rPr>
            </w:pPr>
            <w:r w:rsidRPr="00B05560">
              <w:rPr>
                <w:rFonts w:ascii="Calibri Light" w:hAnsi="Calibri Light"/>
                <w:b w:val="0"/>
                <w:sz w:val="18"/>
              </w:rPr>
              <w:t>VII.skupina(&gt;300př.ob.)</w:t>
            </w:r>
          </w:p>
        </w:tc>
        <w:tc>
          <w:tcPr>
            <w:tcW w:w="1472" w:type="pct"/>
            <w:noWrap/>
          </w:tcPr>
          <w:p w14:paraId="346FC449"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16,33</w:t>
            </w:r>
          </w:p>
        </w:tc>
        <w:tc>
          <w:tcPr>
            <w:tcW w:w="1226" w:type="pct"/>
            <w:noWrap/>
            <w:vAlign w:val="bottom"/>
          </w:tcPr>
          <w:p w14:paraId="3EC9E9D4" w14:textId="77777777" w:rsidR="00235CAC" w:rsidRPr="00B83F37" w:rsidRDefault="00235CAC" w:rsidP="00140C3D">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sz w:val="20"/>
              </w:rPr>
            </w:pPr>
            <w:r w:rsidRPr="00235CAC">
              <w:rPr>
                <w:rFonts w:ascii="Calibri Light" w:hAnsi="Calibri Light"/>
                <w:sz w:val="20"/>
              </w:rPr>
              <w:t>35,71</w:t>
            </w:r>
          </w:p>
        </w:tc>
      </w:tr>
      <w:tr w:rsidR="00235CAC" w:rsidRPr="00C54C1D" w14:paraId="163C63D1" w14:textId="77777777" w:rsidTr="00140C3D">
        <w:trPr>
          <w:trHeight w:val="217"/>
        </w:trPr>
        <w:tc>
          <w:tcPr>
            <w:cnfStyle w:val="001000000000" w:firstRow="0" w:lastRow="0" w:firstColumn="1" w:lastColumn="0" w:oddVBand="0" w:evenVBand="0" w:oddHBand="0" w:evenHBand="0" w:firstRowFirstColumn="0" w:firstRowLastColumn="0" w:lastRowFirstColumn="0" w:lastRowLastColumn="0"/>
            <w:tcW w:w="2302" w:type="pct"/>
            <w:noWrap/>
          </w:tcPr>
          <w:p w14:paraId="4E7DD911" w14:textId="77777777" w:rsidR="00235CAC" w:rsidRPr="00C54C1D" w:rsidRDefault="00235CAC" w:rsidP="00140C3D">
            <w:pPr>
              <w:spacing w:before="0" w:after="0"/>
              <w:contextualSpacing w:val="0"/>
              <w:jc w:val="left"/>
              <w:rPr>
                <w:rFonts w:asciiTheme="majorHAnsi" w:eastAsia="Times New Roman" w:hAnsiTheme="majorHAnsi"/>
                <w:b w:val="0"/>
                <w:sz w:val="18"/>
                <w:szCs w:val="14"/>
                <w:lang w:eastAsia="cs-CZ"/>
              </w:rPr>
            </w:pPr>
            <w:r w:rsidRPr="00B05560">
              <w:rPr>
                <w:rFonts w:ascii="Calibri Light" w:hAnsi="Calibri Light"/>
                <w:b w:val="0"/>
                <w:sz w:val="18"/>
              </w:rPr>
              <w:t>VIII.skupina(&lt;300př.ob.)</w:t>
            </w:r>
          </w:p>
        </w:tc>
        <w:tc>
          <w:tcPr>
            <w:tcW w:w="1472" w:type="pct"/>
            <w:noWrap/>
          </w:tcPr>
          <w:p w14:paraId="4CFD3BD7"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2,52</w:t>
            </w:r>
          </w:p>
        </w:tc>
        <w:tc>
          <w:tcPr>
            <w:tcW w:w="1226" w:type="pct"/>
            <w:noWrap/>
            <w:vAlign w:val="bottom"/>
          </w:tcPr>
          <w:p w14:paraId="29ED78B4" w14:textId="77777777" w:rsidR="00235CAC" w:rsidRPr="00B83F37" w:rsidRDefault="00235CAC" w:rsidP="00140C3D">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sz w:val="20"/>
              </w:rPr>
            </w:pPr>
            <w:r w:rsidRPr="00235CAC">
              <w:rPr>
                <w:rFonts w:ascii="Calibri Light" w:hAnsi="Calibri Light"/>
                <w:sz w:val="20"/>
              </w:rPr>
              <w:t>37,84</w:t>
            </w:r>
          </w:p>
        </w:tc>
      </w:tr>
    </w:tbl>
    <w:p w14:paraId="25CDF4E9" w14:textId="77777777" w:rsidR="00235CAC" w:rsidRDefault="00235CAC" w:rsidP="00235CAC"/>
    <w:p w14:paraId="69395A05" w14:textId="77777777" w:rsidR="006B7A44" w:rsidRPr="00235CAC" w:rsidRDefault="006B7A44" w:rsidP="006B7A44">
      <w:pPr>
        <w:pStyle w:val="NORMLN0"/>
      </w:pPr>
      <w:r>
        <w:t>Dále je uveden seznam ukazatelů (způsob jejich stanovení a zdůvodnění</w:t>
      </w:r>
      <w:r w:rsidR="001B25B3">
        <w:t>) poukazujících</w:t>
      </w:r>
      <w:r>
        <w:t xml:space="preserve"> na výskyt anomálie v rozdělení na vodovod a kanalizaci.</w:t>
      </w:r>
    </w:p>
    <w:tbl>
      <w:tblPr>
        <w:tblStyle w:val="Tabulkasmkou4zvraznn111"/>
        <w:tblpPr w:leftFromText="141" w:rightFromText="141" w:vertAnchor="text" w:horzAnchor="margin" w:tblpY="287"/>
        <w:tblW w:w="9322" w:type="dxa"/>
        <w:tblLook w:val="04A0" w:firstRow="1" w:lastRow="0" w:firstColumn="1" w:lastColumn="0" w:noHBand="0" w:noVBand="1"/>
      </w:tblPr>
      <w:tblGrid>
        <w:gridCol w:w="441"/>
        <w:gridCol w:w="4799"/>
        <w:gridCol w:w="142"/>
        <w:gridCol w:w="3940"/>
      </w:tblGrid>
      <w:tr w:rsidR="006B7A44" w:rsidRPr="002B20DB" w14:paraId="13794D57" w14:textId="77777777" w:rsidTr="006B7A44">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9322" w:type="dxa"/>
            <w:gridSpan w:val="4"/>
            <w:vAlign w:val="center"/>
          </w:tcPr>
          <w:p w14:paraId="583F67AD" w14:textId="77777777" w:rsidR="006B7A44" w:rsidRPr="001657BD" w:rsidRDefault="006B7A44" w:rsidP="006B7A44">
            <w:pPr>
              <w:spacing w:before="0" w:after="0"/>
              <w:contextualSpacing w:val="0"/>
              <w:jc w:val="left"/>
              <w:rPr>
                <w:rFonts w:asciiTheme="majorHAnsi" w:eastAsia="Times New Roman" w:hAnsiTheme="majorHAnsi"/>
                <w:bCs w:val="0"/>
                <w:sz w:val="20"/>
                <w:szCs w:val="20"/>
                <w:lang w:eastAsia="cs-CZ"/>
              </w:rPr>
            </w:pPr>
            <w:r w:rsidRPr="00235CAC">
              <w:rPr>
                <w:rFonts w:asciiTheme="majorHAnsi" w:eastAsia="Times New Roman" w:hAnsiTheme="majorHAnsi"/>
                <w:bCs w:val="0"/>
                <w:smallCaps/>
                <w:szCs w:val="20"/>
                <w:lang w:eastAsia="cs-CZ"/>
              </w:rPr>
              <w:lastRenderedPageBreak/>
              <w:t xml:space="preserve">Benchmarking </w:t>
            </w:r>
            <w:r>
              <w:rPr>
                <w:rFonts w:asciiTheme="majorHAnsi" w:eastAsia="Times New Roman" w:hAnsiTheme="majorHAnsi"/>
                <w:bCs w:val="0"/>
                <w:smallCaps/>
                <w:szCs w:val="20"/>
                <w:lang w:eastAsia="cs-CZ"/>
              </w:rPr>
              <w:t>provozovatelských</w:t>
            </w:r>
            <w:r w:rsidRPr="00235CAC">
              <w:rPr>
                <w:rFonts w:asciiTheme="majorHAnsi" w:eastAsia="Times New Roman" w:hAnsiTheme="majorHAnsi"/>
                <w:bCs w:val="0"/>
                <w:smallCaps/>
                <w:szCs w:val="20"/>
                <w:lang w:eastAsia="cs-CZ"/>
              </w:rPr>
              <w:t xml:space="preserve"> subjektů:</w:t>
            </w:r>
          </w:p>
        </w:tc>
      </w:tr>
      <w:tr w:rsidR="006B7A44" w:rsidRPr="002B20DB" w14:paraId="651A1E8B" w14:textId="77777777" w:rsidTr="006B7A44">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441" w:type="dxa"/>
            <w:vAlign w:val="center"/>
          </w:tcPr>
          <w:p w14:paraId="2F98AEE4" w14:textId="77777777" w:rsidR="006B7A44" w:rsidRPr="00C14900" w:rsidRDefault="006B7A44" w:rsidP="006B7A44">
            <w:pPr>
              <w:spacing w:before="0" w:after="0"/>
              <w:contextualSpacing w:val="0"/>
              <w:jc w:val="left"/>
              <w:rPr>
                <w:rFonts w:ascii="Calibri Light" w:eastAsia="Times New Roman" w:hAnsi="Calibri Light"/>
                <w:b w:val="0"/>
                <w:bCs w:val="0"/>
                <w:color w:val="auto"/>
                <w:sz w:val="20"/>
                <w:szCs w:val="20"/>
                <w:lang w:eastAsia="cs-CZ"/>
              </w:rPr>
            </w:pPr>
            <w:bookmarkStart w:id="10" w:name="Prov_BM_seznam_anomálie"/>
            <w:bookmarkEnd w:id="10"/>
          </w:p>
        </w:tc>
        <w:tc>
          <w:tcPr>
            <w:tcW w:w="4799" w:type="dxa"/>
            <w:vAlign w:val="center"/>
            <w:hideMark/>
          </w:tcPr>
          <w:p w14:paraId="0F7A21B8" w14:textId="77777777" w:rsidR="006B7A44" w:rsidRPr="00473A72" w:rsidRDefault="006B7A44" w:rsidP="006B7A44">
            <w:pPr>
              <w:spacing w:before="0" w:after="0"/>
              <w:contextualSpacing w:val="0"/>
              <w:jc w:val="left"/>
              <w:cnfStyle w:val="100000000000" w:firstRow="1" w:lastRow="0" w:firstColumn="0" w:lastColumn="0" w:oddVBand="0" w:evenVBand="0" w:oddHBand="0" w:evenHBand="0" w:firstRowFirstColumn="0" w:firstRowLastColumn="0" w:lastRowFirstColumn="0" w:lastRowLastColumn="0"/>
              <w:rPr>
                <w:rFonts w:eastAsia="Times New Roman"/>
                <w:b w:val="0"/>
                <w:bCs w:val="0"/>
                <w:sz w:val="22"/>
                <w:lang w:eastAsia="cs-CZ"/>
              </w:rPr>
            </w:pPr>
            <w:r w:rsidRPr="00473A72">
              <w:rPr>
                <w:rFonts w:eastAsia="Times New Roman"/>
                <w:b w:val="0"/>
                <w:bCs w:val="0"/>
                <w:sz w:val="22"/>
                <w:lang w:eastAsia="cs-CZ"/>
              </w:rPr>
              <w:t>VODOVOD</w:t>
            </w:r>
          </w:p>
        </w:tc>
        <w:tc>
          <w:tcPr>
            <w:tcW w:w="4082" w:type="dxa"/>
            <w:gridSpan w:val="2"/>
            <w:vAlign w:val="center"/>
          </w:tcPr>
          <w:p w14:paraId="5B6C4EDB" w14:textId="77777777" w:rsidR="006B7A44" w:rsidRPr="00473A72" w:rsidRDefault="006B7A44" w:rsidP="006B7A44">
            <w:pPr>
              <w:spacing w:before="0" w:after="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22"/>
                <w:lang w:eastAsia="cs-CZ"/>
              </w:rPr>
            </w:pPr>
            <w:r w:rsidRPr="001657BD">
              <w:rPr>
                <w:rFonts w:asciiTheme="majorHAnsi" w:eastAsia="Times New Roman" w:hAnsiTheme="majorHAnsi"/>
                <w:bCs w:val="0"/>
                <w:sz w:val="20"/>
                <w:szCs w:val="20"/>
                <w:lang w:eastAsia="cs-CZ"/>
              </w:rPr>
              <w:t>ZDŮVODNĚNÍ</w:t>
            </w:r>
          </w:p>
        </w:tc>
      </w:tr>
      <w:tr w:rsidR="006B7A44" w:rsidRPr="002B20DB" w14:paraId="2346BF83" w14:textId="77777777" w:rsidTr="006B7A44">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3612A56B"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1</w:t>
            </w:r>
          </w:p>
        </w:tc>
        <w:tc>
          <w:tcPr>
            <w:tcW w:w="4941" w:type="dxa"/>
            <w:gridSpan w:val="2"/>
            <w:noWrap/>
            <w:vAlign w:val="center"/>
            <w:hideMark/>
          </w:tcPr>
          <w:p w14:paraId="0460DB6F" w14:textId="43DA5539" w:rsidR="006B7A44" w:rsidRPr="005468B0"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Vysoké ztráty vody v mil. m</w:t>
            </w:r>
            <w:r w:rsidRPr="00BC03D3">
              <w:rPr>
                <w:rFonts w:ascii="Calibri Light" w:hAnsi="Calibri Light"/>
                <w:smallCaps/>
                <w:sz w:val="20"/>
                <w:szCs w:val="20"/>
                <w:vertAlign w:val="superscript"/>
              </w:rPr>
              <w:t>3</w:t>
            </w:r>
            <w:r w:rsidRPr="005468B0">
              <w:rPr>
                <w:rFonts w:ascii="Calibri Light" w:hAnsi="Calibri Light"/>
                <w:smallCaps/>
                <w:sz w:val="20"/>
                <w:szCs w:val="20"/>
              </w:rPr>
              <w:t xml:space="preserve"> (převyšuje 1,5 násobek mediánu skupiny z porovnání vykazujících ztráty vody nad 4 m</w:t>
            </w:r>
            <w:r w:rsidRPr="00BC03D3">
              <w:rPr>
                <w:rFonts w:ascii="Calibri Light" w:hAnsi="Calibri Light"/>
                <w:smallCaps/>
                <w:sz w:val="20"/>
                <w:szCs w:val="20"/>
                <w:vertAlign w:val="superscript"/>
              </w:rPr>
              <w:t>3</w:t>
            </w:r>
            <w:r w:rsidRPr="005468B0">
              <w:rPr>
                <w:rFonts w:ascii="Calibri Light" w:hAnsi="Calibri Light"/>
                <w:smallCaps/>
                <w:sz w:val="20"/>
                <w:szCs w:val="20"/>
              </w:rPr>
              <w:t>/km/den)</w:t>
            </w:r>
          </w:p>
        </w:tc>
        <w:tc>
          <w:tcPr>
            <w:tcW w:w="3940" w:type="dxa"/>
            <w:vAlign w:val="center"/>
          </w:tcPr>
          <w:p w14:paraId="12CED179" w14:textId="77777777" w:rsidR="006B7A44" w:rsidRPr="00CE3AD4"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bCs/>
                <w:smallCaps/>
                <w:sz w:val="22"/>
                <w:lang w:eastAsia="cs-CZ"/>
              </w:rPr>
            </w:pPr>
            <w:r>
              <w:rPr>
                <w:rFonts w:ascii="Calibri Light" w:hAnsi="Calibri Light"/>
                <w:color w:val="000000"/>
                <w:sz w:val="20"/>
                <w:szCs w:val="20"/>
              </w:rPr>
              <w:t>nedostatečná péče o VIM</w:t>
            </w:r>
          </w:p>
        </w:tc>
      </w:tr>
      <w:tr w:rsidR="006B7A44" w:rsidRPr="002B20DB" w14:paraId="5038A4AB" w14:textId="77777777" w:rsidTr="006B7A44">
        <w:trPr>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6C2DD30A"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2</w:t>
            </w:r>
          </w:p>
        </w:tc>
        <w:tc>
          <w:tcPr>
            <w:tcW w:w="4941" w:type="dxa"/>
            <w:gridSpan w:val="2"/>
            <w:noWrap/>
            <w:vAlign w:val="center"/>
            <w:hideMark/>
          </w:tcPr>
          <w:p w14:paraId="3506074B" w14:textId="77777777" w:rsidR="006B7A44" w:rsidRPr="005468B0"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Vysoký podíl ztrát vody na vodě určené k realizaci v % (převyšuje 1,5 násobek mediánu skupiny z porovnání vykazujících ztráty vody nad 4 m</w:t>
            </w:r>
            <w:r w:rsidRPr="00BC03D3">
              <w:rPr>
                <w:rFonts w:ascii="Calibri Light" w:hAnsi="Calibri Light"/>
                <w:smallCaps/>
                <w:sz w:val="20"/>
                <w:szCs w:val="20"/>
                <w:vertAlign w:val="superscript"/>
              </w:rPr>
              <w:t>3</w:t>
            </w:r>
            <w:r w:rsidRPr="005468B0">
              <w:rPr>
                <w:rFonts w:ascii="Calibri Light" w:hAnsi="Calibri Light"/>
                <w:smallCaps/>
                <w:sz w:val="20"/>
                <w:szCs w:val="20"/>
              </w:rPr>
              <w:t>/km/den)</w:t>
            </w:r>
          </w:p>
        </w:tc>
        <w:tc>
          <w:tcPr>
            <w:tcW w:w="3940" w:type="dxa"/>
            <w:vAlign w:val="center"/>
          </w:tcPr>
          <w:p w14:paraId="43528803" w14:textId="77777777" w:rsidR="006B7A44" w:rsidRPr="00CE3AD4"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bCs/>
                <w:smallCaps/>
                <w:sz w:val="22"/>
                <w:lang w:eastAsia="cs-CZ"/>
              </w:rPr>
            </w:pPr>
            <w:r>
              <w:rPr>
                <w:rFonts w:ascii="Calibri Light" w:hAnsi="Calibri Light"/>
                <w:color w:val="000000"/>
                <w:sz w:val="20"/>
                <w:szCs w:val="20"/>
              </w:rPr>
              <w:t>nedostatečná péče o VIM</w:t>
            </w:r>
          </w:p>
        </w:tc>
      </w:tr>
      <w:tr w:rsidR="006B7A44" w:rsidRPr="002B20DB" w14:paraId="35D537EE" w14:textId="77777777" w:rsidTr="006B7A44">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28121C33"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3</w:t>
            </w:r>
          </w:p>
        </w:tc>
        <w:tc>
          <w:tcPr>
            <w:tcW w:w="4941" w:type="dxa"/>
            <w:gridSpan w:val="2"/>
            <w:noWrap/>
            <w:vAlign w:val="center"/>
            <w:hideMark/>
          </w:tcPr>
          <w:p w14:paraId="59D08F77" w14:textId="77777777" w:rsidR="006B7A44" w:rsidRPr="005468B0"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Voda nefakturovaná na 1 km přepočtené délky vodovodního řadu na den (převyšuje 1,5 násobek mediánu skupiny z porovnání vykazujících ztráty vody nad 4 m</w:t>
            </w:r>
            <w:r w:rsidRPr="00BC03D3">
              <w:rPr>
                <w:rFonts w:ascii="Calibri Light" w:hAnsi="Calibri Light"/>
                <w:smallCaps/>
                <w:sz w:val="20"/>
                <w:szCs w:val="20"/>
                <w:vertAlign w:val="superscript"/>
              </w:rPr>
              <w:t>3</w:t>
            </w:r>
            <w:r w:rsidRPr="005468B0">
              <w:rPr>
                <w:rFonts w:ascii="Calibri Light" w:hAnsi="Calibri Light"/>
                <w:smallCaps/>
                <w:sz w:val="20"/>
                <w:szCs w:val="20"/>
              </w:rPr>
              <w:t>/km/den)</w:t>
            </w:r>
          </w:p>
        </w:tc>
        <w:tc>
          <w:tcPr>
            <w:tcW w:w="3940" w:type="dxa"/>
            <w:vAlign w:val="center"/>
          </w:tcPr>
          <w:p w14:paraId="311CB840" w14:textId="77777777" w:rsidR="006B7A44" w:rsidRPr="00CE3AD4"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bCs/>
                <w:smallCaps/>
                <w:sz w:val="22"/>
                <w:lang w:eastAsia="cs-CZ"/>
              </w:rPr>
            </w:pPr>
            <w:r>
              <w:rPr>
                <w:rFonts w:ascii="Calibri Light" w:hAnsi="Calibri Light"/>
                <w:color w:val="000000"/>
                <w:sz w:val="20"/>
                <w:szCs w:val="20"/>
              </w:rPr>
              <w:t>podíl vody nepřinášející výnosy k pokrytí souvisejících nákladů (zkreslen např. tzv. areálovými vodovody), doplňuje údaje o ztrátách vody</w:t>
            </w:r>
          </w:p>
        </w:tc>
      </w:tr>
      <w:tr w:rsidR="006B7A44" w:rsidRPr="002B20DB" w14:paraId="4C5C93FA" w14:textId="77777777" w:rsidTr="006B7A44">
        <w:trPr>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4FCF86A4"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5</w:t>
            </w:r>
          </w:p>
        </w:tc>
        <w:tc>
          <w:tcPr>
            <w:tcW w:w="4941" w:type="dxa"/>
            <w:gridSpan w:val="2"/>
            <w:noWrap/>
            <w:vAlign w:val="center"/>
            <w:hideMark/>
          </w:tcPr>
          <w:p w14:paraId="676D31F8" w14:textId="77777777" w:rsidR="006B7A44" w:rsidRPr="005468B0"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Nulové ztráty vody</w:t>
            </w:r>
          </w:p>
        </w:tc>
        <w:tc>
          <w:tcPr>
            <w:tcW w:w="3940" w:type="dxa"/>
            <w:vAlign w:val="center"/>
          </w:tcPr>
          <w:p w14:paraId="6322E29D" w14:textId="77777777" w:rsidR="006B7A44" w:rsidRPr="00CE3AD4"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bCs/>
                <w:smallCaps/>
                <w:sz w:val="22"/>
                <w:lang w:eastAsia="cs-CZ"/>
              </w:rPr>
            </w:pPr>
            <w:r>
              <w:rPr>
                <w:rFonts w:ascii="Calibri Light" w:hAnsi="Calibri Light"/>
                <w:color w:val="000000"/>
                <w:sz w:val="20"/>
                <w:szCs w:val="20"/>
              </w:rPr>
              <w:t>chybné vykazování dat</w:t>
            </w:r>
          </w:p>
        </w:tc>
      </w:tr>
      <w:tr w:rsidR="006B7A44" w:rsidRPr="002B20DB" w14:paraId="25BE9443" w14:textId="77777777" w:rsidTr="006B7A44">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16A5A9BA"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6</w:t>
            </w:r>
          </w:p>
        </w:tc>
        <w:tc>
          <w:tcPr>
            <w:tcW w:w="4941" w:type="dxa"/>
            <w:gridSpan w:val="2"/>
            <w:noWrap/>
            <w:vAlign w:val="center"/>
            <w:hideMark/>
          </w:tcPr>
          <w:p w14:paraId="6C6CF81E" w14:textId="77777777" w:rsidR="006B7A44" w:rsidRPr="005468B0"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Záporný kalkulační zisk</w:t>
            </w:r>
          </w:p>
        </w:tc>
        <w:tc>
          <w:tcPr>
            <w:tcW w:w="3940" w:type="dxa"/>
            <w:vAlign w:val="center"/>
          </w:tcPr>
          <w:p w14:paraId="2B7795E7" w14:textId="77777777" w:rsidR="006B7A44" w:rsidRPr="00CE3AD4"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bCs/>
                <w:smallCaps/>
                <w:sz w:val="22"/>
                <w:lang w:eastAsia="cs-CZ"/>
              </w:rPr>
            </w:pPr>
            <w:r>
              <w:rPr>
                <w:rFonts w:ascii="Calibri Light" w:hAnsi="Calibri Light"/>
                <w:color w:val="000000"/>
                <w:sz w:val="20"/>
                <w:szCs w:val="20"/>
              </w:rPr>
              <w:t>dotace ceny; ztrátové hospodaření</w:t>
            </w:r>
          </w:p>
        </w:tc>
      </w:tr>
      <w:tr w:rsidR="006B7A44" w:rsidRPr="002B20DB" w14:paraId="3BF298F1" w14:textId="77777777" w:rsidTr="006B7A44">
        <w:trPr>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1B4AA3E9"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7</w:t>
            </w:r>
          </w:p>
        </w:tc>
        <w:tc>
          <w:tcPr>
            <w:tcW w:w="4941" w:type="dxa"/>
            <w:gridSpan w:val="2"/>
            <w:noWrap/>
            <w:vAlign w:val="center"/>
            <w:hideMark/>
          </w:tcPr>
          <w:p w14:paraId="197EE5C2" w14:textId="77777777" w:rsidR="006B7A44" w:rsidRPr="005468B0"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Nulové vodné celkem</w:t>
            </w:r>
          </w:p>
        </w:tc>
        <w:tc>
          <w:tcPr>
            <w:tcW w:w="3940" w:type="dxa"/>
            <w:vAlign w:val="center"/>
          </w:tcPr>
          <w:p w14:paraId="3440FB39" w14:textId="77777777" w:rsidR="006B7A44" w:rsidRPr="00CE3AD4"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bCs/>
                <w:smallCaps/>
                <w:sz w:val="22"/>
                <w:lang w:eastAsia="cs-CZ"/>
              </w:rPr>
            </w:pPr>
            <w:r>
              <w:rPr>
                <w:rFonts w:ascii="Calibri Light" w:hAnsi="Calibri Light"/>
                <w:color w:val="000000"/>
                <w:sz w:val="20"/>
                <w:szCs w:val="20"/>
              </w:rPr>
              <w:t>dotování ceny</w:t>
            </w:r>
          </w:p>
        </w:tc>
      </w:tr>
      <w:tr w:rsidR="006B7A44" w:rsidRPr="002B20DB" w14:paraId="5F78AA90" w14:textId="77777777" w:rsidTr="006B7A44">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64E22A38"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8</w:t>
            </w:r>
          </w:p>
        </w:tc>
        <w:tc>
          <w:tcPr>
            <w:tcW w:w="4941" w:type="dxa"/>
            <w:gridSpan w:val="2"/>
            <w:noWrap/>
            <w:vAlign w:val="center"/>
            <w:hideMark/>
          </w:tcPr>
          <w:p w14:paraId="537A89EC" w14:textId="77777777" w:rsidR="006B7A44" w:rsidRPr="005468B0"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Vysoký podíl kalkulačního zisku k rozdělení na ÚVN (více než 1,5 násobek průměru z porovnání splňujících stanovená kritéria)</w:t>
            </w:r>
          </w:p>
        </w:tc>
        <w:tc>
          <w:tcPr>
            <w:tcW w:w="3940" w:type="dxa"/>
            <w:vAlign w:val="center"/>
          </w:tcPr>
          <w:p w14:paraId="1F0A0BF0" w14:textId="77777777" w:rsidR="006B7A44" w:rsidRPr="00837030"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Pr>
                <w:rFonts w:ascii="Calibri Light" w:hAnsi="Calibri Light"/>
                <w:color w:val="000000"/>
                <w:sz w:val="20"/>
                <w:szCs w:val="20"/>
              </w:rPr>
              <w:t>příliš vysoká ziskovost a odliv prostředků ze sektoru</w:t>
            </w:r>
          </w:p>
        </w:tc>
      </w:tr>
      <w:tr w:rsidR="006B7A44" w:rsidRPr="002B20DB" w14:paraId="67E450EA" w14:textId="77777777" w:rsidTr="006B7A44">
        <w:trPr>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33342EE1"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9</w:t>
            </w:r>
          </w:p>
        </w:tc>
        <w:tc>
          <w:tcPr>
            <w:tcW w:w="4941" w:type="dxa"/>
            <w:gridSpan w:val="2"/>
            <w:noWrap/>
            <w:vAlign w:val="center"/>
            <w:hideMark/>
          </w:tcPr>
          <w:p w14:paraId="73F73C09" w14:textId="77777777" w:rsidR="006B7A44" w:rsidRPr="005468B0"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Vysoká cena pro vodné (více než 1,5 násobek průměru z porovnání splňujících stanovená kritéria)</w:t>
            </w:r>
          </w:p>
        </w:tc>
        <w:tc>
          <w:tcPr>
            <w:tcW w:w="3940" w:type="dxa"/>
            <w:vAlign w:val="center"/>
          </w:tcPr>
          <w:p w14:paraId="6EC71E5A" w14:textId="77777777" w:rsidR="006B7A44" w:rsidRPr="00837030"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szCs w:val="20"/>
              </w:rPr>
            </w:pPr>
            <w:r>
              <w:rPr>
                <w:rFonts w:ascii="Calibri Light" w:hAnsi="Calibri Light"/>
                <w:color w:val="000000"/>
                <w:sz w:val="20"/>
                <w:szCs w:val="20"/>
              </w:rPr>
              <w:t>vysoká nákladovost nebo ziskovost, problém sociální únosnosti ceny</w:t>
            </w:r>
          </w:p>
        </w:tc>
      </w:tr>
      <w:tr w:rsidR="006B7A44" w:rsidRPr="002B20DB" w14:paraId="01D5FE1F" w14:textId="77777777" w:rsidTr="006B7A44">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3D010257"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10</w:t>
            </w:r>
          </w:p>
        </w:tc>
        <w:tc>
          <w:tcPr>
            <w:tcW w:w="4941" w:type="dxa"/>
            <w:gridSpan w:val="2"/>
            <w:vAlign w:val="center"/>
            <w:hideMark/>
          </w:tcPr>
          <w:p w14:paraId="6AC39B92" w14:textId="77777777" w:rsidR="006B7A44" w:rsidRPr="005468B0"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Nulové mzdové náklady + nenulový počet zaměstnanců</w:t>
            </w:r>
          </w:p>
        </w:tc>
        <w:tc>
          <w:tcPr>
            <w:tcW w:w="3940" w:type="dxa"/>
            <w:vAlign w:val="center"/>
          </w:tcPr>
          <w:p w14:paraId="6D341351" w14:textId="77777777" w:rsidR="006B7A44" w:rsidRPr="00CE3AD4"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bCs/>
                <w:smallCaps/>
                <w:sz w:val="22"/>
                <w:lang w:eastAsia="cs-CZ"/>
              </w:rPr>
            </w:pPr>
            <w:r>
              <w:rPr>
                <w:rFonts w:ascii="Calibri Light" w:hAnsi="Calibri Light"/>
                <w:color w:val="000000"/>
                <w:sz w:val="20"/>
                <w:szCs w:val="20"/>
              </w:rPr>
              <w:t>chybné vykazování dat</w:t>
            </w:r>
          </w:p>
        </w:tc>
      </w:tr>
      <w:tr w:rsidR="006B7A44" w:rsidRPr="002B20DB" w14:paraId="2B7F60F4" w14:textId="77777777" w:rsidTr="006B7A44">
        <w:trPr>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098289C3"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11</w:t>
            </w:r>
          </w:p>
        </w:tc>
        <w:tc>
          <w:tcPr>
            <w:tcW w:w="4941" w:type="dxa"/>
            <w:gridSpan w:val="2"/>
            <w:noWrap/>
            <w:vAlign w:val="center"/>
            <w:hideMark/>
          </w:tcPr>
          <w:p w14:paraId="6FEBAE8B" w14:textId="77777777" w:rsidR="006B7A44" w:rsidRPr="005468B0"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Nulový počet zaměstnanců + vykázané mzdové náklady</w:t>
            </w:r>
          </w:p>
        </w:tc>
        <w:tc>
          <w:tcPr>
            <w:tcW w:w="3940" w:type="dxa"/>
            <w:vAlign w:val="center"/>
          </w:tcPr>
          <w:p w14:paraId="3F93FDE0" w14:textId="77777777" w:rsidR="006B7A44" w:rsidRPr="00CE3AD4" w:rsidRDefault="006B7A44" w:rsidP="006B7A44">
            <w:pPr>
              <w:spacing w:before="0" w:after="0" w:line="240" w:lineRule="atLeast"/>
              <w:jc w:val="lef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bCs/>
                <w:smallCaps/>
                <w:sz w:val="22"/>
                <w:lang w:eastAsia="cs-CZ"/>
              </w:rPr>
            </w:pPr>
            <w:r>
              <w:rPr>
                <w:rFonts w:ascii="Calibri Light" w:hAnsi="Calibri Light"/>
                <w:color w:val="000000"/>
                <w:sz w:val="20"/>
                <w:szCs w:val="20"/>
              </w:rPr>
              <w:t>chybné vykazování dat</w:t>
            </w:r>
          </w:p>
        </w:tc>
      </w:tr>
      <w:tr w:rsidR="006B7A44" w:rsidRPr="002B20DB" w14:paraId="0F593555" w14:textId="77777777" w:rsidTr="006B7A44">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41" w:type="dxa"/>
            <w:vAlign w:val="center"/>
          </w:tcPr>
          <w:p w14:paraId="50B73DAB" w14:textId="77777777" w:rsidR="006B7A44" w:rsidRPr="00C14900" w:rsidRDefault="006B7A44" w:rsidP="006B7A44">
            <w:pPr>
              <w:spacing w:before="0" w:after="0"/>
              <w:contextualSpacing w:val="0"/>
              <w:jc w:val="left"/>
              <w:rPr>
                <w:rFonts w:ascii="Calibri Light" w:eastAsia="Times New Roman" w:hAnsi="Calibri Light"/>
                <w:b w:val="0"/>
                <w:bCs w:val="0"/>
                <w:sz w:val="20"/>
                <w:szCs w:val="20"/>
                <w:lang w:eastAsia="cs-CZ"/>
              </w:rPr>
            </w:pPr>
            <w:r w:rsidRPr="00C14900">
              <w:rPr>
                <w:rFonts w:ascii="Calibri Light" w:eastAsia="Times New Roman" w:hAnsi="Calibri Light"/>
                <w:b w:val="0"/>
                <w:bCs w:val="0"/>
                <w:sz w:val="20"/>
                <w:szCs w:val="20"/>
                <w:lang w:eastAsia="cs-CZ"/>
              </w:rPr>
              <w:t>12</w:t>
            </w:r>
          </w:p>
        </w:tc>
        <w:tc>
          <w:tcPr>
            <w:tcW w:w="4941" w:type="dxa"/>
            <w:gridSpan w:val="2"/>
            <w:noWrap/>
            <w:vAlign w:val="center"/>
          </w:tcPr>
          <w:p w14:paraId="20C59879" w14:textId="77777777" w:rsidR="006B7A44" w:rsidRPr="005468B0"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5468B0">
              <w:rPr>
                <w:rFonts w:ascii="Calibri Light" w:hAnsi="Calibri Light"/>
                <w:smallCaps/>
                <w:sz w:val="20"/>
                <w:szCs w:val="20"/>
              </w:rPr>
              <w:t>Podíl nevyhovující fyzikálně chemické vzorky (víc než 20% nevyhovujících vzorků)</w:t>
            </w:r>
          </w:p>
        </w:tc>
        <w:tc>
          <w:tcPr>
            <w:tcW w:w="3940" w:type="dxa"/>
            <w:vAlign w:val="center"/>
          </w:tcPr>
          <w:p w14:paraId="57771B25" w14:textId="77777777" w:rsidR="006B7A44" w:rsidRPr="00CE3AD4" w:rsidRDefault="006B7A44" w:rsidP="006B7A44">
            <w:pPr>
              <w:spacing w:before="0" w:after="0" w:line="240" w:lineRule="atLeast"/>
              <w:jc w:val="left"/>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bCs/>
                <w:smallCaps/>
                <w:sz w:val="22"/>
                <w:lang w:eastAsia="cs-CZ"/>
              </w:rPr>
            </w:pPr>
            <w:r>
              <w:rPr>
                <w:rFonts w:ascii="Calibri Light" w:hAnsi="Calibri Light"/>
                <w:color w:val="000000"/>
                <w:sz w:val="20"/>
                <w:szCs w:val="20"/>
              </w:rPr>
              <w:t>ohrožení kvality dodávaných služeb</w:t>
            </w:r>
          </w:p>
        </w:tc>
      </w:tr>
    </w:tbl>
    <w:p w14:paraId="1F2E1941" w14:textId="77777777" w:rsidR="006B7A44" w:rsidRDefault="006B7A44" w:rsidP="006B7A44">
      <w:pPr>
        <w:pStyle w:val="NORMLN0"/>
        <w:rPr>
          <w:noProof/>
        </w:rPr>
      </w:pPr>
    </w:p>
    <w:tbl>
      <w:tblPr>
        <w:tblStyle w:val="Tabulkasmkou4zvraznn21"/>
        <w:tblW w:w="5161" w:type="pct"/>
        <w:tblLayout w:type="fixed"/>
        <w:tblLook w:val="04A0" w:firstRow="1" w:lastRow="0" w:firstColumn="1" w:lastColumn="0" w:noHBand="0" w:noVBand="1"/>
      </w:tblPr>
      <w:tblGrid>
        <w:gridCol w:w="488"/>
        <w:gridCol w:w="4895"/>
        <w:gridCol w:w="3969"/>
      </w:tblGrid>
      <w:tr w:rsidR="006B7A44" w:rsidRPr="003A1F76" w14:paraId="72FCE281" w14:textId="77777777" w:rsidTr="006B7A44">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468B8F15" w14:textId="77777777" w:rsidR="006B7A44" w:rsidRPr="001657BD" w:rsidRDefault="006B7A44" w:rsidP="00140C3D">
            <w:pPr>
              <w:spacing w:before="0" w:after="0"/>
              <w:contextualSpacing w:val="0"/>
              <w:jc w:val="left"/>
              <w:rPr>
                <w:rFonts w:asciiTheme="majorHAnsi" w:eastAsia="Times New Roman" w:hAnsiTheme="majorHAnsi"/>
                <w:bCs w:val="0"/>
                <w:sz w:val="20"/>
                <w:szCs w:val="20"/>
                <w:lang w:eastAsia="cs-CZ"/>
              </w:rPr>
            </w:pPr>
            <w:r w:rsidRPr="00235CAC">
              <w:rPr>
                <w:rFonts w:asciiTheme="majorHAnsi" w:eastAsia="Times New Roman" w:hAnsiTheme="majorHAnsi"/>
                <w:bCs w:val="0"/>
                <w:smallCaps/>
                <w:szCs w:val="20"/>
                <w:lang w:eastAsia="cs-CZ"/>
              </w:rPr>
              <w:t xml:space="preserve">Benchmarking </w:t>
            </w:r>
            <w:r>
              <w:rPr>
                <w:rFonts w:asciiTheme="majorHAnsi" w:eastAsia="Times New Roman" w:hAnsiTheme="majorHAnsi"/>
                <w:bCs w:val="0"/>
                <w:smallCaps/>
                <w:szCs w:val="20"/>
                <w:lang w:eastAsia="cs-CZ"/>
              </w:rPr>
              <w:t>provozovatelských</w:t>
            </w:r>
            <w:r w:rsidRPr="00235CAC">
              <w:rPr>
                <w:rFonts w:asciiTheme="majorHAnsi" w:eastAsia="Times New Roman" w:hAnsiTheme="majorHAnsi"/>
                <w:bCs w:val="0"/>
                <w:smallCaps/>
                <w:szCs w:val="20"/>
                <w:lang w:eastAsia="cs-CZ"/>
              </w:rPr>
              <w:t xml:space="preserve"> subjektů:</w:t>
            </w:r>
          </w:p>
        </w:tc>
      </w:tr>
      <w:tr w:rsidR="006B7A44" w:rsidRPr="003A1F76" w14:paraId="7BD7C2F5" w14:textId="77777777" w:rsidTr="006B7A44">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1" w:type="pct"/>
            <w:shd w:val="clear" w:color="auto" w:fill="ED7D31" w:themeFill="accent2"/>
            <w:vAlign w:val="center"/>
          </w:tcPr>
          <w:p w14:paraId="6A8A72CF" w14:textId="77777777" w:rsidR="006B7A44" w:rsidRPr="00DB4EE8" w:rsidRDefault="006B7A44" w:rsidP="00140C3D">
            <w:pPr>
              <w:spacing w:before="0" w:after="0"/>
              <w:contextualSpacing w:val="0"/>
              <w:jc w:val="left"/>
              <w:rPr>
                <w:rFonts w:eastAsia="Times New Roman"/>
                <w:b w:val="0"/>
                <w:bCs w:val="0"/>
                <w:color w:val="FFFFFF"/>
                <w:sz w:val="22"/>
                <w:lang w:eastAsia="cs-CZ"/>
              </w:rPr>
            </w:pPr>
          </w:p>
        </w:tc>
        <w:tc>
          <w:tcPr>
            <w:tcW w:w="2617" w:type="pct"/>
            <w:shd w:val="clear" w:color="auto" w:fill="ED7D31" w:themeFill="accent2"/>
            <w:vAlign w:val="center"/>
            <w:hideMark/>
          </w:tcPr>
          <w:p w14:paraId="5C636A74" w14:textId="77777777" w:rsidR="006B7A44" w:rsidRPr="005468B0" w:rsidRDefault="006B7A44" w:rsidP="00140C3D">
            <w:pPr>
              <w:spacing w:before="0" w:after="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b/>
                <w:bCs/>
                <w:color w:val="FFFFFF"/>
                <w:sz w:val="22"/>
                <w:lang w:eastAsia="cs-CZ"/>
              </w:rPr>
            </w:pPr>
            <w:r w:rsidRPr="005468B0">
              <w:rPr>
                <w:rFonts w:eastAsia="Times New Roman"/>
                <w:b/>
                <w:bCs/>
                <w:color w:val="FFFFFF"/>
                <w:sz w:val="22"/>
                <w:lang w:eastAsia="cs-CZ"/>
              </w:rPr>
              <w:t>KANALIZACE</w:t>
            </w:r>
          </w:p>
        </w:tc>
        <w:tc>
          <w:tcPr>
            <w:tcW w:w="2122" w:type="pct"/>
            <w:shd w:val="clear" w:color="auto" w:fill="ED7D31" w:themeFill="accent2"/>
            <w:vAlign w:val="center"/>
          </w:tcPr>
          <w:p w14:paraId="6CF7DC9F" w14:textId="77777777" w:rsidR="006B7A44" w:rsidRPr="006B7A44" w:rsidRDefault="006B7A44" w:rsidP="00140C3D">
            <w:pPr>
              <w:spacing w:before="0" w:after="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b/>
                <w:bCs/>
                <w:color w:val="FFFFFF"/>
                <w:sz w:val="22"/>
                <w:lang w:eastAsia="cs-CZ"/>
              </w:rPr>
            </w:pPr>
            <w:r w:rsidRPr="006B7A44">
              <w:rPr>
                <w:rFonts w:eastAsia="Times New Roman"/>
                <w:b/>
                <w:bCs/>
                <w:color w:val="FFFFFF"/>
                <w:sz w:val="22"/>
                <w:lang w:eastAsia="cs-CZ"/>
              </w:rPr>
              <w:t>ZDŮVODNĚNÍ</w:t>
            </w:r>
          </w:p>
        </w:tc>
      </w:tr>
      <w:tr w:rsidR="006B7A44" w:rsidRPr="003A1F76" w14:paraId="26C8C935" w14:textId="77777777" w:rsidTr="00140C3D">
        <w:trPr>
          <w:trHeight w:val="319"/>
        </w:trPr>
        <w:tc>
          <w:tcPr>
            <w:cnfStyle w:val="001000000000" w:firstRow="0" w:lastRow="0" w:firstColumn="1" w:lastColumn="0" w:oddVBand="0" w:evenVBand="0" w:oddHBand="0" w:evenHBand="0" w:firstRowFirstColumn="0" w:firstRowLastColumn="0" w:lastRowFirstColumn="0" w:lastRowLastColumn="0"/>
            <w:tcW w:w="261" w:type="pct"/>
            <w:vAlign w:val="center"/>
          </w:tcPr>
          <w:p w14:paraId="1F5F334E" w14:textId="77777777" w:rsidR="006B7A44" w:rsidRPr="00DB4EE8" w:rsidRDefault="006B7A44" w:rsidP="00140C3D">
            <w:pPr>
              <w:jc w:val="left"/>
              <w:rPr>
                <w:rFonts w:ascii="Calibri Light" w:hAnsi="Calibri Light"/>
                <w:b w:val="0"/>
                <w:smallCaps/>
                <w:sz w:val="20"/>
              </w:rPr>
            </w:pPr>
            <w:r w:rsidRPr="00DB4EE8">
              <w:rPr>
                <w:rFonts w:ascii="Calibri Light" w:hAnsi="Calibri Light"/>
                <w:b w:val="0"/>
                <w:smallCaps/>
                <w:sz w:val="20"/>
              </w:rPr>
              <w:t>1</w:t>
            </w:r>
          </w:p>
        </w:tc>
        <w:tc>
          <w:tcPr>
            <w:tcW w:w="2617" w:type="pct"/>
            <w:noWrap/>
            <w:vAlign w:val="center"/>
            <w:hideMark/>
          </w:tcPr>
          <w:p w14:paraId="22400C62" w14:textId="77777777" w:rsidR="006B7A44" w:rsidRPr="00BB6E99" w:rsidRDefault="006B7A44" w:rsidP="00140C3D">
            <w:pPr>
              <w:spacing w:before="0" w:after="0"/>
              <w:contextualSpacing w:val="0"/>
              <w:jc w:val="left"/>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bCs/>
                <w:smallCaps/>
                <w:sz w:val="20"/>
                <w:szCs w:val="20"/>
                <w:lang w:eastAsia="cs-CZ"/>
              </w:rPr>
            </w:pPr>
            <w:r w:rsidRPr="00BB6E99">
              <w:rPr>
                <w:rFonts w:ascii="Calibri Light" w:hAnsi="Calibri Light"/>
                <w:smallCaps/>
                <w:sz w:val="20"/>
              </w:rPr>
              <w:t>Záporný kalkulační zisk</w:t>
            </w:r>
          </w:p>
        </w:tc>
        <w:tc>
          <w:tcPr>
            <w:tcW w:w="2122" w:type="pct"/>
            <w:vAlign w:val="center"/>
          </w:tcPr>
          <w:p w14:paraId="0E27C54D" w14:textId="77777777" w:rsidR="006B7A44" w:rsidRPr="00BB6E99" w:rsidRDefault="006B7A44" w:rsidP="00140C3D">
            <w:pPr>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rPr>
            </w:pPr>
            <w:r w:rsidRPr="00BB6E99">
              <w:rPr>
                <w:rFonts w:ascii="Calibri Light" w:hAnsi="Calibri Light"/>
                <w:sz w:val="20"/>
              </w:rPr>
              <w:t>dotace ceny; ztrátové hospodaření</w:t>
            </w:r>
          </w:p>
        </w:tc>
      </w:tr>
      <w:tr w:rsidR="006B7A44" w:rsidRPr="003A1F76" w14:paraId="153D1BA1" w14:textId="77777777" w:rsidTr="00140C3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1" w:type="pct"/>
            <w:vAlign w:val="center"/>
          </w:tcPr>
          <w:p w14:paraId="7FDBAC80" w14:textId="77777777" w:rsidR="006B7A44" w:rsidRPr="00DB4EE8" w:rsidRDefault="006B7A44" w:rsidP="00140C3D">
            <w:pPr>
              <w:jc w:val="left"/>
              <w:rPr>
                <w:rFonts w:ascii="Calibri Light" w:hAnsi="Calibri Light"/>
                <w:b w:val="0"/>
                <w:smallCaps/>
                <w:sz w:val="20"/>
              </w:rPr>
            </w:pPr>
            <w:r w:rsidRPr="00DB4EE8">
              <w:rPr>
                <w:rFonts w:ascii="Calibri Light" w:hAnsi="Calibri Light"/>
                <w:b w:val="0"/>
                <w:smallCaps/>
                <w:sz w:val="20"/>
              </w:rPr>
              <w:t>3</w:t>
            </w:r>
          </w:p>
        </w:tc>
        <w:tc>
          <w:tcPr>
            <w:tcW w:w="2617" w:type="pct"/>
            <w:noWrap/>
            <w:vAlign w:val="center"/>
            <w:hideMark/>
          </w:tcPr>
          <w:p w14:paraId="297597D2" w14:textId="77777777" w:rsidR="006B7A44" w:rsidRPr="00BB6E99" w:rsidRDefault="006B7A44" w:rsidP="00140C3D">
            <w:pPr>
              <w:spacing w:before="0" w:after="0"/>
              <w:contextualSpacing w:val="0"/>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BB6E99">
              <w:rPr>
                <w:rFonts w:ascii="Calibri Light" w:hAnsi="Calibri Light"/>
                <w:smallCaps/>
                <w:sz w:val="20"/>
              </w:rPr>
              <w:t xml:space="preserve">Nulové stočné celkem </w:t>
            </w:r>
          </w:p>
        </w:tc>
        <w:tc>
          <w:tcPr>
            <w:tcW w:w="2122" w:type="pct"/>
            <w:vAlign w:val="center"/>
          </w:tcPr>
          <w:p w14:paraId="1F4E2DBB" w14:textId="77777777" w:rsidR="006B7A44" w:rsidRPr="00BB6E99" w:rsidRDefault="006B7A44" w:rsidP="00140C3D">
            <w:pPr>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rPr>
            </w:pPr>
            <w:r w:rsidRPr="00BB6E99">
              <w:rPr>
                <w:rFonts w:ascii="Calibri Light" w:hAnsi="Calibri Light"/>
                <w:sz w:val="20"/>
              </w:rPr>
              <w:t>rozhodnutí o použití nulové ceny pro stočné</w:t>
            </w:r>
          </w:p>
        </w:tc>
      </w:tr>
      <w:tr w:rsidR="006B7A44" w:rsidRPr="003A1F76" w14:paraId="12800FCF" w14:textId="77777777" w:rsidTr="00140C3D">
        <w:trPr>
          <w:trHeight w:val="319"/>
        </w:trPr>
        <w:tc>
          <w:tcPr>
            <w:cnfStyle w:val="001000000000" w:firstRow="0" w:lastRow="0" w:firstColumn="1" w:lastColumn="0" w:oddVBand="0" w:evenVBand="0" w:oddHBand="0" w:evenHBand="0" w:firstRowFirstColumn="0" w:firstRowLastColumn="0" w:lastRowFirstColumn="0" w:lastRowLastColumn="0"/>
            <w:tcW w:w="261" w:type="pct"/>
            <w:vAlign w:val="center"/>
          </w:tcPr>
          <w:p w14:paraId="6459A7E8" w14:textId="77777777" w:rsidR="006B7A44" w:rsidRPr="00DB4EE8" w:rsidRDefault="006B7A44" w:rsidP="00140C3D">
            <w:pPr>
              <w:jc w:val="left"/>
              <w:rPr>
                <w:rFonts w:ascii="Calibri Light" w:hAnsi="Calibri Light"/>
                <w:b w:val="0"/>
                <w:smallCaps/>
                <w:sz w:val="20"/>
              </w:rPr>
            </w:pPr>
            <w:r w:rsidRPr="00DB4EE8">
              <w:rPr>
                <w:rFonts w:ascii="Calibri Light" w:hAnsi="Calibri Light"/>
                <w:b w:val="0"/>
                <w:smallCaps/>
                <w:sz w:val="20"/>
              </w:rPr>
              <w:t>4</w:t>
            </w:r>
          </w:p>
        </w:tc>
        <w:tc>
          <w:tcPr>
            <w:tcW w:w="2617" w:type="pct"/>
            <w:noWrap/>
            <w:vAlign w:val="center"/>
            <w:hideMark/>
          </w:tcPr>
          <w:p w14:paraId="5E8B66DE" w14:textId="77777777" w:rsidR="006B7A44" w:rsidRPr="00BB6E99" w:rsidRDefault="006B7A44" w:rsidP="00140C3D">
            <w:pPr>
              <w:spacing w:before="0" w:after="0"/>
              <w:contextualSpacing w:val="0"/>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szCs w:val="20"/>
              </w:rPr>
            </w:pPr>
            <w:r w:rsidRPr="00BB6E99">
              <w:rPr>
                <w:rFonts w:ascii="Calibri Light" w:hAnsi="Calibri Light"/>
                <w:smallCaps/>
                <w:sz w:val="20"/>
              </w:rPr>
              <w:t>Vysoká cena pro stočné (více než 1,5 násobek průměru z porovnání splňujících stanovená kritéria)</w:t>
            </w:r>
          </w:p>
        </w:tc>
        <w:tc>
          <w:tcPr>
            <w:tcW w:w="2122" w:type="pct"/>
            <w:vAlign w:val="center"/>
          </w:tcPr>
          <w:p w14:paraId="24F62898" w14:textId="77777777" w:rsidR="006B7A44" w:rsidRPr="00BB6E99" w:rsidRDefault="006B7A44" w:rsidP="00140C3D">
            <w:pPr>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rPr>
            </w:pPr>
            <w:r w:rsidRPr="00BB6E99">
              <w:rPr>
                <w:rFonts w:ascii="Calibri Light" w:hAnsi="Calibri Light"/>
                <w:sz w:val="20"/>
              </w:rPr>
              <w:t>vysoká nákladovost nebo ziskovost, problém sociální únosnosti ceny</w:t>
            </w:r>
          </w:p>
        </w:tc>
      </w:tr>
      <w:tr w:rsidR="006B7A44" w:rsidRPr="003A1F76" w14:paraId="231F5998" w14:textId="77777777" w:rsidTr="00140C3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1" w:type="pct"/>
            <w:vAlign w:val="center"/>
          </w:tcPr>
          <w:p w14:paraId="55EB41B4" w14:textId="77777777" w:rsidR="006B7A44" w:rsidRPr="00DB4EE8" w:rsidRDefault="006B7A44" w:rsidP="00140C3D">
            <w:pPr>
              <w:jc w:val="left"/>
              <w:rPr>
                <w:rFonts w:ascii="Calibri Light" w:hAnsi="Calibri Light"/>
                <w:b w:val="0"/>
                <w:smallCaps/>
                <w:sz w:val="20"/>
              </w:rPr>
            </w:pPr>
            <w:r w:rsidRPr="00DB4EE8">
              <w:rPr>
                <w:rFonts w:ascii="Calibri Light" w:hAnsi="Calibri Light"/>
                <w:b w:val="0"/>
                <w:smallCaps/>
                <w:sz w:val="20"/>
              </w:rPr>
              <w:t>5</w:t>
            </w:r>
          </w:p>
        </w:tc>
        <w:tc>
          <w:tcPr>
            <w:tcW w:w="2617" w:type="pct"/>
            <w:noWrap/>
            <w:vAlign w:val="center"/>
            <w:hideMark/>
          </w:tcPr>
          <w:p w14:paraId="3D447780" w14:textId="77777777" w:rsidR="006B7A44" w:rsidRPr="00BB6E99" w:rsidRDefault="006B7A44" w:rsidP="00140C3D">
            <w:pPr>
              <w:spacing w:before="0" w:after="0"/>
              <w:contextualSpacing w:val="0"/>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BB6E99">
              <w:rPr>
                <w:rFonts w:ascii="Calibri Light" w:hAnsi="Calibri Light"/>
                <w:smallCaps/>
                <w:sz w:val="20"/>
              </w:rPr>
              <w:t>Vysoký podíl kalkulačního zisku k rozdělení na ÚVN (více než 1,5 násobek průměru z porovnání splňujících stanovená kritéria)</w:t>
            </w:r>
          </w:p>
        </w:tc>
        <w:tc>
          <w:tcPr>
            <w:tcW w:w="2122" w:type="pct"/>
            <w:vAlign w:val="center"/>
          </w:tcPr>
          <w:p w14:paraId="06A92C91" w14:textId="77777777" w:rsidR="006B7A44" w:rsidRPr="00BB6E99" w:rsidRDefault="006B7A44" w:rsidP="00140C3D">
            <w:pPr>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rPr>
            </w:pPr>
            <w:r>
              <w:rPr>
                <w:rFonts w:ascii="Calibri Light" w:hAnsi="Calibri Light"/>
                <w:sz w:val="20"/>
              </w:rPr>
              <w:t>p</w:t>
            </w:r>
            <w:r w:rsidRPr="00BB6E99">
              <w:rPr>
                <w:rFonts w:ascii="Calibri Light" w:hAnsi="Calibri Light"/>
                <w:sz w:val="20"/>
              </w:rPr>
              <w:t>říliš vysoká ziskovost a odliv prostředků ze sektoru</w:t>
            </w:r>
          </w:p>
        </w:tc>
      </w:tr>
      <w:tr w:rsidR="006B7A44" w:rsidRPr="003A1F76" w14:paraId="3835BCFE" w14:textId="77777777" w:rsidTr="00140C3D">
        <w:trPr>
          <w:trHeight w:val="319"/>
        </w:trPr>
        <w:tc>
          <w:tcPr>
            <w:cnfStyle w:val="001000000000" w:firstRow="0" w:lastRow="0" w:firstColumn="1" w:lastColumn="0" w:oddVBand="0" w:evenVBand="0" w:oddHBand="0" w:evenHBand="0" w:firstRowFirstColumn="0" w:firstRowLastColumn="0" w:lastRowFirstColumn="0" w:lastRowLastColumn="0"/>
            <w:tcW w:w="261" w:type="pct"/>
            <w:vAlign w:val="center"/>
          </w:tcPr>
          <w:p w14:paraId="04BCE86D" w14:textId="77777777" w:rsidR="006B7A44" w:rsidRPr="00DB4EE8" w:rsidRDefault="006B7A44" w:rsidP="00140C3D">
            <w:pPr>
              <w:jc w:val="left"/>
              <w:rPr>
                <w:rFonts w:ascii="Calibri Light" w:hAnsi="Calibri Light"/>
                <w:b w:val="0"/>
                <w:smallCaps/>
                <w:sz w:val="20"/>
              </w:rPr>
            </w:pPr>
          </w:p>
        </w:tc>
        <w:tc>
          <w:tcPr>
            <w:tcW w:w="2617" w:type="pct"/>
            <w:noWrap/>
            <w:vAlign w:val="center"/>
          </w:tcPr>
          <w:p w14:paraId="5E2D46A8" w14:textId="77777777" w:rsidR="006B7A44" w:rsidRPr="00BB6E99" w:rsidRDefault="006B7A44" w:rsidP="00140C3D">
            <w:pPr>
              <w:spacing w:before="0" w:after="0"/>
              <w:contextualSpacing w:val="0"/>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szCs w:val="20"/>
              </w:rPr>
            </w:pPr>
            <w:r w:rsidRPr="00BB6E99">
              <w:rPr>
                <w:rFonts w:ascii="Calibri Light" w:hAnsi="Calibri Light"/>
                <w:smallCaps/>
                <w:sz w:val="20"/>
              </w:rPr>
              <w:t>Podíl nevyhovujících vzorků vypouštěných odpadních vod z ČOV vyšší než 20 %</w:t>
            </w:r>
          </w:p>
        </w:tc>
        <w:tc>
          <w:tcPr>
            <w:tcW w:w="2122" w:type="pct"/>
            <w:vAlign w:val="center"/>
          </w:tcPr>
          <w:p w14:paraId="09FC898E" w14:textId="77777777" w:rsidR="006B7A44" w:rsidRPr="00BB6E99" w:rsidRDefault="006B7A44" w:rsidP="00140C3D">
            <w:pPr>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rPr>
            </w:pPr>
            <w:r w:rsidRPr="00BB6E99">
              <w:rPr>
                <w:rFonts w:ascii="Calibri Light" w:hAnsi="Calibri Light"/>
                <w:sz w:val="20"/>
              </w:rPr>
              <w:t>ohrožení kvality dodávaných služeb</w:t>
            </w:r>
          </w:p>
        </w:tc>
      </w:tr>
      <w:tr w:rsidR="006B7A44" w:rsidRPr="003A1F76" w14:paraId="1EBA1923" w14:textId="77777777" w:rsidTr="00140C3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1" w:type="pct"/>
            <w:vAlign w:val="center"/>
          </w:tcPr>
          <w:p w14:paraId="00A01CCA" w14:textId="77777777" w:rsidR="006B7A44" w:rsidRPr="00DB4EE8" w:rsidRDefault="006B7A44" w:rsidP="00140C3D">
            <w:pPr>
              <w:jc w:val="left"/>
              <w:rPr>
                <w:rFonts w:ascii="Calibri Light" w:hAnsi="Calibri Light"/>
                <w:b w:val="0"/>
                <w:smallCaps/>
                <w:sz w:val="20"/>
              </w:rPr>
            </w:pPr>
            <w:r w:rsidRPr="00DB4EE8">
              <w:rPr>
                <w:rFonts w:ascii="Calibri Light" w:hAnsi="Calibri Light"/>
                <w:b w:val="0"/>
                <w:smallCaps/>
                <w:sz w:val="20"/>
              </w:rPr>
              <w:t>7</w:t>
            </w:r>
          </w:p>
        </w:tc>
        <w:tc>
          <w:tcPr>
            <w:tcW w:w="2617" w:type="pct"/>
            <w:noWrap/>
            <w:vAlign w:val="center"/>
            <w:hideMark/>
          </w:tcPr>
          <w:p w14:paraId="197D33EC" w14:textId="77777777" w:rsidR="006B7A44" w:rsidRPr="00BB6E99" w:rsidRDefault="006B7A44" w:rsidP="00140C3D">
            <w:pPr>
              <w:spacing w:before="0" w:after="0"/>
              <w:contextualSpacing w:val="0"/>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BB6E99">
              <w:rPr>
                <w:rFonts w:ascii="Calibri Light" w:hAnsi="Calibri Light"/>
                <w:smallCaps/>
                <w:sz w:val="20"/>
              </w:rPr>
              <w:t>Nenulové množství odvedené odpadní vody na ČOV a žádní připojení obyvatelé na ČOV</w:t>
            </w:r>
          </w:p>
        </w:tc>
        <w:tc>
          <w:tcPr>
            <w:tcW w:w="2122" w:type="pct"/>
            <w:vAlign w:val="center"/>
          </w:tcPr>
          <w:p w14:paraId="733DA399" w14:textId="77777777" w:rsidR="006B7A44" w:rsidRPr="00BB6E99" w:rsidRDefault="006B7A44" w:rsidP="00140C3D">
            <w:pPr>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rPr>
            </w:pPr>
            <w:r w:rsidRPr="00BB6E99">
              <w:rPr>
                <w:rFonts w:ascii="Calibri Light" w:hAnsi="Calibri Light"/>
                <w:sz w:val="20"/>
              </w:rPr>
              <w:t>chybné vykazování dat</w:t>
            </w:r>
          </w:p>
        </w:tc>
      </w:tr>
      <w:tr w:rsidR="006B7A44" w:rsidRPr="003A1F76" w14:paraId="2BAC8C05" w14:textId="77777777" w:rsidTr="00140C3D">
        <w:trPr>
          <w:trHeight w:val="319"/>
        </w:trPr>
        <w:tc>
          <w:tcPr>
            <w:cnfStyle w:val="001000000000" w:firstRow="0" w:lastRow="0" w:firstColumn="1" w:lastColumn="0" w:oddVBand="0" w:evenVBand="0" w:oddHBand="0" w:evenHBand="0" w:firstRowFirstColumn="0" w:firstRowLastColumn="0" w:lastRowFirstColumn="0" w:lastRowLastColumn="0"/>
            <w:tcW w:w="261" w:type="pct"/>
            <w:vAlign w:val="center"/>
          </w:tcPr>
          <w:p w14:paraId="646308D6" w14:textId="77777777" w:rsidR="006B7A44" w:rsidRPr="00DB4EE8" w:rsidRDefault="006B7A44" w:rsidP="00140C3D">
            <w:pPr>
              <w:jc w:val="left"/>
              <w:rPr>
                <w:rFonts w:ascii="Calibri Light" w:hAnsi="Calibri Light"/>
                <w:b w:val="0"/>
                <w:smallCaps/>
                <w:sz w:val="20"/>
              </w:rPr>
            </w:pPr>
            <w:r w:rsidRPr="00DB4EE8">
              <w:rPr>
                <w:rFonts w:ascii="Calibri Light" w:hAnsi="Calibri Light"/>
                <w:b w:val="0"/>
                <w:smallCaps/>
                <w:sz w:val="20"/>
              </w:rPr>
              <w:t>8</w:t>
            </w:r>
          </w:p>
        </w:tc>
        <w:tc>
          <w:tcPr>
            <w:tcW w:w="2617" w:type="pct"/>
            <w:noWrap/>
            <w:vAlign w:val="center"/>
            <w:hideMark/>
          </w:tcPr>
          <w:p w14:paraId="4656F1A1" w14:textId="77777777" w:rsidR="006B7A44" w:rsidRPr="00BB6E99" w:rsidRDefault="006B7A44" w:rsidP="00140C3D">
            <w:pPr>
              <w:spacing w:before="0" w:after="0"/>
              <w:contextualSpacing w:val="0"/>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szCs w:val="20"/>
              </w:rPr>
            </w:pPr>
            <w:r w:rsidRPr="00BB6E99">
              <w:rPr>
                <w:rFonts w:ascii="Calibri Light" w:hAnsi="Calibri Light"/>
                <w:smallCaps/>
                <w:sz w:val="20"/>
              </w:rPr>
              <w:t>Připojení obyvatelé na ČOV, nulové množství odvedené odpadní vody na ČOV</w:t>
            </w:r>
          </w:p>
        </w:tc>
        <w:tc>
          <w:tcPr>
            <w:tcW w:w="2122" w:type="pct"/>
            <w:vAlign w:val="center"/>
          </w:tcPr>
          <w:p w14:paraId="108078F2" w14:textId="77777777" w:rsidR="006B7A44" w:rsidRPr="00BB6E99" w:rsidRDefault="006B7A44" w:rsidP="00140C3D">
            <w:pPr>
              <w:jc w:val="left"/>
              <w:cnfStyle w:val="000000000000" w:firstRow="0" w:lastRow="0" w:firstColumn="0" w:lastColumn="0" w:oddVBand="0" w:evenVBand="0" w:oddHBand="0" w:evenHBand="0" w:firstRowFirstColumn="0" w:firstRowLastColumn="0" w:lastRowFirstColumn="0" w:lastRowLastColumn="0"/>
              <w:rPr>
                <w:rFonts w:ascii="Calibri Light" w:hAnsi="Calibri Light"/>
                <w:smallCaps/>
                <w:sz w:val="20"/>
              </w:rPr>
            </w:pPr>
            <w:r w:rsidRPr="00BB6E99">
              <w:rPr>
                <w:rFonts w:ascii="Calibri Light" w:hAnsi="Calibri Light"/>
                <w:sz w:val="20"/>
              </w:rPr>
              <w:t>chybné vykazování dat</w:t>
            </w:r>
          </w:p>
        </w:tc>
      </w:tr>
      <w:tr w:rsidR="006B7A44" w:rsidRPr="003A1F76" w14:paraId="0A20BFBD" w14:textId="77777777" w:rsidTr="00140C3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1" w:type="pct"/>
            <w:vAlign w:val="center"/>
          </w:tcPr>
          <w:p w14:paraId="158466D3" w14:textId="77777777" w:rsidR="006B7A44" w:rsidRPr="00DB4EE8" w:rsidRDefault="006B7A44" w:rsidP="00140C3D">
            <w:pPr>
              <w:jc w:val="left"/>
              <w:rPr>
                <w:rFonts w:ascii="Calibri Light" w:hAnsi="Calibri Light"/>
                <w:b w:val="0"/>
                <w:smallCaps/>
                <w:sz w:val="20"/>
              </w:rPr>
            </w:pPr>
            <w:r w:rsidRPr="00DB4EE8">
              <w:rPr>
                <w:rFonts w:ascii="Calibri Light" w:hAnsi="Calibri Light"/>
                <w:b w:val="0"/>
                <w:smallCaps/>
                <w:sz w:val="20"/>
              </w:rPr>
              <w:t>9</w:t>
            </w:r>
          </w:p>
        </w:tc>
        <w:tc>
          <w:tcPr>
            <w:tcW w:w="2617" w:type="pct"/>
            <w:noWrap/>
            <w:vAlign w:val="center"/>
            <w:hideMark/>
          </w:tcPr>
          <w:p w14:paraId="13695950" w14:textId="77777777" w:rsidR="006B7A44" w:rsidRPr="00BB6E99" w:rsidRDefault="006B7A44" w:rsidP="00140C3D">
            <w:pPr>
              <w:spacing w:before="0" w:after="0"/>
              <w:contextualSpacing w:val="0"/>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szCs w:val="20"/>
              </w:rPr>
            </w:pPr>
            <w:r w:rsidRPr="00BB6E99">
              <w:rPr>
                <w:rFonts w:ascii="Calibri Light" w:hAnsi="Calibri Light"/>
                <w:smallCaps/>
                <w:sz w:val="20"/>
              </w:rPr>
              <w:t>Nulové mzdové náklady + nenulový počet zaměstnanců</w:t>
            </w:r>
          </w:p>
        </w:tc>
        <w:tc>
          <w:tcPr>
            <w:tcW w:w="2122" w:type="pct"/>
            <w:vAlign w:val="center"/>
          </w:tcPr>
          <w:p w14:paraId="4B940F6E" w14:textId="77777777" w:rsidR="006B7A44" w:rsidRPr="00BB6E99" w:rsidRDefault="006B7A44" w:rsidP="00140C3D">
            <w:pPr>
              <w:jc w:val="left"/>
              <w:cnfStyle w:val="000000100000" w:firstRow="0" w:lastRow="0" w:firstColumn="0" w:lastColumn="0" w:oddVBand="0" w:evenVBand="0" w:oddHBand="1" w:evenHBand="0" w:firstRowFirstColumn="0" w:firstRowLastColumn="0" w:lastRowFirstColumn="0" w:lastRowLastColumn="0"/>
              <w:rPr>
                <w:rFonts w:ascii="Calibri Light" w:hAnsi="Calibri Light"/>
                <w:smallCaps/>
                <w:sz w:val="20"/>
              </w:rPr>
            </w:pPr>
            <w:r w:rsidRPr="00BB6E99">
              <w:rPr>
                <w:rFonts w:ascii="Calibri Light" w:hAnsi="Calibri Light"/>
                <w:sz w:val="20"/>
              </w:rPr>
              <w:t>chybné vykazování dat</w:t>
            </w:r>
          </w:p>
        </w:tc>
      </w:tr>
    </w:tbl>
    <w:p w14:paraId="3E200B97" w14:textId="77777777" w:rsidR="00BC03D3" w:rsidRDefault="00BC03D3" w:rsidP="00BC03D3">
      <w:pPr>
        <w:pStyle w:val="NORMLN0"/>
        <w:rPr>
          <w:noProof/>
        </w:rPr>
      </w:pPr>
      <w:r>
        <w:rPr>
          <w:noProof/>
        </w:rPr>
        <w:br w:type="page"/>
      </w:r>
    </w:p>
    <w:p w14:paraId="256861CB" w14:textId="1AF1824A" w:rsidR="00DF5417" w:rsidRPr="00C62639" w:rsidRDefault="00997897" w:rsidP="00DF5417">
      <w:pPr>
        <w:pStyle w:val="Nadpis2"/>
        <w:rPr>
          <w:rFonts w:asciiTheme="minorHAnsi" w:hAnsiTheme="minorHAnsi"/>
          <w:noProof/>
        </w:rPr>
      </w:pPr>
      <w:bookmarkStart w:id="11" w:name="_Toc3291975"/>
      <w:r w:rsidRPr="00C62639">
        <w:rPr>
          <w:rFonts w:asciiTheme="minorHAnsi" w:hAnsiTheme="minorHAnsi"/>
          <w:noProof/>
        </w:rPr>
        <w:lastRenderedPageBreak/>
        <w:t xml:space="preserve">Funkce </w:t>
      </w:r>
      <w:r w:rsidR="00DF5417" w:rsidRPr="00C62639">
        <w:rPr>
          <w:rFonts w:asciiTheme="minorHAnsi" w:hAnsiTheme="minorHAnsi"/>
          <w:noProof/>
        </w:rPr>
        <w:t>zprávy z benchmarkingu</w:t>
      </w:r>
      <w:r w:rsidR="00B26631">
        <w:rPr>
          <w:rFonts w:asciiTheme="minorHAnsi" w:hAnsiTheme="minorHAnsi"/>
          <w:noProof/>
        </w:rPr>
        <w:t xml:space="preserve"> </w:t>
      </w:r>
      <w:r w:rsidRPr="00C62639">
        <w:rPr>
          <w:rFonts w:asciiTheme="minorHAnsi" w:hAnsiTheme="minorHAnsi"/>
          <w:noProof/>
        </w:rPr>
        <w:t>v procesu regulace - provázanost</w:t>
      </w:r>
      <w:r w:rsidR="00B26631">
        <w:rPr>
          <w:rFonts w:asciiTheme="minorHAnsi" w:hAnsiTheme="minorHAnsi"/>
          <w:noProof/>
        </w:rPr>
        <w:t xml:space="preserve"> </w:t>
      </w:r>
      <w:r w:rsidRPr="00C62639">
        <w:rPr>
          <w:rFonts w:asciiTheme="minorHAnsi" w:hAnsiTheme="minorHAnsi"/>
          <w:noProof/>
        </w:rPr>
        <w:t>s</w:t>
      </w:r>
      <w:r w:rsidR="00DF5417" w:rsidRPr="00C62639">
        <w:rPr>
          <w:rFonts w:asciiTheme="minorHAnsi" w:hAnsiTheme="minorHAnsi"/>
          <w:noProof/>
        </w:rPr>
        <w:t xml:space="preserve"> viz</w:t>
      </w:r>
      <w:r w:rsidR="00C62639" w:rsidRPr="00C62639">
        <w:rPr>
          <w:rFonts w:asciiTheme="minorHAnsi" w:hAnsiTheme="minorHAnsi"/>
          <w:noProof/>
        </w:rPr>
        <w:t>í</w:t>
      </w:r>
      <w:r w:rsidR="00DF5417" w:rsidRPr="00C62639">
        <w:rPr>
          <w:rFonts w:asciiTheme="minorHAnsi" w:hAnsiTheme="minorHAnsi"/>
          <w:noProof/>
        </w:rPr>
        <w:t xml:space="preserve"> a záměry dozoru a regulace </w:t>
      </w:r>
      <w:r w:rsidRPr="00C62639">
        <w:rPr>
          <w:rFonts w:asciiTheme="minorHAnsi" w:hAnsiTheme="minorHAnsi"/>
          <w:noProof/>
        </w:rPr>
        <w:t>oboru VaK</w:t>
      </w:r>
      <w:bookmarkEnd w:id="11"/>
    </w:p>
    <w:p w14:paraId="307C8210" w14:textId="0CC63BC2" w:rsidR="00C62639" w:rsidRPr="00A340F8" w:rsidRDefault="00C62639" w:rsidP="00BF56FA">
      <w:pPr>
        <w:pStyle w:val="NORMLN0"/>
      </w:pPr>
      <w:r w:rsidRPr="00A340F8">
        <w:t xml:space="preserve">Podstatou a cílem Zprávy z benchmarkingu je </w:t>
      </w:r>
      <w:r w:rsidR="00C358BA">
        <w:t xml:space="preserve">souhrnně </w:t>
      </w:r>
      <w:r w:rsidRPr="00A340F8">
        <w:t xml:space="preserve">přiblížit závěry benchmarkingových projektů všem zúčastněným stranám, zhodnotit výsledky </w:t>
      </w:r>
      <w:r w:rsidR="003F50C2">
        <w:t xml:space="preserve">těchto projektů </w:t>
      </w:r>
      <w:r w:rsidRPr="00A340F8">
        <w:t>ve vztahu ke stanovené vizi a záměrům regulace, navrhnout a definovat oblasti</w:t>
      </w:r>
      <w:r w:rsidR="00B26631">
        <w:t xml:space="preserve"> </w:t>
      </w:r>
      <w:r w:rsidRPr="00A340F8">
        <w:t>problémů, které je nutno řešit</w:t>
      </w:r>
      <w:r w:rsidR="00B26631">
        <w:t xml:space="preserve"> </w:t>
      </w:r>
      <w:r w:rsidRPr="00A340F8">
        <w:t xml:space="preserve">v zájmu zlepšení fungování oboru </w:t>
      </w:r>
      <w:r w:rsidR="00C358BA">
        <w:t xml:space="preserve">VaK, a popřípadě </w:t>
      </w:r>
      <w:r w:rsidR="00837030">
        <w:t>navrhnout změny</w:t>
      </w:r>
      <w:r w:rsidRPr="00A340F8">
        <w:t xml:space="preserve"> </w:t>
      </w:r>
      <w:r w:rsidR="00C358BA">
        <w:t xml:space="preserve">v metodických postupech </w:t>
      </w:r>
      <w:r w:rsidRPr="00A340F8">
        <w:t xml:space="preserve">samotného benchmarkingu. </w:t>
      </w:r>
    </w:p>
    <w:p w14:paraId="33966712" w14:textId="77777777" w:rsidR="00997897" w:rsidRPr="00C62639" w:rsidRDefault="00997897" w:rsidP="00DF5417">
      <w:pPr>
        <w:pStyle w:val="NORMLN0"/>
        <w:rPr>
          <w:rFonts w:asciiTheme="minorHAnsi" w:hAnsiTheme="minorHAnsi" w:cs="Calibri"/>
          <w:noProof/>
        </w:rPr>
      </w:pPr>
    </w:p>
    <w:p w14:paraId="2BFCED6A" w14:textId="77777777" w:rsidR="00DF5417" w:rsidRPr="00C62639" w:rsidRDefault="00DF5417" w:rsidP="00DF5417">
      <w:pPr>
        <w:pStyle w:val="Nadpis3"/>
        <w:rPr>
          <w:rFonts w:asciiTheme="minorHAnsi" w:hAnsiTheme="minorHAnsi"/>
          <w:noProof/>
        </w:rPr>
      </w:pPr>
      <w:bookmarkStart w:id="12" w:name="_Toc3291976"/>
      <w:r w:rsidRPr="00C62639">
        <w:rPr>
          <w:rFonts w:asciiTheme="minorHAnsi" w:hAnsiTheme="minorHAnsi"/>
          <w:noProof/>
        </w:rPr>
        <w:t>Vize regulace oboru VaK</w:t>
      </w:r>
      <w:bookmarkEnd w:id="12"/>
    </w:p>
    <w:p w14:paraId="212CC71D" w14:textId="2BEF36D4" w:rsidR="00DF5417" w:rsidRPr="00C62639" w:rsidRDefault="00DF5417" w:rsidP="00BF56FA">
      <w:pPr>
        <w:pStyle w:val="NORMLN0"/>
        <w:rPr>
          <w:noProof/>
        </w:rPr>
      </w:pPr>
      <w:r w:rsidRPr="00C62639">
        <w:rPr>
          <w:noProof/>
        </w:rPr>
        <w:t xml:space="preserve">Čistá </w:t>
      </w:r>
      <w:r w:rsidRPr="00BF56FA">
        <w:t>výroba</w:t>
      </w:r>
      <w:r w:rsidRPr="00C62639">
        <w:rPr>
          <w:noProof/>
        </w:rPr>
        <w:t xml:space="preserve"> a nepřetržitá dodávka kvalitní pitné vody a odvádění a kvalitní čištění odp</w:t>
      </w:r>
      <w:r w:rsidR="00B26631">
        <w:rPr>
          <w:noProof/>
        </w:rPr>
        <w:t>adních vod pro všechny potřebné</w:t>
      </w:r>
      <w:r w:rsidRPr="00C62639">
        <w:rPr>
          <w:noProof/>
        </w:rPr>
        <w:t xml:space="preserve"> za přiměřenou a dostupnou cenu se zřetelem na zachování schopnosti budoucích generací uspokojovat své potřeby v oblasti infrastruktury vodovodů a kanalizací.</w:t>
      </w:r>
    </w:p>
    <w:p w14:paraId="4DDF6193" w14:textId="77777777" w:rsidR="00DF5417" w:rsidRPr="00C62639" w:rsidRDefault="00DF5417" w:rsidP="00DF5417">
      <w:pPr>
        <w:pStyle w:val="Nadpis3"/>
        <w:rPr>
          <w:rFonts w:asciiTheme="minorHAnsi" w:hAnsiTheme="minorHAnsi"/>
          <w:noProof/>
        </w:rPr>
      </w:pPr>
      <w:bookmarkStart w:id="13" w:name="_Toc3291977"/>
      <w:r w:rsidRPr="00C62639">
        <w:rPr>
          <w:rFonts w:asciiTheme="minorHAnsi" w:hAnsiTheme="minorHAnsi"/>
          <w:noProof/>
        </w:rPr>
        <w:t>Záměry regulace oboru VaK</w:t>
      </w:r>
      <w:bookmarkEnd w:id="13"/>
    </w:p>
    <w:tbl>
      <w:tblPr>
        <w:tblW w:w="9099" w:type="dxa"/>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441"/>
        <w:gridCol w:w="3792"/>
        <w:gridCol w:w="4866"/>
      </w:tblGrid>
      <w:tr w:rsidR="00DF5417" w:rsidRPr="00C62639" w14:paraId="60232C2C" w14:textId="77777777" w:rsidTr="00762B0A">
        <w:trPr>
          <w:jc w:val="center"/>
        </w:trPr>
        <w:tc>
          <w:tcPr>
            <w:tcW w:w="425" w:type="dxa"/>
            <w:tcBorders>
              <w:top w:val="single" w:sz="4" w:space="0" w:color="70AD47"/>
              <w:left w:val="single" w:sz="4" w:space="0" w:color="70AD47"/>
              <w:bottom w:val="single" w:sz="4" w:space="0" w:color="70AD47"/>
              <w:right w:val="nil"/>
            </w:tcBorders>
            <w:shd w:val="clear" w:color="auto" w:fill="70AD47"/>
            <w:vAlign w:val="center"/>
          </w:tcPr>
          <w:p w14:paraId="0DAF2D88" w14:textId="77777777" w:rsidR="00DF5417" w:rsidRPr="00C62639" w:rsidRDefault="00DF5417" w:rsidP="00762B0A">
            <w:pPr>
              <w:spacing w:after="0"/>
              <w:jc w:val="left"/>
              <w:rPr>
                <w:rFonts w:asciiTheme="minorHAnsi" w:hAnsiTheme="minorHAnsi" w:cs="Arial"/>
                <w:b/>
                <w:bCs/>
                <w:noProof/>
                <w:color w:val="FFFFFF"/>
                <w:sz w:val="20"/>
                <w:szCs w:val="20"/>
                <w:lang w:eastAsia="cs-CZ"/>
              </w:rPr>
            </w:pPr>
          </w:p>
        </w:tc>
        <w:tc>
          <w:tcPr>
            <w:tcW w:w="3798" w:type="dxa"/>
            <w:tcBorders>
              <w:top w:val="single" w:sz="4" w:space="0" w:color="70AD47"/>
              <w:left w:val="nil"/>
              <w:bottom w:val="single" w:sz="4" w:space="0" w:color="70AD47"/>
              <w:right w:val="nil"/>
            </w:tcBorders>
            <w:shd w:val="clear" w:color="auto" w:fill="70AD47"/>
            <w:vAlign w:val="center"/>
          </w:tcPr>
          <w:p w14:paraId="147267D1" w14:textId="77777777" w:rsidR="00DF5417" w:rsidRPr="00C62639" w:rsidRDefault="00DF5417" w:rsidP="00762B0A">
            <w:pPr>
              <w:spacing w:after="0"/>
              <w:jc w:val="left"/>
              <w:rPr>
                <w:rFonts w:asciiTheme="minorHAnsi" w:hAnsiTheme="minorHAnsi" w:cs="Arial"/>
                <w:b/>
                <w:bCs/>
                <w:noProof/>
                <w:color w:val="FFFFFF"/>
                <w:sz w:val="20"/>
                <w:szCs w:val="20"/>
                <w:lang w:eastAsia="cs-CZ"/>
              </w:rPr>
            </w:pPr>
            <w:r w:rsidRPr="00C62639">
              <w:rPr>
                <w:rFonts w:asciiTheme="minorHAnsi" w:hAnsiTheme="minorHAnsi" w:cs="Arial"/>
                <w:b/>
                <w:bCs/>
                <w:noProof/>
                <w:color w:val="FFFFFF"/>
                <w:sz w:val="20"/>
                <w:szCs w:val="20"/>
                <w:lang w:eastAsia="cs-CZ"/>
              </w:rPr>
              <w:t>ZÁMĚRY</w:t>
            </w:r>
          </w:p>
        </w:tc>
        <w:tc>
          <w:tcPr>
            <w:tcW w:w="4876" w:type="dxa"/>
            <w:tcBorders>
              <w:top w:val="single" w:sz="4" w:space="0" w:color="70AD47"/>
              <w:left w:val="nil"/>
              <w:bottom w:val="single" w:sz="4" w:space="0" w:color="70AD47"/>
              <w:right w:val="single" w:sz="4" w:space="0" w:color="70AD47"/>
            </w:tcBorders>
            <w:shd w:val="clear" w:color="auto" w:fill="70AD47"/>
            <w:vAlign w:val="center"/>
          </w:tcPr>
          <w:p w14:paraId="04057341" w14:textId="77777777" w:rsidR="00DF5417" w:rsidRPr="00C62639" w:rsidRDefault="00DF5417" w:rsidP="00762B0A">
            <w:pPr>
              <w:spacing w:after="0"/>
              <w:jc w:val="left"/>
              <w:rPr>
                <w:rFonts w:asciiTheme="minorHAnsi" w:hAnsiTheme="minorHAnsi" w:cs="Arial"/>
                <w:b/>
                <w:bCs/>
                <w:noProof/>
                <w:color w:val="FFFFFF"/>
                <w:sz w:val="20"/>
                <w:szCs w:val="20"/>
                <w:lang w:eastAsia="cs-CZ"/>
              </w:rPr>
            </w:pPr>
            <w:r w:rsidRPr="00C62639">
              <w:rPr>
                <w:rFonts w:asciiTheme="minorHAnsi" w:hAnsiTheme="minorHAnsi" w:cs="Arial"/>
                <w:b/>
                <w:bCs/>
                <w:noProof/>
                <w:color w:val="FFFFFF"/>
                <w:sz w:val="20"/>
                <w:szCs w:val="20"/>
                <w:lang w:eastAsia="cs-CZ"/>
              </w:rPr>
              <w:t>PROBLEMATIKA</w:t>
            </w:r>
          </w:p>
        </w:tc>
      </w:tr>
      <w:tr w:rsidR="00DF5417" w:rsidRPr="00C62639" w14:paraId="612096CE" w14:textId="77777777" w:rsidTr="00762B0A">
        <w:trPr>
          <w:jc w:val="center"/>
        </w:trPr>
        <w:tc>
          <w:tcPr>
            <w:tcW w:w="425" w:type="dxa"/>
            <w:shd w:val="clear" w:color="auto" w:fill="E2EFD9"/>
            <w:vAlign w:val="center"/>
          </w:tcPr>
          <w:p w14:paraId="40629097"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I.</w:t>
            </w:r>
          </w:p>
        </w:tc>
        <w:tc>
          <w:tcPr>
            <w:tcW w:w="3798" w:type="dxa"/>
            <w:shd w:val="clear" w:color="auto" w:fill="E2EFD9"/>
            <w:vAlign w:val="center"/>
          </w:tcPr>
          <w:p w14:paraId="2051CD52" w14:textId="77777777" w:rsidR="00DF5417" w:rsidRPr="00C62639" w:rsidRDefault="00C358BA" w:rsidP="00C358BA">
            <w:pPr>
              <w:spacing w:after="0"/>
              <w:jc w:val="left"/>
              <w:rPr>
                <w:rFonts w:asciiTheme="minorHAnsi" w:hAnsiTheme="minorHAnsi" w:cs="Arial"/>
                <w:noProof/>
                <w:sz w:val="20"/>
                <w:szCs w:val="20"/>
                <w:lang w:eastAsia="cs-CZ"/>
              </w:rPr>
            </w:pPr>
            <w:r>
              <w:rPr>
                <w:rFonts w:asciiTheme="minorHAnsi" w:hAnsiTheme="minorHAnsi" w:cs="Arial"/>
                <w:noProof/>
                <w:sz w:val="20"/>
                <w:szCs w:val="20"/>
                <w:lang w:eastAsia="cs-CZ"/>
              </w:rPr>
              <w:t xml:space="preserve"> </w:t>
            </w:r>
            <w:r w:rsidR="00DF5417" w:rsidRPr="00C62639">
              <w:rPr>
                <w:rFonts w:asciiTheme="minorHAnsi" w:hAnsiTheme="minorHAnsi" w:cs="Arial"/>
                <w:noProof/>
                <w:sz w:val="20"/>
                <w:szCs w:val="20"/>
                <w:lang w:eastAsia="cs-CZ"/>
              </w:rPr>
              <w:t xml:space="preserve">Dosáhnout </w:t>
            </w:r>
            <w:r w:rsidR="00DF5417" w:rsidRPr="00C62639">
              <w:rPr>
                <w:rFonts w:asciiTheme="minorHAnsi" w:hAnsiTheme="minorHAnsi" w:cs="Arial"/>
                <w:b/>
                <w:noProof/>
                <w:sz w:val="20"/>
                <w:szCs w:val="20"/>
                <w:lang w:eastAsia="cs-CZ"/>
              </w:rPr>
              <w:t>samofinancovatelnost</w:t>
            </w:r>
            <w:r w:rsidR="001E179C" w:rsidRPr="00C62639">
              <w:rPr>
                <w:rFonts w:asciiTheme="minorHAnsi" w:hAnsiTheme="minorHAnsi" w:cs="Arial"/>
                <w:b/>
                <w:noProof/>
                <w:sz w:val="20"/>
                <w:szCs w:val="20"/>
                <w:lang w:eastAsia="cs-CZ"/>
              </w:rPr>
              <w:t>i</w:t>
            </w:r>
            <w:r w:rsidR="00DF5417" w:rsidRPr="00C62639">
              <w:rPr>
                <w:rFonts w:asciiTheme="minorHAnsi" w:hAnsiTheme="minorHAnsi" w:cs="Arial"/>
                <w:b/>
                <w:noProof/>
                <w:sz w:val="20"/>
                <w:szCs w:val="20"/>
                <w:lang w:eastAsia="cs-CZ"/>
              </w:rPr>
              <w:t xml:space="preserve"> infrastruktury</w:t>
            </w:r>
          </w:p>
        </w:tc>
        <w:tc>
          <w:tcPr>
            <w:tcW w:w="4876" w:type="dxa"/>
            <w:shd w:val="clear" w:color="auto" w:fill="E2EFD9"/>
            <w:vAlign w:val="center"/>
          </w:tcPr>
          <w:p w14:paraId="7D3E7BCE" w14:textId="77777777" w:rsidR="00DF5417" w:rsidRPr="00C62639" w:rsidRDefault="00DF5417" w:rsidP="00762B0A">
            <w:pPr>
              <w:spacing w:after="0"/>
              <w:ind w:firstLine="29"/>
              <w:rPr>
                <w:rFonts w:asciiTheme="minorHAnsi" w:hAnsiTheme="minorHAnsi" w:cs="Arial"/>
                <w:noProof/>
                <w:sz w:val="20"/>
                <w:szCs w:val="20"/>
                <w:lang w:eastAsia="cs-CZ"/>
              </w:rPr>
            </w:pPr>
            <w:r w:rsidRPr="00C62639">
              <w:rPr>
                <w:rFonts w:asciiTheme="minorHAnsi" w:hAnsiTheme="minorHAnsi" w:cs="Arial"/>
                <w:b/>
                <w:noProof/>
                <w:sz w:val="20"/>
                <w:szCs w:val="20"/>
                <w:lang w:eastAsia="cs-CZ"/>
              </w:rPr>
              <w:t>Obnova</w:t>
            </w:r>
            <w:r w:rsidRPr="00C62639">
              <w:rPr>
                <w:rFonts w:asciiTheme="minorHAnsi" w:hAnsiTheme="minorHAnsi" w:cs="Arial"/>
                <w:noProof/>
                <w:sz w:val="20"/>
                <w:szCs w:val="20"/>
                <w:lang w:eastAsia="cs-CZ"/>
              </w:rPr>
              <w:t xml:space="preserve"> vodohospodářské infrastruktury z hlediska dosažení udržitelnosti infrastruktury a hlediska reinvestování získaných prostředků od spotřebitelů</w:t>
            </w:r>
            <w:r w:rsidR="00C358BA">
              <w:rPr>
                <w:rFonts w:asciiTheme="minorHAnsi" w:hAnsiTheme="minorHAnsi" w:cs="Arial"/>
                <w:noProof/>
                <w:sz w:val="20"/>
                <w:szCs w:val="20"/>
                <w:lang w:eastAsia="cs-CZ"/>
              </w:rPr>
              <w:t>.</w:t>
            </w:r>
          </w:p>
        </w:tc>
      </w:tr>
      <w:tr w:rsidR="00DF5417" w:rsidRPr="00C62639" w14:paraId="42D0B909" w14:textId="77777777" w:rsidTr="002505EC">
        <w:trPr>
          <w:trHeight w:val="1036"/>
          <w:jc w:val="center"/>
        </w:trPr>
        <w:tc>
          <w:tcPr>
            <w:tcW w:w="425" w:type="dxa"/>
            <w:shd w:val="clear" w:color="auto" w:fill="auto"/>
            <w:vAlign w:val="center"/>
          </w:tcPr>
          <w:p w14:paraId="3A46382D"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II</w:t>
            </w:r>
          </w:p>
        </w:tc>
        <w:tc>
          <w:tcPr>
            <w:tcW w:w="3798" w:type="dxa"/>
            <w:shd w:val="clear" w:color="auto" w:fill="auto"/>
            <w:vAlign w:val="center"/>
          </w:tcPr>
          <w:p w14:paraId="32E5D9EF" w14:textId="77777777" w:rsidR="00DF5417" w:rsidRPr="00C62639" w:rsidRDefault="00DF5417" w:rsidP="00762B0A">
            <w:pPr>
              <w:spacing w:after="0"/>
              <w:ind w:firstLine="29"/>
              <w:jc w:val="left"/>
              <w:rPr>
                <w:rFonts w:asciiTheme="minorHAnsi" w:hAnsiTheme="minorHAnsi" w:cs="Arial"/>
                <w:noProof/>
                <w:sz w:val="20"/>
                <w:szCs w:val="20"/>
                <w:lang w:eastAsia="cs-CZ"/>
              </w:rPr>
            </w:pPr>
            <w:r w:rsidRPr="00C62639">
              <w:rPr>
                <w:rFonts w:asciiTheme="minorHAnsi" w:hAnsiTheme="minorHAnsi" w:cs="Arial"/>
                <w:b/>
                <w:noProof/>
                <w:sz w:val="20"/>
                <w:szCs w:val="20"/>
                <w:lang w:eastAsia="cs-CZ"/>
              </w:rPr>
              <w:t>Zabezpečit rovnováhu</w:t>
            </w:r>
            <w:r w:rsidRPr="00C62639">
              <w:rPr>
                <w:rFonts w:asciiTheme="minorHAnsi" w:hAnsiTheme="minorHAnsi" w:cs="Arial"/>
                <w:noProof/>
                <w:sz w:val="20"/>
                <w:szCs w:val="20"/>
                <w:lang w:eastAsia="cs-CZ"/>
              </w:rPr>
              <w:t xml:space="preserve"> mezi cenou za služby a náklady na poskytování služeb</w:t>
            </w:r>
          </w:p>
        </w:tc>
        <w:tc>
          <w:tcPr>
            <w:tcW w:w="4876" w:type="dxa"/>
            <w:shd w:val="clear" w:color="auto" w:fill="auto"/>
            <w:vAlign w:val="center"/>
          </w:tcPr>
          <w:p w14:paraId="36E67985" w14:textId="77777777" w:rsidR="00DF5417" w:rsidRPr="00C62639" w:rsidRDefault="00DF5417" w:rsidP="00762B0A">
            <w:pPr>
              <w:spacing w:after="0"/>
              <w:ind w:right="-57" w:firstLine="29"/>
              <w:rPr>
                <w:rFonts w:asciiTheme="minorHAnsi" w:hAnsiTheme="minorHAnsi" w:cs="Arial"/>
                <w:noProof/>
                <w:sz w:val="20"/>
                <w:szCs w:val="20"/>
                <w:lang w:eastAsia="cs-CZ"/>
              </w:rPr>
            </w:pPr>
            <w:r w:rsidRPr="00C62639">
              <w:rPr>
                <w:rFonts w:asciiTheme="minorHAnsi" w:hAnsiTheme="minorHAnsi" w:cs="Arial"/>
                <w:b/>
                <w:noProof/>
                <w:sz w:val="20"/>
                <w:szCs w:val="20"/>
                <w:lang w:eastAsia="cs-CZ"/>
              </w:rPr>
              <w:t>Cenotvorba</w:t>
            </w:r>
            <w:r w:rsidRPr="00C62639">
              <w:rPr>
                <w:rFonts w:asciiTheme="minorHAnsi" w:hAnsiTheme="minorHAnsi" w:cs="Arial"/>
                <w:noProof/>
                <w:sz w:val="20"/>
                <w:szCs w:val="20"/>
                <w:lang w:eastAsia="cs-CZ"/>
              </w:rPr>
              <w:t xml:space="preserve"> – stanovení ceny za služby, která pokryje provozní náklady a náklady na obnovu infrastruktury </w:t>
            </w:r>
            <w:r w:rsidRPr="00C62639">
              <w:rPr>
                <w:rFonts w:asciiTheme="minorHAnsi" w:hAnsiTheme="minorHAnsi" w:cs="Arial"/>
                <w:noProof/>
                <w:sz w:val="20"/>
                <w:szCs w:val="20"/>
                <w:lang w:eastAsia="cs-CZ"/>
              </w:rPr>
              <w:br/>
              <w:t xml:space="preserve">a zabezpečí dostupnost služby všem spotřebitelům </w:t>
            </w:r>
            <w:r w:rsidRPr="00C62639">
              <w:rPr>
                <w:rFonts w:asciiTheme="minorHAnsi" w:hAnsiTheme="minorHAnsi" w:cs="Arial"/>
                <w:noProof/>
                <w:sz w:val="20"/>
                <w:szCs w:val="20"/>
                <w:lang w:eastAsia="cs-CZ"/>
              </w:rPr>
              <w:br/>
              <w:t>za sociálně únosnou cenu.</w:t>
            </w:r>
          </w:p>
        </w:tc>
      </w:tr>
      <w:tr w:rsidR="00DF5417" w:rsidRPr="00C62639" w14:paraId="354B8F0F" w14:textId="77777777" w:rsidTr="002505EC">
        <w:trPr>
          <w:trHeight w:val="824"/>
          <w:jc w:val="center"/>
        </w:trPr>
        <w:tc>
          <w:tcPr>
            <w:tcW w:w="425" w:type="dxa"/>
            <w:shd w:val="clear" w:color="auto" w:fill="E2EFD9"/>
            <w:vAlign w:val="center"/>
          </w:tcPr>
          <w:p w14:paraId="5C576051"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III.</w:t>
            </w:r>
          </w:p>
        </w:tc>
        <w:tc>
          <w:tcPr>
            <w:tcW w:w="3798" w:type="dxa"/>
            <w:shd w:val="clear" w:color="auto" w:fill="E2EFD9"/>
            <w:vAlign w:val="center"/>
          </w:tcPr>
          <w:p w14:paraId="1F16D94C" w14:textId="77777777" w:rsidR="00DF5417" w:rsidRPr="00C62639" w:rsidRDefault="00DF5417" w:rsidP="00762B0A">
            <w:pPr>
              <w:spacing w:after="0"/>
              <w:ind w:firstLine="29"/>
              <w:jc w:val="left"/>
              <w:rPr>
                <w:rFonts w:asciiTheme="minorHAnsi" w:hAnsiTheme="minorHAnsi" w:cs="Arial"/>
                <w:noProof/>
                <w:sz w:val="20"/>
                <w:szCs w:val="20"/>
                <w:lang w:eastAsia="cs-CZ"/>
              </w:rPr>
            </w:pPr>
            <w:r w:rsidRPr="00C62639">
              <w:rPr>
                <w:rFonts w:asciiTheme="minorHAnsi" w:hAnsiTheme="minorHAnsi" w:cs="Arial"/>
                <w:noProof/>
                <w:sz w:val="20"/>
                <w:szCs w:val="20"/>
                <w:lang w:eastAsia="cs-CZ"/>
              </w:rPr>
              <w:t xml:space="preserve">Zajistit dostatečnou </w:t>
            </w:r>
            <w:r w:rsidRPr="00C62639">
              <w:rPr>
                <w:rFonts w:asciiTheme="minorHAnsi" w:hAnsiTheme="minorHAnsi" w:cs="Arial"/>
                <w:b/>
                <w:noProof/>
                <w:sz w:val="20"/>
                <w:szCs w:val="20"/>
                <w:lang w:eastAsia="cs-CZ"/>
              </w:rPr>
              <w:t>úroveň kvality služeb</w:t>
            </w:r>
          </w:p>
        </w:tc>
        <w:tc>
          <w:tcPr>
            <w:tcW w:w="4876" w:type="dxa"/>
            <w:shd w:val="clear" w:color="auto" w:fill="E2EFD9"/>
            <w:vAlign w:val="center"/>
          </w:tcPr>
          <w:p w14:paraId="4A9AF23B" w14:textId="77777777" w:rsidR="00DF5417" w:rsidRPr="00C62639" w:rsidRDefault="00DF5417" w:rsidP="00762B0A">
            <w:pPr>
              <w:spacing w:after="0"/>
              <w:ind w:firstLine="29"/>
              <w:rPr>
                <w:rFonts w:asciiTheme="minorHAnsi" w:hAnsiTheme="minorHAnsi" w:cs="Arial"/>
                <w:noProof/>
                <w:sz w:val="20"/>
                <w:szCs w:val="20"/>
                <w:lang w:eastAsia="cs-CZ"/>
              </w:rPr>
            </w:pPr>
            <w:r w:rsidRPr="00C62639">
              <w:rPr>
                <w:rFonts w:asciiTheme="minorHAnsi" w:hAnsiTheme="minorHAnsi" w:cs="Arial"/>
                <w:noProof/>
                <w:sz w:val="20"/>
                <w:szCs w:val="20"/>
                <w:lang w:eastAsia="cs-CZ"/>
              </w:rPr>
              <w:t xml:space="preserve">Stálé dodávky pitné vody v požadovaném množství </w:t>
            </w:r>
            <w:r w:rsidRPr="00C62639">
              <w:rPr>
                <w:rFonts w:asciiTheme="minorHAnsi" w:hAnsiTheme="minorHAnsi" w:cs="Arial"/>
                <w:noProof/>
                <w:sz w:val="20"/>
                <w:szCs w:val="20"/>
                <w:lang w:eastAsia="cs-CZ"/>
              </w:rPr>
              <w:br/>
              <w:t>a kvalitě a kontinuální odvádění odpadních vod a jejich čištění podle legislativně stanovených parametrů</w:t>
            </w:r>
            <w:r w:rsidR="00C358BA">
              <w:rPr>
                <w:rFonts w:asciiTheme="minorHAnsi" w:hAnsiTheme="minorHAnsi" w:cs="Arial"/>
                <w:noProof/>
                <w:sz w:val="20"/>
                <w:szCs w:val="20"/>
                <w:lang w:eastAsia="cs-CZ"/>
              </w:rPr>
              <w:t>.</w:t>
            </w:r>
          </w:p>
        </w:tc>
      </w:tr>
      <w:tr w:rsidR="00DF5417" w:rsidRPr="00C62639" w14:paraId="71DE1BB3" w14:textId="77777777" w:rsidTr="002505EC">
        <w:trPr>
          <w:trHeight w:val="806"/>
          <w:jc w:val="center"/>
        </w:trPr>
        <w:tc>
          <w:tcPr>
            <w:tcW w:w="425" w:type="dxa"/>
            <w:shd w:val="clear" w:color="auto" w:fill="auto"/>
            <w:vAlign w:val="center"/>
          </w:tcPr>
          <w:p w14:paraId="2EBC132F"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IV.</w:t>
            </w:r>
          </w:p>
        </w:tc>
        <w:tc>
          <w:tcPr>
            <w:tcW w:w="3798" w:type="dxa"/>
            <w:shd w:val="clear" w:color="auto" w:fill="auto"/>
            <w:vAlign w:val="center"/>
          </w:tcPr>
          <w:p w14:paraId="0038B8A9" w14:textId="77777777" w:rsidR="00DF5417" w:rsidRPr="00C62639" w:rsidRDefault="00DF5417" w:rsidP="00762B0A">
            <w:pPr>
              <w:spacing w:after="0"/>
              <w:ind w:firstLine="29"/>
              <w:jc w:val="left"/>
              <w:rPr>
                <w:rFonts w:asciiTheme="minorHAnsi" w:hAnsiTheme="minorHAnsi" w:cs="Arial"/>
                <w:noProof/>
                <w:sz w:val="20"/>
                <w:szCs w:val="20"/>
                <w:lang w:eastAsia="cs-CZ"/>
              </w:rPr>
            </w:pPr>
            <w:r w:rsidRPr="00C62639">
              <w:rPr>
                <w:rFonts w:asciiTheme="minorHAnsi" w:hAnsiTheme="minorHAnsi" w:cs="Arial"/>
                <w:noProof/>
                <w:sz w:val="20"/>
                <w:szCs w:val="20"/>
                <w:lang w:eastAsia="cs-CZ"/>
              </w:rPr>
              <w:t>Zajistit</w:t>
            </w:r>
            <w:r w:rsidRPr="00C62639">
              <w:rPr>
                <w:rFonts w:asciiTheme="minorHAnsi" w:hAnsiTheme="minorHAnsi" w:cs="Arial"/>
                <w:b/>
                <w:noProof/>
                <w:sz w:val="20"/>
                <w:szCs w:val="20"/>
                <w:lang w:eastAsia="cs-CZ"/>
              </w:rPr>
              <w:t xml:space="preserve"> ochranu životního prostředí</w:t>
            </w:r>
            <w:r w:rsidRPr="00C62639">
              <w:rPr>
                <w:rFonts w:asciiTheme="minorHAnsi" w:hAnsiTheme="minorHAnsi" w:cs="Arial"/>
                <w:noProof/>
                <w:sz w:val="20"/>
                <w:szCs w:val="20"/>
                <w:lang w:eastAsia="cs-CZ"/>
              </w:rPr>
              <w:t xml:space="preserve"> a minimalizaci dopadů na něj</w:t>
            </w:r>
          </w:p>
        </w:tc>
        <w:tc>
          <w:tcPr>
            <w:tcW w:w="4876" w:type="dxa"/>
            <w:shd w:val="clear" w:color="auto" w:fill="auto"/>
            <w:vAlign w:val="center"/>
          </w:tcPr>
          <w:p w14:paraId="1B10E2EB" w14:textId="77777777" w:rsidR="00DF5417" w:rsidRPr="00C62639" w:rsidRDefault="00DF5417" w:rsidP="00762B0A">
            <w:pPr>
              <w:spacing w:after="0"/>
              <w:ind w:firstLine="29"/>
              <w:rPr>
                <w:rFonts w:asciiTheme="minorHAnsi" w:hAnsiTheme="minorHAnsi" w:cs="Arial"/>
                <w:noProof/>
                <w:sz w:val="20"/>
                <w:szCs w:val="20"/>
                <w:lang w:eastAsia="cs-CZ"/>
              </w:rPr>
            </w:pPr>
            <w:r w:rsidRPr="00C62639">
              <w:rPr>
                <w:rFonts w:asciiTheme="minorHAnsi" w:hAnsiTheme="minorHAnsi" w:cs="Arial"/>
                <w:noProof/>
                <w:sz w:val="20"/>
                <w:szCs w:val="20"/>
                <w:lang w:eastAsia="cs-CZ"/>
              </w:rPr>
              <w:t>Snižování negativních vlivů na životní prostředí (energetická náročnost, dodržování požadovaných limitů)</w:t>
            </w:r>
            <w:r w:rsidR="00C358BA">
              <w:rPr>
                <w:rFonts w:asciiTheme="minorHAnsi" w:hAnsiTheme="minorHAnsi" w:cs="Arial"/>
                <w:noProof/>
                <w:sz w:val="20"/>
                <w:szCs w:val="20"/>
                <w:lang w:eastAsia="cs-CZ"/>
              </w:rPr>
              <w:t>.</w:t>
            </w:r>
          </w:p>
        </w:tc>
      </w:tr>
      <w:tr w:rsidR="00DF5417" w:rsidRPr="00C62639" w14:paraId="174F9B19" w14:textId="77777777" w:rsidTr="00762B0A">
        <w:trPr>
          <w:jc w:val="center"/>
        </w:trPr>
        <w:tc>
          <w:tcPr>
            <w:tcW w:w="425" w:type="dxa"/>
            <w:shd w:val="clear" w:color="auto" w:fill="E2EFD9"/>
            <w:vAlign w:val="center"/>
          </w:tcPr>
          <w:p w14:paraId="70D99171" w14:textId="77777777" w:rsidR="00DF5417" w:rsidRPr="00C62639" w:rsidRDefault="00DF5417" w:rsidP="00762B0A">
            <w:pPr>
              <w:spacing w:after="0"/>
              <w:jc w:val="left"/>
              <w:rPr>
                <w:rFonts w:asciiTheme="minorHAnsi" w:hAnsiTheme="minorHAnsi" w:cs="Arial"/>
                <w:b/>
                <w:bCs/>
                <w:noProof/>
                <w:sz w:val="20"/>
                <w:szCs w:val="20"/>
                <w:lang w:eastAsia="cs-CZ"/>
              </w:rPr>
            </w:pPr>
            <w:r w:rsidRPr="00C62639">
              <w:rPr>
                <w:rFonts w:asciiTheme="minorHAnsi" w:hAnsiTheme="minorHAnsi" w:cs="Arial"/>
                <w:b/>
                <w:bCs/>
                <w:noProof/>
                <w:sz w:val="20"/>
                <w:szCs w:val="20"/>
                <w:lang w:eastAsia="cs-CZ"/>
              </w:rPr>
              <w:t>V.</w:t>
            </w:r>
          </w:p>
        </w:tc>
        <w:tc>
          <w:tcPr>
            <w:tcW w:w="3798" w:type="dxa"/>
            <w:shd w:val="clear" w:color="auto" w:fill="E2EFD9"/>
            <w:vAlign w:val="center"/>
          </w:tcPr>
          <w:p w14:paraId="65ADA026" w14:textId="77777777" w:rsidR="00DF5417" w:rsidRPr="00C62639" w:rsidRDefault="00DF5417" w:rsidP="00762B0A">
            <w:pPr>
              <w:spacing w:after="0"/>
              <w:ind w:firstLine="29"/>
              <w:jc w:val="left"/>
              <w:rPr>
                <w:rFonts w:asciiTheme="minorHAnsi" w:hAnsiTheme="minorHAnsi" w:cs="Arial"/>
                <w:noProof/>
                <w:sz w:val="20"/>
                <w:szCs w:val="20"/>
                <w:lang w:eastAsia="cs-CZ"/>
              </w:rPr>
            </w:pPr>
            <w:r w:rsidRPr="00C62639">
              <w:rPr>
                <w:rFonts w:asciiTheme="minorHAnsi" w:hAnsiTheme="minorHAnsi" w:cs="Arial"/>
                <w:noProof/>
                <w:sz w:val="20"/>
                <w:szCs w:val="20"/>
                <w:lang w:eastAsia="cs-CZ"/>
              </w:rPr>
              <w:t xml:space="preserve">Zvýšit </w:t>
            </w:r>
            <w:r w:rsidRPr="00C62639">
              <w:rPr>
                <w:rFonts w:asciiTheme="minorHAnsi" w:hAnsiTheme="minorHAnsi" w:cs="Arial"/>
                <w:b/>
                <w:noProof/>
                <w:sz w:val="20"/>
                <w:szCs w:val="20"/>
                <w:lang w:eastAsia="cs-CZ"/>
              </w:rPr>
              <w:t>transparentnost informací</w:t>
            </w:r>
            <w:r w:rsidRPr="00C62639">
              <w:rPr>
                <w:rFonts w:asciiTheme="minorHAnsi" w:hAnsiTheme="minorHAnsi" w:cs="Arial"/>
                <w:noProof/>
                <w:sz w:val="20"/>
                <w:szCs w:val="20"/>
                <w:lang w:eastAsia="cs-CZ"/>
              </w:rPr>
              <w:t xml:space="preserve"> všech zúčastněných stran v sektoru</w:t>
            </w:r>
          </w:p>
        </w:tc>
        <w:tc>
          <w:tcPr>
            <w:tcW w:w="4876" w:type="dxa"/>
            <w:shd w:val="clear" w:color="auto" w:fill="E2EFD9"/>
            <w:vAlign w:val="center"/>
          </w:tcPr>
          <w:p w14:paraId="50E5B4A2" w14:textId="77777777" w:rsidR="00DF5417" w:rsidRPr="00C62639" w:rsidRDefault="00DF5417" w:rsidP="002505EC">
            <w:pPr>
              <w:spacing w:after="0"/>
              <w:ind w:firstLine="29"/>
              <w:rPr>
                <w:rFonts w:asciiTheme="minorHAnsi" w:hAnsiTheme="minorHAnsi" w:cs="Arial"/>
                <w:noProof/>
                <w:sz w:val="20"/>
                <w:szCs w:val="20"/>
                <w:lang w:eastAsia="cs-CZ"/>
              </w:rPr>
            </w:pPr>
            <w:r w:rsidRPr="00C62639">
              <w:rPr>
                <w:rFonts w:asciiTheme="minorHAnsi" w:hAnsiTheme="minorHAnsi" w:cs="Arial"/>
                <w:noProof/>
                <w:sz w:val="20"/>
                <w:szCs w:val="20"/>
                <w:lang w:eastAsia="cs-CZ"/>
              </w:rPr>
              <w:t>Zabezpečení transparentní informovanosti o cenotvorbě, fungování, potřebách a problémech sektoru vodovodů a kanalizací</w:t>
            </w:r>
            <w:r w:rsidR="00C358BA">
              <w:rPr>
                <w:rFonts w:asciiTheme="minorHAnsi" w:hAnsiTheme="minorHAnsi" w:cs="Arial"/>
                <w:noProof/>
                <w:sz w:val="20"/>
                <w:szCs w:val="20"/>
                <w:lang w:eastAsia="cs-CZ"/>
              </w:rPr>
              <w:t>.</w:t>
            </w:r>
          </w:p>
        </w:tc>
      </w:tr>
    </w:tbl>
    <w:p w14:paraId="19871628" w14:textId="1F7AC2AF" w:rsidR="00BC03D3" w:rsidRDefault="00BC03D3" w:rsidP="00DF5417">
      <w:pPr>
        <w:spacing w:before="0" w:after="200" w:line="276" w:lineRule="auto"/>
        <w:contextualSpacing w:val="0"/>
        <w:jc w:val="left"/>
        <w:rPr>
          <w:rFonts w:asciiTheme="minorHAnsi" w:hAnsiTheme="minorHAnsi" w:cs="Calibri"/>
          <w:noProof/>
        </w:rPr>
      </w:pPr>
      <w:r>
        <w:rPr>
          <w:rFonts w:asciiTheme="minorHAnsi" w:hAnsiTheme="minorHAnsi" w:cs="Calibri"/>
          <w:noProof/>
        </w:rPr>
        <w:br w:type="page"/>
      </w:r>
    </w:p>
    <w:p w14:paraId="6E69C7AF" w14:textId="77777777" w:rsidR="004142CF" w:rsidRPr="00A340F8" w:rsidRDefault="004142CF" w:rsidP="00B26631">
      <w:pPr>
        <w:pStyle w:val="Nadpis1"/>
      </w:pPr>
      <w:bookmarkStart w:id="14" w:name="_Toc3291978"/>
      <w:r w:rsidRPr="00A340F8">
        <w:lastRenderedPageBreak/>
        <w:t>Proces zlepšování kvality sbíraných dat</w:t>
      </w:r>
      <w:bookmarkEnd w:id="14"/>
      <w:r w:rsidRPr="00A340F8">
        <w:t xml:space="preserve"> </w:t>
      </w:r>
    </w:p>
    <w:p w14:paraId="6B1E6587" w14:textId="14AF5F9B" w:rsidR="007A63FE" w:rsidRPr="00C358BA" w:rsidRDefault="007A63FE" w:rsidP="00C358BA">
      <w:pPr>
        <w:pStyle w:val="NORMLN0"/>
      </w:pPr>
      <w:r w:rsidRPr="00C358BA">
        <w:t>Kvalita</w:t>
      </w:r>
      <w:r w:rsidR="00DD0D42">
        <w:t xml:space="preserve"> a</w:t>
      </w:r>
      <w:r w:rsidR="00BC03D3">
        <w:t xml:space="preserve"> </w:t>
      </w:r>
      <w:r w:rsidR="00DD0D42">
        <w:t>využitelnost</w:t>
      </w:r>
      <w:r w:rsidRPr="00C358BA">
        <w:t xml:space="preserve"> </w:t>
      </w:r>
      <w:r w:rsidR="00DD0D42">
        <w:t>každého</w:t>
      </w:r>
      <w:r w:rsidRPr="00C358BA">
        <w:t xml:space="preserve"> realizovaného benchmarkingu jednoznačně závisí na kvalitě vstupních dat, správném výběru a struktuře ukazatelů sledujících plnění stanovených cílů (resp. záměrů) a na</w:t>
      </w:r>
      <w:r w:rsidR="00B26631" w:rsidRPr="00C358BA">
        <w:t xml:space="preserve"> </w:t>
      </w:r>
      <w:r w:rsidRPr="00C358BA">
        <w:t>způsobu zpřístupnění a interpretace výsledků benchmarkingových projektů jednotlivým zúčastněným stranám. I v předchozím benchmarkingovém projektu byla v rámci SWOT analýz problematika kvality dat identifikována jako jedna ze slabých stránek.</w:t>
      </w:r>
      <w:r w:rsidR="00B26631" w:rsidRPr="00C358BA">
        <w:t xml:space="preserve"> </w:t>
      </w:r>
    </w:p>
    <w:p w14:paraId="0829EE0C" w14:textId="1A016E98" w:rsidR="007A63FE" w:rsidRPr="00BF56FA" w:rsidRDefault="007A63FE" w:rsidP="00BF56FA">
      <w:pPr>
        <w:pStyle w:val="NORMLN0"/>
      </w:pPr>
      <w:r w:rsidRPr="00BF56FA">
        <w:t xml:space="preserve">Kvalitu dat pro potřeby </w:t>
      </w:r>
      <w:r w:rsidR="00004FC9">
        <w:t>zmíněných</w:t>
      </w:r>
      <w:r w:rsidR="00B26631" w:rsidRPr="00BF56FA">
        <w:t xml:space="preserve"> </w:t>
      </w:r>
      <w:r w:rsidRPr="00BF56FA">
        <w:t>benchmarkingových projektů</w:t>
      </w:r>
      <w:r w:rsidR="00B26631" w:rsidRPr="00BF56FA">
        <w:t xml:space="preserve"> </w:t>
      </w:r>
      <w:r w:rsidR="00004FC9">
        <w:t xml:space="preserve">probíhajících na MZe </w:t>
      </w:r>
      <w:r w:rsidRPr="00BF56FA">
        <w:t>lze posuzovat podle čtyř</w:t>
      </w:r>
      <w:r w:rsidR="00B26631" w:rsidRPr="00BF56FA">
        <w:t xml:space="preserve"> </w:t>
      </w:r>
      <w:r w:rsidRPr="00BF56FA">
        <w:t>hledisek:</w:t>
      </w:r>
    </w:p>
    <w:p w14:paraId="4B9DFB87" w14:textId="77777777" w:rsidR="007A63FE" w:rsidRPr="00BF56FA" w:rsidRDefault="007A63FE" w:rsidP="00BF56FA">
      <w:pPr>
        <w:pStyle w:val="NORMLN0"/>
      </w:pPr>
      <w:r w:rsidRPr="00BF56FA">
        <w:t>1. náležitosti nutné k propojení, tj. data odevzdávaná prostřednictvím dvou databází musí obsahovat veškeré náležitosti potřebné pro jejich propojení</w:t>
      </w:r>
      <w:r w:rsidR="009A2CE6">
        <w:t>,</w:t>
      </w:r>
    </w:p>
    <w:p w14:paraId="06C75A97" w14:textId="77777777" w:rsidR="007A63FE" w:rsidRPr="00BF56FA" w:rsidRDefault="007A63FE" w:rsidP="00BF56FA">
      <w:pPr>
        <w:pStyle w:val="NORMLN0"/>
      </w:pPr>
      <w:r w:rsidRPr="00BF56FA">
        <w:t>2. jednotná obsahová náplň, tj. zpracovatelé musí chápat jednotlivé vykazované údaje stejně</w:t>
      </w:r>
      <w:r w:rsidR="009A2CE6">
        <w:t>,</w:t>
      </w:r>
    </w:p>
    <w:p w14:paraId="28EAFF97" w14:textId="77777777" w:rsidR="007A63FE" w:rsidRDefault="007A63FE" w:rsidP="00BF56FA">
      <w:pPr>
        <w:pStyle w:val="NORMLN0"/>
        <w:rPr>
          <w:rFonts w:cs="Calibri"/>
          <w:noProof/>
        </w:rPr>
      </w:pPr>
      <w:r w:rsidRPr="00BF56FA">
        <w:t>3. úplnost dat, tzn.</w:t>
      </w:r>
      <w:r w:rsidR="00E141EB" w:rsidRPr="00BF56FA">
        <w:t>,</w:t>
      </w:r>
      <w:r w:rsidR="00B26631" w:rsidRPr="00BF56FA">
        <w:t xml:space="preserve"> že se </w:t>
      </w:r>
      <w:r w:rsidRPr="00BF56FA">
        <w:t>subjekty musí naučit pravdivě a úplně vykazovat např. počty poruch, ztráty pitné vody, veškeré související ekonomicky</w:t>
      </w:r>
      <w:r w:rsidR="00B26631" w:rsidRPr="00BF56FA">
        <w:t xml:space="preserve"> </w:t>
      </w:r>
      <w:r w:rsidRPr="00BF56FA">
        <w:t>oprávněné náklady apod. tak, aby data měla vypovídací schopnost a byla srovnatelná; dále je třeba do</w:t>
      </w:r>
      <w:r>
        <w:rPr>
          <w:rFonts w:cs="Calibri"/>
          <w:noProof/>
        </w:rPr>
        <w:t xml:space="preserve"> VÚPE doplnit údaje za přiváděcí řady, které se dosud na MZe nezasílaly a docházelo tak ke zkres</w:t>
      </w:r>
      <w:r w:rsidR="00BF56FA">
        <w:rPr>
          <w:rFonts w:cs="Calibri"/>
          <w:noProof/>
        </w:rPr>
        <w:t>lení hodnot některých ukazatelů</w:t>
      </w:r>
      <w:r w:rsidR="009A2CE6">
        <w:rPr>
          <w:rFonts w:cs="Calibri"/>
          <w:noProof/>
        </w:rPr>
        <w:t>,</w:t>
      </w:r>
    </w:p>
    <w:p w14:paraId="5A5C0830" w14:textId="77777777" w:rsidR="007A63FE" w:rsidRPr="00A340F8" w:rsidRDefault="007A63FE" w:rsidP="00BF56FA">
      <w:pPr>
        <w:pStyle w:val="NORMLN0"/>
      </w:pPr>
      <w:r w:rsidRPr="00A340F8">
        <w:t>4. odlišnost struktury odevzdávaných dat v rámci Porovnání plynoucí z aplikovaného modelu provozování. Projevuje se nemožností blíže posuzovat některé ukazatele jednotně např. výše kalkulačního zisku (u oddílného modelu je část zisku skrytá v nájemném) nebo množství generovaných prostředků na obnovu plynoucí z oprav VIM v sobě zahrnuje i údržbu či náklady</w:t>
      </w:r>
      <w:r w:rsidR="00BF56FA">
        <w:t xml:space="preserve"> na odstranění poruch a havárií apod.</w:t>
      </w:r>
      <w:r w:rsidRPr="00A340F8">
        <w:t xml:space="preserve"> </w:t>
      </w:r>
    </w:p>
    <w:p w14:paraId="17B30C75" w14:textId="49586E90" w:rsidR="007A63FE" w:rsidRPr="00A340F8" w:rsidRDefault="007A63FE" w:rsidP="00BF56FA">
      <w:pPr>
        <w:pStyle w:val="NORMLN0"/>
      </w:pPr>
      <w:r w:rsidRPr="00A340F8">
        <w:t>Na eliminaci</w:t>
      </w:r>
      <w:r w:rsidR="00B26631">
        <w:t xml:space="preserve"> </w:t>
      </w:r>
      <w:r w:rsidRPr="00A340F8">
        <w:t>uvedených nedostatků</w:t>
      </w:r>
      <w:r w:rsidR="00B26631">
        <w:t xml:space="preserve"> </w:t>
      </w:r>
      <w:r w:rsidRPr="00A340F8">
        <w:t>kvality dat MZe průběžně pracuje, a to prostřednictvím osobní komunikace s jednotlivými zpracovateli odevzdávaných údajů, informování v rámci tištěných článcích, prezentací na konferencích,</w:t>
      </w:r>
      <w:r w:rsidR="00B26631">
        <w:t xml:space="preserve"> </w:t>
      </w:r>
      <w:r w:rsidRPr="00A340F8">
        <w:t>novelizací vyhlášky č.</w:t>
      </w:r>
      <w:r w:rsidR="00BF56FA">
        <w:t> </w:t>
      </w:r>
      <w:r w:rsidRPr="00A340F8">
        <w:t>428/2001 Sb. (zejména příloha č. 20, v rámci které došlo k odstranění rozdílného přístupu pro poskytování informací o nákladové struktuře ceny pro vodné a stočné mezi subjekty aplikujícími smíšený a oddílný model provozování - doplnění informací o jednotlivých složkách nájemného hrazeného vlastníkům VIM). Vyhláška v této části nabude účinnosti</w:t>
      </w:r>
      <w:r w:rsidR="00B26631">
        <w:t xml:space="preserve"> </w:t>
      </w:r>
      <w:r w:rsidRPr="00A340F8">
        <w:t xml:space="preserve">od 1. září 2019. Dojde k doplnění některých informací v rámci </w:t>
      </w:r>
      <w:r w:rsidR="00A340F8">
        <w:t>V</w:t>
      </w:r>
      <w:r w:rsidRPr="00A340F8">
        <w:t xml:space="preserve">ybraných údajů provozní evidence </w:t>
      </w:r>
      <w:r w:rsidR="001B25B3">
        <w:t>(</w:t>
      </w:r>
      <w:r w:rsidRPr="00A340F8">
        <w:t>např. informace o provozních výsledcích přiváděcích řádů</w:t>
      </w:r>
      <w:r w:rsidR="001B25B3">
        <w:t>)</w:t>
      </w:r>
      <w:r w:rsidRPr="00A340F8">
        <w:t>. Dalším prostorem pro zlepšení sběru dat bude</w:t>
      </w:r>
      <w:r w:rsidR="00B26631">
        <w:t xml:space="preserve"> </w:t>
      </w:r>
      <w:r w:rsidRPr="00A340F8">
        <w:t xml:space="preserve">i úprava informačního systému VaK sloužícího pro sběr dat. </w:t>
      </w:r>
    </w:p>
    <w:p w14:paraId="4AF19103" w14:textId="77777777" w:rsidR="00DC5472" w:rsidRPr="00A340F8" w:rsidRDefault="00DC5472" w:rsidP="00A340F8">
      <w:pPr>
        <w:pStyle w:val="Normlnzprva"/>
      </w:pPr>
    </w:p>
    <w:p w14:paraId="3054F5E2" w14:textId="77777777" w:rsidR="004669F2" w:rsidRPr="00C62639" w:rsidRDefault="001B2A36" w:rsidP="00F762DB">
      <w:pPr>
        <w:pStyle w:val="Nadpis1"/>
        <w:rPr>
          <w:rFonts w:asciiTheme="minorHAnsi" w:hAnsiTheme="minorHAnsi"/>
          <w:noProof/>
        </w:rPr>
      </w:pPr>
      <w:bookmarkStart w:id="15" w:name="_Toc3291979"/>
      <w:r>
        <w:rPr>
          <w:rFonts w:asciiTheme="minorHAnsi" w:hAnsiTheme="minorHAnsi"/>
          <w:noProof/>
        </w:rPr>
        <w:t>Základní východiska a postupy, změny oproti předchozímu roku</w:t>
      </w:r>
      <w:bookmarkEnd w:id="15"/>
      <w:r>
        <w:rPr>
          <w:rFonts w:asciiTheme="minorHAnsi" w:hAnsiTheme="minorHAnsi"/>
          <w:noProof/>
        </w:rPr>
        <w:t xml:space="preserve"> </w:t>
      </w:r>
    </w:p>
    <w:p w14:paraId="4669B81E" w14:textId="77777777" w:rsidR="000B4E2B" w:rsidRPr="00C62639" w:rsidRDefault="001B2A36" w:rsidP="00837030">
      <w:pPr>
        <w:pStyle w:val="NORMLN0"/>
        <w:rPr>
          <w:rFonts w:asciiTheme="minorHAnsi" w:hAnsiTheme="minorHAnsi"/>
          <w:noProof/>
        </w:rPr>
      </w:pPr>
      <w:r w:rsidRPr="00A5162E">
        <w:t>V této kapitole jsou při</w:t>
      </w:r>
      <w:r w:rsidR="0096628B" w:rsidRPr="00A5162E">
        <w:t>pomenuty definice a rozdíly mezi jednotlivými modely provozování VIM</w:t>
      </w:r>
      <w:r w:rsidR="0096628B" w:rsidRPr="009478F5">
        <w:t>, výpočet skutečně generovaných prostředků obnovy VIM z vodného a stočného</w:t>
      </w:r>
      <w:r w:rsidR="005816CC" w:rsidRPr="009478F5">
        <w:t>, problémy s</w:t>
      </w:r>
      <w:r w:rsidR="005816CC" w:rsidRPr="00A71E3B">
        <w:t> vyhodnocováním ř. 20</w:t>
      </w:r>
      <w:r w:rsidR="0096628B" w:rsidRPr="00B25BDC">
        <w:t xml:space="preserve"> a popsány změny v použitých postupech a ukazatelích, které byly přijaty n</w:t>
      </w:r>
      <w:r w:rsidR="007A63FE" w:rsidRPr="00A5162E">
        <w:t>a základě výsledků projednání předložených připom</w:t>
      </w:r>
      <w:r w:rsidR="00C63181" w:rsidRPr="00A5162E">
        <w:t>ínek k benchmarkingu za rok 2016</w:t>
      </w:r>
      <w:r w:rsidR="0096628B" w:rsidRPr="00A5162E">
        <w:t>.</w:t>
      </w:r>
      <w:r w:rsidR="007A63FE" w:rsidRPr="00A5162E">
        <w:t xml:space="preserve"> </w:t>
      </w:r>
      <w:bookmarkStart w:id="16" w:name="_Toc502677192"/>
      <w:r w:rsidR="000B4E2B" w:rsidRPr="00C62639">
        <w:rPr>
          <w:rFonts w:asciiTheme="minorHAnsi" w:hAnsiTheme="minorHAnsi"/>
          <w:noProof/>
        </w:rPr>
        <w:t>Stručná charakteristika rozdílů analyzovaných modelů provozování a jejich podskupin</w:t>
      </w:r>
      <w:r w:rsidR="00837030">
        <w:rPr>
          <w:rFonts w:asciiTheme="minorHAnsi" w:hAnsiTheme="minorHAnsi"/>
          <w:noProof/>
        </w:rPr>
        <w:t>.</w:t>
      </w:r>
    </w:p>
    <w:p w14:paraId="5165CC38" w14:textId="2498AEFC" w:rsidR="00BC03D3" w:rsidRPr="00C62639" w:rsidRDefault="007A63FE" w:rsidP="00BC03D3">
      <w:pPr>
        <w:pStyle w:val="NORMLN0"/>
        <w:rPr>
          <w:rFonts w:asciiTheme="minorHAnsi" w:hAnsiTheme="minorHAnsi"/>
          <w:noProof/>
        </w:rPr>
      </w:pPr>
      <w:r w:rsidRPr="00A5162E">
        <w:lastRenderedPageBreak/>
        <w:t>Jednotlivé modely provozování byly identifikovány na základě informací obsažených na</w:t>
      </w:r>
      <w:r w:rsidR="001B25B3">
        <w:t> </w:t>
      </w:r>
      <w:r w:rsidRPr="00A5162E">
        <w:t>Porovnáních.</w:t>
      </w:r>
      <w:r w:rsidR="00B26631" w:rsidRPr="00A5162E">
        <w:t xml:space="preserve"> </w:t>
      </w:r>
      <w:r w:rsidRPr="00A5162E">
        <w:t>Těmito informacemi byly: IČO vlastníka VIM, IČO provozovatele VIM a I</w:t>
      </w:r>
      <w:r w:rsidR="00BC03D3">
        <w:t>ČO příjemce vodného a stočného.</w:t>
      </w:r>
    </w:p>
    <w:tbl>
      <w:tblPr>
        <w:tblpPr w:leftFromText="141" w:rightFromText="141" w:vertAnchor="text" w:horzAnchor="margin" w:tblpXSpec="center" w:tblpY="11"/>
        <w:tblW w:w="94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258"/>
      </w:tblGrid>
      <w:tr w:rsidR="00782E52" w:rsidRPr="00934258" w14:paraId="49BAA615" w14:textId="77777777" w:rsidTr="00E94496">
        <w:trPr>
          <w:tblHeader/>
        </w:trPr>
        <w:tc>
          <w:tcPr>
            <w:tcW w:w="2235" w:type="dxa"/>
            <w:tcBorders>
              <w:top w:val="single" w:sz="4" w:space="0" w:color="FFFFFF"/>
              <w:left w:val="single" w:sz="4" w:space="0" w:color="FFFFFF"/>
              <w:right w:val="nil"/>
            </w:tcBorders>
            <w:shd w:val="clear" w:color="auto" w:fill="8064A2"/>
            <w:vAlign w:val="center"/>
          </w:tcPr>
          <w:p w14:paraId="0BC40165" w14:textId="77777777" w:rsidR="00782E52" w:rsidRPr="00934258" w:rsidRDefault="00782E52" w:rsidP="00782E52">
            <w:pPr>
              <w:spacing w:before="0" w:after="0" w:line="160" w:lineRule="atLeast"/>
              <w:contextualSpacing w:val="0"/>
              <w:jc w:val="center"/>
              <w:rPr>
                <w:rFonts w:ascii="Calibri Light" w:hAnsi="Calibri Light"/>
                <w:b/>
                <w:noProof/>
                <w:color w:val="FFFFFF"/>
                <w:sz w:val="20"/>
                <w:szCs w:val="20"/>
              </w:rPr>
            </w:pPr>
            <w:r w:rsidRPr="00934258">
              <w:rPr>
                <w:rFonts w:ascii="Calibri Light" w:hAnsi="Calibri Light"/>
                <w:b/>
                <w:bCs/>
                <w:noProof/>
                <w:color w:val="FFFFFF"/>
                <w:sz w:val="20"/>
                <w:szCs w:val="20"/>
              </w:rPr>
              <w:t>MODEL PROVOZOVÁNÍ</w:t>
            </w:r>
          </w:p>
        </w:tc>
        <w:tc>
          <w:tcPr>
            <w:tcW w:w="7258" w:type="dxa"/>
            <w:tcBorders>
              <w:top w:val="single" w:sz="4" w:space="0" w:color="FFFFFF"/>
              <w:left w:val="nil"/>
              <w:right w:val="single" w:sz="4" w:space="0" w:color="FFFFFF"/>
            </w:tcBorders>
            <w:shd w:val="clear" w:color="auto" w:fill="8064A2"/>
            <w:vAlign w:val="center"/>
          </w:tcPr>
          <w:p w14:paraId="79764825" w14:textId="77777777" w:rsidR="00782E52" w:rsidRPr="00934258" w:rsidRDefault="00782E52" w:rsidP="00782E52">
            <w:pPr>
              <w:spacing w:before="0" w:after="0" w:line="160" w:lineRule="atLeast"/>
              <w:contextualSpacing w:val="0"/>
              <w:jc w:val="center"/>
              <w:rPr>
                <w:rFonts w:ascii="Calibri Light" w:hAnsi="Calibri Light"/>
                <w:b/>
                <w:noProof/>
                <w:color w:val="FFFFFF"/>
                <w:sz w:val="20"/>
                <w:szCs w:val="20"/>
              </w:rPr>
            </w:pPr>
            <w:r w:rsidRPr="00934258">
              <w:rPr>
                <w:rFonts w:ascii="Calibri Light" w:hAnsi="Calibri Light"/>
                <w:b/>
                <w:noProof/>
                <w:color w:val="FFFFFF"/>
                <w:sz w:val="20"/>
                <w:szCs w:val="20"/>
              </w:rPr>
              <w:t>Charakteristika z hlediska potřeb benchmarkingu</w:t>
            </w:r>
          </w:p>
        </w:tc>
      </w:tr>
      <w:tr w:rsidR="00782E52" w:rsidRPr="00934258" w14:paraId="2745122C" w14:textId="77777777" w:rsidTr="00E94496">
        <w:tc>
          <w:tcPr>
            <w:tcW w:w="2235" w:type="dxa"/>
            <w:tcBorders>
              <w:left w:val="single" w:sz="4" w:space="0" w:color="FFFFFF"/>
            </w:tcBorders>
            <w:shd w:val="clear" w:color="auto" w:fill="8064A2"/>
          </w:tcPr>
          <w:p w14:paraId="18824A2C" w14:textId="77777777" w:rsidR="00782E52" w:rsidRPr="00934258" w:rsidRDefault="00782E52" w:rsidP="00782E52">
            <w:pPr>
              <w:spacing w:before="0" w:after="0" w:line="160" w:lineRule="atLeast"/>
              <w:contextualSpacing w:val="0"/>
              <w:rPr>
                <w:rFonts w:ascii="Calibri Light" w:hAnsi="Calibri Light"/>
                <w:bCs/>
                <w:noProof/>
                <w:color w:val="FFFFFF"/>
                <w:sz w:val="20"/>
                <w:szCs w:val="20"/>
              </w:rPr>
            </w:pPr>
            <w:r w:rsidRPr="00934258">
              <w:rPr>
                <w:rFonts w:ascii="Calibri Light" w:hAnsi="Calibri Light"/>
                <w:b/>
                <w:bCs/>
                <w:noProof/>
                <w:color w:val="FFFFFF"/>
                <w:sz w:val="20"/>
                <w:szCs w:val="20"/>
              </w:rPr>
              <w:t xml:space="preserve">SMÍŠENÝ </w:t>
            </w:r>
          </w:p>
        </w:tc>
        <w:tc>
          <w:tcPr>
            <w:tcW w:w="7258" w:type="dxa"/>
            <w:shd w:val="clear" w:color="auto" w:fill="CCC0D9"/>
          </w:tcPr>
          <w:p w14:paraId="59644BF4"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Vlastník a provozovatel je stejný právní subjekt. </w:t>
            </w:r>
          </w:p>
          <w:p w14:paraId="77C2C4E6"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Vlastník (vlastníci) infrastruktury vloží svůj VIM do </w:t>
            </w:r>
            <w:r w:rsidRPr="00934258">
              <w:rPr>
                <w:rFonts w:ascii="Calibri Light" w:hAnsi="Calibri Light"/>
                <w:i/>
                <w:noProof/>
                <w:sz w:val="20"/>
                <w:szCs w:val="20"/>
              </w:rPr>
              <w:t>obchodní společnosti</w:t>
            </w:r>
            <w:r w:rsidRPr="00934258">
              <w:rPr>
                <w:rFonts w:ascii="Calibri Light" w:hAnsi="Calibri Light"/>
                <w:noProof/>
                <w:sz w:val="20"/>
                <w:szCs w:val="20"/>
              </w:rPr>
              <w:t xml:space="preserve"> (a.s., s.r.o., k.s.), která tento majetek vlastní a zároveň provozuje. Obchodní společnost má právo na výběr vodného a stočného. </w:t>
            </w:r>
          </w:p>
          <w:p w14:paraId="0608B607"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Původní vlastníci VIM dohlížejí na kvalitu a efektivitu služeb v rámci svých akcionářských práv nebo práv společníka. </w:t>
            </w:r>
          </w:p>
          <w:p w14:paraId="173BD16F"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Obchodní společnost je odpovědná za rozvoj a obnovu a také opravy a údržbu.</w:t>
            </w:r>
          </w:p>
          <w:p w14:paraId="6CDE4D36"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IČO vlastníka je stejné jako IČO provozovatele a IČO příjemce vodného a stočného a jedná se o některou z forem obchodních společností.</w:t>
            </w:r>
          </w:p>
        </w:tc>
      </w:tr>
      <w:tr w:rsidR="00782E52" w:rsidRPr="00934258" w14:paraId="35DDFE2F" w14:textId="77777777" w:rsidTr="00E94496">
        <w:tc>
          <w:tcPr>
            <w:tcW w:w="2235" w:type="dxa"/>
            <w:tcBorders>
              <w:left w:val="single" w:sz="4" w:space="0" w:color="FFFFFF"/>
            </w:tcBorders>
            <w:shd w:val="clear" w:color="auto" w:fill="8064A2"/>
          </w:tcPr>
          <w:p w14:paraId="1FD6D7B6" w14:textId="77777777" w:rsidR="00782E52" w:rsidRDefault="00782E52" w:rsidP="00782E52">
            <w:pPr>
              <w:spacing w:before="0" w:after="0" w:line="160" w:lineRule="atLeast"/>
              <w:contextualSpacing w:val="0"/>
              <w:rPr>
                <w:rFonts w:ascii="Calibri Light" w:hAnsi="Calibri Light"/>
                <w:b/>
                <w:bCs/>
                <w:noProof/>
                <w:color w:val="FFFFFF"/>
                <w:sz w:val="20"/>
                <w:szCs w:val="20"/>
              </w:rPr>
            </w:pPr>
            <w:r w:rsidRPr="00934258">
              <w:rPr>
                <w:rFonts w:ascii="Calibri Light" w:hAnsi="Calibri Light"/>
                <w:b/>
                <w:bCs/>
                <w:noProof/>
                <w:color w:val="FFFFFF"/>
                <w:sz w:val="20"/>
                <w:szCs w:val="20"/>
              </w:rPr>
              <w:t>OBEC PROVOZUJE SAMA</w:t>
            </w:r>
          </w:p>
          <w:p w14:paraId="101E1DAA" w14:textId="77777777" w:rsidR="00782E52" w:rsidRPr="00934258" w:rsidRDefault="00782E52" w:rsidP="00782E52">
            <w:pPr>
              <w:spacing w:before="0" w:after="0" w:line="160" w:lineRule="atLeast"/>
              <w:contextualSpacing w:val="0"/>
              <w:rPr>
                <w:rFonts w:ascii="Calibri Light" w:hAnsi="Calibri Light"/>
                <w:b/>
                <w:bCs/>
                <w:noProof/>
                <w:color w:val="FFFFFF"/>
                <w:sz w:val="20"/>
                <w:szCs w:val="20"/>
              </w:rPr>
            </w:pPr>
            <w:r>
              <w:rPr>
                <w:rFonts w:ascii="Calibri Light" w:hAnsi="Calibri Light"/>
                <w:b/>
                <w:bCs/>
                <w:noProof/>
                <w:color w:val="FFFFFF"/>
                <w:sz w:val="20"/>
                <w:szCs w:val="20"/>
              </w:rPr>
              <w:t>(PODSKUPINA SMÍŠENÉHO MODELU PROVOZOVÁNÍ)</w:t>
            </w:r>
          </w:p>
        </w:tc>
        <w:tc>
          <w:tcPr>
            <w:tcW w:w="7258" w:type="dxa"/>
            <w:shd w:val="clear" w:color="auto" w:fill="E5DFEC"/>
          </w:tcPr>
          <w:p w14:paraId="6E64AD3D"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Obec si svůj VIM provozuje vlastním jménem, na vlastní účet a vlastní odpovědnost. </w:t>
            </w:r>
          </w:p>
          <w:p w14:paraId="2756FCFD"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Obec má právo na výběr vodného a stočného. </w:t>
            </w:r>
          </w:p>
          <w:p w14:paraId="4F344B41"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Některé činnosti nebo odborný dozor mohou vykonávat externí dodavatelé na základě smlouvy.</w:t>
            </w:r>
          </w:p>
          <w:p w14:paraId="2437D22F"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Obec nese odpovědnost za kvalitu a efektivitu služeb. Je také odpovědna za rozvoj, obnovu, opravy a údržbu VIM. </w:t>
            </w:r>
          </w:p>
          <w:p w14:paraId="0C871930"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IČO vlastníka je stejné jako IČO provozovatele a IČO příjemce vodného a stočného a jedná se o obec, městys, města nebo sdružení zřízená municipálními subjekty. </w:t>
            </w:r>
          </w:p>
        </w:tc>
      </w:tr>
      <w:tr w:rsidR="00782E52" w:rsidRPr="00934258" w14:paraId="0A65B2E8" w14:textId="77777777" w:rsidTr="00E94496">
        <w:tc>
          <w:tcPr>
            <w:tcW w:w="2235" w:type="dxa"/>
            <w:tcBorders>
              <w:left w:val="single" w:sz="4" w:space="0" w:color="FFFFFF"/>
            </w:tcBorders>
            <w:shd w:val="clear" w:color="auto" w:fill="8064A2"/>
          </w:tcPr>
          <w:p w14:paraId="206D304F" w14:textId="77777777" w:rsidR="00782E52" w:rsidRPr="00934258" w:rsidRDefault="00782E52" w:rsidP="00782E52">
            <w:pPr>
              <w:spacing w:before="0" w:after="0" w:line="160" w:lineRule="atLeast"/>
              <w:contextualSpacing w:val="0"/>
              <w:rPr>
                <w:rFonts w:ascii="Calibri Light" w:hAnsi="Calibri Light"/>
                <w:bCs/>
                <w:noProof/>
                <w:color w:val="FFFFFF"/>
                <w:sz w:val="20"/>
                <w:szCs w:val="20"/>
              </w:rPr>
            </w:pPr>
            <w:r w:rsidRPr="00934258">
              <w:rPr>
                <w:rFonts w:ascii="Calibri Light" w:hAnsi="Calibri Light"/>
                <w:b/>
                <w:bCs/>
                <w:noProof/>
                <w:color w:val="FFFFFF"/>
                <w:sz w:val="20"/>
                <w:szCs w:val="20"/>
              </w:rPr>
              <w:t xml:space="preserve">ODDÍLNÝ </w:t>
            </w:r>
          </w:p>
        </w:tc>
        <w:tc>
          <w:tcPr>
            <w:tcW w:w="7258" w:type="dxa"/>
            <w:shd w:val="clear" w:color="auto" w:fill="CCC0D9"/>
          </w:tcPr>
          <w:p w14:paraId="17E31B5F"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VIM</w:t>
            </w:r>
            <w:r w:rsidR="00B26631">
              <w:rPr>
                <w:rFonts w:ascii="Calibri Light" w:hAnsi="Calibri Light"/>
                <w:noProof/>
                <w:sz w:val="20"/>
                <w:szCs w:val="20"/>
              </w:rPr>
              <w:t xml:space="preserve"> </w:t>
            </w:r>
            <w:r w:rsidRPr="00934258">
              <w:rPr>
                <w:rFonts w:ascii="Calibri Light" w:hAnsi="Calibri Light"/>
                <w:noProof/>
                <w:sz w:val="20"/>
                <w:szCs w:val="20"/>
              </w:rPr>
              <w:t xml:space="preserve">a provozovatel jsou dva </w:t>
            </w:r>
            <w:r w:rsidR="00921505">
              <w:rPr>
                <w:rFonts w:ascii="Calibri Light" w:hAnsi="Calibri Light"/>
                <w:noProof/>
                <w:sz w:val="20"/>
                <w:szCs w:val="20"/>
              </w:rPr>
              <w:t>odlišné právní subjekty.</w:t>
            </w:r>
            <w:r w:rsidRPr="00934258">
              <w:rPr>
                <w:rFonts w:ascii="Calibri Light" w:hAnsi="Calibri Light"/>
                <w:noProof/>
                <w:sz w:val="20"/>
                <w:szCs w:val="20"/>
              </w:rPr>
              <w:t xml:space="preserve"> </w:t>
            </w:r>
          </w:p>
          <w:p w14:paraId="7E9DC8BA"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Mezi vlastníkem a provozovatelem je uzavřená </w:t>
            </w:r>
            <w:r w:rsidRPr="00934258">
              <w:rPr>
                <w:rFonts w:ascii="Calibri Light" w:hAnsi="Calibri Light"/>
                <w:i/>
                <w:noProof/>
                <w:sz w:val="20"/>
                <w:szCs w:val="20"/>
              </w:rPr>
              <w:t xml:space="preserve">smlouva o nájmu a provozování VIM. </w:t>
            </w:r>
          </w:p>
          <w:p w14:paraId="062A70C6"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je </w:t>
            </w:r>
            <w:r w:rsidRPr="00934258">
              <w:rPr>
                <w:rFonts w:ascii="Calibri Light" w:hAnsi="Calibri Light"/>
                <w:i/>
                <w:noProof/>
                <w:sz w:val="20"/>
                <w:szCs w:val="20"/>
              </w:rPr>
              <w:t xml:space="preserve">odpovědný </w:t>
            </w:r>
            <w:r w:rsidRPr="00934258">
              <w:rPr>
                <w:rFonts w:ascii="Calibri Light" w:hAnsi="Calibri Light"/>
                <w:noProof/>
                <w:sz w:val="20"/>
                <w:szCs w:val="20"/>
              </w:rPr>
              <w:t xml:space="preserve">za kvalitu a efektivitu provozování VIM. Za poskytnutou službu mu náleží </w:t>
            </w:r>
            <w:r w:rsidRPr="00934258">
              <w:rPr>
                <w:rFonts w:ascii="Calibri Light" w:hAnsi="Calibri Light"/>
                <w:i/>
                <w:noProof/>
                <w:sz w:val="20"/>
                <w:szCs w:val="20"/>
              </w:rPr>
              <w:t xml:space="preserve">odměna ve formě práva na výběr </w:t>
            </w:r>
            <w:r w:rsidRPr="00934258">
              <w:rPr>
                <w:rFonts w:ascii="Calibri Light" w:hAnsi="Calibri Light"/>
                <w:noProof/>
                <w:sz w:val="20"/>
                <w:szCs w:val="20"/>
              </w:rPr>
              <w:t xml:space="preserve">vodného a stočného. </w:t>
            </w:r>
          </w:p>
          <w:p w14:paraId="2535104E"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hradí vlastníku VIM </w:t>
            </w:r>
            <w:r w:rsidRPr="00934258">
              <w:rPr>
                <w:rFonts w:ascii="Calibri Light" w:hAnsi="Calibri Light"/>
                <w:i/>
                <w:noProof/>
                <w:sz w:val="20"/>
                <w:szCs w:val="20"/>
              </w:rPr>
              <w:t>nájemné</w:t>
            </w:r>
            <w:r w:rsidRPr="00934258">
              <w:rPr>
                <w:rFonts w:ascii="Calibri Light" w:hAnsi="Calibri Light"/>
                <w:noProof/>
                <w:sz w:val="20"/>
                <w:szCs w:val="20"/>
              </w:rPr>
              <w:t xml:space="preserve"> za užívání VIM. </w:t>
            </w:r>
          </w:p>
          <w:p w14:paraId="7FBF58E6"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je odpovědný za rozvoj a obnovu VIM.</w:t>
            </w:r>
          </w:p>
          <w:p w14:paraId="6AC26437"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Provozovatel je odpovědný za opravy a údržbu VIM.</w:t>
            </w:r>
          </w:p>
          <w:p w14:paraId="3E8B8B24" w14:textId="43FC8A65" w:rsidR="00782E52" w:rsidRPr="00934258" w:rsidRDefault="00782E52" w:rsidP="00E8744A">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IČO vlastníka je rozdílné od IČO provozovatele</w:t>
            </w:r>
            <w:r w:rsidR="00004FC9">
              <w:rPr>
                <w:rFonts w:ascii="Calibri Light" w:hAnsi="Calibri Light"/>
                <w:noProof/>
                <w:sz w:val="20"/>
                <w:szCs w:val="20"/>
              </w:rPr>
              <w:t>.</w:t>
            </w:r>
            <w:r w:rsidRPr="00934258">
              <w:rPr>
                <w:rFonts w:ascii="Calibri Light" w:hAnsi="Calibri Light"/>
                <w:noProof/>
                <w:sz w:val="20"/>
                <w:szCs w:val="20"/>
              </w:rPr>
              <w:t xml:space="preserve"> Může se jednat o dvě samostatné obchodní společnosti nebo kombinaci municipálního právního subjektu jako vlastníka VIM a obchodní společnosti jako provozovatele VIM. </w:t>
            </w:r>
          </w:p>
        </w:tc>
      </w:tr>
      <w:tr w:rsidR="00782E52" w:rsidRPr="00934258" w14:paraId="06B4A442" w14:textId="77777777" w:rsidTr="00E94496">
        <w:tc>
          <w:tcPr>
            <w:tcW w:w="2235" w:type="dxa"/>
            <w:tcBorders>
              <w:left w:val="single" w:sz="4" w:space="0" w:color="FFFFFF"/>
            </w:tcBorders>
            <w:shd w:val="clear" w:color="auto" w:fill="8064A2"/>
          </w:tcPr>
          <w:p w14:paraId="7A8D250D"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r w:rsidRPr="00934258">
              <w:rPr>
                <w:rFonts w:ascii="Calibri Light" w:hAnsi="Calibri Light"/>
                <w:b/>
                <w:bCs/>
                <w:i/>
                <w:noProof/>
                <w:color w:val="FFFFFF"/>
                <w:sz w:val="20"/>
                <w:szCs w:val="20"/>
              </w:rPr>
              <w:t>VLASTNICKÝ</w:t>
            </w:r>
            <w:r w:rsidR="00B26631">
              <w:rPr>
                <w:rFonts w:ascii="Calibri Light" w:hAnsi="Calibri Light"/>
                <w:b/>
                <w:bCs/>
                <w:noProof/>
                <w:color w:val="FFFFFF"/>
                <w:sz w:val="20"/>
                <w:szCs w:val="20"/>
              </w:rPr>
              <w:t xml:space="preserve"> </w:t>
            </w:r>
          </w:p>
          <w:p w14:paraId="13D35B76"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p>
          <w:p w14:paraId="2E687B89"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r w:rsidRPr="00934258">
              <w:rPr>
                <w:rFonts w:ascii="Calibri Light" w:hAnsi="Calibri Light"/>
                <w:b/>
                <w:bCs/>
                <w:noProof/>
                <w:color w:val="FFFFFF"/>
                <w:sz w:val="20"/>
                <w:szCs w:val="20"/>
              </w:rPr>
              <w:t>(PODSKUPINA ODDÍLNÉHO MODELU PROVOZOVÁNÍ)</w:t>
            </w:r>
          </w:p>
        </w:tc>
        <w:tc>
          <w:tcPr>
            <w:tcW w:w="7258" w:type="dxa"/>
            <w:shd w:val="clear" w:color="auto" w:fill="E5DFEC"/>
          </w:tcPr>
          <w:p w14:paraId="7957FD0D"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VIM</w:t>
            </w:r>
            <w:r w:rsidR="00B26631">
              <w:rPr>
                <w:rFonts w:ascii="Calibri Light" w:hAnsi="Calibri Light"/>
                <w:noProof/>
                <w:sz w:val="20"/>
                <w:szCs w:val="20"/>
              </w:rPr>
              <w:t xml:space="preserve"> </w:t>
            </w:r>
            <w:r w:rsidRPr="00934258">
              <w:rPr>
                <w:rFonts w:ascii="Calibri Light" w:hAnsi="Calibri Light"/>
                <w:noProof/>
                <w:sz w:val="20"/>
                <w:szCs w:val="20"/>
              </w:rPr>
              <w:t>a provozovatel jsou dva rozdílné právní subjekty.</w:t>
            </w:r>
            <w:r w:rsidR="00B26631">
              <w:rPr>
                <w:rFonts w:ascii="Calibri Light" w:hAnsi="Calibri Light"/>
                <w:noProof/>
                <w:sz w:val="20"/>
                <w:szCs w:val="20"/>
              </w:rPr>
              <w:t xml:space="preserve"> </w:t>
            </w:r>
            <w:r w:rsidRPr="00934258">
              <w:rPr>
                <w:rFonts w:ascii="Calibri Light" w:hAnsi="Calibri Light"/>
                <w:noProof/>
                <w:sz w:val="20"/>
                <w:szCs w:val="20"/>
              </w:rPr>
              <w:t xml:space="preserve">Vlastník VIM je zřizovatelem provozovatele a je 100% vlastníkem, tj. majetkově provozovatele ovládá. </w:t>
            </w:r>
          </w:p>
          <w:p w14:paraId="3F93C419"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Mezi vlastníkem a provozovatelem je uzavřená </w:t>
            </w:r>
            <w:r w:rsidRPr="00934258">
              <w:rPr>
                <w:rFonts w:ascii="Calibri Light" w:hAnsi="Calibri Light"/>
                <w:i/>
                <w:noProof/>
                <w:sz w:val="20"/>
                <w:szCs w:val="20"/>
              </w:rPr>
              <w:t xml:space="preserve">smlouva o nájmu a provozování VIM, </w:t>
            </w:r>
            <w:r w:rsidRPr="00934258">
              <w:rPr>
                <w:rFonts w:ascii="Calibri Light" w:hAnsi="Calibri Light"/>
                <w:noProof/>
                <w:sz w:val="20"/>
                <w:szCs w:val="20"/>
              </w:rPr>
              <w:t>nebo provozovatel provozuje VIM na základě jiného pověření</w:t>
            </w:r>
            <w:r w:rsidRPr="00934258">
              <w:rPr>
                <w:rFonts w:ascii="Calibri Light" w:hAnsi="Calibri Light"/>
                <w:i/>
                <w:noProof/>
                <w:sz w:val="20"/>
                <w:szCs w:val="20"/>
              </w:rPr>
              <w:t xml:space="preserve">. </w:t>
            </w:r>
            <w:r w:rsidRPr="00934258">
              <w:rPr>
                <w:rFonts w:ascii="Calibri Light" w:hAnsi="Calibri Light"/>
                <w:noProof/>
                <w:sz w:val="20"/>
                <w:szCs w:val="20"/>
              </w:rPr>
              <w:t>(Často se jedná o účelově založené obchodní společnosti nebo např. technické služby města/obce).</w:t>
            </w:r>
            <w:r w:rsidRPr="00934258">
              <w:rPr>
                <w:rFonts w:ascii="Calibri Light" w:hAnsi="Calibri Light"/>
                <w:i/>
                <w:noProof/>
                <w:sz w:val="20"/>
                <w:szCs w:val="20"/>
              </w:rPr>
              <w:t xml:space="preserve"> </w:t>
            </w:r>
          </w:p>
          <w:p w14:paraId="22D6CDF9"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je </w:t>
            </w:r>
            <w:r w:rsidRPr="00934258">
              <w:rPr>
                <w:rFonts w:ascii="Calibri Light" w:hAnsi="Calibri Light"/>
                <w:i/>
                <w:noProof/>
                <w:sz w:val="20"/>
                <w:szCs w:val="20"/>
              </w:rPr>
              <w:t xml:space="preserve">odpovědný </w:t>
            </w:r>
            <w:r w:rsidRPr="00934258">
              <w:rPr>
                <w:rFonts w:ascii="Calibri Light" w:hAnsi="Calibri Light"/>
                <w:noProof/>
                <w:sz w:val="20"/>
                <w:szCs w:val="20"/>
              </w:rPr>
              <w:t xml:space="preserve">za kvalitu a efektivitu provozování VIM. Za poskytnutou službu mu náleží </w:t>
            </w:r>
            <w:r w:rsidRPr="00934258">
              <w:rPr>
                <w:rFonts w:ascii="Calibri Light" w:hAnsi="Calibri Light"/>
                <w:i/>
                <w:noProof/>
                <w:sz w:val="20"/>
                <w:szCs w:val="20"/>
              </w:rPr>
              <w:t xml:space="preserve">odměna ve formě práva na výběr </w:t>
            </w:r>
            <w:r w:rsidRPr="00934258">
              <w:rPr>
                <w:rFonts w:ascii="Calibri Light" w:hAnsi="Calibri Light"/>
                <w:noProof/>
                <w:sz w:val="20"/>
                <w:szCs w:val="20"/>
              </w:rPr>
              <w:t xml:space="preserve">vodného a stočného. </w:t>
            </w:r>
          </w:p>
          <w:p w14:paraId="25A88999"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hradí vlastníku VIM </w:t>
            </w:r>
            <w:r w:rsidRPr="00934258">
              <w:rPr>
                <w:rFonts w:ascii="Calibri Light" w:hAnsi="Calibri Light"/>
                <w:i/>
                <w:noProof/>
                <w:sz w:val="20"/>
                <w:szCs w:val="20"/>
              </w:rPr>
              <w:t>nájemné</w:t>
            </w:r>
            <w:r w:rsidRPr="00934258">
              <w:rPr>
                <w:rFonts w:ascii="Calibri Light" w:hAnsi="Calibri Light"/>
                <w:noProof/>
                <w:sz w:val="20"/>
                <w:szCs w:val="20"/>
              </w:rPr>
              <w:t xml:space="preserve"> za užívání VIM. </w:t>
            </w:r>
          </w:p>
          <w:p w14:paraId="4DB378A4"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je odpovědný za rozvoj a obnovu VIM.</w:t>
            </w:r>
          </w:p>
          <w:p w14:paraId="7927FF0C"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Provozovatel je odpovědný za opravy a údržbu VIM.</w:t>
            </w:r>
          </w:p>
          <w:p w14:paraId="0E70568A"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IČO vlastníka je rozdílné od IČO provozovatele a IČO příjemce vodného a stočného je stejné jako IČO provozovatele. Může se jednat o dvě samostatné obchodní společnosti nebo kombinaci municipálního právního subjektu (vlastník VIM)</w:t>
            </w:r>
            <w:r>
              <w:rPr>
                <w:rFonts w:ascii="Calibri Light" w:hAnsi="Calibri Light"/>
                <w:noProof/>
                <w:sz w:val="20"/>
                <w:szCs w:val="20"/>
              </w:rPr>
              <w:t xml:space="preserve"> a</w:t>
            </w:r>
            <w:r w:rsidRPr="00934258">
              <w:rPr>
                <w:rFonts w:ascii="Calibri Light" w:hAnsi="Calibri Light"/>
                <w:noProof/>
                <w:sz w:val="20"/>
                <w:szCs w:val="20"/>
              </w:rPr>
              <w:t xml:space="preserve"> obchodní společnosti nebo organizace zřízené municipálním vlastníkem VIM (provozovatel).</w:t>
            </w:r>
            <w:r w:rsidR="00B26631">
              <w:rPr>
                <w:rFonts w:ascii="Calibri Light" w:hAnsi="Calibri Light"/>
                <w:noProof/>
                <w:sz w:val="20"/>
                <w:szCs w:val="20"/>
              </w:rPr>
              <w:t xml:space="preserve"> </w:t>
            </w:r>
          </w:p>
        </w:tc>
      </w:tr>
    </w:tbl>
    <w:p w14:paraId="5B0E2D53" w14:textId="77777777" w:rsidR="00430622" w:rsidRDefault="00430622">
      <w:r>
        <w:br w:type="page"/>
      </w:r>
    </w:p>
    <w:tbl>
      <w:tblPr>
        <w:tblpPr w:leftFromText="141" w:rightFromText="141" w:vertAnchor="text" w:horzAnchor="margin" w:tblpXSpec="center" w:tblpY="11"/>
        <w:tblW w:w="94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258"/>
      </w:tblGrid>
      <w:tr w:rsidR="00782E52" w:rsidRPr="00934258" w14:paraId="71BFB95C" w14:textId="77777777" w:rsidTr="00E94496">
        <w:tc>
          <w:tcPr>
            <w:tcW w:w="2235" w:type="dxa"/>
            <w:tcBorders>
              <w:left w:val="single" w:sz="4" w:space="0" w:color="FFFFFF"/>
            </w:tcBorders>
            <w:shd w:val="clear" w:color="auto" w:fill="8064A2"/>
          </w:tcPr>
          <w:p w14:paraId="49EDAF94"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r w:rsidRPr="00934258">
              <w:rPr>
                <w:rFonts w:ascii="Calibri Light" w:hAnsi="Calibri Light"/>
                <w:b/>
                <w:bCs/>
                <w:i/>
                <w:noProof/>
                <w:color w:val="FFFFFF"/>
                <w:sz w:val="20"/>
                <w:szCs w:val="20"/>
              </w:rPr>
              <w:lastRenderedPageBreak/>
              <w:t>SERVISNÍ SMLOUVY</w:t>
            </w:r>
            <w:r w:rsidR="00B26631">
              <w:rPr>
                <w:rFonts w:ascii="Calibri Light" w:hAnsi="Calibri Light"/>
                <w:b/>
                <w:bCs/>
                <w:noProof/>
                <w:color w:val="FFFFFF"/>
                <w:sz w:val="20"/>
                <w:szCs w:val="20"/>
              </w:rPr>
              <w:t xml:space="preserve"> </w:t>
            </w:r>
          </w:p>
          <w:p w14:paraId="3E75A638"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p>
          <w:p w14:paraId="427689EF" w14:textId="77777777" w:rsidR="00782E52" w:rsidRPr="00934258" w:rsidRDefault="00782E52" w:rsidP="00782E52">
            <w:pPr>
              <w:spacing w:before="0" w:after="0" w:line="160" w:lineRule="atLeast"/>
              <w:contextualSpacing w:val="0"/>
              <w:jc w:val="left"/>
              <w:rPr>
                <w:rFonts w:ascii="Calibri Light" w:hAnsi="Calibri Light"/>
                <w:b/>
                <w:bCs/>
                <w:noProof/>
                <w:color w:val="FFFFFF"/>
                <w:sz w:val="20"/>
                <w:szCs w:val="20"/>
              </w:rPr>
            </w:pPr>
            <w:r w:rsidRPr="00934258">
              <w:rPr>
                <w:rFonts w:ascii="Calibri Light" w:hAnsi="Calibri Light"/>
                <w:b/>
                <w:bCs/>
                <w:noProof/>
                <w:color w:val="FFFFFF"/>
                <w:sz w:val="20"/>
                <w:szCs w:val="20"/>
              </w:rPr>
              <w:t>(PODSKUPINA ODDÍLNÉHO MODELU PROVOZOVÁNÍ)</w:t>
            </w:r>
          </w:p>
        </w:tc>
        <w:tc>
          <w:tcPr>
            <w:tcW w:w="7258" w:type="dxa"/>
            <w:shd w:val="clear" w:color="auto" w:fill="CCC0D9"/>
          </w:tcPr>
          <w:p w14:paraId="58967CA0"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Vlastník VIM</w:t>
            </w:r>
            <w:r w:rsidR="00B26631">
              <w:rPr>
                <w:rFonts w:ascii="Calibri Light" w:hAnsi="Calibri Light"/>
                <w:noProof/>
                <w:sz w:val="20"/>
                <w:szCs w:val="20"/>
              </w:rPr>
              <w:t xml:space="preserve"> </w:t>
            </w:r>
            <w:r w:rsidRPr="00934258">
              <w:rPr>
                <w:rFonts w:ascii="Calibri Light" w:hAnsi="Calibri Light"/>
                <w:noProof/>
                <w:sz w:val="20"/>
                <w:szCs w:val="20"/>
              </w:rPr>
              <w:t>a provozovatel jsou dva rozdílné subjekty bez majetkového p</w:t>
            </w:r>
            <w:r>
              <w:rPr>
                <w:rFonts w:ascii="Calibri Light" w:hAnsi="Calibri Light"/>
                <w:noProof/>
                <w:sz w:val="20"/>
                <w:szCs w:val="20"/>
              </w:rPr>
              <w:t>ro</w:t>
            </w:r>
            <w:r w:rsidRPr="00934258">
              <w:rPr>
                <w:rFonts w:ascii="Calibri Light" w:hAnsi="Calibri Light"/>
                <w:noProof/>
                <w:sz w:val="20"/>
                <w:szCs w:val="20"/>
              </w:rPr>
              <w:t xml:space="preserve">pojení. </w:t>
            </w:r>
          </w:p>
          <w:p w14:paraId="2037E80F"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Mezi vlastníkem a provozovatelem je uzavřená </w:t>
            </w:r>
            <w:r w:rsidRPr="00934258">
              <w:rPr>
                <w:rFonts w:ascii="Calibri Light" w:hAnsi="Calibri Light"/>
                <w:i/>
                <w:noProof/>
                <w:sz w:val="20"/>
                <w:szCs w:val="20"/>
              </w:rPr>
              <w:t>servisní smlouva.</w:t>
            </w:r>
          </w:p>
          <w:p w14:paraId="1BCE4A70"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Na základě servisní smlouvy hradí vlastník VIM provozovateli </w:t>
            </w:r>
            <w:r w:rsidRPr="00934258">
              <w:rPr>
                <w:rFonts w:ascii="Calibri Light" w:hAnsi="Calibri Light"/>
                <w:i/>
                <w:noProof/>
                <w:sz w:val="20"/>
                <w:szCs w:val="20"/>
              </w:rPr>
              <w:t xml:space="preserve">odměnu za provozování </w:t>
            </w:r>
          </w:p>
          <w:p w14:paraId="540A6D00" w14:textId="77777777" w:rsidR="00782E52" w:rsidRPr="002E3CB1"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je </w:t>
            </w:r>
            <w:r w:rsidRPr="00934258">
              <w:rPr>
                <w:rFonts w:ascii="Calibri Light" w:hAnsi="Calibri Light"/>
                <w:i/>
                <w:noProof/>
                <w:sz w:val="20"/>
                <w:szCs w:val="20"/>
              </w:rPr>
              <w:t xml:space="preserve">odpovědný </w:t>
            </w:r>
            <w:r w:rsidRPr="00934258">
              <w:rPr>
                <w:rFonts w:ascii="Calibri Light" w:hAnsi="Calibri Light"/>
                <w:noProof/>
                <w:sz w:val="20"/>
                <w:szCs w:val="20"/>
              </w:rPr>
              <w:t xml:space="preserve">za kvalitu a efektivitu provozování VIM. </w:t>
            </w:r>
          </w:p>
          <w:p w14:paraId="2F046953"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Vlastník VIM je příjemcem vodného a stočného. </w:t>
            </w:r>
          </w:p>
          <w:p w14:paraId="57496433"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Vlastník je odpovědný za rozvoj a obnovu VIM a ve většině případů hradí i opravy VIM realizované provozovatelem. </w:t>
            </w:r>
          </w:p>
          <w:p w14:paraId="3595EA92"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Provozovatel je odpovědný za údržbu VIM.</w:t>
            </w:r>
          </w:p>
          <w:p w14:paraId="5354A80C"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IČO vlastníka je rozdílné od IČO provozovatele a IČO příjemce vodného a stočného je stejné jako IČO vlastníka VIM. </w:t>
            </w:r>
          </w:p>
        </w:tc>
      </w:tr>
      <w:tr w:rsidR="00782E52" w:rsidRPr="00934258" w14:paraId="1876BA67" w14:textId="77777777" w:rsidTr="00E94496">
        <w:tc>
          <w:tcPr>
            <w:tcW w:w="2235" w:type="dxa"/>
            <w:tcBorders>
              <w:left w:val="single" w:sz="4" w:space="0" w:color="FFFFFF"/>
              <w:bottom w:val="single" w:sz="4" w:space="0" w:color="FFFFFF"/>
            </w:tcBorders>
            <w:shd w:val="clear" w:color="auto" w:fill="8064A2"/>
          </w:tcPr>
          <w:p w14:paraId="6336F8EE" w14:textId="77777777" w:rsidR="00782E52" w:rsidRPr="00934258" w:rsidRDefault="00782E52" w:rsidP="00782E52">
            <w:pPr>
              <w:spacing w:before="0" w:after="0" w:line="160" w:lineRule="atLeast"/>
              <w:contextualSpacing w:val="0"/>
              <w:jc w:val="left"/>
              <w:rPr>
                <w:rFonts w:ascii="Calibri Light" w:hAnsi="Calibri Light"/>
                <w:b/>
                <w:bCs/>
                <w:i/>
                <w:noProof/>
                <w:color w:val="FFFFFF"/>
                <w:sz w:val="20"/>
                <w:szCs w:val="20"/>
              </w:rPr>
            </w:pPr>
            <w:r w:rsidRPr="00934258">
              <w:rPr>
                <w:rFonts w:ascii="Calibri Light" w:hAnsi="Calibri Light"/>
                <w:b/>
                <w:bCs/>
                <w:i/>
                <w:noProof/>
                <w:color w:val="FFFFFF"/>
                <w:sz w:val="20"/>
                <w:szCs w:val="20"/>
              </w:rPr>
              <w:t xml:space="preserve">KOMBINOVANÝ </w:t>
            </w:r>
          </w:p>
          <w:p w14:paraId="4EF89BB3" w14:textId="77777777" w:rsidR="00782E52" w:rsidRPr="00934258" w:rsidRDefault="00782E52" w:rsidP="00782E52">
            <w:pPr>
              <w:spacing w:before="0" w:after="0" w:line="160" w:lineRule="atLeast"/>
              <w:contextualSpacing w:val="0"/>
              <w:jc w:val="left"/>
              <w:rPr>
                <w:rFonts w:ascii="Calibri Light" w:hAnsi="Calibri Light"/>
                <w:b/>
                <w:bCs/>
                <w:i/>
                <w:noProof/>
                <w:color w:val="FFFFFF"/>
                <w:sz w:val="20"/>
                <w:szCs w:val="20"/>
              </w:rPr>
            </w:pPr>
          </w:p>
          <w:p w14:paraId="327A08AE" w14:textId="77777777" w:rsidR="00782E52" w:rsidRPr="00934258" w:rsidRDefault="00782E52" w:rsidP="00782E52">
            <w:pPr>
              <w:spacing w:before="0" w:after="0" w:line="160" w:lineRule="atLeast"/>
              <w:contextualSpacing w:val="0"/>
              <w:jc w:val="left"/>
              <w:rPr>
                <w:rFonts w:ascii="Calibri Light" w:hAnsi="Calibri Light"/>
                <w:bCs/>
                <w:noProof/>
                <w:color w:val="FFFFFF"/>
                <w:sz w:val="20"/>
                <w:szCs w:val="20"/>
              </w:rPr>
            </w:pPr>
            <w:r w:rsidRPr="00934258">
              <w:rPr>
                <w:rFonts w:ascii="Calibri Light" w:hAnsi="Calibri Light"/>
                <w:b/>
                <w:bCs/>
                <w:noProof/>
                <w:color w:val="FFFFFF"/>
                <w:sz w:val="18"/>
                <w:szCs w:val="20"/>
              </w:rPr>
              <w:t>(KOMBIMACE ODDÍLNÉHO A SMÍŠENÉHO MODELU PROVOZOVÁNÍ)</w:t>
            </w:r>
          </w:p>
        </w:tc>
        <w:tc>
          <w:tcPr>
            <w:tcW w:w="7258" w:type="dxa"/>
            <w:shd w:val="clear" w:color="auto" w:fill="E5DFEC"/>
          </w:tcPr>
          <w:p w14:paraId="0EABCF35" w14:textId="77777777" w:rsidR="00782E52" w:rsidRPr="00934258" w:rsidRDefault="00782E52" w:rsidP="00782E52">
            <w:pPr>
              <w:pStyle w:val="Odstavecseseznamem"/>
              <w:numPr>
                <w:ilvl w:val="0"/>
                <w:numId w:val="23"/>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Provozovatel zároveň provozuje část VIM, ke kterému má vlastnické práva, takže k hodnotě tohoto VIM vytváří odpisy, které jsou součástí ceny pro vodné a stočné.</w:t>
            </w:r>
          </w:p>
          <w:p w14:paraId="7038EF7B"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Mezi vlastníkem a provozovatelem je uzavřená </w:t>
            </w:r>
            <w:r w:rsidRPr="00934258">
              <w:rPr>
                <w:rFonts w:ascii="Calibri Light" w:hAnsi="Calibri Light"/>
                <w:i/>
                <w:noProof/>
                <w:sz w:val="20"/>
                <w:szCs w:val="20"/>
              </w:rPr>
              <w:t xml:space="preserve">smlouva o nájmu a provozování VIM. </w:t>
            </w:r>
          </w:p>
          <w:p w14:paraId="5348299C"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 xml:space="preserve">Provozovatel je </w:t>
            </w:r>
            <w:r w:rsidRPr="00934258">
              <w:rPr>
                <w:rFonts w:ascii="Calibri Light" w:hAnsi="Calibri Light"/>
                <w:i/>
                <w:noProof/>
                <w:sz w:val="20"/>
                <w:szCs w:val="20"/>
              </w:rPr>
              <w:t xml:space="preserve">odpovědný </w:t>
            </w:r>
            <w:r w:rsidRPr="00934258">
              <w:rPr>
                <w:rFonts w:ascii="Calibri Light" w:hAnsi="Calibri Light"/>
                <w:noProof/>
                <w:sz w:val="20"/>
                <w:szCs w:val="20"/>
              </w:rPr>
              <w:t xml:space="preserve">za kvalitu a efektivitu provozování VIM. Za poskytnutou službu mu náleží </w:t>
            </w:r>
            <w:r w:rsidRPr="00934258">
              <w:rPr>
                <w:rFonts w:ascii="Calibri Light" w:hAnsi="Calibri Light"/>
                <w:i/>
                <w:noProof/>
                <w:sz w:val="20"/>
                <w:szCs w:val="20"/>
              </w:rPr>
              <w:t xml:space="preserve">odměna ve formě práva na výběr </w:t>
            </w:r>
            <w:r w:rsidRPr="00934258">
              <w:rPr>
                <w:rFonts w:ascii="Calibri Light" w:hAnsi="Calibri Light"/>
                <w:noProof/>
                <w:sz w:val="20"/>
                <w:szCs w:val="20"/>
              </w:rPr>
              <w:t xml:space="preserve">vodného a stočného. </w:t>
            </w:r>
          </w:p>
          <w:p w14:paraId="12711D1E" w14:textId="77777777" w:rsidR="00782E52" w:rsidRPr="00934258" w:rsidRDefault="00782E52" w:rsidP="00782E52">
            <w:pPr>
              <w:pStyle w:val="Odstavecseseznamem"/>
              <w:numPr>
                <w:ilvl w:val="0"/>
                <w:numId w:val="17"/>
              </w:numPr>
              <w:spacing w:before="0" w:after="0" w:line="160" w:lineRule="atLeast"/>
              <w:ind w:left="459"/>
              <w:contextualSpacing w:val="0"/>
              <w:jc w:val="left"/>
              <w:rPr>
                <w:rFonts w:ascii="Calibri Light" w:hAnsi="Calibri Light"/>
                <w:noProof/>
                <w:sz w:val="20"/>
                <w:szCs w:val="20"/>
              </w:rPr>
            </w:pPr>
            <w:r w:rsidRPr="00934258">
              <w:rPr>
                <w:rFonts w:ascii="Calibri Light" w:hAnsi="Calibri Light"/>
                <w:noProof/>
                <w:sz w:val="20"/>
                <w:szCs w:val="20"/>
              </w:rPr>
              <w:t>IČO vlastníka je rozdílné od IČO provozovatele a IČO příjemce vodného a stočného je stejné jako IČO provozovatele.</w:t>
            </w:r>
            <w:r w:rsidR="00B26631">
              <w:rPr>
                <w:rFonts w:ascii="Calibri Light" w:hAnsi="Calibri Light"/>
                <w:noProof/>
                <w:sz w:val="20"/>
                <w:szCs w:val="20"/>
              </w:rPr>
              <w:t xml:space="preserve"> </w:t>
            </w:r>
            <w:r w:rsidRPr="00934258">
              <w:rPr>
                <w:rFonts w:ascii="Calibri Light" w:hAnsi="Calibri Light"/>
                <w:i/>
                <w:noProof/>
                <w:sz w:val="20"/>
                <w:szCs w:val="20"/>
              </w:rPr>
              <w:t>IČO provozovatele je na Porovnání uvedeno i mezi vlastníky související provozované infrastruktury</w:t>
            </w:r>
            <w:r w:rsidRPr="00934258">
              <w:rPr>
                <w:rFonts w:ascii="Calibri Light" w:hAnsi="Calibri Light"/>
                <w:noProof/>
                <w:sz w:val="20"/>
                <w:szCs w:val="20"/>
              </w:rPr>
              <w:t>.</w:t>
            </w:r>
            <w:r w:rsidR="00B26631">
              <w:rPr>
                <w:rFonts w:ascii="Calibri Light" w:hAnsi="Calibri Light"/>
                <w:noProof/>
                <w:sz w:val="20"/>
                <w:szCs w:val="20"/>
              </w:rPr>
              <w:t xml:space="preserve"> </w:t>
            </w:r>
          </w:p>
        </w:tc>
      </w:tr>
    </w:tbl>
    <w:p w14:paraId="46702AAC" w14:textId="77777777" w:rsidR="000B4E2B" w:rsidRPr="00C62639" w:rsidRDefault="008F3F27" w:rsidP="000B4E2B">
      <w:pPr>
        <w:pStyle w:val="Nadpis2"/>
        <w:rPr>
          <w:rFonts w:asciiTheme="minorHAnsi" w:hAnsiTheme="minorHAnsi"/>
          <w:noProof/>
        </w:rPr>
      </w:pPr>
      <w:r>
        <w:rPr>
          <w:rFonts w:asciiTheme="minorHAnsi" w:hAnsiTheme="minorHAnsi"/>
          <w:noProof/>
        </w:rPr>
        <w:t xml:space="preserve"> </w:t>
      </w:r>
      <w:bookmarkStart w:id="17" w:name="_Toc3291980"/>
      <w:r w:rsidR="00B13308">
        <w:rPr>
          <w:rFonts w:asciiTheme="minorHAnsi" w:hAnsiTheme="minorHAnsi"/>
          <w:noProof/>
        </w:rPr>
        <w:t>Benchmarking vlastn</w:t>
      </w:r>
      <w:r w:rsidR="000331FE">
        <w:rPr>
          <w:rFonts w:asciiTheme="minorHAnsi" w:hAnsiTheme="minorHAnsi"/>
          <w:noProof/>
        </w:rPr>
        <w:t>i</w:t>
      </w:r>
      <w:r w:rsidR="00B13308">
        <w:rPr>
          <w:rFonts w:asciiTheme="minorHAnsi" w:hAnsiTheme="minorHAnsi"/>
          <w:noProof/>
        </w:rPr>
        <w:t>ckých subjektů - p</w:t>
      </w:r>
      <w:r w:rsidR="000B4E2B" w:rsidRPr="00C62639">
        <w:rPr>
          <w:rFonts w:asciiTheme="minorHAnsi" w:hAnsiTheme="minorHAnsi"/>
          <w:noProof/>
        </w:rPr>
        <w:t>ostup výpočtu skutečné dosažené výše prostředků na obnovu pro jednotlivé modely provozování a jejich podskupiny</w:t>
      </w:r>
      <w:bookmarkEnd w:id="16"/>
      <w:bookmarkEnd w:id="17"/>
    </w:p>
    <w:p w14:paraId="5821D1D7" w14:textId="416D0AA2" w:rsidR="009F36D5" w:rsidRDefault="00782E52" w:rsidP="00837030">
      <w:pPr>
        <w:pStyle w:val="NORMLN0"/>
      </w:pPr>
      <w:r w:rsidRPr="00E141EB">
        <w:t xml:space="preserve">Jak již bylo uvedeno, při hodnocení plnění povinnosti vlastníka VIM zabezpečovat obnovu VIM v souladu s §8 odst. 1, zák. č. 274/2001 Sb. </w:t>
      </w:r>
      <w:r w:rsidR="00B328DC">
        <w:t xml:space="preserve">je </w:t>
      </w:r>
      <w:r w:rsidRPr="00E141EB">
        <w:t>projekt zaměř</w:t>
      </w:r>
      <w:r w:rsidR="00B328DC">
        <w:t>en</w:t>
      </w:r>
      <w:r w:rsidRPr="00E141EB">
        <w:t xml:space="preserve"> na </w:t>
      </w:r>
      <w:r w:rsidR="00B328DC">
        <w:t>zjištění</w:t>
      </w:r>
      <w:r w:rsidRPr="00E141EB">
        <w:t xml:space="preserve">, zda byla výše skutečně generovaných prostředků na obnovu rovna nebo vyšší než vypočtená výše teoretické roční potřeby akumulace finančních prostředků na obnovu. </w:t>
      </w:r>
    </w:p>
    <w:p w14:paraId="247BF847" w14:textId="0F3DB907" w:rsidR="009F36D5" w:rsidRDefault="00782E52" w:rsidP="00837030">
      <w:pPr>
        <w:pStyle w:val="NORMLN0"/>
      </w:pPr>
      <w:r w:rsidRPr="00E141EB">
        <w:t>Výpočet skutečně generovaných prostředků na obnovu VIM v daném roce se liší podle aplikovaného modelu provozování a je uveden v následující tabulce (čísla odpovídají příslušným řádkům v Porovnání)</w:t>
      </w:r>
      <w:r w:rsidR="00B328DC">
        <w:t>.</w:t>
      </w:r>
    </w:p>
    <w:tbl>
      <w:tblPr>
        <w:tblpPr w:leftFromText="141" w:rightFromText="141" w:vertAnchor="text" w:horzAnchor="margin" w:tblpY="11"/>
        <w:tblW w:w="94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405"/>
        <w:gridCol w:w="7088"/>
      </w:tblGrid>
      <w:tr w:rsidR="00782E52" w:rsidRPr="00934258" w14:paraId="3FB46448" w14:textId="77777777" w:rsidTr="00394127">
        <w:trPr>
          <w:tblHeader/>
        </w:trPr>
        <w:tc>
          <w:tcPr>
            <w:tcW w:w="2405" w:type="dxa"/>
            <w:tcBorders>
              <w:top w:val="single" w:sz="4" w:space="0" w:color="FFFFFF"/>
              <w:left w:val="single" w:sz="4" w:space="0" w:color="FFFFFF"/>
              <w:right w:val="nil"/>
            </w:tcBorders>
            <w:shd w:val="clear" w:color="auto" w:fill="8064A2"/>
            <w:vAlign w:val="center"/>
          </w:tcPr>
          <w:p w14:paraId="42F08719" w14:textId="77777777" w:rsidR="00782E52" w:rsidRPr="00934258" w:rsidRDefault="00782E52" w:rsidP="004B35ED">
            <w:pPr>
              <w:spacing w:before="0" w:after="0" w:line="240" w:lineRule="atLeast"/>
              <w:jc w:val="center"/>
              <w:rPr>
                <w:rFonts w:ascii="Calibri Light" w:hAnsi="Calibri Light"/>
                <w:b/>
                <w:noProof/>
                <w:color w:val="FFFFFF"/>
                <w:sz w:val="20"/>
                <w:szCs w:val="20"/>
              </w:rPr>
            </w:pPr>
            <w:r w:rsidRPr="00934258">
              <w:rPr>
                <w:rFonts w:ascii="Calibri Light" w:hAnsi="Calibri Light"/>
                <w:b/>
                <w:bCs/>
                <w:noProof/>
                <w:color w:val="FFFFFF"/>
                <w:sz w:val="20"/>
                <w:szCs w:val="20"/>
              </w:rPr>
              <w:t>MODEL PROVOZOVÁNÍ</w:t>
            </w:r>
          </w:p>
        </w:tc>
        <w:tc>
          <w:tcPr>
            <w:tcW w:w="7088" w:type="dxa"/>
            <w:tcBorders>
              <w:top w:val="single" w:sz="4" w:space="0" w:color="FFFFFF"/>
              <w:left w:val="nil"/>
              <w:right w:val="single" w:sz="4" w:space="0" w:color="FFFFFF"/>
            </w:tcBorders>
            <w:shd w:val="clear" w:color="auto" w:fill="8064A2"/>
            <w:vAlign w:val="center"/>
          </w:tcPr>
          <w:p w14:paraId="207B929D" w14:textId="77777777" w:rsidR="00782E52" w:rsidRPr="00934258" w:rsidRDefault="00782E52" w:rsidP="004B35ED">
            <w:pPr>
              <w:spacing w:after="0" w:line="240" w:lineRule="atLeast"/>
              <w:jc w:val="center"/>
              <w:rPr>
                <w:rFonts w:ascii="Calibri Light" w:hAnsi="Calibri Light"/>
                <w:b/>
                <w:noProof/>
                <w:color w:val="FFFFFF"/>
                <w:sz w:val="20"/>
                <w:szCs w:val="20"/>
              </w:rPr>
            </w:pPr>
            <w:r w:rsidRPr="00934258">
              <w:rPr>
                <w:rFonts w:ascii="Calibri Light" w:hAnsi="Calibri Light"/>
                <w:b/>
                <w:bCs/>
                <w:noProof/>
                <w:color w:val="FFFFFF"/>
                <w:sz w:val="20"/>
                <w:szCs w:val="20"/>
              </w:rPr>
              <w:t>VÝPOČET SKUTEČNĚ GENEROVANÝCH PROSTŘEDKŮ</w:t>
            </w:r>
          </w:p>
        </w:tc>
      </w:tr>
      <w:tr w:rsidR="00782E52" w:rsidRPr="00934258" w14:paraId="319B0A97" w14:textId="77777777" w:rsidTr="00394127">
        <w:tc>
          <w:tcPr>
            <w:tcW w:w="2405" w:type="dxa"/>
            <w:tcBorders>
              <w:left w:val="single" w:sz="4" w:space="0" w:color="FFFFFF"/>
            </w:tcBorders>
            <w:shd w:val="clear" w:color="auto" w:fill="8064A2"/>
          </w:tcPr>
          <w:p w14:paraId="0677F06E" w14:textId="77777777" w:rsidR="00782E52" w:rsidRPr="00934258" w:rsidRDefault="00782E52" w:rsidP="004B35ED">
            <w:pPr>
              <w:spacing w:after="0" w:line="240" w:lineRule="atLeast"/>
              <w:rPr>
                <w:rFonts w:ascii="Calibri Light" w:hAnsi="Calibri Light"/>
                <w:bCs/>
                <w:noProof/>
                <w:color w:val="FFFFFF"/>
                <w:sz w:val="20"/>
                <w:szCs w:val="20"/>
              </w:rPr>
            </w:pPr>
            <w:r w:rsidRPr="00934258">
              <w:rPr>
                <w:rFonts w:ascii="Calibri Light" w:hAnsi="Calibri Light"/>
                <w:b/>
                <w:bCs/>
                <w:noProof/>
                <w:color w:val="FFFFFF"/>
                <w:sz w:val="20"/>
                <w:szCs w:val="20"/>
              </w:rPr>
              <w:t xml:space="preserve">SMÍŠENÝ </w:t>
            </w:r>
          </w:p>
        </w:tc>
        <w:tc>
          <w:tcPr>
            <w:tcW w:w="7088" w:type="dxa"/>
            <w:shd w:val="clear" w:color="auto" w:fill="CCC0D9"/>
          </w:tcPr>
          <w:p w14:paraId="424F705F"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4.1 Odpisy infrastrukturního majetku</w:t>
            </w:r>
          </w:p>
          <w:p w14:paraId="7C96C021"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+ 4.2 Opravy infrastrukturního majetku*</w:t>
            </w:r>
          </w:p>
          <w:p w14:paraId="3E55A71A"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+ 4.4 Prostředky obnovy infrastrukturního majetku</w:t>
            </w:r>
          </w:p>
          <w:p w14:paraId="76F866AF"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+ 13. Záporný kalkulační zisk**</w:t>
            </w:r>
          </w:p>
          <w:p w14:paraId="32884A66"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+ 15. Podíl kladného kalkulačního zisku na rozvoj a obnovu infrastrukturního majetku</w:t>
            </w:r>
          </w:p>
        </w:tc>
      </w:tr>
      <w:tr w:rsidR="00782E52" w:rsidRPr="00934258" w14:paraId="187985E7" w14:textId="77777777" w:rsidTr="00394127">
        <w:tc>
          <w:tcPr>
            <w:tcW w:w="2405" w:type="dxa"/>
            <w:tcBorders>
              <w:left w:val="single" w:sz="4" w:space="0" w:color="FFFFFF"/>
            </w:tcBorders>
            <w:shd w:val="clear" w:color="auto" w:fill="8064A2"/>
          </w:tcPr>
          <w:p w14:paraId="23F20D09" w14:textId="77777777" w:rsidR="00782E52" w:rsidRPr="00934258" w:rsidRDefault="00782E52" w:rsidP="004B35ED">
            <w:pPr>
              <w:spacing w:after="0" w:line="240" w:lineRule="atLeast"/>
              <w:rPr>
                <w:rFonts w:ascii="Calibri Light" w:hAnsi="Calibri Light"/>
                <w:bCs/>
                <w:noProof/>
                <w:color w:val="FFFFFF"/>
                <w:sz w:val="20"/>
                <w:szCs w:val="20"/>
              </w:rPr>
            </w:pPr>
            <w:r w:rsidRPr="00934258">
              <w:rPr>
                <w:rFonts w:ascii="Calibri Light" w:hAnsi="Calibri Light"/>
                <w:b/>
                <w:bCs/>
                <w:noProof/>
                <w:color w:val="FFFFFF"/>
                <w:sz w:val="20"/>
                <w:szCs w:val="20"/>
              </w:rPr>
              <w:t xml:space="preserve">ODDÍLNÝ </w:t>
            </w:r>
          </w:p>
        </w:tc>
        <w:tc>
          <w:tcPr>
            <w:tcW w:w="7088" w:type="dxa"/>
            <w:shd w:val="clear" w:color="auto" w:fill="E5DFEC"/>
          </w:tcPr>
          <w:p w14:paraId="17EAE55E"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4.3 Nájem infrastrukturního majetku</w:t>
            </w:r>
          </w:p>
          <w:p w14:paraId="296E0B7C"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+ 4.2 Opravy infrastrukturního majetku* </w:t>
            </w:r>
          </w:p>
          <w:p w14:paraId="7DBB60B2"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+ 15. Podíl kladného kalkulačního zisku na rozvoj a obnovu infrastrukturního majetku </w:t>
            </w:r>
          </w:p>
        </w:tc>
      </w:tr>
      <w:tr w:rsidR="00782E52" w:rsidRPr="00934258" w14:paraId="43BEE173" w14:textId="77777777" w:rsidTr="00394127">
        <w:trPr>
          <w:trHeight w:val="883"/>
        </w:trPr>
        <w:tc>
          <w:tcPr>
            <w:tcW w:w="2405" w:type="dxa"/>
            <w:tcBorders>
              <w:left w:val="single" w:sz="4" w:space="0" w:color="FFFFFF"/>
            </w:tcBorders>
            <w:shd w:val="clear" w:color="auto" w:fill="8064A2"/>
          </w:tcPr>
          <w:p w14:paraId="09129E80" w14:textId="77777777" w:rsidR="00782E52" w:rsidRDefault="00782E52" w:rsidP="004B35ED">
            <w:pPr>
              <w:spacing w:after="0" w:line="240" w:lineRule="atLeast"/>
              <w:jc w:val="left"/>
              <w:rPr>
                <w:rFonts w:ascii="Calibri Light" w:hAnsi="Calibri Light"/>
                <w:b/>
                <w:bCs/>
                <w:noProof/>
                <w:color w:val="FFFFFF"/>
                <w:sz w:val="20"/>
                <w:szCs w:val="20"/>
              </w:rPr>
            </w:pPr>
            <w:r w:rsidRPr="00934258">
              <w:rPr>
                <w:rFonts w:ascii="Calibri Light" w:hAnsi="Calibri Light"/>
                <w:b/>
                <w:bCs/>
                <w:i/>
                <w:noProof/>
                <w:color w:val="FFFFFF"/>
                <w:sz w:val="20"/>
                <w:szCs w:val="20"/>
              </w:rPr>
              <w:t>VLASTNICKÝ</w:t>
            </w:r>
            <w:r w:rsidRPr="00934258">
              <w:rPr>
                <w:rFonts w:ascii="Calibri Light" w:hAnsi="Calibri Light"/>
                <w:b/>
                <w:bCs/>
                <w:noProof/>
                <w:color w:val="FFFFFF"/>
                <w:sz w:val="20"/>
                <w:szCs w:val="20"/>
              </w:rPr>
              <w:t xml:space="preserve"> </w:t>
            </w:r>
          </w:p>
          <w:p w14:paraId="2A575517" w14:textId="77777777" w:rsidR="00782E52" w:rsidRPr="00934258" w:rsidRDefault="00782E52" w:rsidP="004B35ED">
            <w:pPr>
              <w:spacing w:after="0" w:line="240" w:lineRule="atLeast"/>
              <w:jc w:val="left"/>
              <w:rPr>
                <w:rFonts w:ascii="Calibri Light" w:hAnsi="Calibri Light"/>
                <w:b/>
                <w:bCs/>
                <w:noProof/>
                <w:color w:val="FFFFFF"/>
                <w:sz w:val="20"/>
                <w:szCs w:val="20"/>
              </w:rPr>
            </w:pPr>
            <w:r w:rsidRPr="00934258">
              <w:rPr>
                <w:rFonts w:ascii="Calibri Light" w:hAnsi="Calibri Light"/>
                <w:b/>
                <w:bCs/>
                <w:noProof/>
                <w:color w:val="FFFFFF"/>
                <w:sz w:val="20"/>
                <w:szCs w:val="20"/>
              </w:rPr>
              <w:t>(PODSKUPINA ODDÍLNÉHO MODELU PROVOZOVÁNÍ)</w:t>
            </w:r>
          </w:p>
        </w:tc>
        <w:tc>
          <w:tcPr>
            <w:tcW w:w="7088" w:type="dxa"/>
            <w:shd w:val="clear" w:color="auto" w:fill="CCC0D9"/>
          </w:tcPr>
          <w:p w14:paraId="73681CDB"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4.3 Nájem infrastrukturního majetku</w:t>
            </w:r>
          </w:p>
          <w:p w14:paraId="7C280507"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+ 4.2 Opravy infrastrukturního majetku* </w:t>
            </w:r>
          </w:p>
          <w:p w14:paraId="2655C6F8"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+ 15. Podíl kladného kalkulačního zisku na rozvoj a obnovu infrastrukturního majetku</w:t>
            </w:r>
          </w:p>
        </w:tc>
      </w:tr>
    </w:tbl>
    <w:p w14:paraId="0CDBCBF4" w14:textId="77777777" w:rsidR="00430622" w:rsidRDefault="00430622">
      <w:r>
        <w:br w:type="page"/>
      </w:r>
    </w:p>
    <w:tbl>
      <w:tblPr>
        <w:tblpPr w:leftFromText="141" w:rightFromText="141" w:vertAnchor="text" w:horzAnchor="margin" w:tblpY="11"/>
        <w:tblW w:w="94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405"/>
        <w:gridCol w:w="7088"/>
      </w:tblGrid>
      <w:tr w:rsidR="00782E52" w:rsidRPr="00934258" w14:paraId="42841836" w14:textId="77777777" w:rsidTr="00394127">
        <w:tc>
          <w:tcPr>
            <w:tcW w:w="2405" w:type="dxa"/>
            <w:tcBorders>
              <w:left w:val="single" w:sz="4" w:space="0" w:color="FFFFFF"/>
            </w:tcBorders>
            <w:shd w:val="clear" w:color="auto" w:fill="8064A2"/>
          </w:tcPr>
          <w:p w14:paraId="672BF494" w14:textId="77777777" w:rsidR="00782E52" w:rsidRPr="00934258" w:rsidRDefault="00782E52" w:rsidP="004B35ED">
            <w:pPr>
              <w:spacing w:after="0" w:line="240" w:lineRule="atLeast"/>
              <w:jc w:val="left"/>
              <w:rPr>
                <w:rFonts w:ascii="Calibri Light" w:hAnsi="Calibri Light"/>
                <w:b/>
                <w:bCs/>
                <w:noProof/>
                <w:color w:val="FFFFFF"/>
                <w:sz w:val="20"/>
                <w:szCs w:val="20"/>
              </w:rPr>
            </w:pPr>
            <w:r w:rsidRPr="00934258">
              <w:rPr>
                <w:rFonts w:ascii="Calibri Light" w:hAnsi="Calibri Light"/>
                <w:b/>
                <w:bCs/>
                <w:i/>
                <w:noProof/>
                <w:color w:val="FFFFFF"/>
                <w:sz w:val="20"/>
                <w:szCs w:val="20"/>
              </w:rPr>
              <w:lastRenderedPageBreak/>
              <w:t>SERVISNÍ SMLOUVY</w:t>
            </w:r>
            <w:r w:rsidRPr="00934258">
              <w:rPr>
                <w:rFonts w:ascii="Calibri Light" w:hAnsi="Calibri Light"/>
                <w:b/>
                <w:bCs/>
                <w:noProof/>
                <w:color w:val="FFFFFF"/>
                <w:sz w:val="20"/>
                <w:szCs w:val="20"/>
              </w:rPr>
              <w:t xml:space="preserve"> (PODSKUPINA ODDÍLNÉHO MODELU PROVOZOVÁNÍ)</w:t>
            </w:r>
          </w:p>
        </w:tc>
        <w:tc>
          <w:tcPr>
            <w:tcW w:w="7088" w:type="dxa"/>
            <w:shd w:val="clear" w:color="auto" w:fill="E5DFEC"/>
          </w:tcPr>
          <w:p w14:paraId="1C52C0A9"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4.1 Odpisy infrastrukturního majetku</w:t>
            </w:r>
          </w:p>
          <w:p w14:paraId="2DB5E6A4"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+ 4.2 Opravy infrastrukturního majetku*</w:t>
            </w:r>
          </w:p>
          <w:p w14:paraId="365DF3DA"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+ 4.4 Prostředky obnovy infrastrukturního majetku</w:t>
            </w:r>
          </w:p>
          <w:p w14:paraId="4D60B69B"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+ 13. Záporný kalkulační zisk**</w:t>
            </w:r>
          </w:p>
          <w:p w14:paraId="124A2BEF"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+ 15. Podíl kladného kalkulačního zisku na rozvoj a obnovu infrastrukturního majetku</w:t>
            </w:r>
          </w:p>
        </w:tc>
      </w:tr>
      <w:tr w:rsidR="00782E52" w:rsidRPr="00934258" w14:paraId="43FE15C6" w14:textId="77777777" w:rsidTr="00394127">
        <w:tc>
          <w:tcPr>
            <w:tcW w:w="2405" w:type="dxa"/>
            <w:tcBorders>
              <w:left w:val="single" w:sz="4" w:space="0" w:color="FFFFFF"/>
              <w:bottom w:val="single" w:sz="4" w:space="0" w:color="FFFFFF"/>
            </w:tcBorders>
            <w:shd w:val="clear" w:color="auto" w:fill="8064A2"/>
          </w:tcPr>
          <w:p w14:paraId="60A1A5C8" w14:textId="77777777" w:rsidR="00782E52" w:rsidRPr="00934258" w:rsidRDefault="00782E52" w:rsidP="004B35ED">
            <w:pPr>
              <w:spacing w:after="0" w:line="240" w:lineRule="atLeast"/>
              <w:rPr>
                <w:rFonts w:ascii="Calibri Light" w:hAnsi="Calibri Light"/>
                <w:bCs/>
                <w:noProof/>
                <w:color w:val="FFFFFF"/>
                <w:sz w:val="20"/>
                <w:szCs w:val="20"/>
              </w:rPr>
            </w:pPr>
            <w:r w:rsidRPr="00934258">
              <w:rPr>
                <w:rFonts w:ascii="Calibri Light" w:hAnsi="Calibri Light"/>
                <w:b/>
                <w:bCs/>
                <w:noProof/>
                <w:color w:val="FFFFFF"/>
                <w:sz w:val="20"/>
                <w:szCs w:val="20"/>
              </w:rPr>
              <w:t>KOMBINOVANÝ</w:t>
            </w:r>
          </w:p>
        </w:tc>
        <w:tc>
          <w:tcPr>
            <w:tcW w:w="7088" w:type="dxa"/>
            <w:shd w:val="clear" w:color="auto" w:fill="CCC0D9"/>
          </w:tcPr>
          <w:p w14:paraId="3461E584"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xml:space="preserve"> 4.1 Odpisy infrastrukturního majetku</w:t>
            </w:r>
          </w:p>
          <w:p w14:paraId="2AAEB619"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+ 4.2 Opravy infrastrukturního majetku*</w:t>
            </w:r>
          </w:p>
          <w:p w14:paraId="0B8C98F4"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+ 4.3 Nájem infrastrukturního majetku</w:t>
            </w:r>
          </w:p>
          <w:p w14:paraId="2BD48123"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+ 4.4 Prostředky obnovy infrastrukturního majetku</w:t>
            </w:r>
          </w:p>
          <w:p w14:paraId="126AF3E9"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+ 13. Záporný kalkulační zisk**</w:t>
            </w:r>
          </w:p>
          <w:p w14:paraId="2C1BDD1B" w14:textId="77777777" w:rsidR="00782E52" w:rsidRPr="00934258" w:rsidRDefault="00782E52" w:rsidP="004B35ED">
            <w:pPr>
              <w:spacing w:before="0" w:after="40" w:line="240" w:lineRule="atLeast"/>
              <w:jc w:val="left"/>
              <w:rPr>
                <w:rFonts w:ascii="Calibri Light" w:hAnsi="Calibri Light"/>
                <w:noProof/>
                <w:sz w:val="20"/>
                <w:szCs w:val="20"/>
              </w:rPr>
            </w:pPr>
            <w:r w:rsidRPr="00934258">
              <w:rPr>
                <w:rFonts w:ascii="Calibri Light" w:hAnsi="Calibri Light"/>
                <w:noProof/>
                <w:sz w:val="20"/>
                <w:szCs w:val="20"/>
              </w:rPr>
              <w:t>+ 15. Podíl kladného kalkulačního zisku na rozvoj a obnovu infrastrukturního majetku</w:t>
            </w:r>
          </w:p>
        </w:tc>
      </w:tr>
    </w:tbl>
    <w:p w14:paraId="059612EB" w14:textId="4DF002A8" w:rsidR="000B4E2B" w:rsidRPr="00C62639" w:rsidRDefault="000B4E2B" w:rsidP="000B4E2B">
      <w:pPr>
        <w:pStyle w:val="NORMLN0"/>
        <w:spacing w:before="0" w:after="0"/>
        <w:ind w:left="142" w:hanging="142"/>
        <w:rPr>
          <w:rFonts w:asciiTheme="minorHAnsi" w:hAnsiTheme="minorHAnsi"/>
          <w:noProof/>
          <w:sz w:val="18"/>
        </w:rPr>
      </w:pPr>
      <w:r w:rsidRPr="00C62639">
        <w:rPr>
          <w:rFonts w:asciiTheme="minorHAnsi" w:hAnsiTheme="minorHAnsi"/>
          <w:noProof/>
          <w:sz w:val="18"/>
        </w:rPr>
        <w:t>*</w:t>
      </w:r>
      <w:r w:rsidRPr="00C62639">
        <w:rPr>
          <w:rFonts w:asciiTheme="minorHAnsi" w:hAnsiTheme="minorHAnsi"/>
          <w:i/>
          <w:noProof/>
          <w:sz w:val="18"/>
        </w:rPr>
        <w:t>Opravy infrastrukturního majetku</w:t>
      </w:r>
      <w:r w:rsidRPr="00C62639">
        <w:rPr>
          <w:rFonts w:asciiTheme="minorHAnsi" w:hAnsiTheme="minorHAnsi"/>
          <w:noProof/>
          <w:sz w:val="18"/>
        </w:rPr>
        <w:t xml:space="preserve"> jsou započtené do prostředků na obnovu v celé výši</w:t>
      </w:r>
      <w:r w:rsidR="00B328DC">
        <w:rPr>
          <w:rFonts w:asciiTheme="minorHAnsi" w:hAnsiTheme="minorHAnsi"/>
          <w:noProof/>
          <w:sz w:val="18"/>
        </w:rPr>
        <w:t>, protože</w:t>
      </w:r>
      <w:r w:rsidRPr="00C62639">
        <w:rPr>
          <w:rFonts w:asciiTheme="minorHAnsi" w:hAnsiTheme="minorHAnsi"/>
          <w:noProof/>
          <w:sz w:val="18"/>
        </w:rPr>
        <w:t xml:space="preserve"> MZe nemá informaci o výši oprav s charakterem obnovy.</w:t>
      </w:r>
    </w:p>
    <w:p w14:paraId="69606782" w14:textId="77777777" w:rsidR="000B4E2B" w:rsidRDefault="000B4E2B" w:rsidP="000B4E2B">
      <w:pPr>
        <w:pStyle w:val="NORMLN0"/>
        <w:spacing w:before="0" w:after="0"/>
        <w:ind w:left="142" w:hanging="142"/>
        <w:rPr>
          <w:rFonts w:asciiTheme="minorHAnsi" w:hAnsiTheme="minorHAnsi"/>
          <w:noProof/>
          <w:sz w:val="18"/>
        </w:rPr>
      </w:pPr>
      <w:r w:rsidRPr="00C62639">
        <w:rPr>
          <w:rFonts w:asciiTheme="minorHAnsi" w:hAnsiTheme="minorHAnsi"/>
          <w:noProof/>
          <w:sz w:val="18"/>
        </w:rPr>
        <w:t xml:space="preserve">** </w:t>
      </w:r>
      <w:r w:rsidRPr="00C62639">
        <w:rPr>
          <w:rFonts w:asciiTheme="minorHAnsi" w:hAnsiTheme="minorHAnsi"/>
          <w:i/>
          <w:noProof/>
          <w:sz w:val="18"/>
        </w:rPr>
        <w:t>Záporný kalkulační zisk</w:t>
      </w:r>
      <w:r w:rsidRPr="00C62639">
        <w:rPr>
          <w:rFonts w:asciiTheme="minorHAnsi" w:hAnsiTheme="minorHAnsi"/>
          <w:noProof/>
          <w:sz w:val="18"/>
        </w:rPr>
        <w:t xml:space="preserve"> ponižuje výši generovaných prostředků na obnovu. </w:t>
      </w:r>
    </w:p>
    <w:p w14:paraId="326FD186" w14:textId="77777777" w:rsidR="00430622" w:rsidRDefault="00430622" w:rsidP="000B4E2B">
      <w:pPr>
        <w:pStyle w:val="NORMLN0"/>
        <w:spacing w:before="0" w:after="0"/>
        <w:ind w:left="142" w:hanging="142"/>
        <w:rPr>
          <w:rFonts w:asciiTheme="minorHAnsi" w:hAnsiTheme="minorHAnsi"/>
          <w:noProof/>
          <w:sz w:val="18"/>
        </w:rPr>
      </w:pPr>
    </w:p>
    <w:p w14:paraId="06C5DFB8" w14:textId="77777777" w:rsidR="00430622" w:rsidRPr="00C62639" w:rsidRDefault="00430622" w:rsidP="000B4E2B">
      <w:pPr>
        <w:pStyle w:val="NORMLN0"/>
        <w:spacing w:before="0" w:after="0"/>
        <w:ind w:left="142" w:hanging="142"/>
        <w:rPr>
          <w:rFonts w:asciiTheme="minorHAnsi" w:hAnsiTheme="minorHAnsi"/>
          <w:noProof/>
          <w:sz w:val="18"/>
        </w:rPr>
      </w:pPr>
    </w:p>
    <w:p w14:paraId="702447BE" w14:textId="77777777" w:rsidR="000B4E2B" w:rsidRPr="00C62639" w:rsidRDefault="00B13308" w:rsidP="000B4E2B">
      <w:pPr>
        <w:pStyle w:val="Nadpis2"/>
        <w:rPr>
          <w:rFonts w:asciiTheme="minorHAnsi" w:hAnsiTheme="minorHAnsi"/>
          <w:noProof/>
        </w:rPr>
      </w:pPr>
      <w:bookmarkStart w:id="18" w:name="_Toc502677193"/>
      <w:r>
        <w:rPr>
          <w:rFonts w:asciiTheme="minorHAnsi" w:hAnsiTheme="minorHAnsi"/>
          <w:noProof/>
        </w:rPr>
        <w:t xml:space="preserve"> </w:t>
      </w:r>
      <w:bookmarkStart w:id="19" w:name="_Toc3291981"/>
      <w:r>
        <w:rPr>
          <w:rFonts w:asciiTheme="minorHAnsi" w:hAnsiTheme="minorHAnsi"/>
          <w:noProof/>
        </w:rPr>
        <w:t>Benchmarking vlastnických subjektů - p</w:t>
      </w:r>
      <w:r w:rsidR="000B4E2B" w:rsidRPr="00C62639">
        <w:rPr>
          <w:rFonts w:asciiTheme="minorHAnsi" w:hAnsiTheme="minorHAnsi"/>
          <w:noProof/>
        </w:rPr>
        <w:t>roblematika vyhodnocování obnovy a řádku 20 - Prostředky obnovy infrastrukturního majetku v Porovnání a další návaznosti na benchmarking vlastnických subjektů a možnosti využití údajů pro sledování obnovy VIM</w:t>
      </w:r>
      <w:bookmarkEnd w:id="18"/>
      <w:bookmarkEnd w:id="19"/>
    </w:p>
    <w:p w14:paraId="3AE1432D" w14:textId="01B70C9E" w:rsidR="009F36D5" w:rsidRDefault="00883612" w:rsidP="00837030">
      <w:pPr>
        <w:pStyle w:val="NORMLN0"/>
      </w:pPr>
      <w:r>
        <w:t>Na základě výsledků benchmarkingových projektů z roku 2016 bylo přistoupeno k adresné komunikaci s vlastníky VIM, kteří negenerovali prostředky na obnovu v dostatečné výši. V rámci komunikace byl</w:t>
      </w:r>
      <w:r w:rsidR="001B25B3">
        <w:t>i</w:t>
      </w:r>
      <w:r>
        <w:t xml:space="preserve"> upozorněni na důležitost </w:t>
      </w:r>
      <w:r w:rsidR="005816CC">
        <w:t xml:space="preserve">vyplňování </w:t>
      </w:r>
      <w:r>
        <w:t>řádku 20</w:t>
      </w:r>
      <w:r w:rsidR="00BC03D3">
        <w:t xml:space="preserve"> </w:t>
      </w:r>
      <w:r w:rsidR="00284ED7">
        <w:t>a jeho vztahu</w:t>
      </w:r>
      <w:r>
        <w:t xml:space="preserve"> k vykazování tvorby </w:t>
      </w:r>
      <w:r w:rsidR="005816CC">
        <w:t xml:space="preserve">finančních </w:t>
      </w:r>
      <w:r>
        <w:t>prostředků na obnovu</w:t>
      </w:r>
      <w:r w:rsidR="00284ED7">
        <w:t xml:space="preserve"> (tj. zákonné povinnosti vlastníků VIM). Z</w:t>
      </w:r>
      <w:r>
        <w:t xml:space="preserve"> vyhodnocení reakcí na </w:t>
      </w:r>
      <w:r w:rsidR="005816CC">
        <w:t xml:space="preserve">toto </w:t>
      </w:r>
      <w:r>
        <w:t>upozornění bylo zjištěno, že MZe bude muset dále pracovat na</w:t>
      </w:r>
      <w:r w:rsidR="00BC03D3">
        <w:t xml:space="preserve"> </w:t>
      </w:r>
      <w:r>
        <w:t>osvětě zaměřen</w:t>
      </w:r>
      <w:r w:rsidR="009A2CE6">
        <w:t>é</w:t>
      </w:r>
      <w:r>
        <w:t xml:space="preserve"> nejen na obnovu </w:t>
      </w:r>
      <w:r w:rsidR="005816CC">
        <w:t xml:space="preserve">VIM </w:t>
      </w:r>
      <w:r>
        <w:t xml:space="preserve">obecně, ale </w:t>
      </w:r>
      <w:r w:rsidR="009A2CE6">
        <w:t>zejména</w:t>
      </w:r>
      <w:r>
        <w:t xml:space="preserve"> na souvislost mezi </w:t>
      </w:r>
      <w:r w:rsidR="009A2CE6">
        <w:t>PFO</w:t>
      </w:r>
      <w:r>
        <w:t xml:space="preserve"> a řádkem 20 Porovnání </w:t>
      </w:r>
      <w:r w:rsidR="00B25679">
        <w:t>(</w:t>
      </w:r>
      <w:r w:rsidR="00B25679" w:rsidRPr="00E141EB">
        <w:t>Tvorba a čerpání prostředků obnovy infrastrukturního majetku</w:t>
      </w:r>
      <w:r w:rsidR="00B25679">
        <w:t xml:space="preserve">). </w:t>
      </w:r>
    </w:p>
    <w:p w14:paraId="6EDAF8A0" w14:textId="70688FE4" w:rsidR="00A5162E" w:rsidRDefault="005816CC" w:rsidP="00A5162E">
      <w:pPr>
        <w:pStyle w:val="NORMLN0"/>
        <w:rPr>
          <w:rStyle w:val="NormlnzprvaChar"/>
        </w:rPr>
      </w:pPr>
      <w:r>
        <w:t>Přestože</w:t>
      </w:r>
      <w:r w:rsidR="00B25679">
        <w:t xml:space="preserve"> v porovnání se stavem v roce 2016 došlo k poklesu počtu Porovnání s nevyplněným řádkem 20 (</w:t>
      </w:r>
      <w:r w:rsidR="00837030">
        <w:t xml:space="preserve">u </w:t>
      </w:r>
      <w:r w:rsidR="00B25679">
        <w:t>vodovod</w:t>
      </w:r>
      <w:r w:rsidR="00837030">
        <w:t>u</w:t>
      </w:r>
      <w:r w:rsidR="00B25679">
        <w:t xml:space="preserve"> o 251</w:t>
      </w:r>
      <w:r w:rsidR="00837030">
        <w:t xml:space="preserve"> a u</w:t>
      </w:r>
      <w:r w:rsidR="00B25679">
        <w:t xml:space="preserve"> kanalizace o 336 Porovnání), opětovně se potvrdilo, že dochází k různým výkladům, způsobům výpočtu a k odlišnostem v obsahové náplni </w:t>
      </w:r>
      <w:r w:rsidR="00284ED7">
        <w:t xml:space="preserve">vykazovaných </w:t>
      </w:r>
      <w:r w:rsidR="00B25679">
        <w:t xml:space="preserve">údajů. </w:t>
      </w:r>
      <w:r w:rsidR="00782E52" w:rsidRPr="00E141EB">
        <w:t xml:space="preserve">Tato skutečnost je způsobena zejména tím, že </w:t>
      </w:r>
      <w:r w:rsidR="00A5162E">
        <w:rPr>
          <w:rStyle w:val="NormlnzprvaChar"/>
          <w:rFonts w:asciiTheme="minorHAnsi" w:hAnsiTheme="minorHAnsi"/>
        </w:rPr>
        <w:t>vyhláška</w:t>
      </w:r>
      <w:r w:rsidR="00A5162E" w:rsidRPr="00C62639">
        <w:rPr>
          <w:rStyle w:val="NormlnzprvaChar"/>
          <w:rFonts w:asciiTheme="minorHAnsi" w:hAnsiTheme="minorHAnsi"/>
        </w:rPr>
        <w:t xml:space="preserve"> č. 428/2001 Sb.</w:t>
      </w:r>
      <w:r w:rsidR="00A5162E">
        <w:t xml:space="preserve"> (popř. metodický pokyn)</w:t>
      </w:r>
      <w:r w:rsidR="009A2CE6">
        <w:t xml:space="preserve"> </w:t>
      </w:r>
      <w:r w:rsidR="00782E52" w:rsidRPr="00E141EB">
        <w:t>jednoznačně nestanovuje postup zjištění</w:t>
      </w:r>
      <w:r w:rsidR="001B25B3">
        <w:t xml:space="preserve"> (</w:t>
      </w:r>
      <w:r w:rsidR="00782E52" w:rsidRPr="00E141EB">
        <w:t>popř. výpočtu</w:t>
      </w:r>
      <w:r w:rsidR="001B25B3">
        <w:t>)</w:t>
      </w:r>
      <w:r w:rsidR="00782E52" w:rsidRPr="00E141EB">
        <w:t xml:space="preserve"> hodnot, které se na řádku 20 </w:t>
      </w:r>
      <w:r>
        <w:t>vykazují</w:t>
      </w:r>
      <w:r w:rsidR="00782E52" w:rsidRPr="00E141EB">
        <w:t>, a přesně nespecifikuje jejich obsahovou náplň. Data se tak stávají neporovnatelnými a není možné je pro potřeby benchmarkingu využít</w:t>
      </w:r>
      <w:r w:rsidR="009A2CE6">
        <w:t xml:space="preserve"> v plném rozsahu</w:t>
      </w:r>
      <w:r w:rsidR="00782E52" w:rsidRPr="00E141EB">
        <w:t>.</w:t>
      </w:r>
      <w:r w:rsidR="00A5162E">
        <w:t xml:space="preserve"> Dalším </w:t>
      </w:r>
      <w:r w:rsidR="00A5162E">
        <w:rPr>
          <w:rStyle w:val="NormlnzprvaChar"/>
        </w:rPr>
        <w:t>d</w:t>
      </w:r>
      <w:r w:rsidR="00782E52" w:rsidRPr="00E141EB">
        <w:rPr>
          <w:rStyle w:val="NormlnzprvaChar"/>
        </w:rPr>
        <w:t>ůvodem</w:t>
      </w:r>
      <w:r w:rsidR="009A2CE6">
        <w:rPr>
          <w:rStyle w:val="NormlnzprvaChar"/>
        </w:rPr>
        <w:t xml:space="preserve"> chybného vykazování ř. 20 </w:t>
      </w:r>
      <w:r w:rsidR="00782E52" w:rsidRPr="00E141EB">
        <w:rPr>
          <w:rStyle w:val="NormlnzprvaChar"/>
        </w:rPr>
        <w:t>může být nedostatečná komunikace mezi vlastníky a provozovateli, popř.</w:t>
      </w:r>
      <w:r w:rsidR="00782E52" w:rsidRPr="002E3CB1">
        <w:rPr>
          <w:rStyle w:val="NormlnzprvaChar"/>
        </w:rPr>
        <w:t xml:space="preserve"> nedostatečná komunikace mezi jednotlivými organizačními složkami </w:t>
      </w:r>
      <w:r w:rsidR="00782E52">
        <w:rPr>
          <w:rStyle w:val="NormlnzprvaChar"/>
        </w:rPr>
        <w:t>v</w:t>
      </w:r>
      <w:r w:rsidR="00782E52" w:rsidRPr="002E3CB1">
        <w:rPr>
          <w:rStyle w:val="NormlnzprvaChar"/>
        </w:rPr>
        <w:t>lastníka v případě smíšeného modelu</w:t>
      </w:r>
      <w:r w:rsidR="00A5162E">
        <w:rPr>
          <w:rStyle w:val="NormlnzprvaChar"/>
        </w:rPr>
        <w:t>.</w:t>
      </w:r>
      <w:r w:rsidR="00782E52" w:rsidRPr="002E3CB1">
        <w:rPr>
          <w:rStyle w:val="NormlnzprvaChar"/>
        </w:rPr>
        <w:t xml:space="preserve"> </w:t>
      </w:r>
    </w:p>
    <w:p w14:paraId="618105D0" w14:textId="7CEAE6E6" w:rsidR="00782E52" w:rsidRPr="00837030" w:rsidRDefault="00782E52" w:rsidP="00A5162E">
      <w:pPr>
        <w:pStyle w:val="NORMLN0"/>
      </w:pPr>
      <w:r w:rsidRPr="00A5162E">
        <w:rPr>
          <w:rStyle w:val="NormlnzprvaChar"/>
          <w:szCs w:val="20"/>
        </w:rPr>
        <w:t>V následujících tabulkách je uveden přehled počtů Porovnání</w:t>
      </w:r>
      <w:r w:rsidRPr="00A5162E">
        <w:t xml:space="preserve"> </w:t>
      </w:r>
      <w:r w:rsidR="004A7829" w:rsidRPr="00837030">
        <w:t xml:space="preserve">v jednotlivých skupinách, která </w:t>
      </w:r>
      <w:r w:rsidR="004A7829" w:rsidRPr="00837030">
        <w:rPr>
          <w:b/>
        </w:rPr>
        <w:t>neměla řádek 20 vyplněn</w:t>
      </w:r>
      <w:r w:rsidR="004A7829" w:rsidRPr="00837030">
        <w:t>. Celkem se jedná o 476 Porovnání pro pitnou vodu a 666</w:t>
      </w:r>
      <w:r w:rsidR="001B25B3">
        <w:t> </w:t>
      </w:r>
      <w:r w:rsidR="004A7829" w:rsidRPr="00837030">
        <w:t xml:space="preserve">Porovnání pro odpadní vodu. MZe se bude dále </w:t>
      </w:r>
      <w:r w:rsidR="00D60CD5">
        <w:t xml:space="preserve">touto </w:t>
      </w:r>
      <w:r w:rsidR="004A7829" w:rsidRPr="00837030">
        <w:t xml:space="preserve">problematikou zabývat. </w:t>
      </w:r>
    </w:p>
    <w:p w14:paraId="2DC8E7C9" w14:textId="77777777" w:rsidR="002A3893" w:rsidRPr="00C62639" w:rsidRDefault="002A3893" w:rsidP="00A5162E">
      <w:pPr>
        <w:pStyle w:val="NORMLN0"/>
        <w:rPr>
          <w:rFonts w:asciiTheme="minorHAnsi" w:hAnsiTheme="minorHAnsi"/>
          <w:noProof/>
        </w:rPr>
      </w:pPr>
    </w:p>
    <w:p w14:paraId="0F70E117" w14:textId="77777777" w:rsidR="00430622" w:rsidRDefault="00430622" w:rsidP="000B4E2B">
      <w:pPr>
        <w:pStyle w:val="NORMLN0"/>
        <w:rPr>
          <w:rFonts w:asciiTheme="minorHAnsi" w:hAnsiTheme="minorHAnsi"/>
          <w:noProof/>
        </w:rPr>
      </w:pPr>
    </w:p>
    <w:p w14:paraId="7877E560" w14:textId="77777777" w:rsidR="00430622" w:rsidRDefault="00430622" w:rsidP="000B4E2B">
      <w:pPr>
        <w:pStyle w:val="NORMLN0"/>
        <w:rPr>
          <w:rFonts w:asciiTheme="minorHAnsi" w:hAnsiTheme="minorHAnsi"/>
          <w:noProof/>
        </w:rPr>
      </w:pPr>
    </w:p>
    <w:p w14:paraId="2AA792A8" w14:textId="77777777" w:rsidR="00430622" w:rsidRDefault="00430622" w:rsidP="000B4E2B">
      <w:pPr>
        <w:pStyle w:val="NORMLN0"/>
        <w:rPr>
          <w:rFonts w:asciiTheme="minorHAnsi" w:hAnsiTheme="minorHAnsi"/>
          <w:noProof/>
        </w:rPr>
      </w:pPr>
    </w:p>
    <w:p w14:paraId="79B1F764" w14:textId="5AA8F19A" w:rsidR="000B4E2B" w:rsidRPr="00BC03D3" w:rsidRDefault="000B4E2B" w:rsidP="000B4E2B">
      <w:pPr>
        <w:pStyle w:val="NORMLN0"/>
        <w:rPr>
          <w:rFonts w:asciiTheme="minorHAnsi" w:hAnsiTheme="minorHAnsi"/>
          <w:b/>
          <w:noProof/>
        </w:rPr>
      </w:pPr>
      <w:r w:rsidRPr="00BC03D3">
        <w:rPr>
          <w:rFonts w:asciiTheme="minorHAnsi" w:hAnsiTheme="minorHAnsi"/>
          <w:b/>
          <w:noProof/>
        </w:rPr>
        <w:lastRenderedPageBreak/>
        <w:t>Vodovod</w:t>
      </w:r>
    </w:p>
    <w:tbl>
      <w:tblPr>
        <w:tblW w:w="8761" w:type="dxa"/>
        <w:jc w:val="center"/>
        <w:tblCellMar>
          <w:left w:w="57" w:type="dxa"/>
          <w:right w:w="57" w:type="dxa"/>
        </w:tblCellMar>
        <w:tblLook w:val="04A0" w:firstRow="1" w:lastRow="0" w:firstColumn="1" w:lastColumn="0" w:noHBand="0" w:noVBand="1"/>
      </w:tblPr>
      <w:tblGrid>
        <w:gridCol w:w="2694"/>
        <w:gridCol w:w="1531"/>
        <w:gridCol w:w="2863"/>
        <w:gridCol w:w="1673"/>
      </w:tblGrid>
      <w:tr w:rsidR="000B4E2B" w:rsidRPr="00C62639" w14:paraId="4979583F" w14:textId="77777777" w:rsidTr="00E92A3D">
        <w:trPr>
          <w:trHeight w:val="20"/>
          <w:tblHeader/>
          <w:jc w:val="center"/>
        </w:trPr>
        <w:tc>
          <w:tcPr>
            <w:tcW w:w="2694" w:type="dxa"/>
            <w:tcBorders>
              <w:top w:val="nil"/>
              <w:left w:val="nil"/>
              <w:bottom w:val="single" w:sz="12" w:space="0" w:color="FFFFFF"/>
              <w:right w:val="single" w:sz="4" w:space="0" w:color="FFFFFF"/>
            </w:tcBorders>
            <w:shd w:val="clear" w:color="5B9BD5" w:fill="5B9BD5"/>
            <w:vAlign w:val="center"/>
            <w:hideMark/>
          </w:tcPr>
          <w:p w14:paraId="3B6CB8A8" w14:textId="77777777" w:rsidR="000B4E2B" w:rsidRPr="00C62639" w:rsidRDefault="000B4E2B" w:rsidP="00E92A3D">
            <w:pPr>
              <w:spacing w:before="0" w:after="0"/>
              <w:contextualSpacing w:val="0"/>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SKUPINA POROVNÁNÍ</w:t>
            </w:r>
          </w:p>
          <w:p w14:paraId="54F4CC49" w14:textId="77777777" w:rsidR="000B4E2B" w:rsidRPr="00C62639" w:rsidRDefault="000B4E2B" w:rsidP="00E92A3D">
            <w:pPr>
              <w:spacing w:before="0" w:after="0"/>
              <w:contextualSpacing w:val="0"/>
              <w:jc w:val="left"/>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(dle součtové hodnoty majetku za vyúčtování dle VÚME)</w:t>
            </w:r>
          </w:p>
        </w:tc>
        <w:tc>
          <w:tcPr>
            <w:tcW w:w="1531" w:type="dxa"/>
            <w:tcBorders>
              <w:top w:val="nil"/>
              <w:left w:val="single" w:sz="4" w:space="0" w:color="FFFFFF"/>
              <w:bottom w:val="single" w:sz="12" w:space="0" w:color="FFFFFF"/>
              <w:right w:val="single" w:sz="4" w:space="0" w:color="FFFFFF"/>
            </w:tcBorders>
            <w:shd w:val="clear" w:color="5B9BD5" w:fill="5B9BD5"/>
            <w:vAlign w:val="center"/>
            <w:hideMark/>
          </w:tcPr>
          <w:p w14:paraId="4E4E02C1" w14:textId="77777777" w:rsidR="000B4E2B" w:rsidRPr="00C62639" w:rsidRDefault="000B4E2B" w:rsidP="000B4E2B">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Počet Porovnání s nepoužitým řádkem č. 20</w:t>
            </w:r>
          </w:p>
        </w:tc>
        <w:tc>
          <w:tcPr>
            <w:tcW w:w="2863" w:type="dxa"/>
            <w:tcBorders>
              <w:top w:val="nil"/>
              <w:left w:val="single" w:sz="4" w:space="0" w:color="FFFFFF"/>
              <w:bottom w:val="single" w:sz="12" w:space="0" w:color="FFFFFF"/>
              <w:right w:val="single" w:sz="4" w:space="0" w:color="FFFFFF"/>
            </w:tcBorders>
            <w:shd w:val="clear" w:color="5B9BD5" w:fill="5B9BD5"/>
            <w:vAlign w:val="center"/>
            <w:hideMark/>
          </w:tcPr>
          <w:p w14:paraId="21CC9815" w14:textId="77777777" w:rsidR="000B4E2B" w:rsidRPr="00C62639" w:rsidRDefault="000B4E2B" w:rsidP="00E92A3D">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Pořizovací cena objektů vodovodu + ÚV podle orientačních ukazatelů (</w:t>
            </w:r>
            <w:r w:rsidR="00E92A3D">
              <w:rPr>
                <w:rFonts w:asciiTheme="minorHAnsi" w:eastAsia="Times New Roman" w:hAnsiTheme="minorHAnsi"/>
                <w:b/>
                <w:bCs/>
                <w:noProof/>
                <w:color w:val="FFFFFF"/>
                <w:sz w:val="20"/>
                <w:szCs w:val="20"/>
                <w:lang w:eastAsia="cs-CZ"/>
              </w:rPr>
              <w:t>mil</w:t>
            </w:r>
            <w:r w:rsidRPr="00C62639">
              <w:rPr>
                <w:rFonts w:asciiTheme="minorHAnsi" w:eastAsia="Times New Roman" w:hAnsiTheme="minorHAnsi"/>
                <w:b/>
                <w:bCs/>
                <w:noProof/>
                <w:color w:val="FFFFFF"/>
                <w:sz w:val="20"/>
                <w:szCs w:val="20"/>
                <w:lang w:eastAsia="cs-CZ"/>
              </w:rPr>
              <w:t>. Kč)</w:t>
            </w:r>
          </w:p>
        </w:tc>
        <w:tc>
          <w:tcPr>
            <w:tcW w:w="1673" w:type="dxa"/>
            <w:tcBorders>
              <w:top w:val="nil"/>
              <w:left w:val="single" w:sz="4" w:space="0" w:color="FFFFFF"/>
              <w:bottom w:val="single" w:sz="12" w:space="0" w:color="FFFFFF"/>
              <w:right w:val="nil"/>
            </w:tcBorders>
            <w:shd w:val="clear" w:color="5B9BD5" w:fill="5B9BD5"/>
            <w:vAlign w:val="center"/>
            <w:hideMark/>
          </w:tcPr>
          <w:p w14:paraId="40F31BAB" w14:textId="4EB8295C" w:rsidR="000B4E2B" w:rsidRPr="00C62639" w:rsidRDefault="000B4E2B" w:rsidP="00E92A3D">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Voda fakturovaná pitná celkem (</w:t>
            </w:r>
            <w:r w:rsidR="00E92A3D">
              <w:rPr>
                <w:rFonts w:asciiTheme="minorHAnsi" w:eastAsia="Times New Roman" w:hAnsiTheme="minorHAnsi"/>
                <w:b/>
                <w:bCs/>
                <w:noProof/>
                <w:color w:val="FFFFFF"/>
                <w:sz w:val="20"/>
                <w:szCs w:val="20"/>
                <w:lang w:eastAsia="cs-CZ"/>
              </w:rPr>
              <w:t>mil</w:t>
            </w:r>
            <w:r w:rsidRPr="00C62639">
              <w:rPr>
                <w:rFonts w:asciiTheme="minorHAnsi" w:eastAsia="Times New Roman" w:hAnsiTheme="minorHAnsi"/>
                <w:b/>
                <w:bCs/>
                <w:noProof/>
                <w:color w:val="FFFFFF"/>
                <w:sz w:val="20"/>
                <w:szCs w:val="20"/>
                <w:lang w:eastAsia="cs-CZ"/>
              </w:rPr>
              <w:t>.</w:t>
            </w:r>
            <w:r w:rsidR="00BC03D3">
              <w:rPr>
                <w:rFonts w:asciiTheme="minorHAnsi" w:eastAsia="Times New Roman" w:hAnsiTheme="minorHAnsi"/>
                <w:b/>
                <w:bCs/>
                <w:noProof/>
                <w:color w:val="FFFFFF"/>
                <w:sz w:val="20"/>
                <w:szCs w:val="20"/>
                <w:lang w:eastAsia="cs-CZ"/>
              </w:rPr>
              <w:t xml:space="preserve"> </w:t>
            </w:r>
            <w:r w:rsidR="00E27252">
              <w:rPr>
                <w:rFonts w:asciiTheme="minorHAnsi" w:eastAsia="Times New Roman" w:hAnsiTheme="minorHAnsi"/>
                <w:b/>
                <w:bCs/>
                <w:noProof/>
                <w:color w:val="FFFFFF"/>
                <w:sz w:val="20"/>
                <w:szCs w:val="20"/>
                <w:lang w:eastAsia="cs-CZ"/>
              </w:rPr>
              <w:t>m</w:t>
            </w:r>
            <w:r w:rsidR="00E27252" w:rsidRPr="00E27252">
              <w:rPr>
                <w:rFonts w:asciiTheme="minorHAnsi" w:eastAsia="Times New Roman" w:hAnsiTheme="minorHAnsi"/>
                <w:b/>
                <w:bCs/>
                <w:noProof/>
                <w:color w:val="FFFFFF"/>
                <w:sz w:val="20"/>
                <w:szCs w:val="20"/>
                <w:vertAlign w:val="superscript"/>
                <w:lang w:eastAsia="cs-CZ"/>
              </w:rPr>
              <w:t>3</w:t>
            </w:r>
            <w:r w:rsidRPr="00C62639">
              <w:rPr>
                <w:rFonts w:asciiTheme="minorHAnsi" w:eastAsia="Times New Roman" w:hAnsiTheme="minorHAnsi"/>
                <w:b/>
                <w:bCs/>
                <w:noProof/>
                <w:color w:val="FFFFFF"/>
                <w:sz w:val="20"/>
                <w:szCs w:val="20"/>
                <w:lang w:eastAsia="cs-CZ"/>
              </w:rPr>
              <w:t>)</w:t>
            </w:r>
          </w:p>
        </w:tc>
      </w:tr>
      <w:tr w:rsidR="00E92A3D" w:rsidRPr="00C62639" w14:paraId="32EA79A9" w14:textId="77777777" w:rsidTr="00E92A3D">
        <w:trPr>
          <w:trHeight w:val="20"/>
          <w:jc w:val="center"/>
        </w:trPr>
        <w:tc>
          <w:tcPr>
            <w:tcW w:w="2694" w:type="dxa"/>
            <w:tcBorders>
              <w:top w:val="single" w:sz="4" w:space="0" w:color="FFFFFF"/>
              <w:left w:val="nil"/>
              <w:bottom w:val="single" w:sz="4" w:space="0" w:color="FFFFFF"/>
              <w:right w:val="single" w:sz="4" w:space="0" w:color="FFFFFF"/>
            </w:tcBorders>
            <w:shd w:val="clear" w:color="BDD7EE" w:fill="BDD7EE"/>
            <w:vAlign w:val="center"/>
            <w:hideMark/>
          </w:tcPr>
          <w:p w14:paraId="4F3B3CA8"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II.skupina (&gt;1 000 mil. Kč)</w:t>
            </w:r>
          </w:p>
        </w:tc>
        <w:tc>
          <w:tcPr>
            <w:tcW w:w="1531"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2E92D5B8"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3</w:t>
            </w:r>
          </w:p>
        </w:tc>
        <w:tc>
          <w:tcPr>
            <w:tcW w:w="286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21DC1C5"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10 406,93</w:t>
            </w:r>
          </w:p>
        </w:tc>
        <w:tc>
          <w:tcPr>
            <w:tcW w:w="1673" w:type="dxa"/>
            <w:tcBorders>
              <w:top w:val="single" w:sz="4" w:space="0" w:color="FFFFFF"/>
              <w:left w:val="single" w:sz="4" w:space="0" w:color="FFFFFF"/>
              <w:bottom w:val="single" w:sz="4" w:space="0" w:color="FFFFFF"/>
              <w:right w:val="nil"/>
            </w:tcBorders>
            <w:shd w:val="clear" w:color="BDD7EE" w:fill="BDD7EE"/>
            <w:vAlign w:val="bottom"/>
            <w:hideMark/>
          </w:tcPr>
          <w:p w14:paraId="5A9F78CF"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11,29</w:t>
            </w:r>
          </w:p>
        </w:tc>
      </w:tr>
      <w:tr w:rsidR="00E92A3D" w:rsidRPr="00C62639" w14:paraId="08A186DD" w14:textId="77777777" w:rsidTr="00E92A3D">
        <w:trPr>
          <w:trHeight w:val="20"/>
          <w:jc w:val="center"/>
        </w:trPr>
        <w:tc>
          <w:tcPr>
            <w:tcW w:w="2694" w:type="dxa"/>
            <w:tcBorders>
              <w:top w:val="single" w:sz="4" w:space="0" w:color="FFFFFF"/>
              <w:left w:val="nil"/>
              <w:bottom w:val="single" w:sz="4" w:space="0" w:color="FFFFFF"/>
              <w:right w:val="single" w:sz="4" w:space="0" w:color="FFFFFF"/>
            </w:tcBorders>
            <w:shd w:val="clear" w:color="DDEBF7" w:fill="DDEBF7"/>
            <w:vAlign w:val="center"/>
            <w:hideMark/>
          </w:tcPr>
          <w:p w14:paraId="684A27C7"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III.skupina (&gt;100 mil. Kč)</w:t>
            </w:r>
          </w:p>
        </w:tc>
        <w:tc>
          <w:tcPr>
            <w:tcW w:w="1531"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7FE4DFE5"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28</w:t>
            </w:r>
          </w:p>
        </w:tc>
        <w:tc>
          <w:tcPr>
            <w:tcW w:w="286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A6E55E5"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6 860,77</w:t>
            </w:r>
          </w:p>
        </w:tc>
        <w:tc>
          <w:tcPr>
            <w:tcW w:w="1673" w:type="dxa"/>
            <w:tcBorders>
              <w:top w:val="single" w:sz="4" w:space="0" w:color="FFFFFF"/>
              <w:left w:val="single" w:sz="4" w:space="0" w:color="FFFFFF"/>
              <w:bottom w:val="single" w:sz="4" w:space="0" w:color="FFFFFF"/>
              <w:right w:val="nil"/>
            </w:tcBorders>
            <w:shd w:val="clear" w:color="DDEBF7" w:fill="DDEBF7"/>
            <w:vAlign w:val="bottom"/>
            <w:hideMark/>
          </w:tcPr>
          <w:p w14:paraId="45E1F5DA"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7,65</w:t>
            </w:r>
          </w:p>
        </w:tc>
      </w:tr>
      <w:tr w:rsidR="00E92A3D" w:rsidRPr="00C62639" w14:paraId="78D6874E" w14:textId="77777777" w:rsidTr="00E92A3D">
        <w:trPr>
          <w:trHeight w:val="20"/>
          <w:jc w:val="center"/>
        </w:trPr>
        <w:tc>
          <w:tcPr>
            <w:tcW w:w="2694" w:type="dxa"/>
            <w:tcBorders>
              <w:top w:val="single" w:sz="4" w:space="0" w:color="FFFFFF"/>
              <w:left w:val="nil"/>
              <w:bottom w:val="single" w:sz="4" w:space="0" w:color="FFFFFF"/>
              <w:right w:val="single" w:sz="4" w:space="0" w:color="FFFFFF"/>
            </w:tcBorders>
            <w:shd w:val="clear" w:color="BDD7EE" w:fill="BDD7EE"/>
            <w:vAlign w:val="center"/>
            <w:hideMark/>
          </w:tcPr>
          <w:p w14:paraId="37BF7785"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IV.skupina (&gt;10 mil. Kč)</w:t>
            </w:r>
          </w:p>
        </w:tc>
        <w:tc>
          <w:tcPr>
            <w:tcW w:w="1531"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4758FBBD"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242</w:t>
            </w:r>
          </w:p>
        </w:tc>
        <w:tc>
          <w:tcPr>
            <w:tcW w:w="286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BE5402"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7 092,15</w:t>
            </w:r>
          </w:p>
        </w:tc>
        <w:tc>
          <w:tcPr>
            <w:tcW w:w="1673" w:type="dxa"/>
            <w:tcBorders>
              <w:top w:val="single" w:sz="4" w:space="0" w:color="FFFFFF"/>
              <w:left w:val="single" w:sz="4" w:space="0" w:color="FFFFFF"/>
              <w:bottom w:val="single" w:sz="4" w:space="0" w:color="FFFFFF"/>
              <w:right w:val="nil"/>
            </w:tcBorders>
            <w:shd w:val="clear" w:color="BDD7EE" w:fill="BDD7EE"/>
            <w:vAlign w:val="bottom"/>
            <w:hideMark/>
          </w:tcPr>
          <w:p w14:paraId="0FA99C1C"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7,82</w:t>
            </w:r>
          </w:p>
        </w:tc>
      </w:tr>
      <w:tr w:rsidR="00E92A3D" w:rsidRPr="00C62639" w14:paraId="6CAAA298" w14:textId="77777777" w:rsidTr="00E92A3D">
        <w:trPr>
          <w:trHeight w:val="20"/>
          <w:jc w:val="center"/>
        </w:trPr>
        <w:tc>
          <w:tcPr>
            <w:tcW w:w="2694" w:type="dxa"/>
            <w:tcBorders>
              <w:top w:val="single" w:sz="4" w:space="0" w:color="FFFFFF"/>
              <w:left w:val="nil"/>
              <w:bottom w:val="single" w:sz="4" w:space="0" w:color="FFFFFF"/>
              <w:right w:val="single" w:sz="4" w:space="0" w:color="FFFFFF"/>
            </w:tcBorders>
            <w:shd w:val="clear" w:color="DDEBF7" w:fill="DDEBF7"/>
            <w:vAlign w:val="center"/>
            <w:hideMark/>
          </w:tcPr>
          <w:p w14:paraId="5911B0D3"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V.skupina (&gt;1 mil. Kč)</w:t>
            </w:r>
          </w:p>
        </w:tc>
        <w:tc>
          <w:tcPr>
            <w:tcW w:w="1531"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16B9614D"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190</w:t>
            </w:r>
          </w:p>
        </w:tc>
        <w:tc>
          <w:tcPr>
            <w:tcW w:w="286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D687DC"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1 030,01</w:t>
            </w:r>
          </w:p>
        </w:tc>
        <w:tc>
          <w:tcPr>
            <w:tcW w:w="1673" w:type="dxa"/>
            <w:tcBorders>
              <w:top w:val="single" w:sz="4" w:space="0" w:color="FFFFFF"/>
              <w:left w:val="single" w:sz="4" w:space="0" w:color="FFFFFF"/>
              <w:bottom w:val="single" w:sz="4" w:space="0" w:color="FFFFFF"/>
              <w:right w:val="nil"/>
            </w:tcBorders>
            <w:shd w:val="clear" w:color="DDEBF7" w:fill="DDEBF7"/>
            <w:vAlign w:val="bottom"/>
            <w:hideMark/>
          </w:tcPr>
          <w:p w14:paraId="2126E84D"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1,99</w:t>
            </w:r>
          </w:p>
        </w:tc>
      </w:tr>
      <w:tr w:rsidR="00E92A3D" w:rsidRPr="00C62639" w14:paraId="1F19AF05" w14:textId="77777777" w:rsidTr="00E92A3D">
        <w:trPr>
          <w:trHeight w:val="20"/>
          <w:jc w:val="center"/>
        </w:trPr>
        <w:tc>
          <w:tcPr>
            <w:tcW w:w="2694" w:type="dxa"/>
            <w:tcBorders>
              <w:top w:val="single" w:sz="4" w:space="0" w:color="FFFFFF"/>
              <w:left w:val="nil"/>
              <w:bottom w:val="single" w:sz="4" w:space="0" w:color="FFFFFF"/>
              <w:right w:val="single" w:sz="4" w:space="0" w:color="FFFFFF"/>
            </w:tcBorders>
            <w:shd w:val="clear" w:color="BDD7EE" w:fill="BDD7EE"/>
            <w:vAlign w:val="center"/>
            <w:hideMark/>
          </w:tcPr>
          <w:p w14:paraId="692C8C24"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VI.skupina (&lt;1 mil. Kč)</w:t>
            </w:r>
          </w:p>
        </w:tc>
        <w:tc>
          <w:tcPr>
            <w:tcW w:w="1531"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6D0922B5"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13</w:t>
            </w:r>
          </w:p>
        </w:tc>
        <w:tc>
          <w:tcPr>
            <w:tcW w:w="286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2856D99"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7,41</w:t>
            </w:r>
          </w:p>
        </w:tc>
        <w:tc>
          <w:tcPr>
            <w:tcW w:w="1673" w:type="dxa"/>
            <w:tcBorders>
              <w:top w:val="single" w:sz="4" w:space="0" w:color="FFFFFF"/>
              <w:left w:val="single" w:sz="4" w:space="0" w:color="FFFFFF"/>
              <w:bottom w:val="single" w:sz="4" w:space="0" w:color="FFFFFF"/>
              <w:right w:val="nil"/>
            </w:tcBorders>
            <w:shd w:val="clear" w:color="BDD7EE" w:fill="BDD7EE"/>
            <w:vAlign w:val="bottom"/>
            <w:hideMark/>
          </w:tcPr>
          <w:p w14:paraId="23CA332B"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0,06</w:t>
            </w:r>
          </w:p>
        </w:tc>
      </w:tr>
      <w:tr w:rsidR="00E92A3D" w:rsidRPr="00C62639" w14:paraId="5C14D580" w14:textId="77777777" w:rsidTr="00E92A3D">
        <w:trPr>
          <w:trHeight w:val="20"/>
          <w:jc w:val="center"/>
        </w:trPr>
        <w:tc>
          <w:tcPr>
            <w:tcW w:w="2694" w:type="dxa"/>
            <w:tcBorders>
              <w:top w:val="single" w:sz="4" w:space="0" w:color="FFFFFF"/>
              <w:left w:val="nil"/>
              <w:bottom w:val="nil"/>
              <w:right w:val="single" w:sz="4" w:space="0" w:color="FFFFFF"/>
            </w:tcBorders>
            <w:shd w:val="clear" w:color="DDEBF7" w:fill="DDEBF7"/>
            <w:vAlign w:val="center"/>
            <w:hideMark/>
          </w:tcPr>
          <w:p w14:paraId="375C27B6" w14:textId="77777777" w:rsidR="00E92A3D" w:rsidRPr="00C62639" w:rsidRDefault="00E92A3D" w:rsidP="00E92A3D">
            <w:pPr>
              <w:spacing w:before="0" w:after="0"/>
              <w:contextualSpacing w:val="0"/>
              <w:jc w:val="left"/>
              <w:rPr>
                <w:rFonts w:asciiTheme="minorHAnsi" w:eastAsia="Times New Roman" w:hAnsiTheme="minorHAnsi"/>
                <w:b/>
                <w:bCs/>
                <w:noProof/>
                <w:color w:val="000000"/>
                <w:sz w:val="20"/>
                <w:szCs w:val="20"/>
                <w:lang w:eastAsia="cs-CZ"/>
              </w:rPr>
            </w:pPr>
            <w:r w:rsidRPr="00C62639">
              <w:rPr>
                <w:rFonts w:asciiTheme="minorHAnsi" w:eastAsia="Times New Roman" w:hAnsiTheme="minorHAnsi"/>
                <w:b/>
                <w:bCs/>
                <w:noProof/>
                <w:color w:val="000000"/>
                <w:sz w:val="20"/>
                <w:szCs w:val="20"/>
                <w:lang w:eastAsia="cs-CZ"/>
              </w:rPr>
              <w:t xml:space="preserve">Celkem </w:t>
            </w:r>
          </w:p>
        </w:tc>
        <w:tc>
          <w:tcPr>
            <w:tcW w:w="1531" w:type="dxa"/>
            <w:tcBorders>
              <w:top w:val="single" w:sz="4" w:space="0" w:color="FFFFFF"/>
              <w:left w:val="single" w:sz="4" w:space="0" w:color="FFFFFF"/>
              <w:bottom w:val="nil"/>
              <w:right w:val="single" w:sz="4" w:space="0" w:color="FFFFFF"/>
            </w:tcBorders>
            <w:shd w:val="clear" w:color="DDEBF7" w:fill="DDEBF7"/>
            <w:vAlign w:val="center"/>
            <w:hideMark/>
          </w:tcPr>
          <w:p w14:paraId="656C433D" w14:textId="77777777" w:rsidR="00E92A3D" w:rsidRPr="00E92A3D" w:rsidRDefault="00E92A3D" w:rsidP="00E92A3D">
            <w:pPr>
              <w:spacing w:before="0" w:after="0"/>
              <w:contextualSpacing w:val="0"/>
              <w:jc w:val="center"/>
              <w:rPr>
                <w:rFonts w:asciiTheme="minorHAnsi" w:eastAsia="Times New Roman" w:hAnsiTheme="minorHAnsi"/>
                <w:b/>
                <w:bCs/>
                <w:noProof/>
                <w:color w:val="000000"/>
                <w:sz w:val="20"/>
                <w:szCs w:val="20"/>
                <w:lang w:eastAsia="cs-CZ"/>
              </w:rPr>
            </w:pPr>
            <w:r w:rsidRPr="00E92A3D">
              <w:rPr>
                <w:b/>
                <w:bCs/>
                <w:color w:val="000000"/>
                <w:sz w:val="20"/>
              </w:rPr>
              <w:t>476</w:t>
            </w:r>
          </w:p>
        </w:tc>
        <w:tc>
          <w:tcPr>
            <w:tcW w:w="2863" w:type="dxa"/>
            <w:tcBorders>
              <w:top w:val="single" w:sz="4" w:space="0" w:color="FFFFFF"/>
              <w:left w:val="single" w:sz="4" w:space="0" w:color="FFFFFF"/>
              <w:bottom w:val="nil"/>
              <w:right w:val="single" w:sz="4" w:space="0" w:color="FFFFFF"/>
            </w:tcBorders>
            <w:shd w:val="clear" w:color="DDEBF7" w:fill="DDEBF7"/>
            <w:vAlign w:val="bottom"/>
            <w:hideMark/>
          </w:tcPr>
          <w:p w14:paraId="055C5800" w14:textId="77777777" w:rsidR="00E92A3D" w:rsidRPr="00E92A3D" w:rsidRDefault="00E92A3D" w:rsidP="00E92A3D">
            <w:pPr>
              <w:spacing w:before="0" w:after="0"/>
              <w:contextualSpacing w:val="0"/>
              <w:jc w:val="center"/>
              <w:rPr>
                <w:rFonts w:asciiTheme="minorHAnsi" w:eastAsia="Times New Roman" w:hAnsiTheme="minorHAnsi"/>
                <w:b/>
                <w:bCs/>
                <w:noProof/>
                <w:color w:val="000000"/>
                <w:sz w:val="20"/>
                <w:szCs w:val="20"/>
                <w:lang w:eastAsia="cs-CZ"/>
              </w:rPr>
            </w:pPr>
            <w:r w:rsidRPr="00E92A3D">
              <w:rPr>
                <w:b/>
                <w:color w:val="000000"/>
                <w:sz w:val="20"/>
              </w:rPr>
              <w:t>25 397,27</w:t>
            </w:r>
          </w:p>
        </w:tc>
        <w:tc>
          <w:tcPr>
            <w:tcW w:w="1673" w:type="dxa"/>
            <w:tcBorders>
              <w:top w:val="single" w:sz="4" w:space="0" w:color="FFFFFF"/>
              <w:left w:val="single" w:sz="4" w:space="0" w:color="FFFFFF"/>
              <w:bottom w:val="nil"/>
              <w:right w:val="nil"/>
            </w:tcBorders>
            <w:shd w:val="clear" w:color="DDEBF7" w:fill="DDEBF7"/>
            <w:vAlign w:val="bottom"/>
            <w:hideMark/>
          </w:tcPr>
          <w:p w14:paraId="42A8AD80" w14:textId="77777777" w:rsidR="00E92A3D" w:rsidRPr="00E92A3D" w:rsidRDefault="00E92A3D" w:rsidP="00E92A3D">
            <w:pPr>
              <w:spacing w:before="0" w:after="0"/>
              <w:contextualSpacing w:val="0"/>
              <w:jc w:val="center"/>
              <w:rPr>
                <w:rFonts w:asciiTheme="minorHAnsi" w:eastAsia="Times New Roman" w:hAnsiTheme="minorHAnsi"/>
                <w:b/>
                <w:bCs/>
                <w:noProof/>
                <w:color w:val="000000"/>
                <w:sz w:val="20"/>
                <w:szCs w:val="20"/>
                <w:lang w:eastAsia="cs-CZ"/>
              </w:rPr>
            </w:pPr>
            <w:r w:rsidRPr="00E92A3D">
              <w:rPr>
                <w:b/>
                <w:bCs/>
                <w:color w:val="000000"/>
                <w:sz w:val="20"/>
              </w:rPr>
              <w:t>28,81</w:t>
            </w:r>
          </w:p>
        </w:tc>
      </w:tr>
    </w:tbl>
    <w:p w14:paraId="264F6CB6" w14:textId="77777777" w:rsidR="002A3893" w:rsidRPr="00C62639" w:rsidRDefault="002A3893" w:rsidP="000B4E2B">
      <w:pPr>
        <w:pStyle w:val="NORMLN0"/>
        <w:rPr>
          <w:rFonts w:asciiTheme="minorHAnsi" w:hAnsiTheme="minorHAnsi"/>
          <w:noProof/>
        </w:rPr>
      </w:pPr>
    </w:p>
    <w:p w14:paraId="500A5A75" w14:textId="1E497817" w:rsidR="000B4E2B" w:rsidRPr="00BC03D3" w:rsidRDefault="004A7829" w:rsidP="00A5162E">
      <w:pPr>
        <w:pStyle w:val="NORMLN0"/>
        <w:rPr>
          <w:b/>
        </w:rPr>
      </w:pPr>
      <w:r w:rsidRPr="00BC03D3">
        <w:rPr>
          <w:b/>
        </w:rPr>
        <w:t>Kanalizace</w:t>
      </w:r>
    </w:p>
    <w:tbl>
      <w:tblPr>
        <w:tblW w:w="8836" w:type="dxa"/>
        <w:tblInd w:w="284" w:type="dxa"/>
        <w:tblCellMar>
          <w:left w:w="57" w:type="dxa"/>
          <w:right w:w="57" w:type="dxa"/>
        </w:tblCellMar>
        <w:tblLook w:val="04A0" w:firstRow="1" w:lastRow="0" w:firstColumn="1" w:lastColumn="0" w:noHBand="0" w:noVBand="1"/>
      </w:tblPr>
      <w:tblGrid>
        <w:gridCol w:w="2607"/>
        <w:gridCol w:w="1645"/>
        <w:gridCol w:w="2552"/>
        <w:gridCol w:w="2032"/>
      </w:tblGrid>
      <w:tr w:rsidR="000B4E2B" w:rsidRPr="00C62639" w14:paraId="4C372716" w14:textId="77777777" w:rsidTr="00E92A3D">
        <w:trPr>
          <w:trHeight w:val="20"/>
        </w:trPr>
        <w:tc>
          <w:tcPr>
            <w:tcW w:w="2607" w:type="dxa"/>
            <w:tcBorders>
              <w:top w:val="nil"/>
              <w:left w:val="nil"/>
              <w:bottom w:val="single" w:sz="12" w:space="0" w:color="FFFFFF"/>
              <w:right w:val="single" w:sz="4" w:space="0" w:color="FFFFFF"/>
            </w:tcBorders>
            <w:shd w:val="clear" w:color="ED7D31" w:fill="ED7D31"/>
            <w:vAlign w:val="center"/>
            <w:hideMark/>
          </w:tcPr>
          <w:p w14:paraId="383D1A43" w14:textId="77777777" w:rsidR="009F36D5" w:rsidRDefault="000B4E2B" w:rsidP="00837030">
            <w:pPr>
              <w:spacing w:before="0" w:after="0"/>
              <w:contextualSpacing w:val="0"/>
              <w:jc w:val="left"/>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SKUPINA POROVNÁNÍ</w:t>
            </w:r>
          </w:p>
          <w:p w14:paraId="1B255B6D" w14:textId="77777777" w:rsidR="009F36D5" w:rsidRDefault="000B4E2B" w:rsidP="00837030">
            <w:pPr>
              <w:spacing w:before="0" w:after="0"/>
              <w:contextualSpacing w:val="0"/>
              <w:jc w:val="left"/>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(dle součtové hodnoty majetku za vyúčtování dle VÚME)</w:t>
            </w:r>
          </w:p>
        </w:tc>
        <w:tc>
          <w:tcPr>
            <w:tcW w:w="1645" w:type="dxa"/>
            <w:tcBorders>
              <w:top w:val="nil"/>
              <w:left w:val="single" w:sz="4" w:space="0" w:color="FFFFFF"/>
              <w:bottom w:val="single" w:sz="12" w:space="0" w:color="FFFFFF"/>
              <w:right w:val="single" w:sz="4" w:space="0" w:color="FFFFFF"/>
            </w:tcBorders>
            <w:shd w:val="clear" w:color="ED7D31" w:fill="ED7D31"/>
            <w:vAlign w:val="center"/>
            <w:hideMark/>
          </w:tcPr>
          <w:p w14:paraId="03312B56" w14:textId="77777777" w:rsidR="000B4E2B" w:rsidRPr="00C62639" w:rsidRDefault="000B4E2B" w:rsidP="000B4E2B">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Počet Porovnání s nepoužitým řádkem č. 20</w:t>
            </w:r>
          </w:p>
        </w:tc>
        <w:tc>
          <w:tcPr>
            <w:tcW w:w="2552" w:type="dxa"/>
            <w:tcBorders>
              <w:top w:val="nil"/>
              <w:left w:val="single" w:sz="4" w:space="0" w:color="FFFFFF"/>
              <w:bottom w:val="single" w:sz="12" w:space="0" w:color="FFFFFF"/>
              <w:right w:val="single" w:sz="4" w:space="0" w:color="FFFFFF"/>
            </w:tcBorders>
            <w:shd w:val="clear" w:color="ED7D31" w:fill="ED7D31"/>
            <w:vAlign w:val="center"/>
          </w:tcPr>
          <w:p w14:paraId="10582157" w14:textId="77777777" w:rsidR="000B4E2B" w:rsidRPr="00C62639" w:rsidRDefault="000B4E2B" w:rsidP="00E92A3D">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Pořizovací cena objektů kanalizace a ČOV podle orientačních ukazatelů (</w:t>
            </w:r>
            <w:r w:rsidR="00E92A3D">
              <w:rPr>
                <w:rFonts w:asciiTheme="minorHAnsi" w:eastAsia="Times New Roman" w:hAnsiTheme="minorHAnsi"/>
                <w:b/>
                <w:bCs/>
                <w:noProof/>
                <w:color w:val="FFFFFF"/>
                <w:sz w:val="20"/>
                <w:szCs w:val="20"/>
                <w:lang w:eastAsia="cs-CZ"/>
              </w:rPr>
              <w:t>mil</w:t>
            </w:r>
            <w:r w:rsidRPr="00C62639">
              <w:rPr>
                <w:rFonts w:asciiTheme="minorHAnsi" w:eastAsia="Times New Roman" w:hAnsiTheme="minorHAnsi"/>
                <w:b/>
                <w:bCs/>
                <w:noProof/>
                <w:color w:val="FFFFFF"/>
                <w:sz w:val="20"/>
                <w:szCs w:val="20"/>
                <w:lang w:eastAsia="cs-CZ"/>
              </w:rPr>
              <w:t>. Kč)</w:t>
            </w:r>
          </w:p>
        </w:tc>
        <w:tc>
          <w:tcPr>
            <w:tcW w:w="2032" w:type="dxa"/>
            <w:tcBorders>
              <w:top w:val="nil"/>
              <w:left w:val="single" w:sz="4" w:space="0" w:color="FFFFFF"/>
              <w:bottom w:val="single" w:sz="12" w:space="0" w:color="FFFFFF"/>
              <w:right w:val="single" w:sz="4" w:space="0" w:color="FFFFFF"/>
            </w:tcBorders>
            <w:shd w:val="clear" w:color="ED7D31" w:fill="ED7D31"/>
            <w:vAlign w:val="center"/>
          </w:tcPr>
          <w:p w14:paraId="2003C8B2" w14:textId="43072D32" w:rsidR="000B4E2B" w:rsidRPr="00C62639" w:rsidRDefault="000B4E2B" w:rsidP="00E92A3D">
            <w:pPr>
              <w:spacing w:before="0" w:after="0"/>
              <w:contextualSpacing w:val="0"/>
              <w:jc w:val="center"/>
              <w:rPr>
                <w:rFonts w:asciiTheme="minorHAnsi" w:eastAsia="Times New Roman" w:hAnsiTheme="minorHAnsi"/>
                <w:b/>
                <w:bCs/>
                <w:noProof/>
                <w:color w:val="FFFFFF"/>
                <w:sz w:val="20"/>
                <w:szCs w:val="20"/>
                <w:lang w:eastAsia="cs-CZ"/>
              </w:rPr>
            </w:pPr>
            <w:r w:rsidRPr="00C62639">
              <w:rPr>
                <w:rFonts w:asciiTheme="minorHAnsi" w:eastAsia="Times New Roman" w:hAnsiTheme="minorHAnsi"/>
                <w:b/>
                <w:bCs/>
                <w:noProof/>
                <w:color w:val="FFFFFF"/>
                <w:sz w:val="20"/>
                <w:szCs w:val="20"/>
                <w:lang w:eastAsia="cs-CZ"/>
              </w:rPr>
              <w:t>Množství fakturované odpadní vody včetně vod srážkových (</w:t>
            </w:r>
            <w:r w:rsidR="00E92A3D">
              <w:rPr>
                <w:rFonts w:asciiTheme="minorHAnsi" w:eastAsia="Times New Roman" w:hAnsiTheme="minorHAnsi"/>
                <w:b/>
                <w:bCs/>
                <w:noProof/>
                <w:color w:val="FFFFFF"/>
                <w:sz w:val="20"/>
                <w:szCs w:val="20"/>
                <w:lang w:eastAsia="cs-CZ"/>
              </w:rPr>
              <w:t>mil</w:t>
            </w:r>
            <w:r w:rsidRPr="00C62639">
              <w:rPr>
                <w:rFonts w:asciiTheme="minorHAnsi" w:eastAsia="Times New Roman" w:hAnsiTheme="minorHAnsi"/>
                <w:b/>
                <w:bCs/>
                <w:noProof/>
                <w:color w:val="FFFFFF"/>
                <w:sz w:val="20"/>
                <w:szCs w:val="20"/>
                <w:lang w:eastAsia="cs-CZ"/>
              </w:rPr>
              <w:t>.</w:t>
            </w:r>
            <w:r w:rsidR="00BC03D3">
              <w:rPr>
                <w:rFonts w:asciiTheme="minorHAnsi" w:eastAsia="Times New Roman" w:hAnsiTheme="minorHAnsi"/>
                <w:b/>
                <w:bCs/>
                <w:noProof/>
                <w:color w:val="FFFFFF"/>
                <w:sz w:val="20"/>
                <w:szCs w:val="20"/>
                <w:lang w:eastAsia="cs-CZ"/>
              </w:rPr>
              <w:t xml:space="preserve"> </w:t>
            </w:r>
            <w:r w:rsidR="00E27252">
              <w:rPr>
                <w:rFonts w:asciiTheme="minorHAnsi" w:eastAsia="Times New Roman" w:hAnsiTheme="minorHAnsi"/>
                <w:b/>
                <w:bCs/>
                <w:noProof/>
                <w:color w:val="FFFFFF"/>
                <w:sz w:val="20"/>
                <w:szCs w:val="20"/>
                <w:lang w:eastAsia="cs-CZ"/>
              </w:rPr>
              <w:t>m</w:t>
            </w:r>
            <w:r w:rsidR="00E27252" w:rsidRPr="00E27252">
              <w:rPr>
                <w:rFonts w:asciiTheme="minorHAnsi" w:eastAsia="Times New Roman" w:hAnsiTheme="minorHAnsi"/>
                <w:b/>
                <w:bCs/>
                <w:noProof/>
                <w:color w:val="FFFFFF"/>
                <w:sz w:val="20"/>
                <w:szCs w:val="20"/>
                <w:vertAlign w:val="superscript"/>
                <w:lang w:eastAsia="cs-CZ"/>
              </w:rPr>
              <w:t>3</w:t>
            </w:r>
            <w:r w:rsidRPr="00C62639">
              <w:rPr>
                <w:rFonts w:asciiTheme="minorHAnsi" w:eastAsia="Times New Roman" w:hAnsiTheme="minorHAnsi"/>
                <w:b/>
                <w:bCs/>
                <w:noProof/>
                <w:color w:val="FFFFFF"/>
                <w:sz w:val="20"/>
                <w:szCs w:val="20"/>
                <w:lang w:eastAsia="cs-CZ"/>
              </w:rPr>
              <w:t>)</w:t>
            </w:r>
          </w:p>
        </w:tc>
      </w:tr>
      <w:tr w:rsidR="00E92A3D" w:rsidRPr="00C62639" w14:paraId="2C4A9259" w14:textId="77777777" w:rsidTr="00E92A3D">
        <w:trPr>
          <w:trHeight w:val="20"/>
        </w:trPr>
        <w:tc>
          <w:tcPr>
            <w:tcW w:w="2607" w:type="dxa"/>
            <w:tcBorders>
              <w:top w:val="single" w:sz="4" w:space="0" w:color="FFFFFF"/>
              <w:left w:val="nil"/>
              <w:bottom w:val="single" w:sz="4" w:space="0" w:color="FFFFFF"/>
              <w:right w:val="single" w:sz="4" w:space="0" w:color="FFFFFF"/>
            </w:tcBorders>
            <w:shd w:val="clear" w:color="F8CBAD" w:fill="F8CBAD"/>
            <w:noWrap/>
            <w:vAlign w:val="center"/>
            <w:hideMark/>
          </w:tcPr>
          <w:p w14:paraId="7AE34956"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II.skupina (&gt;1 000 mil. Kč)</w:t>
            </w:r>
          </w:p>
        </w:tc>
        <w:tc>
          <w:tcPr>
            <w:tcW w:w="1645"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7C8159FB"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3</w:t>
            </w:r>
          </w:p>
        </w:tc>
        <w:tc>
          <w:tcPr>
            <w:tcW w:w="2552" w:type="dxa"/>
            <w:tcBorders>
              <w:top w:val="single" w:sz="4" w:space="0" w:color="FFFFFF"/>
              <w:left w:val="single" w:sz="4" w:space="0" w:color="FFFFFF"/>
              <w:bottom w:val="single" w:sz="4" w:space="0" w:color="FFFFFF"/>
              <w:right w:val="single" w:sz="4" w:space="0" w:color="FFFFFF"/>
            </w:tcBorders>
            <w:shd w:val="clear" w:color="F8CBAD" w:fill="F8CBAD"/>
            <w:vAlign w:val="center"/>
          </w:tcPr>
          <w:p w14:paraId="0965E833" w14:textId="77777777" w:rsidR="00E92A3D" w:rsidRPr="00E92A3D" w:rsidRDefault="00E92A3D" w:rsidP="00E92A3D">
            <w:pPr>
              <w:spacing w:before="0" w:after="0"/>
              <w:contextualSpacing w:val="0"/>
              <w:jc w:val="center"/>
              <w:rPr>
                <w:color w:val="000000"/>
                <w:sz w:val="20"/>
              </w:rPr>
            </w:pPr>
            <w:r w:rsidRPr="00E92A3D">
              <w:rPr>
                <w:color w:val="000000"/>
                <w:sz w:val="20"/>
              </w:rPr>
              <w:t>8 568,52</w:t>
            </w:r>
          </w:p>
        </w:tc>
        <w:tc>
          <w:tcPr>
            <w:tcW w:w="2032"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2589A34D"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11,97</w:t>
            </w:r>
          </w:p>
        </w:tc>
      </w:tr>
      <w:tr w:rsidR="00E92A3D" w:rsidRPr="00C62639" w14:paraId="3C5A7F24" w14:textId="77777777" w:rsidTr="00E92A3D">
        <w:trPr>
          <w:trHeight w:val="20"/>
        </w:trPr>
        <w:tc>
          <w:tcPr>
            <w:tcW w:w="2607" w:type="dxa"/>
            <w:tcBorders>
              <w:top w:val="single" w:sz="4" w:space="0" w:color="FFFFFF"/>
              <w:left w:val="nil"/>
              <w:bottom w:val="single" w:sz="4" w:space="0" w:color="FFFFFF"/>
              <w:right w:val="single" w:sz="4" w:space="0" w:color="FFFFFF"/>
            </w:tcBorders>
            <w:shd w:val="clear" w:color="FCE4D6" w:fill="FCE4D6"/>
            <w:noWrap/>
            <w:vAlign w:val="center"/>
            <w:hideMark/>
          </w:tcPr>
          <w:p w14:paraId="43DD1DD9"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III.skupina (&gt;100 mil. Kč)</w:t>
            </w:r>
          </w:p>
        </w:tc>
        <w:tc>
          <w:tcPr>
            <w:tcW w:w="1645"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14CEEC8B"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60</w:t>
            </w:r>
          </w:p>
        </w:tc>
        <w:tc>
          <w:tcPr>
            <w:tcW w:w="2552" w:type="dxa"/>
            <w:tcBorders>
              <w:top w:val="single" w:sz="4" w:space="0" w:color="FFFFFF"/>
              <w:left w:val="single" w:sz="4" w:space="0" w:color="FFFFFF"/>
              <w:bottom w:val="single" w:sz="4" w:space="0" w:color="FFFFFF"/>
              <w:right w:val="single" w:sz="4" w:space="0" w:color="FFFFFF"/>
            </w:tcBorders>
            <w:shd w:val="clear" w:color="FCE4D6" w:fill="FCE4D6"/>
            <w:vAlign w:val="center"/>
          </w:tcPr>
          <w:p w14:paraId="61555AC0" w14:textId="77777777" w:rsidR="00E92A3D" w:rsidRPr="00E92A3D" w:rsidRDefault="00E92A3D" w:rsidP="00E92A3D">
            <w:pPr>
              <w:spacing w:before="0" w:after="0"/>
              <w:contextualSpacing w:val="0"/>
              <w:jc w:val="center"/>
              <w:rPr>
                <w:color w:val="000000"/>
                <w:sz w:val="20"/>
              </w:rPr>
            </w:pPr>
            <w:r w:rsidRPr="00E92A3D">
              <w:rPr>
                <w:color w:val="000000"/>
                <w:sz w:val="20"/>
              </w:rPr>
              <w:t>14 319,63</w:t>
            </w:r>
          </w:p>
        </w:tc>
        <w:tc>
          <w:tcPr>
            <w:tcW w:w="2032"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228751D1"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11,25</w:t>
            </w:r>
          </w:p>
        </w:tc>
      </w:tr>
      <w:tr w:rsidR="00E92A3D" w:rsidRPr="00C62639" w14:paraId="144C5A80" w14:textId="77777777" w:rsidTr="00E92A3D">
        <w:trPr>
          <w:trHeight w:val="20"/>
        </w:trPr>
        <w:tc>
          <w:tcPr>
            <w:tcW w:w="2607" w:type="dxa"/>
            <w:tcBorders>
              <w:top w:val="single" w:sz="4" w:space="0" w:color="FFFFFF"/>
              <w:left w:val="nil"/>
              <w:bottom w:val="single" w:sz="4" w:space="0" w:color="FFFFFF"/>
              <w:right w:val="single" w:sz="4" w:space="0" w:color="FFFFFF"/>
            </w:tcBorders>
            <w:shd w:val="clear" w:color="F8CBAD" w:fill="F8CBAD"/>
            <w:noWrap/>
            <w:vAlign w:val="center"/>
            <w:hideMark/>
          </w:tcPr>
          <w:p w14:paraId="76CC551A"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IV.skupina (&gt;10 mil. Kč)</w:t>
            </w:r>
          </w:p>
        </w:tc>
        <w:tc>
          <w:tcPr>
            <w:tcW w:w="1645"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17E9BC29"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456</w:t>
            </w:r>
          </w:p>
        </w:tc>
        <w:tc>
          <w:tcPr>
            <w:tcW w:w="2552" w:type="dxa"/>
            <w:tcBorders>
              <w:top w:val="single" w:sz="4" w:space="0" w:color="FFFFFF"/>
              <w:left w:val="single" w:sz="4" w:space="0" w:color="FFFFFF"/>
              <w:bottom w:val="single" w:sz="4" w:space="0" w:color="FFFFFF"/>
              <w:right w:val="single" w:sz="4" w:space="0" w:color="FFFFFF"/>
            </w:tcBorders>
            <w:shd w:val="clear" w:color="F8CBAD" w:fill="F8CBAD"/>
            <w:vAlign w:val="center"/>
          </w:tcPr>
          <w:p w14:paraId="7CE43227" w14:textId="77777777" w:rsidR="00E92A3D" w:rsidRPr="00E92A3D" w:rsidRDefault="00E92A3D" w:rsidP="00E92A3D">
            <w:pPr>
              <w:spacing w:before="0" w:after="0"/>
              <w:contextualSpacing w:val="0"/>
              <w:jc w:val="center"/>
              <w:rPr>
                <w:color w:val="000000"/>
                <w:sz w:val="20"/>
              </w:rPr>
            </w:pPr>
            <w:r w:rsidRPr="00E92A3D">
              <w:rPr>
                <w:color w:val="000000"/>
                <w:sz w:val="20"/>
              </w:rPr>
              <w:t>15 484,63</w:t>
            </w:r>
          </w:p>
        </w:tc>
        <w:tc>
          <w:tcPr>
            <w:tcW w:w="2032"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59650A63"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10,14</w:t>
            </w:r>
          </w:p>
        </w:tc>
      </w:tr>
      <w:tr w:rsidR="00E92A3D" w:rsidRPr="00C62639" w14:paraId="6A7149EF" w14:textId="77777777" w:rsidTr="00E92A3D">
        <w:trPr>
          <w:trHeight w:val="20"/>
        </w:trPr>
        <w:tc>
          <w:tcPr>
            <w:tcW w:w="2607" w:type="dxa"/>
            <w:tcBorders>
              <w:top w:val="single" w:sz="4" w:space="0" w:color="FFFFFF"/>
              <w:left w:val="nil"/>
              <w:bottom w:val="single" w:sz="4" w:space="0" w:color="FFFFFF"/>
              <w:right w:val="single" w:sz="4" w:space="0" w:color="FFFFFF"/>
            </w:tcBorders>
            <w:shd w:val="clear" w:color="FCE4D6" w:fill="FCE4D6"/>
            <w:noWrap/>
            <w:vAlign w:val="center"/>
            <w:hideMark/>
          </w:tcPr>
          <w:p w14:paraId="50388E81"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V.skupina (&gt;1 mil. Kč)</w:t>
            </w:r>
          </w:p>
        </w:tc>
        <w:tc>
          <w:tcPr>
            <w:tcW w:w="1645"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24BFD8EF"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139</w:t>
            </w:r>
          </w:p>
        </w:tc>
        <w:tc>
          <w:tcPr>
            <w:tcW w:w="2552" w:type="dxa"/>
            <w:tcBorders>
              <w:top w:val="single" w:sz="4" w:space="0" w:color="FFFFFF"/>
              <w:left w:val="single" w:sz="4" w:space="0" w:color="FFFFFF"/>
              <w:bottom w:val="single" w:sz="4" w:space="0" w:color="FFFFFF"/>
              <w:right w:val="single" w:sz="4" w:space="0" w:color="FFFFFF"/>
            </w:tcBorders>
            <w:shd w:val="clear" w:color="FCE4D6" w:fill="FCE4D6"/>
            <w:vAlign w:val="center"/>
          </w:tcPr>
          <w:p w14:paraId="6EF21C24" w14:textId="77777777" w:rsidR="00E92A3D" w:rsidRPr="00E92A3D" w:rsidRDefault="00E92A3D" w:rsidP="00E92A3D">
            <w:pPr>
              <w:spacing w:before="0" w:after="0"/>
              <w:contextualSpacing w:val="0"/>
              <w:jc w:val="center"/>
              <w:rPr>
                <w:color w:val="000000"/>
                <w:sz w:val="20"/>
              </w:rPr>
            </w:pPr>
            <w:r w:rsidRPr="00E92A3D">
              <w:rPr>
                <w:color w:val="000000"/>
                <w:sz w:val="20"/>
              </w:rPr>
              <w:t>854,73</w:t>
            </w:r>
          </w:p>
        </w:tc>
        <w:tc>
          <w:tcPr>
            <w:tcW w:w="2032" w:type="dxa"/>
            <w:tcBorders>
              <w:top w:val="single" w:sz="4" w:space="0" w:color="FFFFFF"/>
              <w:left w:val="single" w:sz="4" w:space="0" w:color="FFFFFF"/>
              <w:bottom w:val="single" w:sz="4" w:space="0" w:color="FFFFFF"/>
              <w:right w:val="single" w:sz="4" w:space="0" w:color="FFFFFF"/>
            </w:tcBorders>
            <w:shd w:val="clear" w:color="FCE4D6" w:fill="FCE4D6"/>
            <w:vAlign w:val="bottom"/>
          </w:tcPr>
          <w:p w14:paraId="592E90AE"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1,19</w:t>
            </w:r>
          </w:p>
        </w:tc>
      </w:tr>
      <w:tr w:rsidR="00E92A3D" w:rsidRPr="00C62639" w14:paraId="0191F9F4" w14:textId="77777777" w:rsidTr="00E92A3D">
        <w:trPr>
          <w:trHeight w:val="20"/>
        </w:trPr>
        <w:tc>
          <w:tcPr>
            <w:tcW w:w="2607" w:type="dxa"/>
            <w:tcBorders>
              <w:top w:val="single" w:sz="4" w:space="0" w:color="FFFFFF"/>
              <w:left w:val="nil"/>
              <w:bottom w:val="single" w:sz="4" w:space="0" w:color="FFFFFF"/>
              <w:right w:val="single" w:sz="4" w:space="0" w:color="FFFFFF"/>
            </w:tcBorders>
            <w:shd w:val="clear" w:color="F8CBAD" w:fill="F8CBAD"/>
            <w:noWrap/>
            <w:vAlign w:val="center"/>
            <w:hideMark/>
          </w:tcPr>
          <w:p w14:paraId="172E5727" w14:textId="77777777" w:rsidR="00E92A3D" w:rsidRPr="00C62639" w:rsidRDefault="00E92A3D" w:rsidP="00E92A3D">
            <w:pPr>
              <w:spacing w:before="0" w:after="0"/>
              <w:contextualSpacing w:val="0"/>
              <w:jc w:val="left"/>
              <w:rPr>
                <w:rFonts w:asciiTheme="minorHAnsi" w:eastAsia="Times New Roman" w:hAnsiTheme="minorHAnsi"/>
                <w:noProof/>
                <w:color w:val="000000"/>
                <w:sz w:val="20"/>
                <w:szCs w:val="20"/>
                <w:lang w:eastAsia="cs-CZ"/>
              </w:rPr>
            </w:pPr>
            <w:r w:rsidRPr="00C62639">
              <w:rPr>
                <w:rFonts w:asciiTheme="minorHAnsi" w:eastAsia="Times New Roman" w:hAnsiTheme="minorHAnsi"/>
                <w:noProof/>
                <w:color w:val="000000"/>
                <w:sz w:val="20"/>
                <w:szCs w:val="20"/>
                <w:lang w:eastAsia="cs-CZ"/>
              </w:rPr>
              <w:t>VI.skupina (&lt;1 mil. Kč)</w:t>
            </w:r>
          </w:p>
        </w:tc>
        <w:tc>
          <w:tcPr>
            <w:tcW w:w="1645"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67D23A46"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8</w:t>
            </w:r>
          </w:p>
        </w:tc>
        <w:tc>
          <w:tcPr>
            <w:tcW w:w="2552" w:type="dxa"/>
            <w:tcBorders>
              <w:top w:val="single" w:sz="4" w:space="0" w:color="FFFFFF"/>
              <w:left w:val="single" w:sz="4" w:space="0" w:color="FFFFFF"/>
              <w:bottom w:val="single" w:sz="4" w:space="0" w:color="FFFFFF"/>
              <w:right w:val="single" w:sz="4" w:space="0" w:color="FFFFFF"/>
            </w:tcBorders>
            <w:shd w:val="clear" w:color="F8CBAD" w:fill="F8CBAD"/>
            <w:vAlign w:val="center"/>
          </w:tcPr>
          <w:p w14:paraId="071277BC" w14:textId="77777777" w:rsidR="00E92A3D" w:rsidRPr="00E92A3D" w:rsidRDefault="00E92A3D" w:rsidP="00E92A3D">
            <w:pPr>
              <w:spacing w:before="0" w:after="0"/>
              <w:contextualSpacing w:val="0"/>
              <w:jc w:val="center"/>
              <w:rPr>
                <w:color w:val="000000"/>
                <w:sz w:val="20"/>
              </w:rPr>
            </w:pPr>
            <w:r w:rsidRPr="00E92A3D">
              <w:rPr>
                <w:color w:val="000000"/>
                <w:sz w:val="20"/>
              </w:rPr>
              <w:t>4,51</w:t>
            </w:r>
          </w:p>
        </w:tc>
        <w:tc>
          <w:tcPr>
            <w:tcW w:w="2032" w:type="dxa"/>
            <w:tcBorders>
              <w:top w:val="single" w:sz="4" w:space="0" w:color="FFFFFF"/>
              <w:left w:val="single" w:sz="4" w:space="0" w:color="FFFFFF"/>
              <w:bottom w:val="single" w:sz="4" w:space="0" w:color="FFFFFF"/>
              <w:right w:val="single" w:sz="4" w:space="0" w:color="FFFFFF"/>
            </w:tcBorders>
            <w:shd w:val="clear" w:color="F8CBAD" w:fill="F8CBAD"/>
            <w:vAlign w:val="bottom"/>
          </w:tcPr>
          <w:p w14:paraId="6A8814C7" w14:textId="77777777" w:rsidR="00E92A3D" w:rsidRPr="00E92A3D" w:rsidRDefault="00E92A3D" w:rsidP="00E92A3D">
            <w:pPr>
              <w:spacing w:before="0" w:after="0"/>
              <w:contextualSpacing w:val="0"/>
              <w:jc w:val="center"/>
              <w:rPr>
                <w:rFonts w:asciiTheme="minorHAnsi" w:eastAsia="Times New Roman" w:hAnsiTheme="minorHAnsi"/>
                <w:noProof/>
                <w:color w:val="000000"/>
                <w:sz w:val="20"/>
                <w:szCs w:val="20"/>
                <w:lang w:eastAsia="cs-CZ"/>
              </w:rPr>
            </w:pPr>
            <w:r w:rsidRPr="00E92A3D">
              <w:rPr>
                <w:color w:val="000000"/>
                <w:sz w:val="20"/>
              </w:rPr>
              <w:t>0,08</w:t>
            </w:r>
          </w:p>
        </w:tc>
      </w:tr>
      <w:tr w:rsidR="00E92A3D" w:rsidRPr="00C62639" w14:paraId="4B55C27F" w14:textId="77777777" w:rsidTr="00E92A3D">
        <w:trPr>
          <w:trHeight w:val="20"/>
        </w:trPr>
        <w:tc>
          <w:tcPr>
            <w:tcW w:w="2607" w:type="dxa"/>
            <w:tcBorders>
              <w:top w:val="single" w:sz="4" w:space="0" w:color="FFFFFF"/>
              <w:left w:val="nil"/>
              <w:bottom w:val="nil"/>
              <w:right w:val="single" w:sz="4" w:space="0" w:color="FFFFFF"/>
            </w:tcBorders>
            <w:shd w:val="clear" w:color="FCE4D6" w:fill="FCE4D6"/>
            <w:noWrap/>
            <w:vAlign w:val="center"/>
            <w:hideMark/>
          </w:tcPr>
          <w:p w14:paraId="582EA915" w14:textId="77777777" w:rsidR="00E92A3D" w:rsidRPr="00C62639" w:rsidRDefault="00E92A3D" w:rsidP="00E92A3D">
            <w:pPr>
              <w:spacing w:before="0" w:after="0"/>
              <w:contextualSpacing w:val="0"/>
              <w:jc w:val="left"/>
              <w:rPr>
                <w:rFonts w:asciiTheme="minorHAnsi" w:eastAsia="Times New Roman" w:hAnsiTheme="minorHAnsi"/>
                <w:b/>
                <w:noProof/>
                <w:color w:val="000000"/>
                <w:sz w:val="20"/>
                <w:szCs w:val="20"/>
                <w:lang w:eastAsia="cs-CZ"/>
              </w:rPr>
            </w:pPr>
            <w:r w:rsidRPr="00C62639">
              <w:rPr>
                <w:rFonts w:asciiTheme="minorHAnsi" w:eastAsia="Times New Roman" w:hAnsiTheme="minorHAnsi"/>
                <w:b/>
                <w:noProof/>
                <w:color w:val="000000"/>
                <w:sz w:val="20"/>
                <w:szCs w:val="20"/>
                <w:lang w:eastAsia="cs-CZ"/>
              </w:rPr>
              <w:t>Celkem</w:t>
            </w:r>
          </w:p>
        </w:tc>
        <w:tc>
          <w:tcPr>
            <w:tcW w:w="1645" w:type="dxa"/>
            <w:tcBorders>
              <w:top w:val="single" w:sz="4" w:space="0" w:color="FFFFFF"/>
              <w:left w:val="single" w:sz="4" w:space="0" w:color="FFFFFF"/>
              <w:bottom w:val="nil"/>
              <w:right w:val="single" w:sz="4" w:space="0" w:color="FFFFFF"/>
            </w:tcBorders>
            <w:shd w:val="clear" w:color="FCE4D6" w:fill="FCE4D6"/>
            <w:noWrap/>
            <w:vAlign w:val="bottom"/>
            <w:hideMark/>
          </w:tcPr>
          <w:p w14:paraId="11196140" w14:textId="77777777" w:rsidR="00E92A3D" w:rsidRPr="00E92A3D" w:rsidRDefault="00E92A3D" w:rsidP="00E92A3D">
            <w:pPr>
              <w:spacing w:before="0" w:after="0"/>
              <w:contextualSpacing w:val="0"/>
              <w:jc w:val="center"/>
              <w:rPr>
                <w:rFonts w:asciiTheme="minorHAnsi" w:eastAsia="Times New Roman" w:hAnsiTheme="minorHAnsi"/>
                <w:b/>
                <w:noProof/>
                <w:color w:val="000000"/>
                <w:sz w:val="20"/>
                <w:szCs w:val="20"/>
                <w:lang w:eastAsia="cs-CZ"/>
              </w:rPr>
            </w:pPr>
            <w:r w:rsidRPr="00E92A3D">
              <w:rPr>
                <w:b/>
                <w:bCs/>
                <w:color w:val="000000"/>
                <w:sz w:val="20"/>
              </w:rPr>
              <w:t>666</w:t>
            </w:r>
          </w:p>
        </w:tc>
        <w:tc>
          <w:tcPr>
            <w:tcW w:w="2552" w:type="dxa"/>
            <w:tcBorders>
              <w:top w:val="single" w:sz="4" w:space="0" w:color="FFFFFF"/>
              <w:left w:val="single" w:sz="4" w:space="0" w:color="FFFFFF"/>
              <w:bottom w:val="nil"/>
              <w:right w:val="single" w:sz="4" w:space="0" w:color="FFFFFF"/>
            </w:tcBorders>
            <w:shd w:val="clear" w:color="FCE4D6" w:fill="FCE4D6"/>
            <w:vAlign w:val="center"/>
          </w:tcPr>
          <w:p w14:paraId="15B4924B" w14:textId="77777777" w:rsidR="00E92A3D" w:rsidRPr="00E92A3D" w:rsidRDefault="00E92A3D" w:rsidP="00E92A3D">
            <w:pPr>
              <w:spacing w:before="0" w:after="0"/>
              <w:contextualSpacing w:val="0"/>
              <w:jc w:val="center"/>
              <w:rPr>
                <w:color w:val="000000"/>
                <w:sz w:val="20"/>
              </w:rPr>
            </w:pPr>
            <w:r w:rsidRPr="00E92A3D">
              <w:rPr>
                <w:color w:val="000000"/>
                <w:sz w:val="20"/>
              </w:rPr>
              <w:t>39 232,03</w:t>
            </w:r>
          </w:p>
        </w:tc>
        <w:tc>
          <w:tcPr>
            <w:tcW w:w="2032" w:type="dxa"/>
            <w:tcBorders>
              <w:top w:val="single" w:sz="4" w:space="0" w:color="FFFFFF"/>
              <w:left w:val="single" w:sz="4" w:space="0" w:color="FFFFFF"/>
              <w:bottom w:val="nil"/>
              <w:right w:val="single" w:sz="4" w:space="0" w:color="FFFFFF"/>
            </w:tcBorders>
            <w:shd w:val="clear" w:color="FCE4D6" w:fill="FCE4D6"/>
            <w:vAlign w:val="bottom"/>
          </w:tcPr>
          <w:p w14:paraId="4B5D0A02" w14:textId="77777777" w:rsidR="00E92A3D" w:rsidRPr="00E92A3D" w:rsidRDefault="00E92A3D" w:rsidP="00E92A3D">
            <w:pPr>
              <w:spacing w:before="0" w:after="0"/>
              <w:contextualSpacing w:val="0"/>
              <w:jc w:val="center"/>
              <w:rPr>
                <w:rFonts w:asciiTheme="minorHAnsi" w:eastAsia="Times New Roman" w:hAnsiTheme="minorHAnsi"/>
                <w:b/>
                <w:noProof/>
                <w:color w:val="000000"/>
                <w:sz w:val="20"/>
                <w:szCs w:val="20"/>
                <w:lang w:eastAsia="cs-CZ"/>
              </w:rPr>
            </w:pPr>
            <w:r w:rsidRPr="00E92A3D">
              <w:rPr>
                <w:b/>
                <w:bCs/>
                <w:color w:val="000000"/>
                <w:sz w:val="20"/>
              </w:rPr>
              <w:t>34,63</w:t>
            </w:r>
          </w:p>
        </w:tc>
      </w:tr>
    </w:tbl>
    <w:p w14:paraId="34135ED3" w14:textId="77777777" w:rsidR="00235587" w:rsidRPr="00C62639" w:rsidRDefault="00235587" w:rsidP="000B4E2B">
      <w:pPr>
        <w:pStyle w:val="NORMLN0"/>
        <w:rPr>
          <w:rFonts w:asciiTheme="minorHAnsi" w:hAnsiTheme="minorHAnsi"/>
          <w:noProof/>
        </w:rPr>
      </w:pPr>
    </w:p>
    <w:p w14:paraId="66299293" w14:textId="6FDD0DDA" w:rsidR="009F36D5" w:rsidRDefault="00782E52" w:rsidP="00837030">
      <w:pPr>
        <w:pStyle w:val="NORMLN0"/>
      </w:pPr>
      <w:r w:rsidRPr="00E141EB">
        <w:t>Vzhledem k výše popsaným problémům spojeným s užíváním řádku 20 a vysokému počtu Porovnání s tímto řádkem nevyplněným, byly údaje</w:t>
      </w:r>
      <w:r w:rsidR="00B26631" w:rsidRPr="00E141EB">
        <w:t xml:space="preserve"> </w:t>
      </w:r>
      <w:r w:rsidR="00781BAD">
        <w:t xml:space="preserve">vykazované na </w:t>
      </w:r>
      <w:r w:rsidRPr="00E141EB">
        <w:t>řádku 20 komentovány pouze sumárně a k hlubší analýze ukazatelů, které jej ve své konstrukci využívají, nebylo přistoupeno.</w:t>
      </w:r>
    </w:p>
    <w:p w14:paraId="63E90E02" w14:textId="77777777" w:rsidR="00430622" w:rsidRDefault="00430622" w:rsidP="00837030">
      <w:pPr>
        <w:pStyle w:val="NORMLN0"/>
      </w:pPr>
    </w:p>
    <w:p w14:paraId="7ECB3F2F" w14:textId="77777777" w:rsidR="00B13308" w:rsidRDefault="000331FE" w:rsidP="00B13308">
      <w:pPr>
        <w:pStyle w:val="Nadpis2"/>
      </w:pPr>
      <w:r>
        <w:t xml:space="preserve"> </w:t>
      </w:r>
      <w:bookmarkStart w:id="20" w:name="_Toc3291982"/>
      <w:r w:rsidR="00B13308">
        <w:t>Benchmarking vlastnických subjektů - ukazatel „</w:t>
      </w:r>
      <w:r w:rsidR="00B13308" w:rsidRPr="0083729F">
        <w:t>Teoretická cena pro vodné a stočné při pokrytí</w:t>
      </w:r>
      <w:r w:rsidR="00B13308">
        <w:t xml:space="preserve"> </w:t>
      </w:r>
      <w:r w:rsidR="00B13308" w:rsidRPr="0083729F">
        <w:t>prostředků obnovy a nulovém zisku</w:t>
      </w:r>
      <w:r w:rsidR="00B13308">
        <w:t>“</w:t>
      </w:r>
      <w:bookmarkEnd w:id="20"/>
    </w:p>
    <w:p w14:paraId="5643F3D2" w14:textId="0390C75A" w:rsidR="009F36D5" w:rsidRDefault="000331FE" w:rsidP="00837030">
      <w:pPr>
        <w:pStyle w:val="NORMLN0"/>
      </w:pPr>
      <w:r w:rsidRPr="000331FE">
        <w:t xml:space="preserve">Tento ukazatel vyjadřuje, jaká by měla být minimální výše ceny pro vodné a stočné pro dosažení samofinancovatelnosti VIM. Poskytuje informaci o tom, jaká výše ceny pokrývá při vykázaném objemu fakturované vody </w:t>
      </w:r>
      <w:r w:rsidR="00781BAD">
        <w:t xml:space="preserve">a nulovém zisku </w:t>
      </w:r>
      <w:r w:rsidRPr="000331FE">
        <w:t>celkovou výši ÚVN a případný kladný rozdíl mezi minimální roční výší prostředků obnovy a skutečnou výší prostředků na obnovu z vodného nebo stočného. Při rozhodování o výši ceny pro vodné a stočné je nutné přihlížet také na její sociální únosnost. Vzhledem k faktu, že v ČR je prozatím výše sociálně únosné ceny vyhlašována MŽP v rámci OPŽP součtově pro cenu pro vodné a stočné, nebylo možné přistoupit k přezkoumání sociální únosnosti teoretické ceny pro vodné a pro stočné při pokrytí prostředků obnovy a nulovém zisku. Komentovány byly pouze její extrémní hodnoty.</w:t>
      </w:r>
    </w:p>
    <w:p w14:paraId="07EDA1F9" w14:textId="77777777" w:rsidR="000331FE" w:rsidRDefault="000331FE" w:rsidP="00B13308">
      <w:pPr>
        <w:ind w:firstLine="375"/>
      </w:pPr>
    </w:p>
    <w:p w14:paraId="426B8966" w14:textId="77777777" w:rsidR="00B13308" w:rsidRDefault="00B13308" w:rsidP="00B13308">
      <w:pPr>
        <w:ind w:firstLine="375"/>
      </w:pPr>
      <w:r>
        <w:t xml:space="preserve">V následující tabulce je uveden přehled postupu výpočtu Teoretické ceny pro vodné </w:t>
      </w:r>
      <w:r>
        <w:br/>
        <w:t xml:space="preserve">a stočné při pokrytí prostředků obnovy a nulovém zisku, který se liší v závislosti </w:t>
      </w:r>
      <w:r w:rsidR="0007473E">
        <w:t>na</w:t>
      </w:r>
      <w:r>
        <w:t xml:space="preserve"> modelu provozování</w:t>
      </w:r>
      <w:r w:rsidR="0007473E">
        <w:t>.</w:t>
      </w:r>
      <w:r>
        <w:t xml:space="preserve"> </w:t>
      </w:r>
    </w:p>
    <w:tbl>
      <w:tblPr>
        <w:tblStyle w:val="Svtlmkatabulky1"/>
        <w:tblW w:w="5865" w:type="pct"/>
        <w:jc w:val="center"/>
        <w:tblLayout w:type="fixed"/>
        <w:tblLook w:val="04A0" w:firstRow="1" w:lastRow="0" w:firstColumn="1" w:lastColumn="0" w:noHBand="0" w:noVBand="1"/>
      </w:tblPr>
      <w:tblGrid>
        <w:gridCol w:w="1790"/>
        <w:gridCol w:w="2932"/>
        <w:gridCol w:w="943"/>
        <w:gridCol w:w="4962"/>
      </w:tblGrid>
      <w:tr w:rsidR="00B13308" w:rsidRPr="00183C78" w14:paraId="4568A10A" w14:textId="77777777" w:rsidTr="00E94496">
        <w:trPr>
          <w:trHeight w:val="497"/>
          <w:jc w:val="center"/>
        </w:trPr>
        <w:tc>
          <w:tcPr>
            <w:tcW w:w="1790" w:type="dxa"/>
            <w:shd w:val="clear" w:color="auto" w:fill="899CFB"/>
            <w:vAlign w:val="center"/>
          </w:tcPr>
          <w:p w14:paraId="64D2F92B" w14:textId="77777777" w:rsidR="00B13308" w:rsidRPr="00DA18D2" w:rsidRDefault="00B13308" w:rsidP="00AD4CBE">
            <w:pPr>
              <w:spacing w:before="0" w:after="0"/>
              <w:contextualSpacing w:val="0"/>
              <w:jc w:val="center"/>
              <w:rPr>
                <w:rFonts w:eastAsia="Times New Roman" w:cs="Times New Roman"/>
                <w:b/>
                <w:iCs/>
                <w:smallCaps/>
                <w:color w:val="FFFFFF" w:themeColor="background1"/>
                <w:sz w:val="20"/>
                <w:szCs w:val="16"/>
                <w:lang w:eastAsia="cs-CZ"/>
              </w:rPr>
            </w:pPr>
            <w:r w:rsidRPr="00DA18D2">
              <w:rPr>
                <w:rFonts w:eastAsia="Times New Roman" w:cs="Times New Roman"/>
                <w:b/>
                <w:iCs/>
                <w:smallCaps/>
                <w:color w:val="FFFFFF" w:themeColor="background1"/>
                <w:sz w:val="20"/>
                <w:szCs w:val="16"/>
                <w:lang w:eastAsia="cs-CZ"/>
              </w:rPr>
              <w:lastRenderedPageBreak/>
              <w:t>Model Provozování</w:t>
            </w:r>
          </w:p>
        </w:tc>
        <w:tc>
          <w:tcPr>
            <w:tcW w:w="2932" w:type="dxa"/>
            <w:shd w:val="clear" w:color="auto" w:fill="899CFB"/>
            <w:vAlign w:val="center"/>
          </w:tcPr>
          <w:p w14:paraId="0CADDF2F" w14:textId="77777777" w:rsidR="00B13308" w:rsidRPr="00DA18D2" w:rsidRDefault="00B13308" w:rsidP="00AD4CBE">
            <w:pPr>
              <w:spacing w:before="0" w:after="0"/>
              <w:contextualSpacing w:val="0"/>
              <w:jc w:val="center"/>
              <w:rPr>
                <w:rFonts w:eastAsia="Times New Roman" w:cs="Times New Roman"/>
                <w:b/>
                <w:iCs/>
                <w:smallCaps/>
                <w:color w:val="FFFFFF" w:themeColor="background1"/>
                <w:sz w:val="20"/>
                <w:szCs w:val="16"/>
                <w:lang w:eastAsia="cs-CZ"/>
              </w:rPr>
            </w:pPr>
            <w:r w:rsidRPr="00DA18D2">
              <w:rPr>
                <w:rFonts w:eastAsia="Times New Roman" w:cs="Times New Roman"/>
                <w:b/>
                <w:iCs/>
                <w:smallCaps/>
                <w:color w:val="FFFFFF" w:themeColor="background1"/>
                <w:sz w:val="20"/>
                <w:szCs w:val="16"/>
                <w:lang w:eastAsia="cs-CZ"/>
              </w:rPr>
              <w:t>Ukazatel</w:t>
            </w:r>
          </w:p>
        </w:tc>
        <w:tc>
          <w:tcPr>
            <w:tcW w:w="943" w:type="dxa"/>
            <w:shd w:val="clear" w:color="auto" w:fill="899CFB"/>
            <w:vAlign w:val="center"/>
          </w:tcPr>
          <w:p w14:paraId="0557CB85" w14:textId="77777777" w:rsidR="00B13308" w:rsidRPr="00DA18D2" w:rsidRDefault="00B13308" w:rsidP="00AD4CBE">
            <w:pPr>
              <w:spacing w:before="0" w:after="0"/>
              <w:contextualSpacing w:val="0"/>
              <w:jc w:val="center"/>
              <w:rPr>
                <w:rFonts w:eastAsia="Times New Roman" w:cs="Times New Roman"/>
                <w:b/>
                <w:iCs/>
                <w:smallCaps/>
                <w:color w:val="FFFFFF" w:themeColor="background1"/>
                <w:sz w:val="20"/>
                <w:szCs w:val="16"/>
                <w:lang w:eastAsia="cs-CZ"/>
              </w:rPr>
            </w:pPr>
            <w:r w:rsidRPr="00DA18D2">
              <w:rPr>
                <w:rFonts w:eastAsia="Times New Roman" w:cs="Times New Roman"/>
                <w:b/>
                <w:iCs/>
                <w:smallCaps/>
                <w:color w:val="FFFFFF" w:themeColor="background1"/>
                <w:sz w:val="20"/>
                <w:szCs w:val="16"/>
                <w:lang w:eastAsia="cs-CZ"/>
              </w:rPr>
              <w:t>Jednotka</w:t>
            </w:r>
          </w:p>
        </w:tc>
        <w:tc>
          <w:tcPr>
            <w:tcW w:w="4962" w:type="dxa"/>
            <w:shd w:val="clear" w:color="auto" w:fill="899CFB"/>
            <w:vAlign w:val="center"/>
          </w:tcPr>
          <w:p w14:paraId="14275EB2" w14:textId="77777777" w:rsidR="00B13308" w:rsidRPr="00DA18D2" w:rsidRDefault="00B13308" w:rsidP="00AD4CBE">
            <w:pPr>
              <w:spacing w:before="0" w:after="0"/>
              <w:contextualSpacing w:val="0"/>
              <w:jc w:val="center"/>
              <w:rPr>
                <w:rFonts w:eastAsia="Times New Roman" w:cs="Times New Roman"/>
                <w:b/>
                <w:iCs/>
                <w:smallCaps/>
                <w:color w:val="FFFFFF" w:themeColor="background1"/>
                <w:sz w:val="20"/>
                <w:szCs w:val="16"/>
                <w:lang w:eastAsia="cs-CZ"/>
              </w:rPr>
            </w:pPr>
            <w:r w:rsidRPr="00DA18D2">
              <w:rPr>
                <w:rFonts w:eastAsia="Times New Roman" w:cs="Times New Roman"/>
                <w:b/>
                <w:iCs/>
                <w:smallCaps/>
                <w:color w:val="FFFFFF" w:themeColor="background1"/>
                <w:sz w:val="20"/>
                <w:szCs w:val="16"/>
                <w:lang w:eastAsia="cs-CZ"/>
              </w:rPr>
              <w:t>Postup výpočtu</w:t>
            </w:r>
          </w:p>
        </w:tc>
      </w:tr>
      <w:tr w:rsidR="000331FE" w:rsidRPr="00301CF4" w14:paraId="3985479E" w14:textId="77777777" w:rsidTr="00E94496">
        <w:trPr>
          <w:trHeight w:val="939"/>
          <w:jc w:val="center"/>
        </w:trPr>
        <w:tc>
          <w:tcPr>
            <w:tcW w:w="1790" w:type="dxa"/>
            <w:shd w:val="clear" w:color="auto" w:fill="F4EFFF"/>
            <w:vAlign w:val="center"/>
          </w:tcPr>
          <w:p w14:paraId="59F6D652" w14:textId="77777777" w:rsidR="000331FE" w:rsidRPr="00DA18D2" w:rsidRDefault="000331FE" w:rsidP="000331FE">
            <w:pPr>
              <w:spacing w:before="0" w:after="0"/>
              <w:contextualSpacing w:val="0"/>
              <w:jc w:val="left"/>
              <w:rPr>
                <w:rFonts w:eastAsia="Times New Roman" w:cs="Times New Roman"/>
                <w:iCs/>
                <w:smallCaps/>
                <w:sz w:val="20"/>
                <w:szCs w:val="20"/>
                <w:lang w:eastAsia="cs-CZ"/>
              </w:rPr>
            </w:pPr>
            <w:r w:rsidRPr="00DA18D2">
              <w:rPr>
                <w:rFonts w:eastAsia="Times New Roman" w:cs="Times New Roman"/>
                <w:iCs/>
                <w:smallCaps/>
                <w:sz w:val="20"/>
                <w:szCs w:val="20"/>
                <w:lang w:eastAsia="cs-CZ"/>
              </w:rPr>
              <w:t>Oddílný model provozování</w:t>
            </w:r>
          </w:p>
        </w:tc>
        <w:tc>
          <w:tcPr>
            <w:tcW w:w="2932" w:type="dxa"/>
            <w:shd w:val="clear" w:color="auto" w:fill="F4EFFF"/>
            <w:vAlign w:val="center"/>
            <w:hideMark/>
          </w:tcPr>
          <w:p w14:paraId="6D88F1E3" w14:textId="77777777" w:rsidR="000331FE" w:rsidRPr="00DA18D2" w:rsidRDefault="000331FE" w:rsidP="000331FE">
            <w:pPr>
              <w:spacing w:before="0" w:after="0"/>
              <w:contextualSpacing w:val="0"/>
              <w:jc w:val="left"/>
              <w:rPr>
                <w:rFonts w:eastAsia="Times New Roman" w:cs="Times New Roman"/>
                <w:i/>
                <w:iCs/>
                <w:sz w:val="20"/>
                <w:szCs w:val="16"/>
                <w:lang w:eastAsia="cs-CZ"/>
              </w:rPr>
            </w:pPr>
            <w:r w:rsidRPr="00DA18D2">
              <w:rPr>
                <w:rFonts w:eastAsia="Times New Roman" w:cs="Times New Roman"/>
                <w:i/>
                <w:iCs/>
                <w:sz w:val="20"/>
                <w:szCs w:val="16"/>
                <w:lang w:eastAsia="cs-CZ"/>
              </w:rPr>
              <w:t>Teoretická cena pro vodné a stočné při pokrytí prostředků obnovy a nulovém zisku - oddílný model</w:t>
            </w:r>
          </w:p>
        </w:tc>
        <w:tc>
          <w:tcPr>
            <w:tcW w:w="943" w:type="dxa"/>
            <w:shd w:val="clear" w:color="auto" w:fill="F4EFFF"/>
            <w:vAlign w:val="center"/>
            <w:hideMark/>
          </w:tcPr>
          <w:p w14:paraId="39B47319" w14:textId="77777777" w:rsidR="000331FE" w:rsidRPr="00DA18D2" w:rsidRDefault="000331FE" w:rsidP="000331FE">
            <w:pPr>
              <w:spacing w:before="0" w:after="0"/>
              <w:contextualSpacing w:val="0"/>
              <w:jc w:val="center"/>
              <w:rPr>
                <w:rFonts w:eastAsia="Times New Roman" w:cs="Times New Roman"/>
                <w:i/>
                <w:iCs/>
                <w:sz w:val="20"/>
                <w:szCs w:val="16"/>
                <w:lang w:eastAsia="cs-CZ"/>
              </w:rPr>
            </w:pPr>
            <w:r w:rsidRPr="00DA18D2">
              <w:rPr>
                <w:rFonts w:eastAsia="Times New Roman" w:cs="Times New Roman"/>
                <w:i/>
                <w:iCs/>
                <w:sz w:val="20"/>
                <w:szCs w:val="16"/>
                <w:lang w:eastAsia="cs-CZ"/>
              </w:rPr>
              <w:t>Kč/m</w:t>
            </w:r>
            <w:r w:rsidRPr="00DA18D2">
              <w:rPr>
                <w:rFonts w:eastAsia="Times New Roman" w:cs="Times New Roman"/>
                <w:i/>
                <w:iCs/>
                <w:sz w:val="20"/>
                <w:szCs w:val="16"/>
                <w:vertAlign w:val="superscript"/>
                <w:lang w:eastAsia="cs-CZ"/>
              </w:rPr>
              <w:t>3</w:t>
            </w:r>
          </w:p>
        </w:tc>
        <w:tc>
          <w:tcPr>
            <w:tcW w:w="4962" w:type="dxa"/>
            <w:shd w:val="clear" w:color="auto" w:fill="F4EFFF"/>
            <w:hideMark/>
          </w:tcPr>
          <w:p w14:paraId="5AB053A2" w14:textId="77777777" w:rsidR="000331FE" w:rsidRPr="0007473E" w:rsidRDefault="000331FE" w:rsidP="000331FE">
            <w:pPr>
              <w:rPr>
                <w:i/>
                <w:sz w:val="20"/>
                <w:szCs w:val="20"/>
              </w:rPr>
            </w:pPr>
            <w:r w:rsidRPr="0007473E">
              <w:rPr>
                <w:i/>
                <w:sz w:val="20"/>
                <w:szCs w:val="20"/>
              </w:rPr>
              <w:t>(10 Úplné vlastní náklady +</w:t>
            </w:r>
            <w:r w:rsidR="0007473E">
              <w:rPr>
                <w:i/>
                <w:sz w:val="20"/>
                <w:szCs w:val="20"/>
              </w:rPr>
              <w:t xml:space="preserve"> </w:t>
            </w:r>
            <w:r w:rsidRPr="0007473E">
              <w:rPr>
                <w:i/>
                <w:sz w:val="20"/>
                <w:szCs w:val="20"/>
              </w:rPr>
              <w:t>kladný rozdíl mezi výší minimálních prostředků obnovy VIM a součtu 4.2 opravy infrastrukturního majetku + 4.3 nájem infrastrukturního majetku) / D. Voda fakturovaní celkem</w:t>
            </w:r>
          </w:p>
        </w:tc>
      </w:tr>
      <w:tr w:rsidR="000331FE" w:rsidRPr="00301CF4" w14:paraId="614D0D1C" w14:textId="77777777" w:rsidTr="00E94496">
        <w:trPr>
          <w:trHeight w:val="1121"/>
          <w:jc w:val="center"/>
        </w:trPr>
        <w:tc>
          <w:tcPr>
            <w:tcW w:w="1790" w:type="dxa"/>
            <w:shd w:val="clear" w:color="auto" w:fill="D3DBFD"/>
            <w:vAlign w:val="center"/>
          </w:tcPr>
          <w:p w14:paraId="4919431A" w14:textId="77777777" w:rsidR="000331FE" w:rsidRPr="00DA18D2" w:rsidRDefault="000331FE" w:rsidP="000331FE">
            <w:pPr>
              <w:spacing w:before="0" w:after="0"/>
              <w:contextualSpacing w:val="0"/>
              <w:jc w:val="left"/>
              <w:rPr>
                <w:rFonts w:eastAsia="Times New Roman" w:cs="Times New Roman"/>
                <w:iCs/>
                <w:smallCaps/>
                <w:sz w:val="20"/>
                <w:szCs w:val="20"/>
                <w:lang w:eastAsia="cs-CZ"/>
              </w:rPr>
            </w:pPr>
            <w:r w:rsidRPr="00DA18D2">
              <w:rPr>
                <w:rFonts w:eastAsia="Times New Roman" w:cs="Times New Roman"/>
                <w:iCs/>
                <w:smallCaps/>
                <w:sz w:val="20"/>
                <w:szCs w:val="20"/>
                <w:lang w:eastAsia="cs-CZ"/>
              </w:rPr>
              <w:t>Smíšený model provozování a oddílný model provozování se servisní smlouvou</w:t>
            </w:r>
          </w:p>
        </w:tc>
        <w:tc>
          <w:tcPr>
            <w:tcW w:w="2932" w:type="dxa"/>
            <w:shd w:val="clear" w:color="auto" w:fill="D3DBFD"/>
            <w:vAlign w:val="center"/>
            <w:hideMark/>
          </w:tcPr>
          <w:p w14:paraId="693019F4" w14:textId="77777777" w:rsidR="000331FE" w:rsidRPr="00DA18D2" w:rsidRDefault="000331FE" w:rsidP="000331FE">
            <w:pPr>
              <w:spacing w:before="0" w:after="0"/>
              <w:contextualSpacing w:val="0"/>
              <w:jc w:val="left"/>
              <w:rPr>
                <w:rFonts w:eastAsia="Times New Roman" w:cs="Times New Roman"/>
                <w:i/>
                <w:iCs/>
                <w:sz w:val="20"/>
                <w:szCs w:val="16"/>
                <w:lang w:eastAsia="cs-CZ"/>
              </w:rPr>
            </w:pPr>
            <w:r w:rsidRPr="00DA18D2">
              <w:rPr>
                <w:rFonts w:eastAsia="Times New Roman" w:cs="Times New Roman"/>
                <w:i/>
                <w:iCs/>
                <w:sz w:val="20"/>
                <w:szCs w:val="16"/>
                <w:lang w:eastAsia="cs-CZ"/>
              </w:rPr>
              <w:t>Teoretická cena pro vodné a stočné při pokrytí prostředků obnovy a nulovém zisku - smíšený model nebo servisní smlouva v oddílném modelu</w:t>
            </w:r>
          </w:p>
        </w:tc>
        <w:tc>
          <w:tcPr>
            <w:tcW w:w="943" w:type="dxa"/>
            <w:shd w:val="clear" w:color="auto" w:fill="D3DBFD"/>
            <w:vAlign w:val="center"/>
            <w:hideMark/>
          </w:tcPr>
          <w:p w14:paraId="756099DA" w14:textId="77777777" w:rsidR="000331FE" w:rsidRPr="00DA18D2" w:rsidRDefault="000331FE" w:rsidP="000331FE">
            <w:pPr>
              <w:spacing w:before="0" w:after="0"/>
              <w:contextualSpacing w:val="0"/>
              <w:jc w:val="center"/>
              <w:rPr>
                <w:rFonts w:eastAsia="Times New Roman" w:cs="Times New Roman"/>
                <w:i/>
                <w:iCs/>
                <w:sz w:val="20"/>
                <w:szCs w:val="16"/>
                <w:lang w:eastAsia="cs-CZ"/>
              </w:rPr>
            </w:pPr>
            <w:r w:rsidRPr="00DA18D2">
              <w:rPr>
                <w:rFonts w:eastAsia="Times New Roman" w:cs="Times New Roman"/>
                <w:i/>
                <w:iCs/>
                <w:sz w:val="20"/>
                <w:szCs w:val="16"/>
                <w:lang w:eastAsia="cs-CZ"/>
              </w:rPr>
              <w:t>Kč/m</w:t>
            </w:r>
            <w:r w:rsidRPr="00DA18D2">
              <w:rPr>
                <w:rFonts w:eastAsia="Times New Roman" w:cs="Times New Roman"/>
                <w:i/>
                <w:iCs/>
                <w:sz w:val="20"/>
                <w:szCs w:val="16"/>
                <w:vertAlign w:val="superscript"/>
                <w:lang w:eastAsia="cs-CZ"/>
              </w:rPr>
              <w:t>3</w:t>
            </w:r>
          </w:p>
        </w:tc>
        <w:tc>
          <w:tcPr>
            <w:tcW w:w="4962" w:type="dxa"/>
            <w:shd w:val="clear" w:color="auto" w:fill="D3DBFD"/>
            <w:hideMark/>
          </w:tcPr>
          <w:p w14:paraId="15FB35D6" w14:textId="77777777" w:rsidR="000331FE" w:rsidRPr="0007473E" w:rsidRDefault="000331FE" w:rsidP="000331FE">
            <w:pPr>
              <w:rPr>
                <w:i/>
                <w:sz w:val="20"/>
                <w:szCs w:val="20"/>
              </w:rPr>
            </w:pPr>
            <w:r w:rsidRPr="0007473E">
              <w:rPr>
                <w:i/>
                <w:sz w:val="20"/>
                <w:szCs w:val="20"/>
              </w:rPr>
              <w:t>(10 Úplné vlastní náklady + kladný rozdíl mezi výší minimálních prostředků obnovy VIM a součtu 4.1 odpisy + 4.2 opravy infrastrukturního majetku + 4.4 prostředky obnovy infrastruktury) / D. Voda fakturovaní celkem</w:t>
            </w:r>
          </w:p>
        </w:tc>
      </w:tr>
      <w:tr w:rsidR="000331FE" w:rsidRPr="00301CF4" w14:paraId="790BE23D" w14:textId="77777777" w:rsidTr="00E94496">
        <w:trPr>
          <w:trHeight w:val="558"/>
          <w:jc w:val="center"/>
        </w:trPr>
        <w:tc>
          <w:tcPr>
            <w:tcW w:w="1790" w:type="dxa"/>
            <w:shd w:val="clear" w:color="auto" w:fill="F4EFFF"/>
            <w:vAlign w:val="center"/>
          </w:tcPr>
          <w:p w14:paraId="63FCD81E" w14:textId="77777777" w:rsidR="000331FE" w:rsidRPr="00DA18D2" w:rsidRDefault="000331FE" w:rsidP="000331FE">
            <w:pPr>
              <w:spacing w:before="0" w:after="0"/>
              <w:contextualSpacing w:val="0"/>
              <w:jc w:val="left"/>
              <w:rPr>
                <w:rFonts w:eastAsia="Times New Roman" w:cs="Times New Roman"/>
                <w:iCs/>
                <w:smallCaps/>
                <w:sz w:val="20"/>
                <w:szCs w:val="20"/>
                <w:lang w:eastAsia="cs-CZ"/>
              </w:rPr>
            </w:pPr>
            <w:r w:rsidRPr="00DA18D2">
              <w:rPr>
                <w:rFonts w:eastAsia="Times New Roman" w:cs="Times New Roman"/>
                <w:iCs/>
                <w:smallCaps/>
                <w:sz w:val="20"/>
                <w:szCs w:val="20"/>
                <w:lang w:eastAsia="cs-CZ"/>
              </w:rPr>
              <w:t>Kombinovaný model provozování</w:t>
            </w:r>
          </w:p>
        </w:tc>
        <w:tc>
          <w:tcPr>
            <w:tcW w:w="2932" w:type="dxa"/>
            <w:shd w:val="clear" w:color="auto" w:fill="F4EFFF"/>
            <w:vAlign w:val="center"/>
            <w:hideMark/>
          </w:tcPr>
          <w:p w14:paraId="75FBD4C8" w14:textId="77777777" w:rsidR="000331FE" w:rsidRPr="00DA18D2" w:rsidRDefault="000331FE" w:rsidP="000331FE">
            <w:pPr>
              <w:spacing w:before="0" w:after="0"/>
              <w:contextualSpacing w:val="0"/>
              <w:jc w:val="left"/>
              <w:rPr>
                <w:rFonts w:eastAsia="Times New Roman" w:cs="Times New Roman"/>
                <w:i/>
                <w:iCs/>
                <w:sz w:val="20"/>
                <w:szCs w:val="16"/>
                <w:lang w:eastAsia="cs-CZ"/>
              </w:rPr>
            </w:pPr>
            <w:r w:rsidRPr="00DA18D2">
              <w:rPr>
                <w:rFonts w:eastAsia="Times New Roman" w:cs="Times New Roman"/>
                <w:i/>
                <w:iCs/>
                <w:sz w:val="20"/>
                <w:szCs w:val="16"/>
                <w:lang w:eastAsia="cs-CZ"/>
              </w:rPr>
              <w:t>Teoretická cena pro vodné a stočné při pokrytí prostředků obnovy a nulovém zisku - kombinovaný model</w:t>
            </w:r>
          </w:p>
        </w:tc>
        <w:tc>
          <w:tcPr>
            <w:tcW w:w="943" w:type="dxa"/>
            <w:shd w:val="clear" w:color="auto" w:fill="F4EFFF"/>
            <w:vAlign w:val="center"/>
            <w:hideMark/>
          </w:tcPr>
          <w:p w14:paraId="591EED59" w14:textId="77777777" w:rsidR="000331FE" w:rsidRPr="00DA18D2" w:rsidRDefault="000331FE" w:rsidP="000331FE">
            <w:pPr>
              <w:spacing w:before="0" w:after="0"/>
              <w:contextualSpacing w:val="0"/>
              <w:jc w:val="center"/>
              <w:rPr>
                <w:rFonts w:eastAsia="Times New Roman" w:cs="Times New Roman"/>
                <w:i/>
                <w:iCs/>
                <w:sz w:val="20"/>
                <w:szCs w:val="16"/>
                <w:lang w:eastAsia="cs-CZ"/>
              </w:rPr>
            </w:pPr>
            <w:r w:rsidRPr="00DA18D2">
              <w:rPr>
                <w:rFonts w:eastAsia="Times New Roman" w:cs="Times New Roman"/>
                <w:i/>
                <w:iCs/>
                <w:sz w:val="20"/>
                <w:szCs w:val="16"/>
                <w:lang w:eastAsia="cs-CZ"/>
              </w:rPr>
              <w:t>Kč/m</w:t>
            </w:r>
            <w:r w:rsidRPr="00DA18D2">
              <w:rPr>
                <w:rFonts w:eastAsia="Times New Roman" w:cs="Times New Roman"/>
                <w:i/>
                <w:iCs/>
                <w:sz w:val="20"/>
                <w:szCs w:val="16"/>
                <w:vertAlign w:val="superscript"/>
                <w:lang w:eastAsia="cs-CZ"/>
              </w:rPr>
              <w:t>3</w:t>
            </w:r>
          </w:p>
        </w:tc>
        <w:tc>
          <w:tcPr>
            <w:tcW w:w="4962" w:type="dxa"/>
            <w:shd w:val="clear" w:color="auto" w:fill="F4EFFF"/>
            <w:hideMark/>
          </w:tcPr>
          <w:p w14:paraId="1284505E" w14:textId="77777777" w:rsidR="000331FE" w:rsidRPr="0007473E" w:rsidRDefault="000331FE" w:rsidP="000331FE">
            <w:pPr>
              <w:rPr>
                <w:i/>
                <w:sz w:val="20"/>
                <w:szCs w:val="20"/>
              </w:rPr>
            </w:pPr>
            <w:r w:rsidRPr="0007473E">
              <w:rPr>
                <w:i/>
                <w:sz w:val="20"/>
                <w:szCs w:val="20"/>
              </w:rPr>
              <w:t>(10 Úplné vlastní náklady + kladný rozdíl mezi výší minimálních prostředků obnovy VIM a součtu 4.1 odpisy + 4.2 opravy infrastrukturního majetku + 4.3 nájem infrastrukturního majetku + 4.4 prostředky obnovy infrastruktury) / D. Voda fakturovaní celkem</w:t>
            </w:r>
          </w:p>
        </w:tc>
      </w:tr>
    </w:tbl>
    <w:p w14:paraId="57F331EC" w14:textId="77777777" w:rsidR="004142CF" w:rsidRPr="009A71E0" w:rsidRDefault="009A71E0" w:rsidP="00DF5417">
      <w:pPr>
        <w:pStyle w:val="Nadpis2"/>
        <w:rPr>
          <w:rFonts w:asciiTheme="minorHAnsi" w:hAnsiTheme="minorHAnsi"/>
          <w:noProof/>
        </w:rPr>
      </w:pPr>
      <w:r w:rsidRPr="009A71E0">
        <w:rPr>
          <w:rFonts w:asciiTheme="minorHAnsi" w:hAnsiTheme="minorHAnsi"/>
          <w:noProof/>
        </w:rPr>
        <w:t xml:space="preserve"> </w:t>
      </w:r>
      <w:bookmarkStart w:id="21" w:name="_Toc3291983"/>
      <w:r>
        <w:rPr>
          <w:rFonts w:asciiTheme="minorHAnsi" w:hAnsiTheme="minorHAnsi"/>
          <w:noProof/>
        </w:rPr>
        <w:t>Benchmarking provozovatelských subjektů - p</w:t>
      </w:r>
      <w:r w:rsidR="00DF5417" w:rsidRPr="009A71E0">
        <w:rPr>
          <w:rFonts w:asciiTheme="minorHAnsi" w:hAnsiTheme="minorHAnsi"/>
          <w:noProof/>
        </w:rPr>
        <w:t>ostup</w:t>
      </w:r>
      <w:r w:rsidR="004142CF" w:rsidRPr="009A71E0">
        <w:rPr>
          <w:rFonts w:asciiTheme="minorHAnsi" w:hAnsiTheme="minorHAnsi"/>
          <w:noProof/>
        </w:rPr>
        <w:t xml:space="preserve"> </w:t>
      </w:r>
      <w:r w:rsidR="00B71525" w:rsidRPr="00C90045">
        <w:t>výběru Porovnání splňujících stanovená kritéria</w:t>
      </w:r>
      <w:bookmarkEnd w:id="21"/>
    </w:p>
    <w:p w14:paraId="27CF1D00" w14:textId="77777777" w:rsidR="0007473E" w:rsidRDefault="0007473E" w:rsidP="00B71525">
      <w:pPr>
        <w:pStyle w:val="NORMLN0"/>
        <w:ind w:firstLine="375"/>
      </w:pPr>
      <w:r>
        <w:t>V roce 2017 došlo benchmarkingu provozovatelských subjektů k přejmenování kapitoly Optimální Porovnání</w:t>
      </w:r>
      <w:r w:rsidR="00BE6C21">
        <w:t xml:space="preserve"> na</w:t>
      </w:r>
      <w:r>
        <w:t xml:space="preserve"> Porovnání splňující stanovená kritéria. Došlo k tomu na základě připomínek odborné veřejnosti k Benchmarkingu provozovatelských subjektů za rok 2016</w:t>
      </w:r>
      <w:r w:rsidR="00BE6C21">
        <w:t>. Název lépe vystihuje podstatu a možnosti hodnocení provozovatelských subjektů na základě zasílaných hlášení.</w:t>
      </w:r>
    </w:p>
    <w:p w14:paraId="4F9862EA" w14:textId="7C48302E" w:rsidR="00B71525" w:rsidRDefault="00BE6C21" w:rsidP="00B71525">
      <w:pPr>
        <w:pStyle w:val="NORMLN0"/>
        <w:ind w:firstLine="375"/>
      </w:pPr>
      <w:r>
        <w:t>V následujícím textu je uveden p</w:t>
      </w:r>
      <w:r w:rsidR="00B71525">
        <w:t>ostup výběru Porovnání splňu</w:t>
      </w:r>
      <w:r>
        <w:t>jících stanovená kritéria, která</w:t>
      </w:r>
      <w:r w:rsidR="00B71525">
        <w:t xml:space="preserve"> sledují naplnění hlavních záměrů regulace. Jeden z nejdůležitějších je dosažení samofinancovatelnosti provozování VIM tam, kde je to možné, za přiměřenou cenu a v odpovídající kvalitě poskytovaných s</w:t>
      </w:r>
      <w:r>
        <w:t>lužeb. Tuto skutečnost vyjadřují</w:t>
      </w:r>
      <w:r w:rsidR="00B71525">
        <w:t xml:space="preserve"> hodnota </w:t>
      </w:r>
      <w:r w:rsidR="00781BAD">
        <w:t>OKF</w:t>
      </w:r>
      <w:r w:rsidR="00B71525">
        <w:t xml:space="preserve">, výše ceny a ztráty vody, popř. podíl čištěných odpadních vod. </w:t>
      </w:r>
    </w:p>
    <w:p w14:paraId="241783A6" w14:textId="77777777" w:rsidR="00B71525" w:rsidRDefault="00B71525" w:rsidP="00B71525">
      <w:pPr>
        <w:pStyle w:val="NORMLN0"/>
      </w:pPr>
      <w:r w:rsidRPr="00C16A62">
        <w:rPr>
          <w:b/>
          <w:i/>
        </w:rPr>
        <w:t>Kritéria, která sledují naplnění hlavních cílů regulace:</w:t>
      </w:r>
    </w:p>
    <w:p w14:paraId="35224C93" w14:textId="77777777" w:rsidR="00B71525" w:rsidRPr="00D54F11" w:rsidRDefault="00B71525" w:rsidP="00B71525">
      <w:pPr>
        <w:pStyle w:val="NORMLN0"/>
        <w:ind w:left="567" w:firstLine="0"/>
        <w:rPr>
          <w:b/>
        </w:rPr>
      </w:pPr>
      <w:r w:rsidRPr="00D54F11">
        <w:rPr>
          <w:b/>
        </w:rPr>
        <w:t>1.</w:t>
      </w:r>
      <w:r w:rsidRPr="00D54F11">
        <w:rPr>
          <w:b/>
        </w:rPr>
        <w:tab/>
        <w:t xml:space="preserve">1 ≤ OKF &lt; 1,5 </w:t>
      </w:r>
    </w:p>
    <w:p w14:paraId="7FE07200" w14:textId="77777777" w:rsidR="00B71525" w:rsidRDefault="00B71525" w:rsidP="00B71525">
      <w:pPr>
        <w:pStyle w:val="NORMLN0"/>
        <w:ind w:left="567" w:firstLine="0"/>
      </w:pPr>
      <w:r w:rsidRPr="00C90045">
        <w:t>V případě, že podmínce OKF nevyhoví žádný se subjektů v dané skupině, bude se brát za vybrané Porovnání to, které se podmínce OKF nejvíce blíží.</w:t>
      </w:r>
    </w:p>
    <w:p w14:paraId="60825898" w14:textId="77777777" w:rsidR="00B71525" w:rsidRDefault="00B71525" w:rsidP="00B71525">
      <w:pPr>
        <w:pStyle w:val="NORMLN0"/>
        <w:ind w:left="567" w:firstLine="0"/>
        <w:rPr>
          <w:b/>
        </w:rPr>
      </w:pPr>
    </w:p>
    <w:p w14:paraId="038D9CF5" w14:textId="77777777" w:rsidR="00B71525" w:rsidRDefault="00B71525" w:rsidP="00B71525">
      <w:pPr>
        <w:pStyle w:val="NORMLN0"/>
        <w:ind w:left="567" w:firstLine="0"/>
      </w:pPr>
      <w:r w:rsidRPr="00D54F11">
        <w:rPr>
          <w:b/>
        </w:rPr>
        <w:t>2.</w:t>
      </w:r>
      <w:r>
        <w:tab/>
      </w:r>
      <w:r w:rsidRPr="00C90045">
        <w:rPr>
          <w:b/>
        </w:rPr>
        <w:t>Cena</w:t>
      </w:r>
    </w:p>
    <w:p w14:paraId="6ACB1F65" w14:textId="77777777" w:rsidR="00B71525" w:rsidRDefault="00B71525" w:rsidP="00B71525">
      <w:pPr>
        <w:pStyle w:val="NORMLN0"/>
        <w:ind w:left="567" w:firstLine="0"/>
      </w:pPr>
      <w:r w:rsidRPr="00C90045">
        <w:t>Pokud je variační koeficient ceny ve skupině &gt; 0,2, pak se musí cena vybraných Porovnání pohybovat v intervalu 40</w:t>
      </w:r>
      <w:r w:rsidR="0007473E">
        <w:t>%</w:t>
      </w:r>
      <w:r w:rsidRPr="00C90045">
        <w:t xml:space="preserve"> až 60</w:t>
      </w:r>
      <w:r w:rsidR="0007473E">
        <w:t>%</w:t>
      </w:r>
      <w:r w:rsidRPr="00C90045">
        <w:t xml:space="preserve"> percentilu Porovnání splňujících podmínku pro OKF. Pokud je variační koeficient ceny ve skupině ≤ 0,2, pak se musí cena vybraných Porovnání pohybovat v intervalu průměrná cena Porovnání splňujících podmínku OKF +/- 10 %.</w:t>
      </w:r>
    </w:p>
    <w:p w14:paraId="0D804EF8" w14:textId="77777777" w:rsidR="00AD62D6" w:rsidRDefault="00AD62D6" w:rsidP="00B71525">
      <w:pPr>
        <w:pStyle w:val="NORMLN0"/>
        <w:ind w:left="567" w:firstLine="0"/>
      </w:pPr>
    </w:p>
    <w:p w14:paraId="0E623B84" w14:textId="77777777" w:rsidR="00B71525" w:rsidRDefault="00B71525" w:rsidP="00B71525">
      <w:pPr>
        <w:pStyle w:val="NORMLN0"/>
        <w:ind w:left="567" w:firstLine="0"/>
      </w:pPr>
      <w:r w:rsidRPr="00D54F11">
        <w:rPr>
          <w:b/>
        </w:rPr>
        <w:t>3.</w:t>
      </w:r>
      <w:r>
        <w:rPr>
          <w:b/>
        </w:rPr>
        <w:t>1</w:t>
      </w:r>
      <w:r>
        <w:tab/>
      </w:r>
      <w:r w:rsidRPr="00C90045">
        <w:rPr>
          <w:b/>
        </w:rPr>
        <w:t>Vodovod - nefakturovaná voda (m</w:t>
      </w:r>
      <w:r w:rsidRPr="00C90045">
        <w:rPr>
          <w:b/>
          <w:vertAlign w:val="superscript"/>
        </w:rPr>
        <w:t>3</w:t>
      </w:r>
      <w:r w:rsidRPr="00C90045">
        <w:rPr>
          <w:b/>
        </w:rPr>
        <w:t>/km/den)</w:t>
      </w:r>
    </w:p>
    <w:p w14:paraId="6991EC00" w14:textId="77777777" w:rsidR="00B71525" w:rsidRDefault="00B71525" w:rsidP="00B71525">
      <w:pPr>
        <w:pStyle w:val="NORMLN0"/>
        <w:ind w:left="567" w:firstLine="0"/>
      </w:pPr>
      <w:r>
        <w:t>Nefakturovaná voda (m</w:t>
      </w:r>
      <w:r w:rsidRPr="00BC03D3">
        <w:rPr>
          <w:vertAlign w:val="superscript"/>
        </w:rPr>
        <w:t>3</w:t>
      </w:r>
      <w:r>
        <w:t xml:space="preserve">/km/den) ≤ průměr skupiny (průměr počítán bez Porovnání s nulovou nefakturovanou vodou v souvisejících VÚPE). </w:t>
      </w:r>
    </w:p>
    <w:p w14:paraId="1E17ACEB" w14:textId="77777777" w:rsidR="00B71525" w:rsidRPr="00C90045" w:rsidRDefault="00B71525" w:rsidP="00B71525">
      <w:pPr>
        <w:pStyle w:val="NORMLN0"/>
        <w:ind w:left="567" w:firstLine="0"/>
        <w:rPr>
          <w:b/>
        </w:rPr>
      </w:pPr>
      <w:r w:rsidRPr="00C90045">
        <w:rPr>
          <w:b/>
        </w:rPr>
        <w:lastRenderedPageBreak/>
        <w:t xml:space="preserve">3.2 </w:t>
      </w:r>
      <w:r w:rsidRPr="00C90045">
        <w:rPr>
          <w:b/>
        </w:rPr>
        <w:tab/>
        <w:t xml:space="preserve">Kanalizace - podíl čištěných odpadních vod </w:t>
      </w:r>
      <w:r w:rsidR="00873983">
        <w:rPr>
          <w:b/>
        </w:rPr>
        <w:t>(%)</w:t>
      </w:r>
    </w:p>
    <w:p w14:paraId="0D5182F3" w14:textId="77777777" w:rsidR="00B71525" w:rsidRDefault="00B71525" w:rsidP="00B71525">
      <w:pPr>
        <w:pStyle w:val="NORMLN0"/>
        <w:ind w:left="567" w:firstLine="0"/>
      </w:pPr>
      <w:r>
        <w:t>Podíl čištěných odpadních vod ≥ průměr skupiny.</w:t>
      </w:r>
    </w:p>
    <w:p w14:paraId="0B195403" w14:textId="77777777" w:rsidR="00B71525" w:rsidRDefault="00B71525" w:rsidP="00B71525">
      <w:pPr>
        <w:pStyle w:val="NORMLN0"/>
        <w:ind w:left="567" w:firstLine="0"/>
      </w:pPr>
    </w:p>
    <w:p w14:paraId="65B89F40" w14:textId="7425FE82" w:rsidR="00B71525" w:rsidRPr="0065752A" w:rsidRDefault="00B71525" w:rsidP="00B71525">
      <w:pPr>
        <w:spacing w:before="0" w:after="0"/>
        <w:ind w:left="567"/>
        <w:contextualSpacing w:val="0"/>
        <w:rPr>
          <w:b/>
        </w:rPr>
      </w:pPr>
      <w:r w:rsidRPr="0065752A">
        <w:rPr>
          <w:b/>
        </w:rPr>
        <w:t xml:space="preserve">4. </w:t>
      </w:r>
      <w:r w:rsidRPr="0065752A">
        <w:rPr>
          <w:b/>
        </w:rPr>
        <w:tab/>
        <w:t>Pouze kanalizace</w:t>
      </w:r>
      <w:r w:rsidR="00BC03D3">
        <w:rPr>
          <w:b/>
        </w:rPr>
        <w:t xml:space="preserve"> </w:t>
      </w:r>
      <w:r w:rsidRPr="0065752A">
        <w:rPr>
          <w:b/>
        </w:rPr>
        <w:t>- jednotkové ÚVN</w:t>
      </w:r>
      <w:r w:rsidR="00873983">
        <w:rPr>
          <w:b/>
        </w:rPr>
        <w:t xml:space="preserve"> (Kč/m</w:t>
      </w:r>
      <w:r w:rsidR="00873983" w:rsidRPr="00873983">
        <w:rPr>
          <w:b/>
          <w:vertAlign w:val="superscript"/>
        </w:rPr>
        <w:t>3</w:t>
      </w:r>
      <w:r w:rsidR="00873983">
        <w:rPr>
          <w:b/>
        </w:rPr>
        <w:t>)</w:t>
      </w:r>
    </w:p>
    <w:p w14:paraId="76C241DF" w14:textId="0963C0AE" w:rsidR="00B71525" w:rsidRDefault="00B71525" w:rsidP="00B71525">
      <w:pPr>
        <w:pStyle w:val="NORMLN0"/>
        <w:ind w:left="567" w:firstLine="0"/>
      </w:pPr>
      <w:r w:rsidRPr="00C16A62">
        <w:t xml:space="preserve">Jednotkové ÚVN ≥ 3,70 Kč (tj. než 10 % percentil údajů za předchozí rok). </w:t>
      </w:r>
      <w:r>
        <w:br/>
      </w:r>
      <w:r w:rsidRPr="00C16A62">
        <w:t>Pozn.: Údaje za pitnou vodu nevykazují vysokou odchylku mediánu od 10%</w:t>
      </w:r>
      <w:r w:rsidR="00BC03D3">
        <w:t xml:space="preserve"> </w:t>
      </w:r>
      <w:r w:rsidRPr="00C16A62">
        <w:t>percentilu.</w:t>
      </w:r>
    </w:p>
    <w:p w14:paraId="1566103C" w14:textId="77777777" w:rsidR="00B71525" w:rsidRDefault="00B71525" w:rsidP="00B71525">
      <w:pPr>
        <w:pStyle w:val="NORMLN0"/>
      </w:pPr>
      <w:r>
        <w:t xml:space="preserve"> </w:t>
      </w:r>
    </w:p>
    <w:p w14:paraId="078989F8" w14:textId="77777777" w:rsidR="00B71525" w:rsidRPr="00BE6C21" w:rsidRDefault="00B71525" w:rsidP="00BE6C21">
      <w:pPr>
        <w:pStyle w:val="NORMLN0"/>
      </w:pPr>
      <w:r w:rsidRPr="00BE6C21">
        <w:t>Pro zobrazení hodnot dosažených u Porovnání, která naplňují cíle regulace, bude využit graf, tzv. glyf. V tomto grafu budou zobrazeny hodnoty uvedených kritérií a dalších sledovaných ukazatelů (dále jen ukazatelů), kterými jsou:</w:t>
      </w:r>
    </w:p>
    <w:p w14:paraId="427E9D1A" w14:textId="77777777" w:rsidR="00B71525" w:rsidRPr="00BE6C21" w:rsidRDefault="00B71525" w:rsidP="00BE6C21">
      <w:pPr>
        <w:pStyle w:val="NORMLN0"/>
      </w:pPr>
    </w:p>
    <w:p w14:paraId="0E5DB628" w14:textId="77777777" w:rsidR="00B71525" w:rsidRPr="0065752A" w:rsidRDefault="00B71525" w:rsidP="00B71525">
      <w:pPr>
        <w:pStyle w:val="NORMLN0"/>
        <w:rPr>
          <w:b/>
        </w:rPr>
      </w:pPr>
      <w:r w:rsidRPr="0065752A">
        <w:rPr>
          <w:b/>
        </w:rPr>
        <w:t>Vodovod</w:t>
      </w:r>
    </w:p>
    <w:p w14:paraId="3C21C97D" w14:textId="77777777" w:rsidR="00B71525" w:rsidRDefault="00B71525" w:rsidP="00B71525">
      <w:pPr>
        <w:pStyle w:val="NORMLN0"/>
        <w:spacing w:before="0" w:after="0"/>
        <w:ind w:left="851" w:hanging="284"/>
      </w:pPr>
      <w:r>
        <w:t>1.</w:t>
      </w:r>
      <w:r>
        <w:tab/>
        <w:t>Podíl generovaných prostředků na obnovu a rozvoj k hodnotě infrastrukturního majetku.</w:t>
      </w:r>
    </w:p>
    <w:p w14:paraId="773B99A6" w14:textId="77777777" w:rsidR="00B71525" w:rsidRDefault="00B71525" w:rsidP="00B71525">
      <w:pPr>
        <w:pStyle w:val="NORMLN0"/>
        <w:spacing w:before="0" w:after="0"/>
        <w:ind w:left="851" w:hanging="284"/>
      </w:pPr>
      <w:r>
        <w:t>2.</w:t>
      </w:r>
      <w:r>
        <w:tab/>
        <w:t>Počet zásobených obyvatel na 1 pracovníka společnosti.</w:t>
      </w:r>
    </w:p>
    <w:p w14:paraId="44825BF5" w14:textId="7C14F23B" w:rsidR="00B71525" w:rsidRDefault="00B71525" w:rsidP="00B71525">
      <w:pPr>
        <w:pStyle w:val="NORMLN0"/>
        <w:spacing w:before="0" w:after="0"/>
        <w:ind w:left="851" w:hanging="284"/>
      </w:pPr>
      <w:r>
        <w:t>3.</w:t>
      </w:r>
      <w:r>
        <w:tab/>
        <w:t>Jednotkové</w:t>
      </w:r>
      <w:r w:rsidR="00BC03D3">
        <w:t xml:space="preserve"> </w:t>
      </w:r>
      <w:r>
        <w:t>UVN.</w:t>
      </w:r>
    </w:p>
    <w:p w14:paraId="580E9A26" w14:textId="77777777" w:rsidR="00B71525" w:rsidRDefault="00B71525" w:rsidP="00B71525">
      <w:pPr>
        <w:pStyle w:val="NORMLN0"/>
      </w:pPr>
    </w:p>
    <w:p w14:paraId="433C7CF8" w14:textId="77777777" w:rsidR="00B71525" w:rsidRPr="0065752A" w:rsidRDefault="00B71525" w:rsidP="00B71525">
      <w:pPr>
        <w:pStyle w:val="NORMLN0"/>
        <w:rPr>
          <w:b/>
        </w:rPr>
      </w:pPr>
      <w:r w:rsidRPr="0065752A">
        <w:rPr>
          <w:b/>
        </w:rPr>
        <w:t>Kanál</w:t>
      </w:r>
    </w:p>
    <w:p w14:paraId="029315C8" w14:textId="77777777" w:rsidR="00B71525" w:rsidRDefault="00B71525" w:rsidP="00B71525">
      <w:pPr>
        <w:pStyle w:val="NORMLN0"/>
        <w:spacing w:before="0" w:after="0"/>
        <w:ind w:left="851" w:hanging="284"/>
      </w:pPr>
      <w:r>
        <w:t>1.</w:t>
      </w:r>
      <w:r>
        <w:tab/>
        <w:t>Podíl generovaných prostředků na obnovu a rozvoj k hodnotě infrastrukturního majetku.</w:t>
      </w:r>
    </w:p>
    <w:p w14:paraId="5FB74B68" w14:textId="77777777" w:rsidR="00B71525" w:rsidRDefault="00B71525" w:rsidP="00B71525">
      <w:pPr>
        <w:pStyle w:val="NORMLN0"/>
        <w:spacing w:before="0" w:after="0"/>
        <w:ind w:left="851" w:hanging="284"/>
      </w:pPr>
      <w:r>
        <w:t>2.</w:t>
      </w:r>
      <w:r>
        <w:tab/>
        <w:t>Vypouštěné odpadní vody včetně srážkových na 1 pracovníka společnosti.</w:t>
      </w:r>
    </w:p>
    <w:p w14:paraId="15D4C601" w14:textId="218DC1B9" w:rsidR="00B71525" w:rsidRDefault="00284ED7" w:rsidP="00B71525">
      <w:pPr>
        <w:pStyle w:val="NORMLN0"/>
        <w:spacing w:before="0" w:after="0"/>
        <w:ind w:left="851" w:hanging="284"/>
      </w:pPr>
      <w:r>
        <w:t>3.</w:t>
      </w:r>
      <w:r>
        <w:tab/>
        <w:t>Jednotkové Ú</w:t>
      </w:r>
      <w:r w:rsidR="00B71525">
        <w:t>VN</w:t>
      </w:r>
    </w:p>
    <w:p w14:paraId="1EBCCA17" w14:textId="77777777" w:rsidR="00B71525" w:rsidRDefault="00B71525" w:rsidP="00B71525">
      <w:pPr>
        <w:pStyle w:val="NORMLN0"/>
      </w:pPr>
    </w:p>
    <w:p w14:paraId="4BA190E6" w14:textId="7AE655D2" w:rsidR="00D70B87" w:rsidRDefault="00B71525" w:rsidP="00B71525">
      <w:pPr>
        <w:pStyle w:val="NORMLN0"/>
      </w:pPr>
      <w:r>
        <w:t>Hodnoty ukazatelů a kritérií budou dopočítány a zobrazeny jako průměrné hodnoty Porovnání, která splnila kritéria. Spolu s těmito hodnotami budou v grafu zobrazeny jejich mediány a 10% percentily spočtené za skupinu. Graf by měl poskytnout rámcovou informaci o naplňování základních cílů regulátora ve skupině a o vyrovnanosti provozovatelských subjektů sku</w:t>
      </w:r>
      <w:r w:rsidR="00BE6C21">
        <w:t>piny ve sledovaných ukazatelích vztažených k jednotlivým Porovnáním.</w:t>
      </w:r>
    </w:p>
    <w:p w14:paraId="10409868" w14:textId="05A9910A" w:rsidR="00BC03D3" w:rsidRDefault="00BC03D3" w:rsidP="00B71525">
      <w:pPr>
        <w:pStyle w:val="NORMLN0"/>
      </w:pPr>
      <w:r>
        <w:br w:type="page"/>
      </w:r>
    </w:p>
    <w:p w14:paraId="192380E3" w14:textId="77777777" w:rsidR="00D70B87" w:rsidRPr="00C62639" w:rsidRDefault="00D70B87" w:rsidP="00D70B87">
      <w:pPr>
        <w:pStyle w:val="Nadpis1"/>
        <w:rPr>
          <w:rFonts w:asciiTheme="minorHAnsi" w:eastAsia="Calibri" w:hAnsiTheme="minorHAnsi"/>
          <w:noProof/>
        </w:rPr>
      </w:pPr>
      <w:bookmarkStart w:id="22" w:name="_Toc3291984"/>
      <w:r w:rsidRPr="00C62639">
        <w:rPr>
          <w:rFonts w:asciiTheme="minorHAnsi" w:eastAsia="Calibri" w:hAnsiTheme="minorHAnsi"/>
          <w:noProof/>
        </w:rPr>
        <w:lastRenderedPageBreak/>
        <w:t xml:space="preserve">Proces vypracování </w:t>
      </w:r>
      <w:r w:rsidR="00EF7CEE" w:rsidRPr="00C62639">
        <w:rPr>
          <w:rFonts w:asciiTheme="minorHAnsi" w:eastAsia="Calibri" w:hAnsiTheme="minorHAnsi"/>
          <w:noProof/>
        </w:rPr>
        <w:t xml:space="preserve">zpráv z </w:t>
      </w:r>
      <w:r w:rsidRPr="00C62639">
        <w:rPr>
          <w:rFonts w:asciiTheme="minorHAnsi" w:eastAsia="Calibri" w:hAnsiTheme="minorHAnsi"/>
          <w:noProof/>
        </w:rPr>
        <w:t xml:space="preserve">benchmarkingových </w:t>
      </w:r>
      <w:r w:rsidR="00EF7CEE" w:rsidRPr="00C62639">
        <w:rPr>
          <w:rFonts w:asciiTheme="minorHAnsi" w:eastAsia="Calibri" w:hAnsiTheme="minorHAnsi"/>
          <w:noProof/>
        </w:rPr>
        <w:t xml:space="preserve">projektů </w:t>
      </w:r>
      <w:r w:rsidRPr="00C62639">
        <w:rPr>
          <w:rFonts w:asciiTheme="minorHAnsi" w:eastAsia="Calibri" w:hAnsiTheme="minorHAnsi"/>
          <w:noProof/>
        </w:rPr>
        <w:t>- řešení problematiky propojení dat</w:t>
      </w:r>
      <w:bookmarkEnd w:id="22"/>
    </w:p>
    <w:p w14:paraId="0214334D" w14:textId="77777777" w:rsidR="00782E52" w:rsidRPr="00E141EB" w:rsidRDefault="00782E52" w:rsidP="00BE6C21">
      <w:pPr>
        <w:pStyle w:val="NORMLN0"/>
      </w:pPr>
      <w:r w:rsidRPr="00E141EB">
        <w:t xml:space="preserve">V souladu s platnou Metodikou benchmarkingu byly realizovány dva samostatné projekty: </w:t>
      </w:r>
    </w:p>
    <w:p w14:paraId="5C00B23D" w14:textId="77777777" w:rsidR="00782E52" w:rsidRPr="00E141EB" w:rsidRDefault="00782E52" w:rsidP="00BE6C21">
      <w:pPr>
        <w:pStyle w:val="NORMLN0"/>
      </w:pPr>
      <w:r w:rsidRPr="00E141EB">
        <w:t>Benchmarking provozovatelských subjektů 201</w:t>
      </w:r>
      <w:r w:rsidR="00417D80">
        <w:t>7</w:t>
      </w:r>
    </w:p>
    <w:p w14:paraId="21C2C0E1" w14:textId="77777777" w:rsidR="00782E52" w:rsidRPr="00E141EB" w:rsidRDefault="00782E52" w:rsidP="00BE6C21">
      <w:pPr>
        <w:pStyle w:val="NORMLN0"/>
      </w:pPr>
      <w:r w:rsidRPr="00E141EB">
        <w:t>Benchma</w:t>
      </w:r>
      <w:r w:rsidR="00417D80">
        <w:t>rking vlastnických subjektů 2017</w:t>
      </w:r>
    </w:p>
    <w:p w14:paraId="476E45BD" w14:textId="77777777" w:rsidR="00782E52" w:rsidRPr="00E141EB" w:rsidRDefault="00782E52" w:rsidP="00BE6C21">
      <w:pPr>
        <w:pStyle w:val="NORMLN0"/>
      </w:pPr>
      <w:r w:rsidRPr="00E141EB">
        <w:t>Cílem bylo pokusit se identifikovat anomálie zejména u konkré</w:t>
      </w:r>
      <w:r w:rsidR="00BE6C21">
        <w:t>tních subjektů, resp. Porovnání,</w:t>
      </w:r>
      <w:r w:rsidRPr="00E141EB">
        <w:t xml:space="preserve"> a zmapovat stav sektoru vodovodů a kanalizací ve vztahu k plnění stanovených záměrů regulace.</w:t>
      </w:r>
    </w:p>
    <w:p w14:paraId="6C7640DE" w14:textId="77777777" w:rsidR="00782E52" w:rsidRPr="00E141EB" w:rsidRDefault="00782E52" w:rsidP="00BE6C21">
      <w:pPr>
        <w:pStyle w:val="NORMLN0"/>
      </w:pPr>
      <w:r w:rsidRPr="00E141EB">
        <w:t>Pro realizaci benchmarkingových projektů byla použita data roku 201</w:t>
      </w:r>
      <w:r w:rsidR="00417D80">
        <w:t>7</w:t>
      </w:r>
      <w:r w:rsidRPr="00E141EB">
        <w:t>. Princip pro</w:t>
      </w:r>
      <w:r w:rsidR="00E141EB" w:rsidRPr="00E141EB">
        <w:t>p</w:t>
      </w:r>
      <w:r w:rsidRPr="00E141EB">
        <w:t xml:space="preserve">ojení </w:t>
      </w:r>
      <w:r w:rsidR="00A43376" w:rsidRPr="00E141EB">
        <w:t>dat z databází</w:t>
      </w:r>
      <w:r w:rsidRPr="00E141EB">
        <w:t xml:space="preserve"> VSVaK (Porovnání)</w:t>
      </w:r>
      <w:r w:rsidR="00E141EB">
        <w:t>, VÚME a VÚPE byl</w:t>
      </w:r>
      <w:r w:rsidRPr="00E141EB">
        <w:t xml:space="preserve"> stejný</w:t>
      </w:r>
      <w:r w:rsidR="00E141EB">
        <w:t xml:space="preserve"> </w:t>
      </w:r>
      <w:r w:rsidRPr="00E141EB">
        <w:t>jako princip použitý pro benchmarking</w:t>
      </w:r>
      <w:r w:rsidR="00B26631" w:rsidRPr="00E141EB">
        <w:t xml:space="preserve"> </w:t>
      </w:r>
      <w:r w:rsidRPr="00E141EB">
        <w:t>za rok 201</w:t>
      </w:r>
      <w:r w:rsidR="00417D80">
        <w:t>6</w:t>
      </w:r>
      <w:r w:rsidRPr="00E141EB">
        <w:t>. Sběr dat byl</w:t>
      </w:r>
      <w:r w:rsidR="00B26631" w:rsidRPr="00E141EB">
        <w:t xml:space="preserve"> </w:t>
      </w:r>
      <w:r w:rsidRPr="00E141EB">
        <w:t>zabezpečen v rámci příslušných ustanovení § 5 a § 36 ZVK. Do projektů byla zařazena Porovnání, u kterých bylo možné jednoznačně identifikovat a propojit údaje z VÚME, VÚPE a Porovnání, tzn., že došlo k propojení ekonomických informací týkajících se nákladů, výnosů a ceny s informacemi o konkrétním majetku, ke kterému se náklady a výnosy vztahovaly a o jeho využití v daném roce.</w:t>
      </w:r>
    </w:p>
    <w:p w14:paraId="0FA3835B" w14:textId="77777777" w:rsidR="00782E52" w:rsidRDefault="00782E52" w:rsidP="00E141EB">
      <w:pPr>
        <w:pStyle w:val="Normlnzprva"/>
        <w:rPr>
          <w:rFonts w:cs="Calibri"/>
          <w:noProof/>
          <w:lang w:val="sk-SK"/>
        </w:rPr>
      </w:pPr>
    </w:p>
    <w:p w14:paraId="0EF2F388" w14:textId="77777777" w:rsidR="00C96E2F" w:rsidRPr="00C62639" w:rsidRDefault="00837030" w:rsidP="00782E52">
      <w:pPr>
        <w:pStyle w:val="NORMLN0"/>
        <w:ind w:firstLine="0"/>
        <w:rPr>
          <w:rFonts w:asciiTheme="minorHAnsi" w:hAnsiTheme="minorHAnsi" w:cs="Calibri"/>
          <w:noProof/>
        </w:rPr>
      </w:pPr>
      <w:r w:rsidRPr="00C62639">
        <w:rPr>
          <w:rFonts w:asciiTheme="minorHAnsi" w:hAnsiTheme="minorHAnsi" w:cs="Calibri"/>
          <w:noProof/>
          <w:lang w:eastAsia="cs-CZ"/>
        </w:rPr>
        <w:drawing>
          <wp:inline distT="0" distB="0" distL="0" distR="0" wp14:anchorId="5967FC09" wp14:editId="053CBFA3">
            <wp:extent cx="5605780" cy="2966085"/>
            <wp:effectExtent l="0" t="0" r="0" b="0"/>
            <wp:docPr id="78"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5780" cy="2966085"/>
                    </a:xfrm>
                    <a:prstGeom prst="rect">
                      <a:avLst/>
                    </a:prstGeom>
                    <a:noFill/>
                    <a:ln>
                      <a:noFill/>
                    </a:ln>
                  </pic:spPr>
                </pic:pic>
              </a:graphicData>
            </a:graphic>
          </wp:inline>
        </w:drawing>
      </w:r>
    </w:p>
    <w:p w14:paraId="19756819" w14:textId="47A16AE8" w:rsidR="00EF7CEE" w:rsidRDefault="00782E52" w:rsidP="00BE6C21">
      <w:pPr>
        <w:pStyle w:val="NORMLN0"/>
        <w:rPr>
          <w:rFonts w:asciiTheme="minorHAnsi" w:hAnsiTheme="minorHAnsi"/>
          <w:noProof/>
        </w:rPr>
      </w:pPr>
      <w:r w:rsidRPr="00934258">
        <w:rPr>
          <w:noProof/>
        </w:rPr>
        <w:t>Ve snaze zvýšit vypovídací schopnost závěrů benchmarkingových projektů kontaktovalo MZe zpracovatele</w:t>
      </w:r>
      <w:r w:rsidR="00F31C99">
        <w:rPr>
          <w:noProof/>
        </w:rPr>
        <w:t xml:space="preserve"> 460 Porovnání</w:t>
      </w:r>
      <w:r w:rsidR="00997593">
        <w:rPr>
          <w:noProof/>
        </w:rPr>
        <w:t>, na</w:t>
      </w:r>
      <w:r w:rsidR="00F31C99">
        <w:rPr>
          <w:noProof/>
        </w:rPr>
        <w:t xml:space="preserve"> kterých </w:t>
      </w:r>
      <w:r w:rsidR="00997593">
        <w:rPr>
          <w:noProof/>
        </w:rPr>
        <w:t>byly chybně vyplněné</w:t>
      </w:r>
      <w:r w:rsidR="00F31C99">
        <w:rPr>
          <w:noProof/>
        </w:rPr>
        <w:t xml:space="preserve"> údaj</w:t>
      </w:r>
      <w:r w:rsidR="00997593">
        <w:rPr>
          <w:noProof/>
        </w:rPr>
        <w:t>e</w:t>
      </w:r>
      <w:r w:rsidRPr="00934258">
        <w:rPr>
          <w:noProof/>
        </w:rPr>
        <w:t xml:space="preserve">, </w:t>
      </w:r>
      <w:r w:rsidR="00AD62D6">
        <w:rPr>
          <w:noProof/>
        </w:rPr>
        <w:t xml:space="preserve">a </w:t>
      </w:r>
      <w:r>
        <w:rPr>
          <w:noProof/>
        </w:rPr>
        <w:t>požadovalo nápravu</w:t>
      </w:r>
      <w:r w:rsidR="00997593">
        <w:rPr>
          <w:noProof/>
        </w:rPr>
        <w:t>.</w:t>
      </w:r>
      <w:r>
        <w:rPr>
          <w:noProof/>
        </w:rPr>
        <w:t xml:space="preserve"> </w:t>
      </w:r>
      <w:r w:rsidR="00F31C99">
        <w:rPr>
          <w:noProof/>
        </w:rPr>
        <w:t xml:space="preserve">V další fázi přípravy dat </w:t>
      </w:r>
      <w:r>
        <w:rPr>
          <w:noProof/>
        </w:rPr>
        <w:t xml:space="preserve">se </w:t>
      </w:r>
      <w:r w:rsidR="00D30267">
        <w:rPr>
          <w:noProof/>
        </w:rPr>
        <w:t xml:space="preserve">MZe </w:t>
      </w:r>
      <w:r w:rsidR="00997593">
        <w:rPr>
          <w:noProof/>
        </w:rPr>
        <w:t xml:space="preserve">zaměřilo </w:t>
      </w:r>
      <w:r w:rsidR="00417D80">
        <w:rPr>
          <w:noProof/>
        </w:rPr>
        <w:t xml:space="preserve">na </w:t>
      </w:r>
      <w:r w:rsidRPr="00934258">
        <w:rPr>
          <w:noProof/>
        </w:rPr>
        <w:t>sto největších provozovatelů (stanoven</w:t>
      </w:r>
      <w:r>
        <w:rPr>
          <w:noProof/>
        </w:rPr>
        <w:t>o</w:t>
      </w:r>
      <w:r w:rsidRPr="00934258">
        <w:rPr>
          <w:noProof/>
        </w:rPr>
        <w:t xml:space="preserve"> podle objemu fakturované vody)</w:t>
      </w:r>
      <w:r w:rsidR="00997593">
        <w:rPr>
          <w:noProof/>
        </w:rPr>
        <w:t>, se kterými řešilo nedostatky bránící propojení dat. Tímto</w:t>
      </w:r>
      <w:r w:rsidR="00417D80">
        <w:rPr>
          <w:noProof/>
        </w:rPr>
        <w:t xml:space="preserve"> postupem došlo k mírnému</w:t>
      </w:r>
      <w:r w:rsidRPr="00934258">
        <w:rPr>
          <w:noProof/>
        </w:rPr>
        <w:t xml:space="preserve"> nárůstu podílu analyzovaného trhu </w:t>
      </w:r>
      <w:r>
        <w:rPr>
          <w:noProof/>
        </w:rPr>
        <w:t>a počtu analyzovaných Porovnání</w:t>
      </w:r>
      <w:r w:rsidR="00997593">
        <w:rPr>
          <w:noProof/>
        </w:rPr>
        <w:t xml:space="preserve"> oproti předchozímu roku</w:t>
      </w:r>
      <w:r w:rsidR="00917B9F" w:rsidRPr="00C62639">
        <w:rPr>
          <w:rFonts w:asciiTheme="minorHAnsi" w:hAnsiTheme="minorHAnsi"/>
          <w:noProof/>
        </w:rPr>
        <w:t>.</w:t>
      </w:r>
      <w:r w:rsidR="00B26631">
        <w:rPr>
          <w:rFonts w:asciiTheme="minorHAnsi" w:hAnsiTheme="minorHAnsi"/>
          <w:noProof/>
        </w:rPr>
        <w:t xml:space="preserve"> </w:t>
      </w:r>
    </w:p>
    <w:p w14:paraId="482749B1" w14:textId="77777777" w:rsidR="00430622" w:rsidRPr="00C62639" w:rsidRDefault="00430622" w:rsidP="00BE6C21">
      <w:pPr>
        <w:pStyle w:val="NORMLN0"/>
        <w:rPr>
          <w:rFonts w:asciiTheme="minorHAnsi" w:hAnsiTheme="minorHAnsi"/>
          <w:noProof/>
        </w:rPr>
      </w:pPr>
    </w:p>
    <w:p w14:paraId="2642F780" w14:textId="77777777" w:rsidR="00D70B87" w:rsidRPr="00C62639" w:rsidRDefault="00012F8C" w:rsidP="00D70B87">
      <w:pPr>
        <w:pStyle w:val="Nadpis2"/>
        <w:rPr>
          <w:rFonts w:asciiTheme="minorHAnsi" w:eastAsia="Calibri" w:hAnsiTheme="minorHAnsi"/>
          <w:noProof/>
        </w:rPr>
      </w:pPr>
      <w:r w:rsidRPr="00C62639">
        <w:rPr>
          <w:rFonts w:asciiTheme="minorHAnsi" w:eastAsia="Calibri" w:hAnsiTheme="minorHAnsi"/>
          <w:noProof/>
        </w:rPr>
        <w:lastRenderedPageBreak/>
        <w:t xml:space="preserve"> </w:t>
      </w:r>
      <w:bookmarkStart w:id="23" w:name="_Toc3291985"/>
      <w:r w:rsidR="00D70B87" w:rsidRPr="00C62639">
        <w:rPr>
          <w:rFonts w:asciiTheme="minorHAnsi" w:eastAsia="Calibri" w:hAnsiTheme="minorHAnsi"/>
          <w:noProof/>
        </w:rPr>
        <w:t>Přehled počtu očištěných dat</w:t>
      </w:r>
      <w:bookmarkEnd w:id="23"/>
    </w:p>
    <w:p w14:paraId="721DA810" w14:textId="0C315450" w:rsidR="00782E52" w:rsidRPr="00934258" w:rsidRDefault="00782E52" w:rsidP="00BE6C21">
      <w:pPr>
        <w:pStyle w:val="NORMLN0"/>
        <w:rPr>
          <w:noProof/>
        </w:rPr>
      </w:pPr>
      <w:r w:rsidRPr="00934258">
        <w:rPr>
          <w:noProof/>
        </w:rPr>
        <w:t>Do obou projektů</w:t>
      </w:r>
      <w:r w:rsidR="000F5D90">
        <w:rPr>
          <w:noProof/>
        </w:rPr>
        <w:t xml:space="preserve"> </w:t>
      </w:r>
      <w:r w:rsidRPr="00934258">
        <w:rPr>
          <w:noProof/>
        </w:rPr>
        <w:t>bylo</w:t>
      </w:r>
      <w:r w:rsidR="000F5D90">
        <w:rPr>
          <w:noProof/>
        </w:rPr>
        <w:t xml:space="preserve"> v </w:t>
      </w:r>
      <w:r w:rsidR="00713299">
        <w:rPr>
          <w:noProof/>
        </w:rPr>
        <w:t>ro</w:t>
      </w:r>
      <w:r w:rsidR="000F5D90">
        <w:rPr>
          <w:noProof/>
        </w:rPr>
        <w:t>ce 2017</w:t>
      </w:r>
      <w:r w:rsidR="00BC03D3">
        <w:rPr>
          <w:noProof/>
        </w:rPr>
        <w:t xml:space="preserve"> </w:t>
      </w:r>
      <w:r w:rsidRPr="00934258">
        <w:rPr>
          <w:noProof/>
        </w:rPr>
        <w:t xml:space="preserve"> </w:t>
      </w:r>
      <w:r w:rsidR="00713299" w:rsidRPr="00934258">
        <w:rPr>
          <w:noProof/>
        </w:rPr>
        <w:t xml:space="preserve">zařazeno </w:t>
      </w:r>
      <w:r w:rsidRPr="00934258">
        <w:rPr>
          <w:noProof/>
        </w:rPr>
        <w:t xml:space="preserve">pro pitnou vodu </w:t>
      </w:r>
      <w:r w:rsidR="00115BC3">
        <w:rPr>
          <w:noProof/>
        </w:rPr>
        <w:t>1 697</w:t>
      </w:r>
      <w:r w:rsidR="00BC03D3">
        <w:rPr>
          <w:noProof/>
        </w:rPr>
        <w:t xml:space="preserve"> </w:t>
      </w:r>
      <w:r w:rsidRPr="00934258">
        <w:rPr>
          <w:noProof/>
        </w:rPr>
        <w:t xml:space="preserve">Porovnání, tj. </w:t>
      </w:r>
      <w:r w:rsidR="00115BC3">
        <w:rPr>
          <w:noProof/>
        </w:rPr>
        <w:t>88,29</w:t>
      </w:r>
      <w:r w:rsidRPr="00934258">
        <w:rPr>
          <w:noProof/>
        </w:rPr>
        <w:t> % z celkového počtu 1</w:t>
      </w:r>
      <w:r w:rsidR="001C221B">
        <w:rPr>
          <w:noProof/>
        </w:rPr>
        <w:t xml:space="preserve"> </w:t>
      </w:r>
      <w:r w:rsidR="00F6250E">
        <w:rPr>
          <w:noProof/>
        </w:rPr>
        <w:t>922</w:t>
      </w:r>
      <w:r w:rsidRPr="00934258">
        <w:rPr>
          <w:noProof/>
        </w:rPr>
        <w:t xml:space="preserve"> </w:t>
      </w:r>
      <w:r w:rsidR="0083753D">
        <w:rPr>
          <w:noProof/>
        </w:rPr>
        <w:t>Porovnání</w:t>
      </w:r>
      <w:r w:rsidRPr="00934258">
        <w:rPr>
          <w:noProof/>
        </w:rPr>
        <w:t xml:space="preserve">, která byla na MZe doručena. V případě kanalizace bylo hodnoceno </w:t>
      </w:r>
      <w:r w:rsidR="00F6250E">
        <w:rPr>
          <w:noProof/>
        </w:rPr>
        <w:t>2 005</w:t>
      </w:r>
      <w:r w:rsidRPr="00934258">
        <w:rPr>
          <w:noProof/>
        </w:rPr>
        <w:t xml:space="preserve"> </w:t>
      </w:r>
      <w:r w:rsidR="0083753D">
        <w:rPr>
          <w:noProof/>
        </w:rPr>
        <w:t>Porovnání</w:t>
      </w:r>
      <w:r w:rsidRPr="00934258">
        <w:rPr>
          <w:noProof/>
        </w:rPr>
        <w:t xml:space="preserve">, tj. </w:t>
      </w:r>
      <w:r w:rsidR="00115BC3">
        <w:rPr>
          <w:noProof/>
        </w:rPr>
        <w:t>89,83</w:t>
      </w:r>
      <w:r w:rsidR="00BC03D3">
        <w:rPr>
          <w:noProof/>
        </w:rPr>
        <w:t xml:space="preserve"> </w:t>
      </w:r>
      <w:r w:rsidRPr="00934258">
        <w:rPr>
          <w:noProof/>
        </w:rPr>
        <w:t xml:space="preserve">% z celkového počtu </w:t>
      </w:r>
      <w:r w:rsidR="00115BC3">
        <w:rPr>
          <w:noProof/>
        </w:rPr>
        <w:t>2 232</w:t>
      </w:r>
      <w:r w:rsidR="00BC03D3">
        <w:rPr>
          <w:noProof/>
        </w:rPr>
        <w:t xml:space="preserve"> </w:t>
      </w:r>
      <w:r w:rsidRPr="00934258">
        <w:rPr>
          <w:noProof/>
        </w:rPr>
        <w:t xml:space="preserve">doručených Porovnání. </w:t>
      </w:r>
    </w:p>
    <w:p w14:paraId="76C56159" w14:textId="77777777" w:rsidR="00430622" w:rsidRDefault="00430622" w:rsidP="00BE6C21">
      <w:pPr>
        <w:pStyle w:val="NORMLN0"/>
        <w:rPr>
          <w:noProof/>
        </w:rPr>
      </w:pPr>
    </w:p>
    <w:p w14:paraId="0D349722" w14:textId="77777777" w:rsidR="00996006" w:rsidRPr="00C62639" w:rsidRDefault="00782E52" w:rsidP="00BE6C21">
      <w:pPr>
        <w:pStyle w:val="NORMLN0"/>
        <w:rPr>
          <w:rFonts w:asciiTheme="minorHAnsi" w:hAnsiTheme="minorHAnsi"/>
          <w:noProof/>
        </w:rPr>
      </w:pPr>
      <w:r w:rsidRPr="00934258">
        <w:rPr>
          <w:noProof/>
        </w:rPr>
        <w:t xml:space="preserve">Z hlediska </w:t>
      </w:r>
      <w:r w:rsidRPr="00934258">
        <w:rPr>
          <w:b/>
          <w:noProof/>
        </w:rPr>
        <w:t>podílu na trhu podle objemu fakturované vody</w:t>
      </w:r>
      <w:r w:rsidRPr="00934258">
        <w:rPr>
          <w:noProof/>
        </w:rPr>
        <w:t xml:space="preserve"> bylo analyzováno pro </w:t>
      </w:r>
      <w:r w:rsidRPr="00934258">
        <w:rPr>
          <w:b/>
          <w:noProof/>
        </w:rPr>
        <w:t xml:space="preserve">pitnou vodu </w:t>
      </w:r>
      <w:r w:rsidR="00115BC3">
        <w:rPr>
          <w:b/>
          <w:noProof/>
        </w:rPr>
        <w:t>97,50</w:t>
      </w:r>
      <w:r w:rsidRPr="00934258">
        <w:rPr>
          <w:b/>
          <w:noProof/>
        </w:rPr>
        <w:t xml:space="preserve"> % trhu </w:t>
      </w:r>
      <w:r w:rsidRPr="00934258">
        <w:rPr>
          <w:noProof/>
        </w:rPr>
        <w:t xml:space="preserve">a pro </w:t>
      </w:r>
      <w:r w:rsidRPr="00934258">
        <w:rPr>
          <w:b/>
          <w:noProof/>
        </w:rPr>
        <w:t xml:space="preserve">vodu odpadní </w:t>
      </w:r>
      <w:r w:rsidR="00115BC3">
        <w:rPr>
          <w:b/>
          <w:noProof/>
        </w:rPr>
        <w:t>97,79</w:t>
      </w:r>
      <w:r w:rsidRPr="00934258">
        <w:rPr>
          <w:b/>
          <w:noProof/>
        </w:rPr>
        <w:t> % trhu</w:t>
      </w:r>
      <w:r w:rsidRPr="00934258">
        <w:rPr>
          <w:noProof/>
        </w:rPr>
        <w:t xml:space="preserve"> (viz níže uvedená tabulka).</w:t>
      </w:r>
    </w:p>
    <w:p w14:paraId="3596BA4F" w14:textId="77777777" w:rsidR="00162138" w:rsidRPr="00C62639" w:rsidRDefault="00162138" w:rsidP="00162138">
      <w:pPr>
        <w:rPr>
          <w:rFonts w:asciiTheme="minorHAnsi" w:hAnsiTheme="minorHAnsi"/>
          <w:noProof/>
        </w:rPr>
      </w:pPr>
    </w:p>
    <w:tbl>
      <w:tblPr>
        <w:tblW w:w="10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47"/>
        <w:gridCol w:w="1523"/>
        <w:gridCol w:w="2041"/>
        <w:gridCol w:w="1928"/>
        <w:gridCol w:w="1531"/>
        <w:gridCol w:w="2041"/>
      </w:tblGrid>
      <w:tr w:rsidR="00115BC3" w:rsidRPr="00C62639" w14:paraId="5D53C02C" w14:textId="77777777" w:rsidTr="00762B0A">
        <w:trPr>
          <w:jc w:val="center"/>
        </w:trPr>
        <w:tc>
          <w:tcPr>
            <w:tcW w:w="1247" w:type="dxa"/>
            <w:shd w:val="clear" w:color="auto" w:fill="C6D9F1"/>
            <w:vAlign w:val="center"/>
          </w:tcPr>
          <w:p w14:paraId="7276430F" w14:textId="77777777" w:rsidR="00115BC3" w:rsidRPr="00C62639" w:rsidRDefault="00115BC3" w:rsidP="00115BC3">
            <w:pPr>
              <w:jc w:val="left"/>
              <w:rPr>
                <w:rFonts w:asciiTheme="minorHAnsi" w:hAnsiTheme="minorHAnsi"/>
                <w:b/>
                <w:noProof/>
                <w:sz w:val="20"/>
                <w:szCs w:val="20"/>
                <w:lang w:eastAsia="cs-CZ"/>
              </w:rPr>
            </w:pPr>
            <w:r w:rsidRPr="00162138">
              <w:rPr>
                <w:rFonts w:ascii="Calibri Light" w:hAnsi="Calibri Light"/>
                <w:b/>
                <w:sz w:val="20"/>
              </w:rPr>
              <w:t xml:space="preserve">PITNÁ VODA </w:t>
            </w:r>
          </w:p>
        </w:tc>
        <w:tc>
          <w:tcPr>
            <w:tcW w:w="1523" w:type="dxa"/>
            <w:shd w:val="clear" w:color="auto" w:fill="C6D9F1"/>
            <w:vAlign w:val="center"/>
          </w:tcPr>
          <w:p w14:paraId="3DF798E6" w14:textId="470C82E6" w:rsidR="00115BC3" w:rsidRPr="00C62639" w:rsidRDefault="00115BC3" w:rsidP="00115BC3">
            <w:pPr>
              <w:rPr>
                <w:rFonts w:asciiTheme="minorHAnsi" w:hAnsiTheme="minorHAnsi"/>
                <w:noProof/>
                <w:sz w:val="20"/>
                <w:szCs w:val="20"/>
                <w:lang w:eastAsia="cs-CZ"/>
              </w:rPr>
            </w:pPr>
            <w:r w:rsidRPr="00162138">
              <w:rPr>
                <w:rFonts w:ascii="Calibri Light" w:hAnsi="Calibri Light"/>
                <w:b/>
                <w:sz w:val="20"/>
              </w:rPr>
              <w:t>Celkově</w:t>
            </w:r>
            <w:r w:rsidRPr="00162138">
              <w:rPr>
                <w:rFonts w:ascii="Calibri Light" w:hAnsi="Calibri Light"/>
                <w:sz w:val="20"/>
              </w:rPr>
              <w:t xml:space="preserve"> </w:t>
            </w:r>
            <w:r>
              <w:rPr>
                <w:rFonts w:ascii="Calibri Light" w:hAnsi="Calibri Light"/>
                <w:b/>
                <w:sz w:val="20"/>
              </w:rPr>
              <w:t>1922</w:t>
            </w:r>
            <w:r w:rsidR="00BC03D3">
              <w:rPr>
                <w:rFonts w:ascii="Calibri Light" w:hAnsi="Calibri Light"/>
                <w:b/>
                <w:sz w:val="20"/>
              </w:rPr>
              <w:t xml:space="preserve"> </w:t>
            </w:r>
            <w:r w:rsidRPr="00162138">
              <w:rPr>
                <w:rFonts w:ascii="Calibri Light" w:hAnsi="Calibri Light"/>
                <w:sz w:val="20"/>
              </w:rPr>
              <w:t xml:space="preserve">odběratelských </w:t>
            </w:r>
            <w:r w:rsidR="00BE6C21">
              <w:rPr>
                <w:rFonts w:ascii="Calibri Light" w:hAnsi="Calibri Light"/>
                <w:sz w:val="20"/>
              </w:rPr>
              <w:t>P</w:t>
            </w:r>
            <w:r w:rsidRPr="00162138">
              <w:rPr>
                <w:rFonts w:ascii="Calibri Light" w:hAnsi="Calibri Light"/>
                <w:sz w:val="20"/>
              </w:rPr>
              <w:t>orovnání</w:t>
            </w:r>
          </w:p>
        </w:tc>
        <w:tc>
          <w:tcPr>
            <w:tcW w:w="2041" w:type="dxa"/>
            <w:shd w:val="clear" w:color="auto" w:fill="C6D9F1"/>
            <w:vAlign w:val="center"/>
          </w:tcPr>
          <w:p w14:paraId="5EB19289" w14:textId="057A43B8" w:rsidR="00115BC3" w:rsidRPr="00C62639" w:rsidRDefault="00115BC3" w:rsidP="00115BC3">
            <w:pPr>
              <w:jc w:val="left"/>
              <w:rPr>
                <w:rFonts w:asciiTheme="minorHAnsi" w:hAnsiTheme="minorHAnsi"/>
                <w:noProof/>
                <w:sz w:val="20"/>
                <w:szCs w:val="20"/>
                <w:lang w:eastAsia="cs-CZ"/>
              </w:rPr>
            </w:pPr>
            <w:r w:rsidRPr="00162138">
              <w:rPr>
                <w:rFonts w:ascii="Calibri Light" w:hAnsi="Calibri Light"/>
                <w:b/>
                <w:sz w:val="20"/>
              </w:rPr>
              <w:t>Zařazeno</w:t>
            </w:r>
            <w:r w:rsidRPr="00162138">
              <w:rPr>
                <w:rFonts w:ascii="Calibri Light" w:hAnsi="Calibri Light"/>
                <w:sz w:val="20"/>
              </w:rPr>
              <w:t xml:space="preserve"> do projektu </w:t>
            </w:r>
            <w:r>
              <w:rPr>
                <w:rFonts w:ascii="Calibri Light" w:hAnsi="Calibri Light"/>
                <w:b/>
                <w:sz w:val="20"/>
              </w:rPr>
              <w:t>1697</w:t>
            </w:r>
            <w:r w:rsidR="00BC03D3">
              <w:rPr>
                <w:rFonts w:ascii="Calibri Light" w:hAnsi="Calibri Light"/>
                <w:b/>
                <w:sz w:val="20"/>
              </w:rPr>
              <w:t xml:space="preserve"> </w:t>
            </w:r>
            <w:r w:rsidRPr="00162138">
              <w:rPr>
                <w:rFonts w:ascii="Calibri Light" w:hAnsi="Calibri Light"/>
                <w:sz w:val="20"/>
              </w:rPr>
              <w:t>odběratelských Porovnání</w:t>
            </w:r>
          </w:p>
        </w:tc>
        <w:tc>
          <w:tcPr>
            <w:tcW w:w="1928" w:type="dxa"/>
            <w:shd w:val="clear" w:color="auto" w:fill="FBD4B4"/>
            <w:vAlign w:val="center"/>
          </w:tcPr>
          <w:p w14:paraId="5D4F6996" w14:textId="77777777" w:rsidR="00115BC3" w:rsidRPr="00C62639" w:rsidRDefault="00115BC3" w:rsidP="00115BC3">
            <w:pPr>
              <w:jc w:val="left"/>
              <w:rPr>
                <w:rFonts w:asciiTheme="minorHAnsi" w:hAnsiTheme="minorHAnsi"/>
                <w:b/>
                <w:noProof/>
                <w:sz w:val="20"/>
                <w:szCs w:val="20"/>
                <w:lang w:eastAsia="cs-CZ"/>
              </w:rPr>
            </w:pPr>
            <w:r w:rsidRPr="00162138">
              <w:rPr>
                <w:rFonts w:ascii="Calibri Light" w:hAnsi="Calibri Light"/>
                <w:b/>
                <w:sz w:val="20"/>
              </w:rPr>
              <w:t>ODPADNÍ VODA</w:t>
            </w:r>
          </w:p>
        </w:tc>
        <w:tc>
          <w:tcPr>
            <w:tcW w:w="1531" w:type="dxa"/>
            <w:shd w:val="clear" w:color="auto" w:fill="FBD4B4"/>
            <w:vAlign w:val="center"/>
          </w:tcPr>
          <w:p w14:paraId="4A9274D6" w14:textId="0085C51D" w:rsidR="00115BC3" w:rsidRPr="00C62639" w:rsidRDefault="00115BC3" w:rsidP="00115BC3">
            <w:pPr>
              <w:jc w:val="left"/>
              <w:rPr>
                <w:rFonts w:asciiTheme="minorHAnsi" w:hAnsiTheme="minorHAnsi"/>
                <w:noProof/>
                <w:sz w:val="20"/>
                <w:szCs w:val="20"/>
                <w:lang w:eastAsia="cs-CZ"/>
              </w:rPr>
            </w:pPr>
            <w:r w:rsidRPr="00162138">
              <w:rPr>
                <w:rFonts w:ascii="Calibri Light" w:hAnsi="Calibri Light"/>
                <w:b/>
                <w:sz w:val="20"/>
              </w:rPr>
              <w:t xml:space="preserve">Celkově </w:t>
            </w:r>
            <w:r>
              <w:rPr>
                <w:rFonts w:ascii="Calibri Light" w:hAnsi="Calibri Light"/>
                <w:b/>
                <w:sz w:val="20"/>
              </w:rPr>
              <w:t>2232</w:t>
            </w:r>
            <w:r w:rsidR="00BC03D3">
              <w:rPr>
                <w:rFonts w:ascii="Calibri Light" w:hAnsi="Calibri Light"/>
                <w:b/>
                <w:sz w:val="20"/>
              </w:rPr>
              <w:t xml:space="preserve"> </w:t>
            </w:r>
            <w:r w:rsidRPr="00162138">
              <w:rPr>
                <w:rFonts w:ascii="Calibri Light" w:hAnsi="Calibri Light"/>
                <w:sz w:val="20"/>
              </w:rPr>
              <w:t>odběratelských Porovnání</w:t>
            </w:r>
          </w:p>
        </w:tc>
        <w:tc>
          <w:tcPr>
            <w:tcW w:w="2041" w:type="dxa"/>
            <w:shd w:val="clear" w:color="auto" w:fill="FBD4B4"/>
            <w:vAlign w:val="center"/>
          </w:tcPr>
          <w:p w14:paraId="6F990B4F" w14:textId="1BC4CD31" w:rsidR="00115BC3" w:rsidRPr="00C62639" w:rsidRDefault="00115BC3" w:rsidP="00115BC3">
            <w:pPr>
              <w:jc w:val="left"/>
              <w:rPr>
                <w:rFonts w:asciiTheme="minorHAnsi" w:hAnsiTheme="minorHAnsi"/>
                <w:noProof/>
                <w:sz w:val="20"/>
                <w:szCs w:val="20"/>
                <w:lang w:eastAsia="cs-CZ"/>
              </w:rPr>
            </w:pPr>
            <w:r w:rsidRPr="00162138">
              <w:rPr>
                <w:rFonts w:ascii="Calibri Light" w:hAnsi="Calibri Light"/>
                <w:b/>
                <w:sz w:val="20"/>
              </w:rPr>
              <w:t>Zařazeno</w:t>
            </w:r>
            <w:r w:rsidRPr="00162138">
              <w:rPr>
                <w:rFonts w:ascii="Calibri Light" w:hAnsi="Calibri Light"/>
                <w:sz w:val="20"/>
              </w:rPr>
              <w:t xml:space="preserve"> do projektu </w:t>
            </w:r>
            <w:r>
              <w:rPr>
                <w:rFonts w:ascii="Calibri Light" w:hAnsi="Calibri Light"/>
                <w:b/>
                <w:sz w:val="20"/>
              </w:rPr>
              <w:t>2005</w:t>
            </w:r>
            <w:r w:rsidR="00BC03D3">
              <w:rPr>
                <w:rFonts w:ascii="Calibri Light" w:hAnsi="Calibri Light"/>
                <w:b/>
                <w:sz w:val="20"/>
              </w:rPr>
              <w:t xml:space="preserve"> </w:t>
            </w:r>
            <w:r w:rsidRPr="00162138">
              <w:rPr>
                <w:rFonts w:ascii="Calibri Light" w:hAnsi="Calibri Light"/>
                <w:sz w:val="20"/>
              </w:rPr>
              <w:t>odběratelských Porovnání</w:t>
            </w:r>
          </w:p>
        </w:tc>
      </w:tr>
      <w:tr w:rsidR="00115BC3" w:rsidRPr="00C62639" w14:paraId="2332B298" w14:textId="77777777" w:rsidTr="00762B0A">
        <w:trPr>
          <w:jc w:val="center"/>
        </w:trPr>
        <w:tc>
          <w:tcPr>
            <w:tcW w:w="1247" w:type="dxa"/>
            <w:tcBorders>
              <w:bottom w:val="single" w:sz="4" w:space="0" w:color="auto"/>
            </w:tcBorders>
            <w:shd w:val="clear" w:color="auto" w:fill="C6D9F1"/>
            <w:vAlign w:val="center"/>
          </w:tcPr>
          <w:p w14:paraId="7100362B" w14:textId="77777777" w:rsidR="00115BC3" w:rsidRPr="00C62639" w:rsidRDefault="00115BC3" w:rsidP="00115BC3">
            <w:pPr>
              <w:jc w:val="left"/>
              <w:rPr>
                <w:rFonts w:asciiTheme="minorHAnsi" w:hAnsiTheme="minorHAnsi"/>
                <w:b/>
                <w:noProof/>
                <w:sz w:val="20"/>
                <w:szCs w:val="20"/>
                <w:lang w:eastAsia="cs-CZ"/>
              </w:rPr>
            </w:pPr>
            <w:r w:rsidRPr="00162138">
              <w:rPr>
                <w:rFonts w:ascii="Calibri Light" w:hAnsi="Calibri Light"/>
                <w:b/>
                <w:sz w:val="20"/>
              </w:rPr>
              <w:t>Voda pitná fakturovaná v mil. m</w:t>
            </w:r>
            <w:r w:rsidRPr="00162138">
              <w:rPr>
                <w:rFonts w:ascii="Calibri Light" w:hAnsi="Calibri Light"/>
                <w:b/>
                <w:sz w:val="20"/>
                <w:vertAlign w:val="superscript"/>
              </w:rPr>
              <w:t>3</w:t>
            </w:r>
          </w:p>
        </w:tc>
        <w:tc>
          <w:tcPr>
            <w:tcW w:w="1523" w:type="dxa"/>
            <w:tcBorders>
              <w:bottom w:val="single" w:sz="4" w:space="0" w:color="auto"/>
            </w:tcBorders>
            <w:shd w:val="clear" w:color="auto" w:fill="C6D9F1"/>
            <w:vAlign w:val="center"/>
          </w:tcPr>
          <w:p w14:paraId="302AF5D3" w14:textId="77777777" w:rsidR="00115BC3" w:rsidRPr="00C62639" w:rsidRDefault="00115BC3" w:rsidP="00115BC3">
            <w:pPr>
              <w:jc w:val="center"/>
              <w:rPr>
                <w:rFonts w:asciiTheme="minorHAnsi" w:hAnsiTheme="minorHAnsi"/>
                <w:noProof/>
                <w:sz w:val="20"/>
                <w:szCs w:val="20"/>
                <w:lang w:eastAsia="cs-CZ"/>
              </w:rPr>
            </w:pPr>
            <w:r>
              <w:rPr>
                <w:rFonts w:ascii="Calibri Light" w:hAnsi="Calibri Light"/>
                <w:sz w:val="20"/>
              </w:rPr>
              <w:t>473,197</w:t>
            </w:r>
          </w:p>
        </w:tc>
        <w:tc>
          <w:tcPr>
            <w:tcW w:w="2041" w:type="dxa"/>
            <w:tcBorders>
              <w:bottom w:val="single" w:sz="4" w:space="0" w:color="auto"/>
            </w:tcBorders>
            <w:shd w:val="clear" w:color="auto" w:fill="C6D9F1"/>
            <w:vAlign w:val="center"/>
          </w:tcPr>
          <w:p w14:paraId="7B257032" w14:textId="77777777" w:rsidR="00115BC3" w:rsidRPr="00C62639" w:rsidRDefault="00115BC3" w:rsidP="00115BC3">
            <w:pPr>
              <w:jc w:val="center"/>
              <w:rPr>
                <w:rFonts w:asciiTheme="minorHAnsi" w:hAnsiTheme="minorHAnsi"/>
                <w:noProof/>
                <w:sz w:val="20"/>
                <w:szCs w:val="20"/>
                <w:lang w:eastAsia="cs-CZ"/>
              </w:rPr>
            </w:pPr>
            <w:r>
              <w:rPr>
                <w:rFonts w:ascii="Calibri Light" w:hAnsi="Calibri Light"/>
                <w:sz w:val="20"/>
              </w:rPr>
              <w:t>461,355</w:t>
            </w:r>
          </w:p>
        </w:tc>
        <w:tc>
          <w:tcPr>
            <w:tcW w:w="1928" w:type="dxa"/>
            <w:shd w:val="clear" w:color="auto" w:fill="FBD4B4"/>
            <w:vAlign w:val="center"/>
          </w:tcPr>
          <w:p w14:paraId="664E387B" w14:textId="77777777" w:rsidR="00115BC3" w:rsidRPr="00C62639" w:rsidRDefault="00115BC3" w:rsidP="00115BC3">
            <w:pPr>
              <w:jc w:val="left"/>
              <w:rPr>
                <w:rFonts w:asciiTheme="minorHAnsi" w:hAnsiTheme="minorHAnsi"/>
                <w:b/>
                <w:noProof/>
                <w:sz w:val="20"/>
                <w:szCs w:val="20"/>
                <w:lang w:eastAsia="cs-CZ"/>
              </w:rPr>
            </w:pPr>
            <w:r w:rsidRPr="00162138">
              <w:rPr>
                <w:rFonts w:ascii="Calibri Light" w:hAnsi="Calibri Light"/>
                <w:b/>
                <w:sz w:val="20"/>
              </w:rPr>
              <w:t xml:space="preserve">Vypouštěné odpadní vody do stokové sítě </w:t>
            </w:r>
            <w:r>
              <w:rPr>
                <w:rFonts w:ascii="Calibri Light" w:hAnsi="Calibri Light"/>
                <w:b/>
                <w:sz w:val="20"/>
              </w:rPr>
              <w:t>–</w:t>
            </w:r>
            <w:r w:rsidRPr="00162138">
              <w:rPr>
                <w:rFonts w:ascii="Calibri Light" w:hAnsi="Calibri Light"/>
                <w:b/>
                <w:sz w:val="20"/>
              </w:rPr>
              <w:t xml:space="preserve"> </w:t>
            </w:r>
            <w:r>
              <w:rPr>
                <w:rFonts w:ascii="Calibri Light" w:hAnsi="Calibri Light"/>
                <w:b/>
                <w:sz w:val="20"/>
              </w:rPr>
              <w:t>včetně vod</w:t>
            </w:r>
            <w:r w:rsidRPr="00162138">
              <w:rPr>
                <w:rFonts w:ascii="Calibri Light" w:hAnsi="Calibri Light"/>
                <w:b/>
                <w:sz w:val="20"/>
              </w:rPr>
              <w:t xml:space="preserve"> srážkových v mil. m</w:t>
            </w:r>
            <w:r w:rsidRPr="00162138">
              <w:rPr>
                <w:rFonts w:ascii="Calibri Light" w:hAnsi="Calibri Light"/>
                <w:b/>
                <w:sz w:val="20"/>
                <w:vertAlign w:val="superscript"/>
              </w:rPr>
              <w:t>3</w:t>
            </w:r>
          </w:p>
        </w:tc>
        <w:tc>
          <w:tcPr>
            <w:tcW w:w="1531" w:type="dxa"/>
            <w:shd w:val="clear" w:color="auto" w:fill="FBD4B4"/>
            <w:vAlign w:val="center"/>
          </w:tcPr>
          <w:p w14:paraId="61D9AC82" w14:textId="77777777" w:rsidR="00115BC3" w:rsidRPr="00C62639" w:rsidRDefault="00115BC3" w:rsidP="00115BC3">
            <w:pPr>
              <w:jc w:val="center"/>
              <w:rPr>
                <w:rFonts w:asciiTheme="minorHAnsi" w:hAnsiTheme="minorHAnsi"/>
                <w:noProof/>
                <w:sz w:val="20"/>
                <w:szCs w:val="20"/>
                <w:lang w:eastAsia="cs-CZ"/>
              </w:rPr>
            </w:pPr>
            <w:r>
              <w:rPr>
                <w:rFonts w:ascii="Calibri Light" w:hAnsi="Calibri Light"/>
                <w:sz w:val="20"/>
              </w:rPr>
              <w:t>510,805</w:t>
            </w:r>
          </w:p>
        </w:tc>
        <w:tc>
          <w:tcPr>
            <w:tcW w:w="2041" w:type="dxa"/>
            <w:shd w:val="clear" w:color="auto" w:fill="FBD4B4"/>
            <w:vAlign w:val="center"/>
          </w:tcPr>
          <w:p w14:paraId="76BBF1A8" w14:textId="77777777" w:rsidR="00115BC3" w:rsidRPr="00C62639" w:rsidRDefault="00115BC3" w:rsidP="00115BC3">
            <w:pPr>
              <w:jc w:val="center"/>
              <w:rPr>
                <w:rFonts w:asciiTheme="minorHAnsi" w:hAnsiTheme="minorHAnsi"/>
                <w:noProof/>
                <w:sz w:val="20"/>
                <w:szCs w:val="20"/>
                <w:lang w:eastAsia="cs-CZ"/>
              </w:rPr>
            </w:pPr>
            <w:r>
              <w:rPr>
                <w:rFonts w:ascii="Calibri Light" w:hAnsi="Calibri Light"/>
                <w:sz w:val="20"/>
              </w:rPr>
              <w:t>499,502</w:t>
            </w:r>
          </w:p>
        </w:tc>
      </w:tr>
    </w:tbl>
    <w:p w14:paraId="6AFA2EBC" w14:textId="77777777" w:rsidR="00235587" w:rsidRPr="00C62639" w:rsidRDefault="00235587" w:rsidP="00551596">
      <w:pPr>
        <w:pStyle w:val="NORMLN0"/>
        <w:rPr>
          <w:rFonts w:asciiTheme="minorHAnsi" w:hAnsiTheme="minorHAnsi"/>
          <w:noProof/>
        </w:rPr>
      </w:pPr>
    </w:p>
    <w:p w14:paraId="1ADFC102" w14:textId="4A29B8F3" w:rsidR="00551596" w:rsidRPr="00C62639" w:rsidRDefault="00782E52" w:rsidP="00BB1F55">
      <w:pPr>
        <w:pStyle w:val="NORMLN0"/>
        <w:rPr>
          <w:rFonts w:asciiTheme="minorHAnsi" w:hAnsiTheme="minorHAnsi"/>
          <w:noProof/>
        </w:rPr>
      </w:pPr>
      <w:r w:rsidRPr="00934258">
        <w:rPr>
          <w:noProof/>
        </w:rPr>
        <w:t>Jak vyplývá z</w:t>
      </w:r>
      <w:r w:rsidR="00BB1F55">
        <w:rPr>
          <w:noProof/>
        </w:rPr>
        <w:t xml:space="preserve"> údajů</w:t>
      </w:r>
      <w:r w:rsidRPr="00934258">
        <w:rPr>
          <w:noProof/>
        </w:rPr>
        <w:t xml:space="preserve"> </w:t>
      </w:r>
      <w:r w:rsidR="00BB1F55">
        <w:rPr>
          <w:noProof/>
        </w:rPr>
        <w:t>uvedených</w:t>
      </w:r>
      <w:r w:rsidRPr="00934258">
        <w:rPr>
          <w:noProof/>
        </w:rPr>
        <w:t xml:space="preserve"> v následujících tabulkách</w:t>
      </w:r>
      <w:r w:rsidR="00384A62">
        <w:rPr>
          <w:noProof/>
        </w:rPr>
        <w:t>, počet</w:t>
      </w:r>
      <w:r w:rsidR="00384A62" w:rsidRPr="00934258">
        <w:rPr>
          <w:noProof/>
        </w:rPr>
        <w:t xml:space="preserve"> Por</w:t>
      </w:r>
      <w:r w:rsidR="00384A62">
        <w:rPr>
          <w:noProof/>
        </w:rPr>
        <w:t>ovnání</w:t>
      </w:r>
      <w:r w:rsidR="00384A62" w:rsidRPr="00934258">
        <w:rPr>
          <w:noProof/>
        </w:rPr>
        <w:t xml:space="preserve"> zařazených </w:t>
      </w:r>
      <w:r w:rsidR="00384A62">
        <w:rPr>
          <w:noProof/>
        </w:rPr>
        <w:t>do benchmarkingu se zvyšuje.</w:t>
      </w:r>
    </w:p>
    <w:p w14:paraId="14FC33FC" w14:textId="77777777" w:rsidR="00235587" w:rsidRPr="00C62639" w:rsidRDefault="00235587" w:rsidP="00BB1F55">
      <w:pPr>
        <w:pStyle w:val="NORMLN0"/>
        <w:rPr>
          <w:rFonts w:asciiTheme="minorHAnsi" w:hAnsiTheme="minorHAnsi"/>
          <w:noProof/>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20" w:firstRow="1" w:lastRow="0" w:firstColumn="0" w:lastColumn="0" w:noHBand="0" w:noVBand="1"/>
      </w:tblPr>
      <w:tblGrid>
        <w:gridCol w:w="1543"/>
        <w:gridCol w:w="1834"/>
        <w:gridCol w:w="2435"/>
        <w:gridCol w:w="1624"/>
        <w:gridCol w:w="1624"/>
      </w:tblGrid>
      <w:tr w:rsidR="00D77ACF" w:rsidRPr="00C62639" w14:paraId="54D45147" w14:textId="77777777" w:rsidTr="00762B0A">
        <w:trPr>
          <w:trHeight w:val="20"/>
        </w:trPr>
        <w:tc>
          <w:tcPr>
            <w:tcW w:w="852" w:type="pct"/>
            <w:tcBorders>
              <w:top w:val="single" w:sz="4" w:space="0" w:color="FFFFFF"/>
              <w:left w:val="single" w:sz="4" w:space="0" w:color="FFFFFF"/>
              <w:right w:val="nil"/>
            </w:tcBorders>
            <w:shd w:val="clear" w:color="auto" w:fill="4F81BD"/>
            <w:vAlign w:val="center"/>
            <w:hideMark/>
          </w:tcPr>
          <w:p w14:paraId="2A62FE40" w14:textId="77777777" w:rsidR="00D77ACF" w:rsidRPr="00C62639" w:rsidRDefault="00F416DF" w:rsidP="00762B0A">
            <w:pPr>
              <w:jc w:val="center"/>
              <w:rPr>
                <w:rFonts w:asciiTheme="minorHAnsi" w:hAnsiTheme="minorHAnsi"/>
                <w:b/>
                <w:bCs/>
                <w:noProof/>
                <w:color w:val="FFFFFF"/>
                <w:sz w:val="20"/>
              </w:rPr>
            </w:pPr>
            <w:bookmarkStart w:id="24" w:name="OLE_LINK1"/>
            <w:r w:rsidRPr="00C62639">
              <w:rPr>
                <w:rFonts w:asciiTheme="minorHAnsi" w:hAnsiTheme="minorHAnsi"/>
                <w:b/>
                <w:bCs/>
                <w:noProof/>
                <w:color w:val="FFFFFF"/>
                <w:sz w:val="20"/>
              </w:rPr>
              <w:t>PITNÁ VODA</w:t>
            </w:r>
          </w:p>
        </w:tc>
        <w:tc>
          <w:tcPr>
            <w:tcW w:w="1012" w:type="pct"/>
            <w:tcBorders>
              <w:top w:val="single" w:sz="4" w:space="0" w:color="FFFFFF"/>
              <w:left w:val="nil"/>
              <w:right w:val="nil"/>
            </w:tcBorders>
            <w:shd w:val="clear" w:color="auto" w:fill="4F81BD"/>
            <w:hideMark/>
          </w:tcPr>
          <w:p w14:paraId="32C09D77"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Porovnání zaslaná na MZe (ks)</w:t>
            </w:r>
          </w:p>
        </w:tc>
        <w:tc>
          <w:tcPr>
            <w:tcW w:w="1344" w:type="pct"/>
            <w:tcBorders>
              <w:top w:val="single" w:sz="4" w:space="0" w:color="FFFFFF"/>
              <w:left w:val="nil"/>
              <w:right w:val="nil"/>
            </w:tcBorders>
            <w:shd w:val="clear" w:color="auto" w:fill="4F81BD"/>
            <w:hideMark/>
          </w:tcPr>
          <w:p w14:paraId="2265AB42"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Porovnání zařazená do benchmarkingu (ks)</w:t>
            </w:r>
          </w:p>
        </w:tc>
        <w:tc>
          <w:tcPr>
            <w:tcW w:w="896" w:type="pct"/>
            <w:tcBorders>
              <w:top w:val="single" w:sz="4" w:space="0" w:color="FFFFFF"/>
              <w:left w:val="nil"/>
              <w:right w:val="nil"/>
            </w:tcBorders>
            <w:shd w:val="clear" w:color="auto" w:fill="4F81BD"/>
            <w:hideMark/>
          </w:tcPr>
          <w:p w14:paraId="3167D254"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 xml:space="preserve">Nepoužitá </w:t>
            </w:r>
            <w:r w:rsidR="00F416DF" w:rsidRPr="00C62639">
              <w:rPr>
                <w:rFonts w:asciiTheme="minorHAnsi" w:hAnsiTheme="minorHAnsi"/>
                <w:b/>
                <w:bCs/>
                <w:noProof/>
                <w:color w:val="FFFFFF"/>
                <w:sz w:val="20"/>
              </w:rPr>
              <w:t>Porovnání (ks</w:t>
            </w:r>
            <w:r w:rsidRPr="00C62639">
              <w:rPr>
                <w:rFonts w:asciiTheme="minorHAnsi" w:hAnsiTheme="minorHAnsi"/>
                <w:b/>
                <w:bCs/>
                <w:noProof/>
                <w:color w:val="FFFFFF"/>
                <w:sz w:val="20"/>
              </w:rPr>
              <w:t>)</w:t>
            </w:r>
          </w:p>
        </w:tc>
        <w:tc>
          <w:tcPr>
            <w:tcW w:w="896" w:type="pct"/>
            <w:tcBorders>
              <w:top w:val="single" w:sz="4" w:space="0" w:color="FFFFFF"/>
              <w:left w:val="nil"/>
              <w:right w:val="single" w:sz="4" w:space="0" w:color="FFFFFF"/>
            </w:tcBorders>
            <w:shd w:val="clear" w:color="auto" w:fill="4F81BD"/>
            <w:vAlign w:val="center"/>
          </w:tcPr>
          <w:p w14:paraId="76FCA1B3"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 xml:space="preserve">Podíl na trhu </w:t>
            </w:r>
          </w:p>
        </w:tc>
      </w:tr>
      <w:tr w:rsidR="00115BC3" w:rsidRPr="00C62639" w14:paraId="2BEE9314" w14:textId="77777777" w:rsidTr="00762B0A">
        <w:trPr>
          <w:trHeight w:val="20"/>
        </w:trPr>
        <w:tc>
          <w:tcPr>
            <w:tcW w:w="852" w:type="pct"/>
            <w:shd w:val="clear" w:color="auto" w:fill="B8CCE4"/>
            <w:hideMark/>
          </w:tcPr>
          <w:p w14:paraId="703EF75E" w14:textId="77777777" w:rsidR="00115BC3" w:rsidRPr="00C62639" w:rsidRDefault="00115BC3" w:rsidP="00115BC3">
            <w:pPr>
              <w:jc w:val="center"/>
              <w:rPr>
                <w:rFonts w:asciiTheme="minorHAnsi" w:hAnsiTheme="minorHAnsi"/>
                <w:noProof/>
                <w:sz w:val="20"/>
              </w:rPr>
            </w:pPr>
            <w:r>
              <w:rPr>
                <w:rFonts w:ascii="Calibri Light" w:hAnsi="Calibri Light"/>
                <w:b/>
                <w:bCs/>
                <w:sz w:val="20"/>
              </w:rPr>
              <w:t>2017</w:t>
            </w:r>
          </w:p>
        </w:tc>
        <w:tc>
          <w:tcPr>
            <w:tcW w:w="1012" w:type="pct"/>
            <w:shd w:val="clear" w:color="auto" w:fill="B8CCE4"/>
            <w:hideMark/>
          </w:tcPr>
          <w:p w14:paraId="3AA4C48A" w14:textId="77777777" w:rsidR="00115BC3" w:rsidRPr="00C62639" w:rsidRDefault="00115BC3" w:rsidP="00115BC3">
            <w:pPr>
              <w:jc w:val="center"/>
              <w:rPr>
                <w:rFonts w:asciiTheme="minorHAnsi" w:hAnsiTheme="minorHAnsi"/>
                <w:noProof/>
                <w:sz w:val="20"/>
              </w:rPr>
            </w:pPr>
            <w:r>
              <w:rPr>
                <w:rFonts w:ascii="Calibri Light" w:hAnsi="Calibri Light"/>
                <w:sz w:val="20"/>
              </w:rPr>
              <w:t>1922</w:t>
            </w:r>
          </w:p>
        </w:tc>
        <w:tc>
          <w:tcPr>
            <w:tcW w:w="1344" w:type="pct"/>
            <w:shd w:val="clear" w:color="auto" w:fill="B8CCE4"/>
            <w:hideMark/>
          </w:tcPr>
          <w:p w14:paraId="5E14B17B" w14:textId="77777777" w:rsidR="00115BC3" w:rsidRPr="00C62639" w:rsidRDefault="00115BC3" w:rsidP="00115BC3">
            <w:pPr>
              <w:jc w:val="center"/>
              <w:rPr>
                <w:rFonts w:asciiTheme="minorHAnsi" w:hAnsiTheme="minorHAnsi"/>
                <w:b/>
                <w:noProof/>
                <w:sz w:val="20"/>
              </w:rPr>
            </w:pPr>
            <w:r>
              <w:rPr>
                <w:rFonts w:ascii="Calibri Light" w:hAnsi="Calibri Light"/>
                <w:b/>
                <w:sz w:val="20"/>
              </w:rPr>
              <w:t>1697</w:t>
            </w:r>
          </w:p>
        </w:tc>
        <w:tc>
          <w:tcPr>
            <w:tcW w:w="896" w:type="pct"/>
            <w:shd w:val="clear" w:color="auto" w:fill="B8CCE4"/>
            <w:hideMark/>
          </w:tcPr>
          <w:p w14:paraId="5AE9A33C" w14:textId="77777777" w:rsidR="00115BC3" w:rsidRPr="00C62639" w:rsidRDefault="00115BC3" w:rsidP="00115BC3">
            <w:pPr>
              <w:jc w:val="center"/>
              <w:rPr>
                <w:rFonts w:asciiTheme="minorHAnsi" w:hAnsiTheme="minorHAnsi"/>
                <w:noProof/>
                <w:sz w:val="20"/>
              </w:rPr>
            </w:pPr>
            <w:r>
              <w:rPr>
                <w:rFonts w:ascii="Calibri Light" w:hAnsi="Calibri Light"/>
                <w:sz w:val="20"/>
              </w:rPr>
              <w:t>225</w:t>
            </w:r>
          </w:p>
        </w:tc>
        <w:tc>
          <w:tcPr>
            <w:tcW w:w="896" w:type="pct"/>
            <w:shd w:val="clear" w:color="auto" w:fill="B8CCE4"/>
          </w:tcPr>
          <w:p w14:paraId="50280FAF" w14:textId="77777777" w:rsidR="00115BC3" w:rsidRPr="00C62639" w:rsidRDefault="00115BC3" w:rsidP="00115BC3">
            <w:pPr>
              <w:jc w:val="center"/>
              <w:rPr>
                <w:rFonts w:asciiTheme="minorHAnsi" w:hAnsiTheme="minorHAnsi"/>
                <w:b/>
                <w:noProof/>
                <w:sz w:val="20"/>
              </w:rPr>
            </w:pPr>
            <w:r>
              <w:rPr>
                <w:rFonts w:ascii="Calibri Light" w:hAnsi="Calibri Light"/>
                <w:b/>
                <w:sz w:val="20"/>
              </w:rPr>
              <w:t>97,5</w:t>
            </w:r>
            <w:r w:rsidR="001C221B">
              <w:rPr>
                <w:rFonts w:ascii="Calibri Light" w:hAnsi="Calibri Light"/>
                <w:b/>
                <w:sz w:val="20"/>
              </w:rPr>
              <w:t>0</w:t>
            </w:r>
            <w:r>
              <w:rPr>
                <w:rFonts w:ascii="Calibri Light" w:hAnsi="Calibri Light"/>
                <w:b/>
                <w:sz w:val="20"/>
              </w:rPr>
              <w:t xml:space="preserve"> %</w:t>
            </w:r>
          </w:p>
        </w:tc>
      </w:tr>
      <w:tr w:rsidR="00115BC3" w:rsidRPr="00C62639" w14:paraId="57B782D9" w14:textId="77777777" w:rsidTr="00762B0A">
        <w:trPr>
          <w:trHeight w:val="20"/>
        </w:trPr>
        <w:tc>
          <w:tcPr>
            <w:tcW w:w="852" w:type="pct"/>
            <w:shd w:val="clear" w:color="auto" w:fill="DBE5F1"/>
            <w:hideMark/>
          </w:tcPr>
          <w:p w14:paraId="7A8D2C52" w14:textId="77777777" w:rsidR="00115BC3" w:rsidRPr="00C62639" w:rsidRDefault="00115BC3" w:rsidP="00115BC3">
            <w:pPr>
              <w:jc w:val="center"/>
              <w:rPr>
                <w:rFonts w:asciiTheme="minorHAnsi" w:hAnsiTheme="minorHAnsi"/>
                <w:noProof/>
                <w:sz w:val="20"/>
              </w:rPr>
            </w:pPr>
            <w:r w:rsidRPr="00F416DF">
              <w:rPr>
                <w:rFonts w:ascii="Calibri Light" w:hAnsi="Calibri Light"/>
                <w:b/>
                <w:bCs/>
                <w:sz w:val="20"/>
              </w:rPr>
              <w:t>2016</w:t>
            </w:r>
          </w:p>
        </w:tc>
        <w:tc>
          <w:tcPr>
            <w:tcW w:w="1012" w:type="pct"/>
            <w:shd w:val="clear" w:color="auto" w:fill="DBE5F1"/>
            <w:hideMark/>
          </w:tcPr>
          <w:p w14:paraId="14EA3FA0" w14:textId="77777777" w:rsidR="00115BC3" w:rsidRPr="00C62639" w:rsidRDefault="00115BC3" w:rsidP="00115BC3">
            <w:pPr>
              <w:jc w:val="center"/>
              <w:rPr>
                <w:rFonts w:asciiTheme="minorHAnsi" w:hAnsiTheme="minorHAnsi"/>
                <w:noProof/>
                <w:sz w:val="20"/>
              </w:rPr>
            </w:pPr>
            <w:r w:rsidRPr="00F416DF">
              <w:rPr>
                <w:rFonts w:ascii="Calibri Light" w:hAnsi="Calibri Light"/>
                <w:sz w:val="20"/>
              </w:rPr>
              <w:t>1820</w:t>
            </w:r>
          </w:p>
        </w:tc>
        <w:tc>
          <w:tcPr>
            <w:tcW w:w="1344" w:type="pct"/>
            <w:shd w:val="clear" w:color="auto" w:fill="DBE5F1"/>
            <w:hideMark/>
          </w:tcPr>
          <w:p w14:paraId="79979E16" w14:textId="77777777" w:rsidR="00115BC3" w:rsidRPr="00C62639" w:rsidRDefault="00115BC3" w:rsidP="00115BC3">
            <w:pPr>
              <w:jc w:val="center"/>
              <w:rPr>
                <w:rFonts w:asciiTheme="minorHAnsi" w:hAnsiTheme="minorHAnsi"/>
                <w:b/>
                <w:noProof/>
                <w:sz w:val="20"/>
              </w:rPr>
            </w:pPr>
            <w:r w:rsidRPr="00F416DF">
              <w:rPr>
                <w:rFonts w:ascii="Calibri Light" w:hAnsi="Calibri Light"/>
                <w:b/>
                <w:sz w:val="20"/>
              </w:rPr>
              <w:t>1582</w:t>
            </w:r>
          </w:p>
        </w:tc>
        <w:tc>
          <w:tcPr>
            <w:tcW w:w="896" w:type="pct"/>
            <w:shd w:val="clear" w:color="auto" w:fill="DBE5F1"/>
            <w:hideMark/>
          </w:tcPr>
          <w:p w14:paraId="48989E57" w14:textId="77777777" w:rsidR="00115BC3" w:rsidRPr="00C62639" w:rsidRDefault="00115BC3" w:rsidP="00115BC3">
            <w:pPr>
              <w:jc w:val="center"/>
              <w:rPr>
                <w:rFonts w:asciiTheme="minorHAnsi" w:hAnsiTheme="minorHAnsi"/>
                <w:noProof/>
                <w:sz w:val="20"/>
              </w:rPr>
            </w:pPr>
            <w:r w:rsidRPr="00F416DF">
              <w:rPr>
                <w:rFonts w:ascii="Calibri Light" w:hAnsi="Calibri Light"/>
                <w:sz w:val="20"/>
              </w:rPr>
              <w:t>238</w:t>
            </w:r>
          </w:p>
        </w:tc>
        <w:tc>
          <w:tcPr>
            <w:tcW w:w="896" w:type="pct"/>
            <w:shd w:val="clear" w:color="auto" w:fill="DBE5F1"/>
          </w:tcPr>
          <w:p w14:paraId="21FF3C42" w14:textId="77777777" w:rsidR="00115BC3" w:rsidRPr="00C62639" w:rsidRDefault="00115BC3" w:rsidP="00115BC3">
            <w:pPr>
              <w:jc w:val="center"/>
              <w:rPr>
                <w:rFonts w:asciiTheme="minorHAnsi" w:hAnsiTheme="minorHAnsi"/>
                <w:noProof/>
                <w:sz w:val="20"/>
              </w:rPr>
            </w:pPr>
            <w:r w:rsidRPr="007D0146">
              <w:rPr>
                <w:rFonts w:ascii="Calibri Light" w:hAnsi="Calibri Light"/>
                <w:sz w:val="20"/>
              </w:rPr>
              <w:t>95,23 %</w:t>
            </w:r>
          </w:p>
        </w:tc>
      </w:tr>
      <w:tr w:rsidR="00115BC3" w:rsidRPr="00C62639" w14:paraId="4BC47F4A" w14:textId="77777777" w:rsidTr="00762B0A">
        <w:trPr>
          <w:trHeight w:val="20"/>
        </w:trPr>
        <w:tc>
          <w:tcPr>
            <w:tcW w:w="852" w:type="pct"/>
            <w:shd w:val="clear" w:color="auto" w:fill="DBE5F1"/>
          </w:tcPr>
          <w:p w14:paraId="362394A0" w14:textId="77777777" w:rsidR="00115BC3" w:rsidRPr="00F416DF" w:rsidRDefault="00115BC3" w:rsidP="00115BC3">
            <w:pPr>
              <w:jc w:val="center"/>
              <w:rPr>
                <w:rFonts w:ascii="Calibri Light" w:hAnsi="Calibri Light"/>
                <w:b/>
                <w:bCs/>
                <w:sz w:val="20"/>
              </w:rPr>
            </w:pPr>
            <w:r w:rsidRPr="00F416DF">
              <w:rPr>
                <w:rFonts w:ascii="Calibri Light" w:hAnsi="Calibri Light"/>
                <w:b/>
                <w:bCs/>
                <w:sz w:val="20"/>
              </w:rPr>
              <w:t>2015</w:t>
            </w:r>
          </w:p>
        </w:tc>
        <w:tc>
          <w:tcPr>
            <w:tcW w:w="1012" w:type="pct"/>
            <w:shd w:val="clear" w:color="auto" w:fill="DBE5F1"/>
          </w:tcPr>
          <w:p w14:paraId="0E099725" w14:textId="77777777" w:rsidR="00115BC3" w:rsidRPr="00F416DF" w:rsidRDefault="00115BC3" w:rsidP="00115BC3">
            <w:pPr>
              <w:jc w:val="center"/>
              <w:rPr>
                <w:rFonts w:ascii="Calibri Light" w:hAnsi="Calibri Light"/>
                <w:sz w:val="20"/>
              </w:rPr>
            </w:pPr>
            <w:r w:rsidRPr="00F416DF">
              <w:rPr>
                <w:rFonts w:ascii="Calibri Light" w:hAnsi="Calibri Light"/>
                <w:sz w:val="20"/>
              </w:rPr>
              <w:t>1818</w:t>
            </w:r>
          </w:p>
        </w:tc>
        <w:tc>
          <w:tcPr>
            <w:tcW w:w="1344" w:type="pct"/>
            <w:shd w:val="clear" w:color="auto" w:fill="DBE5F1"/>
          </w:tcPr>
          <w:p w14:paraId="20F811D4" w14:textId="77777777" w:rsidR="00115BC3" w:rsidRPr="00F416DF" w:rsidRDefault="00115BC3" w:rsidP="00115BC3">
            <w:pPr>
              <w:jc w:val="center"/>
              <w:rPr>
                <w:rFonts w:ascii="Calibri Light" w:hAnsi="Calibri Light"/>
                <w:b/>
                <w:sz w:val="20"/>
              </w:rPr>
            </w:pPr>
            <w:r w:rsidRPr="00F416DF">
              <w:rPr>
                <w:rFonts w:ascii="Calibri Light" w:hAnsi="Calibri Light"/>
                <w:b/>
                <w:sz w:val="20"/>
              </w:rPr>
              <w:t>1371</w:t>
            </w:r>
          </w:p>
        </w:tc>
        <w:tc>
          <w:tcPr>
            <w:tcW w:w="896" w:type="pct"/>
            <w:shd w:val="clear" w:color="auto" w:fill="DBE5F1"/>
          </w:tcPr>
          <w:p w14:paraId="67D0AC02" w14:textId="77777777" w:rsidR="00115BC3" w:rsidRPr="00F416DF" w:rsidRDefault="00115BC3" w:rsidP="00115BC3">
            <w:pPr>
              <w:jc w:val="center"/>
              <w:rPr>
                <w:rFonts w:ascii="Calibri Light" w:hAnsi="Calibri Light"/>
                <w:sz w:val="20"/>
              </w:rPr>
            </w:pPr>
            <w:r w:rsidRPr="00F416DF">
              <w:rPr>
                <w:rFonts w:ascii="Calibri Light" w:hAnsi="Calibri Light"/>
                <w:sz w:val="20"/>
              </w:rPr>
              <w:t>447</w:t>
            </w:r>
          </w:p>
        </w:tc>
        <w:tc>
          <w:tcPr>
            <w:tcW w:w="896" w:type="pct"/>
            <w:shd w:val="clear" w:color="auto" w:fill="DBE5F1"/>
          </w:tcPr>
          <w:p w14:paraId="4B63B932" w14:textId="77777777" w:rsidR="00115BC3" w:rsidRPr="007D0146" w:rsidRDefault="00115BC3" w:rsidP="00115BC3">
            <w:pPr>
              <w:jc w:val="center"/>
              <w:rPr>
                <w:rFonts w:ascii="Calibri Light" w:hAnsi="Calibri Light"/>
                <w:sz w:val="20"/>
              </w:rPr>
            </w:pPr>
            <w:r w:rsidRPr="00F416DF">
              <w:rPr>
                <w:rFonts w:ascii="Calibri Light" w:hAnsi="Calibri Light"/>
                <w:sz w:val="20"/>
              </w:rPr>
              <w:t>33,39 %</w:t>
            </w:r>
          </w:p>
        </w:tc>
      </w:tr>
      <w:bookmarkEnd w:id="24"/>
    </w:tbl>
    <w:p w14:paraId="4C5428B4" w14:textId="77777777" w:rsidR="00D77ACF" w:rsidRPr="00C62639" w:rsidRDefault="00D77ACF" w:rsidP="00551596">
      <w:pPr>
        <w:pStyle w:val="NORMLN0"/>
        <w:rPr>
          <w:rFonts w:asciiTheme="minorHAnsi" w:hAnsiTheme="minorHAnsi"/>
          <w:noProof/>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20" w:firstRow="1" w:lastRow="0" w:firstColumn="0" w:lastColumn="0" w:noHBand="0" w:noVBand="1"/>
      </w:tblPr>
      <w:tblGrid>
        <w:gridCol w:w="1482"/>
        <w:gridCol w:w="1895"/>
        <w:gridCol w:w="2435"/>
        <w:gridCol w:w="1624"/>
        <w:gridCol w:w="1624"/>
      </w:tblGrid>
      <w:tr w:rsidR="00D77ACF" w:rsidRPr="00C62639" w14:paraId="39DE7090" w14:textId="77777777" w:rsidTr="00762B0A">
        <w:trPr>
          <w:trHeight w:val="20"/>
        </w:trPr>
        <w:tc>
          <w:tcPr>
            <w:tcW w:w="818" w:type="pct"/>
            <w:tcBorders>
              <w:top w:val="single" w:sz="4" w:space="0" w:color="FFFFFF"/>
              <w:left w:val="single" w:sz="4" w:space="0" w:color="FFFFFF"/>
              <w:right w:val="nil"/>
            </w:tcBorders>
            <w:shd w:val="clear" w:color="auto" w:fill="F79646"/>
            <w:vAlign w:val="center"/>
            <w:hideMark/>
          </w:tcPr>
          <w:p w14:paraId="53AA4DAB" w14:textId="77777777" w:rsidR="00D77ACF" w:rsidRPr="00C62639" w:rsidRDefault="00F416D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ODPADNÍ VODA</w:t>
            </w:r>
          </w:p>
        </w:tc>
        <w:tc>
          <w:tcPr>
            <w:tcW w:w="1046" w:type="pct"/>
            <w:tcBorders>
              <w:top w:val="single" w:sz="4" w:space="0" w:color="FFFFFF"/>
              <w:left w:val="nil"/>
              <w:right w:val="nil"/>
            </w:tcBorders>
            <w:shd w:val="clear" w:color="auto" w:fill="F79646"/>
            <w:vAlign w:val="center"/>
            <w:hideMark/>
          </w:tcPr>
          <w:p w14:paraId="47726F83"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Porovnání zaslaná na MZe (ks)</w:t>
            </w:r>
          </w:p>
        </w:tc>
        <w:tc>
          <w:tcPr>
            <w:tcW w:w="1344" w:type="pct"/>
            <w:tcBorders>
              <w:top w:val="single" w:sz="4" w:space="0" w:color="FFFFFF"/>
              <w:left w:val="nil"/>
              <w:right w:val="nil"/>
            </w:tcBorders>
            <w:shd w:val="clear" w:color="auto" w:fill="F79646"/>
            <w:vAlign w:val="center"/>
            <w:hideMark/>
          </w:tcPr>
          <w:p w14:paraId="0C2CDEFE"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Porovnání zařazená do benchmarkingu (ks)</w:t>
            </w:r>
          </w:p>
        </w:tc>
        <w:tc>
          <w:tcPr>
            <w:tcW w:w="896" w:type="pct"/>
            <w:tcBorders>
              <w:top w:val="single" w:sz="4" w:space="0" w:color="FFFFFF"/>
              <w:left w:val="nil"/>
              <w:right w:val="nil"/>
            </w:tcBorders>
            <w:shd w:val="clear" w:color="auto" w:fill="F79646"/>
            <w:vAlign w:val="center"/>
            <w:hideMark/>
          </w:tcPr>
          <w:p w14:paraId="3073670E"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Nepoužitá Porovnání (ks)</w:t>
            </w:r>
          </w:p>
        </w:tc>
        <w:tc>
          <w:tcPr>
            <w:tcW w:w="896" w:type="pct"/>
            <w:tcBorders>
              <w:top w:val="single" w:sz="4" w:space="0" w:color="FFFFFF"/>
              <w:left w:val="nil"/>
              <w:right w:val="single" w:sz="4" w:space="0" w:color="FFFFFF"/>
            </w:tcBorders>
            <w:shd w:val="clear" w:color="auto" w:fill="F79646"/>
            <w:vAlign w:val="center"/>
          </w:tcPr>
          <w:p w14:paraId="56454114" w14:textId="77777777" w:rsidR="00D77ACF" w:rsidRPr="00C62639" w:rsidRDefault="00D77ACF" w:rsidP="00762B0A">
            <w:pPr>
              <w:jc w:val="center"/>
              <w:rPr>
                <w:rFonts w:asciiTheme="minorHAnsi" w:hAnsiTheme="minorHAnsi"/>
                <w:b/>
                <w:bCs/>
                <w:noProof/>
                <w:color w:val="FFFFFF"/>
                <w:sz w:val="20"/>
              </w:rPr>
            </w:pPr>
            <w:r w:rsidRPr="00C62639">
              <w:rPr>
                <w:rFonts w:asciiTheme="minorHAnsi" w:hAnsiTheme="minorHAnsi"/>
                <w:b/>
                <w:bCs/>
                <w:noProof/>
                <w:color w:val="FFFFFF"/>
                <w:sz w:val="20"/>
              </w:rPr>
              <w:t xml:space="preserve">Podíl na trhu </w:t>
            </w:r>
          </w:p>
        </w:tc>
      </w:tr>
      <w:tr w:rsidR="00115BC3" w:rsidRPr="00C62639" w14:paraId="5E8CD552" w14:textId="77777777" w:rsidTr="00762B0A">
        <w:trPr>
          <w:trHeight w:val="20"/>
        </w:trPr>
        <w:tc>
          <w:tcPr>
            <w:tcW w:w="818" w:type="pct"/>
            <w:shd w:val="clear" w:color="auto" w:fill="FBD4B4"/>
            <w:hideMark/>
          </w:tcPr>
          <w:p w14:paraId="2591050D" w14:textId="77777777" w:rsidR="00115BC3" w:rsidRPr="00C62639" w:rsidRDefault="00115BC3" w:rsidP="00115BC3">
            <w:pPr>
              <w:jc w:val="center"/>
              <w:rPr>
                <w:rFonts w:asciiTheme="minorHAnsi" w:hAnsiTheme="minorHAnsi"/>
                <w:b/>
                <w:noProof/>
                <w:sz w:val="20"/>
              </w:rPr>
            </w:pPr>
            <w:r>
              <w:rPr>
                <w:rFonts w:ascii="Calibri Light" w:hAnsi="Calibri Light"/>
                <w:b/>
                <w:bCs/>
                <w:sz w:val="20"/>
              </w:rPr>
              <w:t>2017</w:t>
            </w:r>
          </w:p>
        </w:tc>
        <w:tc>
          <w:tcPr>
            <w:tcW w:w="1046" w:type="pct"/>
            <w:shd w:val="clear" w:color="auto" w:fill="FBD4B4"/>
            <w:hideMark/>
          </w:tcPr>
          <w:p w14:paraId="477B9B2A" w14:textId="77777777" w:rsidR="00115BC3" w:rsidRPr="00C62639" w:rsidRDefault="00115BC3" w:rsidP="00115BC3">
            <w:pPr>
              <w:jc w:val="center"/>
              <w:rPr>
                <w:rFonts w:asciiTheme="minorHAnsi" w:hAnsiTheme="minorHAnsi"/>
                <w:noProof/>
                <w:sz w:val="20"/>
              </w:rPr>
            </w:pPr>
            <w:r>
              <w:rPr>
                <w:rFonts w:ascii="Calibri Light" w:hAnsi="Calibri Light"/>
                <w:sz w:val="20"/>
              </w:rPr>
              <w:t>2232</w:t>
            </w:r>
          </w:p>
        </w:tc>
        <w:tc>
          <w:tcPr>
            <w:tcW w:w="1344" w:type="pct"/>
            <w:shd w:val="clear" w:color="auto" w:fill="FBD4B4"/>
            <w:hideMark/>
          </w:tcPr>
          <w:p w14:paraId="6BFC731F" w14:textId="77777777" w:rsidR="00115BC3" w:rsidRPr="00C62639" w:rsidRDefault="00115BC3" w:rsidP="00115BC3">
            <w:pPr>
              <w:jc w:val="center"/>
              <w:rPr>
                <w:rFonts w:asciiTheme="minorHAnsi" w:hAnsiTheme="minorHAnsi"/>
                <w:b/>
                <w:noProof/>
                <w:sz w:val="20"/>
              </w:rPr>
            </w:pPr>
            <w:r>
              <w:rPr>
                <w:rFonts w:ascii="Calibri Light" w:hAnsi="Calibri Light"/>
                <w:b/>
                <w:sz w:val="20"/>
              </w:rPr>
              <w:t>2005</w:t>
            </w:r>
          </w:p>
        </w:tc>
        <w:tc>
          <w:tcPr>
            <w:tcW w:w="896" w:type="pct"/>
            <w:shd w:val="clear" w:color="auto" w:fill="FBD4B4"/>
            <w:hideMark/>
          </w:tcPr>
          <w:p w14:paraId="4ED9566F" w14:textId="77777777" w:rsidR="00115BC3" w:rsidRPr="00C62639" w:rsidRDefault="00115BC3" w:rsidP="00115BC3">
            <w:pPr>
              <w:jc w:val="center"/>
              <w:rPr>
                <w:rFonts w:asciiTheme="minorHAnsi" w:hAnsiTheme="minorHAnsi"/>
                <w:noProof/>
                <w:sz w:val="20"/>
              </w:rPr>
            </w:pPr>
            <w:r>
              <w:rPr>
                <w:rFonts w:ascii="Calibri Light" w:hAnsi="Calibri Light"/>
                <w:sz w:val="20"/>
              </w:rPr>
              <w:t>227</w:t>
            </w:r>
          </w:p>
        </w:tc>
        <w:tc>
          <w:tcPr>
            <w:tcW w:w="896" w:type="pct"/>
            <w:shd w:val="clear" w:color="auto" w:fill="FBD4B4"/>
          </w:tcPr>
          <w:p w14:paraId="02D5C901" w14:textId="77777777" w:rsidR="00115BC3" w:rsidRPr="00C62639" w:rsidRDefault="00115BC3" w:rsidP="00115BC3">
            <w:pPr>
              <w:jc w:val="center"/>
              <w:rPr>
                <w:rFonts w:asciiTheme="minorHAnsi" w:hAnsiTheme="minorHAnsi"/>
                <w:b/>
                <w:noProof/>
                <w:sz w:val="20"/>
              </w:rPr>
            </w:pPr>
            <w:r>
              <w:rPr>
                <w:rFonts w:ascii="Calibri Light" w:hAnsi="Calibri Light"/>
                <w:b/>
                <w:sz w:val="20"/>
              </w:rPr>
              <w:t>97,79%</w:t>
            </w:r>
          </w:p>
        </w:tc>
      </w:tr>
      <w:tr w:rsidR="00115BC3" w:rsidRPr="00C62639" w14:paraId="59ED6DE8" w14:textId="77777777" w:rsidTr="00762B0A">
        <w:trPr>
          <w:trHeight w:val="20"/>
        </w:trPr>
        <w:tc>
          <w:tcPr>
            <w:tcW w:w="818" w:type="pct"/>
            <w:shd w:val="clear" w:color="auto" w:fill="FDE9D9"/>
            <w:hideMark/>
          </w:tcPr>
          <w:p w14:paraId="5BE0A034" w14:textId="77777777" w:rsidR="00115BC3" w:rsidRPr="00C62639" w:rsidRDefault="00115BC3" w:rsidP="00115BC3">
            <w:pPr>
              <w:jc w:val="center"/>
              <w:rPr>
                <w:rFonts w:asciiTheme="minorHAnsi" w:hAnsiTheme="minorHAnsi"/>
                <w:b/>
                <w:noProof/>
                <w:sz w:val="20"/>
              </w:rPr>
            </w:pPr>
            <w:r w:rsidRPr="00012F8C">
              <w:rPr>
                <w:rFonts w:ascii="Calibri Light" w:hAnsi="Calibri Light"/>
                <w:b/>
                <w:bCs/>
                <w:sz w:val="20"/>
              </w:rPr>
              <w:t>2016</w:t>
            </w:r>
          </w:p>
        </w:tc>
        <w:tc>
          <w:tcPr>
            <w:tcW w:w="1046" w:type="pct"/>
            <w:shd w:val="clear" w:color="auto" w:fill="FDE9D9"/>
            <w:hideMark/>
          </w:tcPr>
          <w:p w14:paraId="536ECD92" w14:textId="77777777" w:rsidR="00115BC3" w:rsidRPr="00C62639" w:rsidRDefault="00115BC3" w:rsidP="00115BC3">
            <w:pPr>
              <w:jc w:val="center"/>
              <w:rPr>
                <w:rFonts w:asciiTheme="minorHAnsi" w:hAnsiTheme="minorHAnsi"/>
                <w:noProof/>
                <w:sz w:val="20"/>
              </w:rPr>
            </w:pPr>
            <w:r w:rsidRPr="00012F8C">
              <w:rPr>
                <w:rFonts w:ascii="Calibri Light" w:hAnsi="Calibri Light"/>
                <w:sz w:val="20"/>
              </w:rPr>
              <w:t>2051</w:t>
            </w:r>
          </w:p>
        </w:tc>
        <w:tc>
          <w:tcPr>
            <w:tcW w:w="1344" w:type="pct"/>
            <w:shd w:val="clear" w:color="auto" w:fill="FDE9D9"/>
            <w:hideMark/>
          </w:tcPr>
          <w:p w14:paraId="5CD13C58" w14:textId="77777777" w:rsidR="00115BC3" w:rsidRPr="00C62639" w:rsidRDefault="00115BC3" w:rsidP="00115BC3">
            <w:pPr>
              <w:jc w:val="center"/>
              <w:rPr>
                <w:rFonts w:asciiTheme="minorHAnsi" w:hAnsiTheme="minorHAnsi"/>
                <w:b/>
                <w:noProof/>
                <w:sz w:val="20"/>
              </w:rPr>
            </w:pPr>
            <w:r w:rsidRPr="00012F8C">
              <w:rPr>
                <w:rFonts w:ascii="Calibri Light" w:hAnsi="Calibri Light"/>
                <w:b/>
                <w:sz w:val="20"/>
              </w:rPr>
              <w:t>1857</w:t>
            </w:r>
          </w:p>
        </w:tc>
        <w:tc>
          <w:tcPr>
            <w:tcW w:w="896" w:type="pct"/>
            <w:shd w:val="clear" w:color="auto" w:fill="FDE9D9"/>
            <w:hideMark/>
          </w:tcPr>
          <w:p w14:paraId="6204E1CB" w14:textId="77777777" w:rsidR="00115BC3" w:rsidRPr="00C62639" w:rsidRDefault="00115BC3" w:rsidP="00115BC3">
            <w:pPr>
              <w:jc w:val="center"/>
              <w:rPr>
                <w:rFonts w:asciiTheme="minorHAnsi" w:hAnsiTheme="minorHAnsi"/>
                <w:noProof/>
                <w:sz w:val="20"/>
              </w:rPr>
            </w:pPr>
            <w:r w:rsidRPr="00012F8C">
              <w:rPr>
                <w:rFonts w:ascii="Calibri Light" w:hAnsi="Calibri Light"/>
                <w:sz w:val="20"/>
              </w:rPr>
              <w:t>194</w:t>
            </w:r>
          </w:p>
        </w:tc>
        <w:tc>
          <w:tcPr>
            <w:tcW w:w="896" w:type="pct"/>
            <w:shd w:val="clear" w:color="auto" w:fill="FDE9D9"/>
          </w:tcPr>
          <w:p w14:paraId="7057232D" w14:textId="77777777" w:rsidR="00115BC3" w:rsidRPr="00C62639" w:rsidRDefault="00115BC3" w:rsidP="00115BC3">
            <w:pPr>
              <w:jc w:val="center"/>
              <w:rPr>
                <w:rFonts w:asciiTheme="minorHAnsi" w:hAnsiTheme="minorHAnsi"/>
                <w:noProof/>
                <w:sz w:val="20"/>
              </w:rPr>
            </w:pPr>
            <w:r w:rsidRPr="007D0146">
              <w:rPr>
                <w:rFonts w:ascii="Calibri Light" w:hAnsi="Calibri Light"/>
                <w:sz w:val="20"/>
              </w:rPr>
              <w:t>92,59 %</w:t>
            </w:r>
          </w:p>
        </w:tc>
      </w:tr>
      <w:tr w:rsidR="00115BC3" w:rsidRPr="00C62639" w14:paraId="0FE8C62C" w14:textId="77777777" w:rsidTr="00762B0A">
        <w:trPr>
          <w:trHeight w:val="20"/>
        </w:trPr>
        <w:tc>
          <w:tcPr>
            <w:tcW w:w="818" w:type="pct"/>
            <w:shd w:val="clear" w:color="auto" w:fill="FDE9D9"/>
          </w:tcPr>
          <w:p w14:paraId="049E412A" w14:textId="77777777" w:rsidR="00115BC3" w:rsidRPr="00C62639" w:rsidRDefault="00115BC3" w:rsidP="00115BC3">
            <w:pPr>
              <w:jc w:val="center"/>
              <w:rPr>
                <w:rFonts w:asciiTheme="minorHAnsi" w:hAnsiTheme="minorHAnsi"/>
                <w:b/>
                <w:bCs/>
                <w:noProof/>
                <w:sz w:val="20"/>
              </w:rPr>
            </w:pPr>
            <w:r w:rsidRPr="00012F8C">
              <w:rPr>
                <w:rFonts w:ascii="Calibri Light" w:hAnsi="Calibri Light"/>
                <w:b/>
                <w:bCs/>
                <w:sz w:val="20"/>
              </w:rPr>
              <w:t>2015</w:t>
            </w:r>
          </w:p>
        </w:tc>
        <w:tc>
          <w:tcPr>
            <w:tcW w:w="1046" w:type="pct"/>
            <w:shd w:val="clear" w:color="auto" w:fill="FDE9D9"/>
          </w:tcPr>
          <w:p w14:paraId="4636A09B" w14:textId="77777777" w:rsidR="00115BC3" w:rsidRPr="00C62639" w:rsidRDefault="00115BC3" w:rsidP="00115BC3">
            <w:pPr>
              <w:jc w:val="center"/>
              <w:rPr>
                <w:rFonts w:asciiTheme="minorHAnsi" w:hAnsiTheme="minorHAnsi"/>
                <w:noProof/>
                <w:sz w:val="20"/>
              </w:rPr>
            </w:pPr>
            <w:r w:rsidRPr="00012F8C">
              <w:rPr>
                <w:rFonts w:ascii="Calibri Light" w:hAnsi="Calibri Light"/>
                <w:sz w:val="20"/>
              </w:rPr>
              <w:t>1936</w:t>
            </w:r>
          </w:p>
        </w:tc>
        <w:tc>
          <w:tcPr>
            <w:tcW w:w="1344" w:type="pct"/>
            <w:shd w:val="clear" w:color="auto" w:fill="FDE9D9"/>
          </w:tcPr>
          <w:p w14:paraId="38BC2490" w14:textId="77777777" w:rsidR="00115BC3" w:rsidRPr="00C62639" w:rsidRDefault="00115BC3" w:rsidP="00115BC3">
            <w:pPr>
              <w:jc w:val="center"/>
              <w:rPr>
                <w:rFonts w:asciiTheme="minorHAnsi" w:hAnsiTheme="minorHAnsi"/>
                <w:b/>
                <w:noProof/>
                <w:sz w:val="20"/>
              </w:rPr>
            </w:pPr>
            <w:r w:rsidRPr="00012F8C">
              <w:rPr>
                <w:rFonts w:ascii="Calibri Light" w:hAnsi="Calibri Light"/>
                <w:b/>
                <w:sz w:val="20"/>
              </w:rPr>
              <w:t>1437</w:t>
            </w:r>
          </w:p>
        </w:tc>
        <w:tc>
          <w:tcPr>
            <w:tcW w:w="896" w:type="pct"/>
            <w:shd w:val="clear" w:color="auto" w:fill="FDE9D9"/>
          </w:tcPr>
          <w:p w14:paraId="24D38261" w14:textId="77777777" w:rsidR="00115BC3" w:rsidRPr="00C62639" w:rsidRDefault="00115BC3" w:rsidP="00115BC3">
            <w:pPr>
              <w:jc w:val="center"/>
              <w:rPr>
                <w:rFonts w:asciiTheme="minorHAnsi" w:hAnsiTheme="minorHAnsi"/>
                <w:noProof/>
                <w:sz w:val="20"/>
              </w:rPr>
            </w:pPr>
            <w:r w:rsidRPr="00012F8C">
              <w:rPr>
                <w:rFonts w:ascii="Calibri Light" w:hAnsi="Calibri Light"/>
                <w:sz w:val="20"/>
              </w:rPr>
              <w:t>499</w:t>
            </w:r>
          </w:p>
        </w:tc>
        <w:tc>
          <w:tcPr>
            <w:tcW w:w="896" w:type="pct"/>
            <w:shd w:val="clear" w:color="auto" w:fill="FDE9D9"/>
          </w:tcPr>
          <w:p w14:paraId="613D8373" w14:textId="77777777" w:rsidR="00115BC3" w:rsidRPr="00C62639" w:rsidRDefault="00115BC3" w:rsidP="00115BC3">
            <w:pPr>
              <w:jc w:val="center"/>
              <w:rPr>
                <w:rFonts w:asciiTheme="minorHAnsi" w:hAnsiTheme="minorHAnsi"/>
                <w:noProof/>
                <w:sz w:val="20"/>
              </w:rPr>
            </w:pPr>
            <w:r w:rsidRPr="00012F8C">
              <w:rPr>
                <w:rFonts w:ascii="Calibri Light" w:hAnsi="Calibri Light"/>
                <w:sz w:val="20"/>
              </w:rPr>
              <w:t>33,69 %</w:t>
            </w:r>
          </w:p>
        </w:tc>
      </w:tr>
    </w:tbl>
    <w:p w14:paraId="70072EF8" w14:textId="77777777" w:rsidR="00D77ACF" w:rsidRPr="00C62639" w:rsidRDefault="00D77ACF" w:rsidP="00551596">
      <w:pPr>
        <w:pStyle w:val="NORMLN0"/>
        <w:rPr>
          <w:rFonts w:asciiTheme="minorHAnsi" w:hAnsiTheme="minorHAnsi"/>
          <w:noProof/>
        </w:rPr>
      </w:pPr>
    </w:p>
    <w:p w14:paraId="5EA1C7A5" w14:textId="77777777" w:rsidR="00D70B87" w:rsidRPr="0056423C" w:rsidRDefault="00C1539B" w:rsidP="00692CE6">
      <w:pPr>
        <w:pStyle w:val="Nadpis2"/>
        <w:rPr>
          <w:rFonts w:asciiTheme="minorHAnsi" w:eastAsia="Calibri" w:hAnsiTheme="minorHAnsi"/>
          <w:noProof/>
        </w:rPr>
      </w:pPr>
      <w:bookmarkStart w:id="25" w:name="_Toc3291986"/>
      <w:r w:rsidRPr="0056423C">
        <w:rPr>
          <w:rFonts w:asciiTheme="minorHAnsi" w:eastAsia="Calibri" w:hAnsiTheme="minorHAnsi"/>
          <w:noProof/>
        </w:rPr>
        <w:t>Důvody</w:t>
      </w:r>
      <w:r w:rsidR="00692CE6" w:rsidRPr="0056423C">
        <w:rPr>
          <w:rFonts w:asciiTheme="minorHAnsi" w:eastAsia="Calibri" w:hAnsiTheme="minorHAnsi"/>
          <w:noProof/>
        </w:rPr>
        <w:t xml:space="preserve">, které </w:t>
      </w:r>
      <w:r w:rsidR="003A6341" w:rsidRPr="0056423C">
        <w:rPr>
          <w:rFonts w:asciiTheme="minorHAnsi" w:eastAsia="Calibri" w:hAnsiTheme="minorHAnsi"/>
          <w:noProof/>
        </w:rPr>
        <w:t>znemožňují</w:t>
      </w:r>
      <w:r w:rsidR="00692CE6" w:rsidRPr="0056423C">
        <w:rPr>
          <w:rFonts w:asciiTheme="minorHAnsi" w:eastAsia="Calibri" w:hAnsiTheme="minorHAnsi"/>
          <w:noProof/>
        </w:rPr>
        <w:t xml:space="preserve"> použití </w:t>
      </w:r>
      <w:r w:rsidRPr="0056423C">
        <w:rPr>
          <w:rFonts w:asciiTheme="minorHAnsi" w:eastAsia="Calibri" w:hAnsiTheme="minorHAnsi"/>
          <w:noProof/>
        </w:rPr>
        <w:t xml:space="preserve">dat </w:t>
      </w:r>
      <w:r w:rsidR="00692CE6" w:rsidRPr="0056423C">
        <w:rPr>
          <w:rFonts w:asciiTheme="minorHAnsi" w:eastAsia="Calibri" w:hAnsiTheme="minorHAnsi"/>
          <w:noProof/>
        </w:rPr>
        <w:t>pro benchmarking</w:t>
      </w:r>
      <w:bookmarkEnd w:id="25"/>
    </w:p>
    <w:p w14:paraId="7F74DFFA" w14:textId="4EB3162F" w:rsidR="00012F8C" w:rsidRPr="00C62639" w:rsidRDefault="00012F8C" w:rsidP="00BB1F55">
      <w:pPr>
        <w:pStyle w:val="NORMLN0"/>
        <w:rPr>
          <w:noProof/>
        </w:rPr>
      </w:pPr>
      <w:r w:rsidRPr="00C62639">
        <w:rPr>
          <w:noProof/>
        </w:rPr>
        <w:t xml:space="preserve">Při </w:t>
      </w:r>
      <w:r w:rsidR="006905E2" w:rsidRPr="00C62639">
        <w:rPr>
          <w:noProof/>
        </w:rPr>
        <w:t xml:space="preserve">propojování </w:t>
      </w:r>
      <w:r w:rsidRPr="00C62639">
        <w:rPr>
          <w:noProof/>
        </w:rPr>
        <w:t xml:space="preserve">informací z databází (Porovnání, Vybranými údaji majetkové a provozní evidence) bylo specifikováno deset nedostatků, které </w:t>
      </w:r>
      <w:r w:rsidR="003A6341">
        <w:rPr>
          <w:noProof/>
        </w:rPr>
        <w:t>znemožňují</w:t>
      </w:r>
      <w:r w:rsidR="0070653F" w:rsidRPr="00C62639">
        <w:rPr>
          <w:noProof/>
        </w:rPr>
        <w:t xml:space="preserve"> </w:t>
      </w:r>
      <w:r w:rsidR="00AB6F0F">
        <w:rPr>
          <w:noProof/>
        </w:rPr>
        <w:t>pro</w:t>
      </w:r>
      <w:r w:rsidRPr="00C62639">
        <w:rPr>
          <w:noProof/>
        </w:rPr>
        <w:t xml:space="preserve">pojení dat podle výše uvedeného postupu (viz schéma </w:t>
      </w:r>
      <w:r w:rsidR="001C221B">
        <w:rPr>
          <w:noProof/>
        </w:rPr>
        <w:t>v</w:t>
      </w:r>
      <w:r w:rsidRPr="00C62639">
        <w:rPr>
          <w:noProof/>
        </w:rPr>
        <w:t xml:space="preserve"> </w:t>
      </w:r>
      <w:r w:rsidR="001C221B">
        <w:rPr>
          <w:noProof/>
        </w:rPr>
        <w:t>úvodu kapitoly</w:t>
      </w:r>
      <w:r w:rsidRPr="00C62639">
        <w:rPr>
          <w:noProof/>
        </w:rPr>
        <w:t xml:space="preserve"> 4.).</w:t>
      </w:r>
      <w:r w:rsidR="00B26631">
        <w:rPr>
          <w:noProof/>
        </w:rPr>
        <w:t xml:space="preserve"> </w:t>
      </w:r>
    </w:p>
    <w:p w14:paraId="5524987E" w14:textId="0D473E94" w:rsidR="00692CE6" w:rsidRDefault="007A1FD9">
      <w:pPr>
        <w:pStyle w:val="NORMLN0"/>
        <w:rPr>
          <w:rFonts w:asciiTheme="minorHAnsi" w:hAnsiTheme="minorHAnsi" w:cs="Calibri"/>
          <w:noProof/>
        </w:rPr>
      </w:pPr>
      <w:r w:rsidRPr="00934258">
        <w:rPr>
          <w:noProof/>
        </w:rPr>
        <w:t xml:space="preserve">Jednotlivé </w:t>
      </w:r>
      <w:r w:rsidR="00384A62">
        <w:rPr>
          <w:noProof/>
        </w:rPr>
        <w:t>nedostatky</w:t>
      </w:r>
      <w:r w:rsidRPr="00934258">
        <w:rPr>
          <w:noProof/>
        </w:rPr>
        <w:t xml:space="preserve"> </w:t>
      </w:r>
      <w:r>
        <w:rPr>
          <w:noProof/>
        </w:rPr>
        <w:t>byly</w:t>
      </w:r>
      <w:r w:rsidRPr="00934258">
        <w:rPr>
          <w:noProof/>
        </w:rPr>
        <w:t xml:space="preserve"> pro zjednodušení </w:t>
      </w:r>
      <w:r>
        <w:rPr>
          <w:noProof/>
        </w:rPr>
        <w:t>zařazeny</w:t>
      </w:r>
      <w:r w:rsidRPr="00934258">
        <w:rPr>
          <w:noProof/>
        </w:rPr>
        <w:t xml:space="preserve"> do pěti </w:t>
      </w:r>
      <w:r>
        <w:rPr>
          <w:noProof/>
        </w:rPr>
        <w:t>kategorií</w:t>
      </w:r>
      <w:r w:rsidR="00384A62">
        <w:rPr>
          <w:noProof/>
        </w:rPr>
        <w:t xml:space="preserve"> (viz tabulky dále).</w:t>
      </w:r>
      <w:r w:rsidRPr="00934258">
        <w:rPr>
          <w:noProof/>
        </w:rPr>
        <w:t xml:space="preserve"> </w:t>
      </w:r>
      <w:r>
        <w:rPr>
          <w:noProof/>
          <w:lang w:val="sk-SK"/>
        </w:rPr>
        <w:t xml:space="preserve">Nejvíce </w:t>
      </w:r>
      <w:r>
        <w:rPr>
          <w:noProof/>
        </w:rPr>
        <w:t xml:space="preserve">Porovnání </w:t>
      </w:r>
      <w:r>
        <w:rPr>
          <w:noProof/>
          <w:lang w:val="sk-SK"/>
        </w:rPr>
        <w:t xml:space="preserve">bylo </w:t>
      </w:r>
      <w:r>
        <w:rPr>
          <w:noProof/>
        </w:rPr>
        <w:t xml:space="preserve">vyřazeno z </w:t>
      </w:r>
      <w:r w:rsidRPr="00934258">
        <w:rPr>
          <w:noProof/>
        </w:rPr>
        <w:t>důvodů, které byly spojeny s IČPE</w:t>
      </w:r>
      <w:r w:rsidR="00C1539B" w:rsidRPr="00C62639">
        <w:rPr>
          <w:rFonts w:asciiTheme="minorHAnsi" w:hAnsiTheme="minorHAnsi" w:cs="Calibri"/>
          <w:noProof/>
        </w:rPr>
        <w:t>.</w:t>
      </w:r>
      <w:r w:rsidRPr="00934258">
        <w:rPr>
          <w:noProof/>
        </w:rPr>
        <w:t xml:space="preserve"> </w:t>
      </w:r>
      <w:r>
        <w:rPr>
          <w:noProof/>
        </w:rPr>
        <w:t xml:space="preserve">Buď k IČPE ve VÚPE chybělo související IČME ve VÚME, nebo k IČPE uvedenému na Porovnání </w:t>
      </w:r>
      <w:r>
        <w:rPr>
          <w:noProof/>
          <w:lang w:val="sk-SK"/>
        </w:rPr>
        <w:t>c</w:t>
      </w:r>
      <w:r>
        <w:rPr>
          <w:noProof/>
        </w:rPr>
        <w:t>hybělo IČPE ve VÚPE</w:t>
      </w:r>
      <w:r w:rsidR="00692CE6" w:rsidRPr="00C62639">
        <w:rPr>
          <w:rFonts w:asciiTheme="minorHAnsi" w:hAnsiTheme="minorHAnsi" w:cs="Calibri"/>
          <w:noProof/>
        </w:rPr>
        <w:t>, což znemožnilo napojení informací z VÚPE a VÚME k danému Porovnání.</w:t>
      </w:r>
      <w:r w:rsidR="00384A62">
        <w:rPr>
          <w:rFonts w:asciiTheme="minorHAnsi" w:hAnsiTheme="minorHAnsi" w:cs="Calibri"/>
          <w:noProof/>
        </w:rPr>
        <w:t xml:space="preserve"> </w:t>
      </w:r>
      <w:r w:rsidR="00692CE6" w:rsidRPr="00C62639">
        <w:rPr>
          <w:rFonts w:asciiTheme="minorHAnsi" w:hAnsiTheme="minorHAnsi" w:cs="Calibri"/>
          <w:noProof/>
        </w:rPr>
        <w:t xml:space="preserve">Oba benchmarkingové projekty </w:t>
      </w:r>
      <w:r w:rsidR="00BB1F55">
        <w:rPr>
          <w:rFonts w:asciiTheme="minorHAnsi" w:hAnsiTheme="minorHAnsi" w:cs="Calibri"/>
          <w:noProof/>
        </w:rPr>
        <w:t>v závěru</w:t>
      </w:r>
      <w:r w:rsidR="00692CE6" w:rsidRPr="00C62639">
        <w:rPr>
          <w:rFonts w:asciiTheme="minorHAnsi" w:hAnsiTheme="minorHAnsi" w:cs="Calibri"/>
          <w:noProof/>
        </w:rPr>
        <w:t xml:space="preserve"> obsahují </w:t>
      </w:r>
      <w:r w:rsidR="00BB1F55">
        <w:rPr>
          <w:rFonts w:asciiTheme="minorHAnsi" w:hAnsiTheme="minorHAnsi" w:cs="Calibri"/>
          <w:noProof/>
        </w:rPr>
        <w:t>jmenovitý</w:t>
      </w:r>
      <w:r w:rsidR="00692CE6" w:rsidRPr="00C62639">
        <w:rPr>
          <w:rFonts w:asciiTheme="minorHAnsi" w:hAnsiTheme="minorHAnsi" w:cs="Calibri"/>
          <w:noProof/>
        </w:rPr>
        <w:t xml:space="preserve"> </w:t>
      </w:r>
      <w:r w:rsidR="00567243">
        <w:rPr>
          <w:rFonts w:asciiTheme="minorHAnsi" w:hAnsiTheme="minorHAnsi" w:cs="Calibri"/>
          <w:noProof/>
        </w:rPr>
        <w:t>seznam</w:t>
      </w:r>
      <w:r w:rsidR="00692CE6" w:rsidRPr="00C62639">
        <w:rPr>
          <w:rFonts w:asciiTheme="minorHAnsi" w:hAnsiTheme="minorHAnsi" w:cs="Calibri"/>
          <w:noProof/>
        </w:rPr>
        <w:t xml:space="preserve"> </w:t>
      </w:r>
      <w:r w:rsidR="00384A62">
        <w:rPr>
          <w:rFonts w:asciiTheme="minorHAnsi" w:hAnsiTheme="minorHAnsi" w:cs="Calibri"/>
          <w:noProof/>
        </w:rPr>
        <w:t xml:space="preserve">vyřazených </w:t>
      </w:r>
      <w:r w:rsidR="00692CE6" w:rsidRPr="00C62639">
        <w:rPr>
          <w:rFonts w:asciiTheme="minorHAnsi" w:hAnsiTheme="minorHAnsi" w:cs="Calibri"/>
          <w:noProof/>
        </w:rPr>
        <w:t xml:space="preserve">Porovnání s identifikací </w:t>
      </w:r>
      <w:r w:rsidR="00C1539B" w:rsidRPr="00C62639">
        <w:rPr>
          <w:rFonts w:asciiTheme="minorHAnsi" w:hAnsiTheme="minorHAnsi" w:cs="Calibri"/>
          <w:noProof/>
        </w:rPr>
        <w:t>důvodu, který byl</w:t>
      </w:r>
      <w:r w:rsidR="00692CE6" w:rsidRPr="00C62639">
        <w:rPr>
          <w:rFonts w:asciiTheme="minorHAnsi" w:hAnsiTheme="minorHAnsi" w:cs="Calibri"/>
          <w:noProof/>
        </w:rPr>
        <w:t xml:space="preserve"> příčinou jejich</w:t>
      </w:r>
      <w:r w:rsidR="00384A62">
        <w:rPr>
          <w:rFonts w:asciiTheme="minorHAnsi" w:hAnsiTheme="minorHAnsi" w:cs="Calibri"/>
          <w:noProof/>
        </w:rPr>
        <w:t xml:space="preserve"> </w:t>
      </w:r>
      <w:r w:rsidR="00692CE6" w:rsidRPr="00C62639">
        <w:rPr>
          <w:rFonts w:asciiTheme="minorHAnsi" w:hAnsiTheme="minorHAnsi" w:cs="Calibri"/>
          <w:noProof/>
        </w:rPr>
        <w:t>vyřazení</w:t>
      </w:r>
      <w:r w:rsidR="00384A62">
        <w:rPr>
          <w:rFonts w:asciiTheme="minorHAnsi" w:hAnsiTheme="minorHAnsi" w:cs="Calibri"/>
          <w:noProof/>
        </w:rPr>
        <w:t xml:space="preserve"> z benchmarkingu.</w:t>
      </w:r>
      <w:r w:rsidR="00EB23E5" w:rsidRPr="00C62639">
        <w:rPr>
          <w:rFonts w:asciiTheme="minorHAnsi" w:hAnsiTheme="minorHAnsi" w:cs="Calibri"/>
          <w:noProof/>
        </w:rPr>
        <w:t xml:space="preserve"> </w:t>
      </w:r>
    </w:p>
    <w:p w14:paraId="77FAF1A9" w14:textId="77777777" w:rsidR="00692CE6" w:rsidRPr="000A06BE" w:rsidRDefault="00692CE6" w:rsidP="00692CE6">
      <w:pPr>
        <w:pStyle w:val="Nadpis3"/>
        <w:rPr>
          <w:rFonts w:asciiTheme="minorHAnsi" w:hAnsiTheme="minorHAnsi"/>
          <w:noProof/>
        </w:rPr>
      </w:pPr>
      <w:bookmarkStart w:id="26" w:name="_Toc3291987"/>
      <w:r w:rsidRPr="000A06BE">
        <w:rPr>
          <w:rFonts w:asciiTheme="minorHAnsi" w:hAnsiTheme="minorHAnsi"/>
          <w:noProof/>
        </w:rPr>
        <w:lastRenderedPageBreak/>
        <w:t>Vodovod</w:t>
      </w:r>
      <w:bookmarkEnd w:id="26"/>
    </w:p>
    <w:p w14:paraId="7115E311" w14:textId="77777777" w:rsidR="007049F3" w:rsidRDefault="007A1FD9" w:rsidP="00BB1F55">
      <w:pPr>
        <w:pStyle w:val="NORMLN0"/>
        <w:rPr>
          <w:noProof/>
        </w:rPr>
      </w:pPr>
      <w:r w:rsidRPr="00934258">
        <w:rPr>
          <w:noProof/>
        </w:rPr>
        <w:t xml:space="preserve">Z celkového počtu </w:t>
      </w:r>
      <w:r w:rsidR="000305CD">
        <w:rPr>
          <w:noProof/>
        </w:rPr>
        <w:t>1</w:t>
      </w:r>
      <w:r w:rsidR="002A2172">
        <w:rPr>
          <w:noProof/>
        </w:rPr>
        <w:t xml:space="preserve"> </w:t>
      </w:r>
      <w:r w:rsidR="000305CD">
        <w:rPr>
          <w:noProof/>
        </w:rPr>
        <w:t>922</w:t>
      </w:r>
      <w:r w:rsidRPr="00934258">
        <w:rPr>
          <w:noProof/>
        </w:rPr>
        <w:t xml:space="preserve"> Porovnání bylo vyřazeno 2</w:t>
      </w:r>
      <w:r w:rsidR="000305CD">
        <w:rPr>
          <w:noProof/>
        </w:rPr>
        <w:t>25</w:t>
      </w:r>
      <w:r w:rsidRPr="00934258">
        <w:rPr>
          <w:noProof/>
        </w:rPr>
        <w:t xml:space="preserve"> Porovnání</w:t>
      </w:r>
      <w:r w:rsidR="00BB1F55">
        <w:rPr>
          <w:noProof/>
        </w:rPr>
        <w:t xml:space="preserve"> (tj</w:t>
      </w:r>
      <w:r w:rsidRPr="00934258">
        <w:rPr>
          <w:noProof/>
        </w:rPr>
        <w:t>.</w:t>
      </w:r>
      <w:r w:rsidR="00BB1F55">
        <w:rPr>
          <w:noProof/>
        </w:rPr>
        <w:t xml:space="preserve"> 11,71 %).</w:t>
      </w:r>
      <w:r w:rsidRPr="00934258">
        <w:rPr>
          <w:noProof/>
        </w:rPr>
        <w:t xml:space="preserve"> Nejčastějším důvodem (</w:t>
      </w:r>
      <w:r w:rsidR="0083753D">
        <w:rPr>
          <w:noProof/>
        </w:rPr>
        <w:t xml:space="preserve">tj. </w:t>
      </w:r>
      <w:r w:rsidR="00BB1F55">
        <w:rPr>
          <w:noProof/>
        </w:rPr>
        <w:t>91,11</w:t>
      </w:r>
      <w:r w:rsidRPr="00934258">
        <w:rPr>
          <w:noProof/>
        </w:rPr>
        <w:t xml:space="preserve"> %) bylo, že </w:t>
      </w:r>
      <w:r>
        <w:rPr>
          <w:noProof/>
        </w:rPr>
        <w:t>k některému</w:t>
      </w:r>
      <w:r w:rsidRPr="00934258">
        <w:rPr>
          <w:noProof/>
        </w:rPr>
        <w:t xml:space="preserve"> IČPE uveden</w:t>
      </w:r>
      <w:r>
        <w:rPr>
          <w:noProof/>
        </w:rPr>
        <w:t>ému</w:t>
      </w:r>
      <w:r w:rsidRPr="00934258">
        <w:rPr>
          <w:noProof/>
        </w:rPr>
        <w:t xml:space="preserve"> na Porovnání </w:t>
      </w:r>
      <w:r>
        <w:rPr>
          <w:noProof/>
        </w:rPr>
        <w:t>nebylo</w:t>
      </w:r>
      <w:r w:rsidRPr="00934258">
        <w:rPr>
          <w:noProof/>
        </w:rPr>
        <w:t xml:space="preserve"> </w:t>
      </w:r>
      <w:r>
        <w:rPr>
          <w:noProof/>
        </w:rPr>
        <w:t>zasláno hlášení</w:t>
      </w:r>
      <w:r w:rsidR="00B26631">
        <w:rPr>
          <w:noProof/>
        </w:rPr>
        <w:t xml:space="preserve"> </w:t>
      </w:r>
      <w:r w:rsidRPr="00934258">
        <w:rPr>
          <w:noProof/>
        </w:rPr>
        <w:t>VÚPE.</w:t>
      </w:r>
    </w:p>
    <w:p w14:paraId="6FB4FAFC" w14:textId="77777777" w:rsidR="00F666F7" w:rsidRDefault="00F666F7" w:rsidP="00AB6F0F">
      <w:pPr>
        <w:pStyle w:val="Normlnzprva"/>
        <w:rPr>
          <w:rFonts w:asciiTheme="minorHAnsi" w:hAnsiTheme="minorHAnsi" w:cs="Calibri"/>
          <w:noProof/>
        </w:rPr>
      </w:pPr>
    </w:p>
    <w:p w14:paraId="0D0D8079" w14:textId="77777777" w:rsidR="00430622" w:rsidRPr="00C62639" w:rsidRDefault="00430622" w:rsidP="00AB6F0F">
      <w:pPr>
        <w:pStyle w:val="Normlnzprva"/>
        <w:rPr>
          <w:rFonts w:asciiTheme="minorHAnsi" w:hAnsiTheme="minorHAnsi" w:cs="Calibri"/>
          <w:noProof/>
        </w:rPr>
      </w:pPr>
    </w:p>
    <w:tbl>
      <w:tblPr>
        <w:tblW w:w="3812"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20" w:firstRow="1" w:lastRow="0" w:firstColumn="0" w:lastColumn="0" w:noHBand="0" w:noVBand="1"/>
      </w:tblPr>
      <w:tblGrid>
        <w:gridCol w:w="3641"/>
        <w:gridCol w:w="3266"/>
      </w:tblGrid>
      <w:tr w:rsidR="00C96E2F" w:rsidRPr="000305CD" w14:paraId="674C98A7" w14:textId="77777777" w:rsidTr="00FB360C">
        <w:trPr>
          <w:trHeight w:val="472"/>
          <w:tblHeader/>
          <w:jc w:val="center"/>
        </w:trPr>
        <w:tc>
          <w:tcPr>
            <w:tcW w:w="2636" w:type="pct"/>
            <w:tcBorders>
              <w:top w:val="single" w:sz="4" w:space="0" w:color="FFFFFF"/>
              <w:left w:val="single" w:sz="4" w:space="0" w:color="FFFFFF"/>
              <w:right w:val="nil"/>
            </w:tcBorders>
            <w:shd w:val="clear" w:color="auto" w:fill="4F81BD"/>
            <w:vAlign w:val="center"/>
            <w:hideMark/>
          </w:tcPr>
          <w:p w14:paraId="5A065D39" w14:textId="77777777" w:rsidR="00C96E2F" w:rsidRPr="000305CD" w:rsidRDefault="00C96E2F" w:rsidP="000305CD">
            <w:pPr>
              <w:pStyle w:val="NORMLN0"/>
              <w:spacing w:before="0" w:after="0"/>
              <w:ind w:firstLine="0"/>
              <w:jc w:val="center"/>
              <w:rPr>
                <w:rFonts w:asciiTheme="minorHAnsi" w:hAnsiTheme="minorHAnsi"/>
                <w:b/>
                <w:bCs/>
                <w:noProof/>
                <w:color w:val="FFFFFF"/>
                <w:sz w:val="20"/>
                <w:szCs w:val="22"/>
              </w:rPr>
            </w:pPr>
            <w:r w:rsidRPr="000305CD">
              <w:rPr>
                <w:rFonts w:asciiTheme="minorHAnsi" w:hAnsiTheme="minorHAnsi"/>
                <w:b/>
                <w:bCs/>
                <w:noProof/>
                <w:color w:val="FFFFFF"/>
                <w:sz w:val="20"/>
                <w:szCs w:val="22"/>
              </w:rPr>
              <w:t>Důvod vyřazení Porovnání - VODOVOD</w:t>
            </w:r>
          </w:p>
        </w:tc>
        <w:tc>
          <w:tcPr>
            <w:tcW w:w="2364" w:type="pct"/>
            <w:tcBorders>
              <w:top w:val="single" w:sz="4" w:space="0" w:color="FFFFFF"/>
              <w:left w:val="nil"/>
              <w:right w:val="single" w:sz="4" w:space="0" w:color="FFFFFF"/>
            </w:tcBorders>
            <w:shd w:val="clear" w:color="auto" w:fill="4F81BD"/>
            <w:vAlign w:val="center"/>
            <w:hideMark/>
          </w:tcPr>
          <w:p w14:paraId="4133478C" w14:textId="77777777" w:rsidR="00C96E2F" w:rsidRPr="000305CD" w:rsidRDefault="00C96E2F" w:rsidP="000305CD">
            <w:pPr>
              <w:pStyle w:val="NORMLN0"/>
              <w:spacing w:before="0" w:after="0"/>
              <w:ind w:firstLine="0"/>
              <w:jc w:val="center"/>
              <w:rPr>
                <w:rFonts w:asciiTheme="minorHAnsi" w:hAnsiTheme="minorHAnsi"/>
                <w:b/>
                <w:bCs/>
                <w:noProof/>
                <w:color w:val="FFFFFF"/>
                <w:sz w:val="20"/>
                <w:szCs w:val="22"/>
              </w:rPr>
            </w:pPr>
            <w:r w:rsidRPr="000305CD">
              <w:rPr>
                <w:rFonts w:asciiTheme="minorHAnsi" w:hAnsiTheme="minorHAnsi"/>
                <w:b/>
                <w:bCs/>
                <w:noProof/>
                <w:color w:val="FFFFFF"/>
                <w:sz w:val="20"/>
                <w:szCs w:val="22"/>
              </w:rPr>
              <w:t>Počet vyřazených Porovnání z benchmarkingu 201</w:t>
            </w:r>
            <w:r w:rsidR="000F559B" w:rsidRPr="000305CD">
              <w:rPr>
                <w:rFonts w:asciiTheme="minorHAnsi" w:hAnsiTheme="minorHAnsi"/>
                <w:b/>
                <w:bCs/>
                <w:noProof/>
                <w:color w:val="FFFFFF"/>
                <w:sz w:val="20"/>
                <w:szCs w:val="22"/>
              </w:rPr>
              <w:t>7</w:t>
            </w:r>
            <w:r w:rsidR="00BB1F55">
              <w:rPr>
                <w:rFonts w:asciiTheme="minorHAnsi" w:hAnsiTheme="minorHAnsi"/>
                <w:b/>
                <w:bCs/>
                <w:noProof/>
                <w:color w:val="FFFFFF"/>
                <w:sz w:val="20"/>
                <w:szCs w:val="22"/>
              </w:rPr>
              <w:t xml:space="preserve"> </w:t>
            </w:r>
          </w:p>
        </w:tc>
      </w:tr>
      <w:tr w:rsidR="00C96E2F" w:rsidRPr="000305CD" w14:paraId="05F3BF0B" w14:textId="77777777" w:rsidTr="00762B0A">
        <w:trPr>
          <w:trHeight w:val="285"/>
          <w:jc w:val="center"/>
        </w:trPr>
        <w:tc>
          <w:tcPr>
            <w:tcW w:w="2636" w:type="pct"/>
            <w:shd w:val="clear" w:color="auto" w:fill="B8CCE4"/>
            <w:hideMark/>
          </w:tcPr>
          <w:p w14:paraId="008933DC" w14:textId="77777777" w:rsidR="00C96E2F" w:rsidRPr="000305CD" w:rsidRDefault="000305CD" w:rsidP="00762B0A">
            <w:pPr>
              <w:pStyle w:val="NORMLN0"/>
              <w:spacing w:before="0" w:after="0"/>
              <w:ind w:firstLine="0"/>
              <w:rPr>
                <w:rFonts w:asciiTheme="minorHAnsi" w:hAnsiTheme="minorHAnsi"/>
                <w:noProof/>
                <w:sz w:val="20"/>
                <w:szCs w:val="22"/>
              </w:rPr>
            </w:pPr>
            <w:r w:rsidRPr="000305CD">
              <w:rPr>
                <w:rFonts w:asciiTheme="minorHAnsi" w:hAnsiTheme="minorHAnsi"/>
                <w:noProof/>
                <w:sz w:val="20"/>
                <w:szCs w:val="22"/>
              </w:rPr>
              <w:t xml:space="preserve">Chyba </w:t>
            </w:r>
            <w:r>
              <w:rPr>
                <w:rFonts w:asciiTheme="minorHAnsi" w:hAnsiTheme="minorHAnsi"/>
                <w:noProof/>
                <w:sz w:val="20"/>
                <w:szCs w:val="22"/>
              </w:rPr>
              <w:t xml:space="preserve">ve </w:t>
            </w:r>
            <w:r w:rsidRPr="000305CD">
              <w:rPr>
                <w:rFonts w:asciiTheme="minorHAnsi" w:hAnsiTheme="minorHAnsi"/>
                <w:noProof/>
                <w:sz w:val="20"/>
                <w:szCs w:val="22"/>
              </w:rPr>
              <w:t>vykazování</w:t>
            </w:r>
          </w:p>
        </w:tc>
        <w:tc>
          <w:tcPr>
            <w:tcW w:w="2364" w:type="pct"/>
            <w:shd w:val="clear" w:color="auto" w:fill="B8CCE4"/>
            <w:hideMark/>
          </w:tcPr>
          <w:p w14:paraId="2A9735B2" w14:textId="77777777" w:rsidR="00C96E2F" w:rsidRPr="000305CD" w:rsidRDefault="000305CD" w:rsidP="00762B0A">
            <w:pPr>
              <w:pStyle w:val="NORMLN0"/>
              <w:spacing w:before="0" w:after="0"/>
              <w:ind w:firstLine="0"/>
              <w:jc w:val="center"/>
              <w:rPr>
                <w:rFonts w:asciiTheme="minorHAnsi" w:hAnsiTheme="minorHAnsi"/>
                <w:noProof/>
                <w:sz w:val="20"/>
                <w:szCs w:val="22"/>
              </w:rPr>
            </w:pPr>
            <w:r w:rsidRPr="000305CD">
              <w:rPr>
                <w:rFonts w:asciiTheme="minorHAnsi" w:hAnsiTheme="minorHAnsi"/>
                <w:noProof/>
                <w:sz w:val="20"/>
                <w:szCs w:val="22"/>
              </w:rPr>
              <w:t>3</w:t>
            </w:r>
          </w:p>
        </w:tc>
      </w:tr>
      <w:tr w:rsidR="00C96E2F" w:rsidRPr="000305CD" w14:paraId="0DA90077" w14:textId="77777777" w:rsidTr="00762B0A">
        <w:trPr>
          <w:trHeight w:val="201"/>
          <w:jc w:val="center"/>
        </w:trPr>
        <w:tc>
          <w:tcPr>
            <w:tcW w:w="2636" w:type="pct"/>
            <w:shd w:val="clear" w:color="auto" w:fill="DBE5F1"/>
            <w:hideMark/>
          </w:tcPr>
          <w:p w14:paraId="72F4ABA6" w14:textId="77777777" w:rsidR="00C96E2F" w:rsidRPr="000305CD" w:rsidRDefault="000305CD" w:rsidP="00762B0A">
            <w:pPr>
              <w:pStyle w:val="NORMLN0"/>
              <w:spacing w:before="0" w:after="0"/>
              <w:ind w:firstLine="0"/>
              <w:rPr>
                <w:rFonts w:asciiTheme="minorHAnsi" w:hAnsiTheme="minorHAnsi"/>
                <w:noProof/>
                <w:sz w:val="20"/>
                <w:szCs w:val="22"/>
              </w:rPr>
            </w:pPr>
            <w:r w:rsidRPr="000305CD">
              <w:rPr>
                <w:rFonts w:asciiTheme="minorHAnsi" w:hAnsiTheme="minorHAnsi"/>
                <w:noProof/>
                <w:sz w:val="20"/>
                <w:szCs w:val="22"/>
              </w:rPr>
              <w:t>Přiřazené IČME není ve VÚME</w:t>
            </w:r>
          </w:p>
        </w:tc>
        <w:tc>
          <w:tcPr>
            <w:tcW w:w="2364" w:type="pct"/>
            <w:shd w:val="clear" w:color="auto" w:fill="DBE5F1"/>
            <w:hideMark/>
          </w:tcPr>
          <w:p w14:paraId="2F69ECAA" w14:textId="77777777" w:rsidR="00C96E2F" w:rsidRPr="000305CD" w:rsidRDefault="000305CD" w:rsidP="00762B0A">
            <w:pPr>
              <w:pStyle w:val="NORMLN0"/>
              <w:spacing w:before="0" w:after="0"/>
              <w:ind w:firstLine="0"/>
              <w:jc w:val="center"/>
              <w:rPr>
                <w:rFonts w:asciiTheme="minorHAnsi" w:hAnsiTheme="minorHAnsi"/>
                <w:noProof/>
                <w:sz w:val="20"/>
                <w:szCs w:val="22"/>
              </w:rPr>
            </w:pPr>
            <w:r w:rsidRPr="000305CD">
              <w:rPr>
                <w:rFonts w:asciiTheme="minorHAnsi" w:hAnsiTheme="minorHAnsi"/>
                <w:noProof/>
                <w:sz w:val="20"/>
                <w:szCs w:val="22"/>
              </w:rPr>
              <w:t>2</w:t>
            </w:r>
          </w:p>
        </w:tc>
      </w:tr>
      <w:tr w:rsidR="00C96E2F" w:rsidRPr="000305CD" w14:paraId="1B8DC8A2" w14:textId="77777777" w:rsidTr="00762B0A">
        <w:trPr>
          <w:trHeight w:val="281"/>
          <w:jc w:val="center"/>
        </w:trPr>
        <w:tc>
          <w:tcPr>
            <w:tcW w:w="2636" w:type="pct"/>
            <w:shd w:val="clear" w:color="auto" w:fill="B8CCE4"/>
            <w:hideMark/>
          </w:tcPr>
          <w:p w14:paraId="27838C61" w14:textId="77777777" w:rsidR="00C96E2F" w:rsidRPr="000305CD" w:rsidRDefault="000305CD" w:rsidP="00762B0A">
            <w:pPr>
              <w:pStyle w:val="NORMLN0"/>
              <w:spacing w:before="0" w:after="0"/>
              <w:ind w:firstLine="0"/>
              <w:rPr>
                <w:rFonts w:asciiTheme="minorHAnsi" w:hAnsiTheme="minorHAnsi"/>
                <w:noProof/>
                <w:sz w:val="20"/>
                <w:szCs w:val="22"/>
              </w:rPr>
            </w:pPr>
            <w:r w:rsidRPr="000305CD">
              <w:rPr>
                <w:rFonts w:asciiTheme="minorHAnsi" w:hAnsiTheme="minorHAnsi"/>
                <w:noProof/>
                <w:sz w:val="20"/>
                <w:szCs w:val="22"/>
              </w:rPr>
              <w:t>Obsahuje IČPE, které není ve VÚPE</w:t>
            </w:r>
          </w:p>
        </w:tc>
        <w:tc>
          <w:tcPr>
            <w:tcW w:w="2364" w:type="pct"/>
            <w:shd w:val="clear" w:color="auto" w:fill="B8CCE4"/>
            <w:hideMark/>
          </w:tcPr>
          <w:p w14:paraId="7CAD3316" w14:textId="77777777" w:rsidR="00C96E2F" w:rsidRPr="000305CD" w:rsidRDefault="000305CD" w:rsidP="00762B0A">
            <w:pPr>
              <w:pStyle w:val="NORMLN0"/>
              <w:spacing w:before="0" w:after="0"/>
              <w:ind w:firstLine="0"/>
              <w:jc w:val="center"/>
              <w:rPr>
                <w:rFonts w:asciiTheme="minorHAnsi" w:hAnsiTheme="minorHAnsi"/>
                <w:noProof/>
                <w:sz w:val="20"/>
                <w:szCs w:val="22"/>
              </w:rPr>
            </w:pPr>
            <w:r w:rsidRPr="000305CD">
              <w:rPr>
                <w:rFonts w:asciiTheme="minorHAnsi" w:hAnsiTheme="minorHAnsi"/>
                <w:noProof/>
                <w:sz w:val="20"/>
                <w:szCs w:val="22"/>
              </w:rPr>
              <w:t>205</w:t>
            </w:r>
          </w:p>
        </w:tc>
      </w:tr>
      <w:tr w:rsidR="00C96E2F" w:rsidRPr="000305CD" w14:paraId="22AC12C5" w14:textId="77777777" w:rsidTr="00762B0A">
        <w:trPr>
          <w:trHeight w:val="271"/>
          <w:jc w:val="center"/>
        </w:trPr>
        <w:tc>
          <w:tcPr>
            <w:tcW w:w="2636" w:type="pct"/>
            <w:shd w:val="clear" w:color="auto" w:fill="DBE5F1"/>
            <w:hideMark/>
          </w:tcPr>
          <w:p w14:paraId="2956A939" w14:textId="77777777" w:rsidR="00C96E2F" w:rsidRPr="000305CD" w:rsidRDefault="000305CD" w:rsidP="00762B0A">
            <w:pPr>
              <w:pStyle w:val="NORMLN0"/>
              <w:spacing w:before="0" w:after="0"/>
              <w:ind w:firstLine="0"/>
              <w:rPr>
                <w:rFonts w:asciiTheme="minorHAnsi" w:hAnsiTheme="minorHAnsi"/>
                <w:noProof/>
                <w:sz w:val="20"/>
                <w:szCs w:val="22"/>
              </w:rPr>
            </w:pPr>
            <w:r w:rsidRPr="000305CD">
              <w:rPr>
                <w:rFonts w:asciiTheme="minorHAnsi" w:hAnsiTheme="minorHAnsi"/>
                <w:noProof/>
                <w:sz w:val="20"/>
                <w:szCs w:val="22"/>
              </w:rPr>
              <w:t>Není IČPE vodovodu</w:t>
            </w:r>
          </w:p>
        </w:tc>
        <w:tc>
          <w:tcPr>
            <w:tcW w:w="2364" w:type="pct"/>
            <w:shd w:val="clear" w:color="auto" w:fill="DBE5F1"/>
            <w:hideMark/>
          </w:tcPr>
          <w:p w14:paraId="7CA6B649" w14:textId="77777777" w:rsidR="00C96E2F" w:rsidRPr="000305CD" w:rsidRDefault="000305CD" w:rsidP="00762B0A">
            <w:pPr>
              <w:pStyle w:val="NORMLN0"/>
              <w:spacing w:before="0" w:after="0"/>
              <w:ind w:firstLine="0"/>
              <w:jc w:val="center"/>
              <w:rPr>
                <w:rFonts w:asciiTheme="minorHAnsi" w:hAnsiTheme="minorHAnsi"/>
                <w:noProof/>
                <w:sz w:val="20"/>
                <w:szCs w:val="22"/>
              </w:rPr>
            </w:pPr>
            <w:r w:rsidRPr="000305CD">
              <w:rPr>
                <w:rFonts w:asciiTheme="minorHAnsi" w:hAnsiTheme="minorHAnsi"/>
                <w:noProof/>
                <w:sz w:val="20"/>
                <w:szCs w:val="22"/>
              </w:rPr>
              <w:t>15</w:t>
            </w:r>
          </w:p>
        </w:tc>
      </w:tr>
      <w:tr w:rsidR="00C96E2F" w:rsidRPr="000305CD" w14:paraId="5DE4620D" w14:textId="77777777" w:rsidTr="00762B0A">
        <w:trPr>
          <w:trHeight w:val="177"/>
          <w:jc w:val="center"/>
        </w:trPr>
        <w:tc>
          <w:tcPr>
            <w:tcW w:w="2636" w:type="pct"/>
            <w:shd w:val="clear" w:color="auto" w:fill="DBE5F1"/>
            <w:hideMark/>
          </w:tcPr>
          <w:p w14:paraId="3E58D9F8" w14:textId="77777777" w:rsidR="00C96E2F" w:rsidRPr="000305CD" w:rsidRDefault="00C96E2F" w:rsidP="00762B0A">
            <w:pPr>
              <w:pStyle w:val="NORMLN0"/>
              <w:spacing w:before="0" w:after="0"/>
              <w:ind w:firstLine="0"/>
              <w:jc w:val="right"/>
              <w:rPr>
                <w:rFonts w:asciiTheme="minorHAnsi" w:hAnsiTheme="minorHAnsi"/>
                <w:noProof/>
                <w:sz w:val="20"/>
                <w:szCs w:val="22"/>
              </w:rPr>
            </w:pPr>
            <w:r w:rsidRPr="000305CD">
              <w:rPr>
                <w:rFonts w:asciiTheme="minorHAnsi" w:hAnsiTheme="minorHAnsi"/>
                <w:b/>
                <w:bCs/>
                <w:noProof/>
                <w:sz w:val="20"/>
                <w:szCs w:val="22"/>
              </w:rPr>
              <w:t>celkem</w:t>
            </w:r>
          </w:p>
        </w:tc>
        <w:tc>
          <w:tcPr>
            <w:tcW w:w="2364" w:type="pct"/>
            <w:shd w:val="clear" w:color="auto" w:fill="DBE5F1"/>
            <w:hideMark/>
          </w:tcPr>
          <w:p w14:paraId="71AEE717" w14:textId="77777777" w:rsidR="00C96E2F" w:rsidRPr="000305CD" w:rsidRDefault="000305CD" w:rsidP="00762B0A">
            <w:pPr>
              <w:pStyle w:val="NORMLN0"/>
              <w:spacing w:before="0" w:after="0"/>
              <w:ind w:firstLine="0"/>
              <w:jc w:val="center"/>
              <w:rPr>
                <w:rFonts w:asciiTheme="minorHAnsi" w:hAnsiTheme="minorHAnsi"/>
                <w:noProof/>
                <w:sz w:val="20"/>
                <w:szCs w:val="22"/>
              </w:rPr>
            </w:pPr>
            <w:r w:rsidRPr="000305CD">
              <w:rPr>
                <w:rFonts w:asciiTheme="minorHAnsi" w:hAnsiTheme="minorHAnsi"/>
                <w:b/>
                <w:bCs/>
                <w:noProof/>
                <w:sz w:val="20"/>
                <w:szCs w:val="22"/>
              </w:rPr>
              <w:t>225</w:t>
            </w:r>
          </w:p>
        </w:tc>
      </w:tr>
    </w:tbl>
    <w:p w14:paraId="1D9280F0" w14:textId="77777777" w:rsidR="000E38AE" w:rsidRPr="000A06BE" w:rsidRDefault="00493C25" w:rsidP="00EB23E5">
      <w:pPr>
        <w:pStyle w:val="Nadpis3"/>
        <w:rPr>
          <w:rFonts w:asciiTheme="minorHAnsi" w:hAnsiTheme="minorHAnsi"/>
          <w:noProof/>
        </w:rPr>
      </w:pPr>
      <w:bookmarkStart w:id="27" w:name="_Toc3291988"/>
      <w:r w:rsidRPr="000A06BE">
        <w:rPr>
          <w:rFonts w:asciiTheme="minorHAnsi" w:hAnsiTheme="minorHAnsi"/>
          <w:noProof/>
        </w:rPr>
        <w:t>Kanalizace</w:t>
      </w:r>
      <w:bookmarkEnd w:id="27"/>
    </w:p>
    <w:p w14:paraId="18694677" w14:textId="77777777" w:rsidR="00B87BD4" w:rsidRDefault="00493C25" w:rsidP="009478F5">
      <w:pPr>
        <w:pStyle w:val="NORMLN0"/>
        <w:rPr>
          <w:noProof/>
        </w:rPr>
      </w:pPr>
      <w:r w:rsidRPr="00C62639">
        <w:rPr>
          <w:noProof/>
        </w:rPr>
        <w:t xml:space="preserve">V případě kanalizace bylo z celkového počtu </w:t>
      </w:r>
      <w:r w:rsidR="000305CD">
        <w:rPr>
          <w:noProof/>
        </w:rPr>
        <w:t>2</w:t>
      </w:r>
      <w:r w:rsidR="002A2172">
        <w:rPr>
          <w:noProof/>
        </w:rPr>
        <w:t xml:space="preserve"> </w:t>
      </w:r>
      <w:r w:rsidR="000305CD">
        <w:rPr>
          <w:noProof/>
        </w:rPr>
        <w:t>232</w:t>
      </w:r>
      <w:r w:rsidRPr="00C62639">
        <w:rPr>
          <w:noProof/>
        </w:rPr>
        <w:t xml:space="preserve"> Porovnání </w:t>
      </w:r>
      <w:r w:rsidR="00F02313" w:rsidRPr="00C62639">
        <w:rPr>
          <w:noProof/>
        </w:rPr>
        <w:t xml:space="preserve">vyřazeno </w:t>
      </w:r>
      <w:r w:rsidR="000305CD">
        <w:rPr>
          <w:noProof/>
        </w:rPr>
        <w:t>227</w:t>
      </w:r>
      <w:r w:rsidR="009478F5">
        <w:rPr>
          <w:noProof/>
        </w:rPr>
        <w:t xml:space="preserve"> (tj. 10,17 %)</w:t>
      </w:r>
      <w:r w:rsidRPr="00C62639">
        <w:rPr>
          <w:noProof/>
        </w:rPr>
        <w:t>. Opět nejčastěji se vyskytujícím nedostatkem (</w:t>
      </w:r>
      <w:r w:rsidR="009478F5">
        <w:rPr>
          <w:noProof/>
        </w:rPr>
        <w:t>79,90</w:t>
      </w:r>
      <w:r w:rsidRPr="00C62639">
        <w:rPr>
          <w:noProof/>
        </w:rPr>
        <w:t xml:space="preserve"> %) byl odlišný počet IČPE uvedených na Porovnáních a počet IČPE daného provozovatele odevzdaných v rámci VÚPE.</w:t>
      </w:r>
    </w:p>
    <w:p w14:paraId="19C0FD74" w14:textId="77777777" w:rsidR="00F666F7" w:rsidRDefault="00F666F7" w:rsidP="000937F8">
      <w:pPr>
        <w:pStyle w:val="Normlnzprva"/>
        <w:rPr>
          <w:noProof/>
        </w:rPr>
      </w:pPr>
    </w:p>
    <w:p w14:paraId="1BC803CA" w14:textId="77777777" w:rsidR="00430622" w:rsidRDefault="00430622" w:rsidP="000937F8">
      <w:pPr>
        <w:pStyle w:val="Normlnzprva"/>
        <w:rPr>
          <w:noProof/>
        </w:rPr>
      </w:pPr>
    </w:p>
    <w:tbl>
      <w:tblPr>
        <w:tblStyle w:val="Tmavtabulkasmkou5zvraznn61"/>
        <w:tblW w:w="3863" w:type="pct"/>
        <w:jc w:val="center"/>
        <w:tblLook w:val="0420" w:firstRow="1" w:lastRow="0" w:firstColumn="0" w:lastColumn="0" w:noHBand="0" w:noVBand="1"/>
      </w:tblPr>
      <w:tblGrid>
        <w:gridCol w:w="4119"/>
        <w:gridCol w:w="2881"/>
      </w:tblGrid>
      <w:tr w:rsidR="00C96E2F" w:rsidRPr="00C62639" w14:paraId="47CC42AD" w14:textId="77777777" w:rsidTr="000A159C">
        <w:trPr>
          <w:cnfStyle w:val="100000000000" w:firstRow="1" w:lastRow="0" w:firstColumn="0" w:lastColumn="0" w:oddVBand="0" w:evenVBand="0" w:oddHBand="0" w:evenHBand="0" w:firstRowFirstColumn="0" w:firstRowLastColumn="0" w:lastRowFirstColumn="0" w:lastRowLastColumn="0"/>
          <w:trHeight w:val="468"/>
          <w:jc w:val="center"/>
        </w:trPr>
        <w:tc>
          <w:tcPr>
            <w:tcW w:w="2942" w:type="pct"/>
            <w:vAlign w:val="center"/>
            <w:hideMark/>
          </w:tcPr>
          <w:p w14:paraId="63461C25" w14:textId="77777777" w:rsidR="00C96E2F" w:rsidRPr="00F6250E" w:rsidRDefault="004A7829" w:rsidP="00F02313">
            <w:pPr>
              <w:pStyle w:val="Normlnzprva"/>
              <w:spacing w:after="0" w:line="0" w:lineRule="atLeast"/>
              <w:ind w:firstLine="0"/>
              <w:jc w:val="center"/>
              <w:rPr>
                <w:rFonts w:asciiTheme="minorHAnsi" w:hAnsiTheme="minorHAnsi"/>
                <w:noProof/>
                <w:sz w:val="20"/>
                <w:szCs w:val="20"/>
              </w:rPr>
            </w:pPr>
            <w:r w:rsidRPr="00F6250E">
              <w:rPr>
                <w:rFonts w:asciiTheme="minorHAnsi" w:hAnsiTheme="minorHAnsi"/>
                <w:noProof/>
                <w:sz w:val="20"/>
                <w:szCs w:val="20"/>
              </w:rPr>
              <w:t>Důvod vyřazení Porovnání - KANALIZACE</w:t>
            </w:r>
          </w:p>
        </w:tc>
        <w:tc>
          <w:tcPr>
            <w:tcW w:w="2058" w:type="pct"/>
            <w:vAlign w:val="center"/>
            <w:hideMark/>
          </w:tcPr>
          <w:p w14:paraId="13B2A763" w14:textId="77777777" w:rsidR="00C96E2F" w:rsidRPr="00F6250E" w:rsidRDefault="004A7829">
            <w:pPr>
              <w:pStyle w:val="Normlnzprva"/>
              <w:spacing w:after="0" w:line="0" w:lineRule="atLeast"/>
              <w:ind w:firstLine="0"/>
              <w:jc w:val="center"/>
              <w:rPr>
                <w:rFonts w:asciiTheme="minorHAnsi" w:hAnsiTheme="minorHAnsi"/>
                <w:noProof/>
                <w:sz w:val="20"/>
                <w:szCs w:val="20"/>
              </w:rPr>
            </w:pPr>
            <w:r w:rsidRPr="00F6250E">
              <w:rPr>
                <w:rFonts w:asciiTheme="minorHAnsi" w:hAnsiTheme="minorHAnsi"/>
                <w:noProof/>
                <w:sz w:val="20"/>
                <w:szCs w:val="20"/>
              </w:rPr>
              <w:t xml:space="preserve">Počet vyřazených Porovnání z benchmarkingu 2017 </w:t>
            </w:r>
          </w:p>
        </w:tc>
      </w:tr>
      <w:tr w:rsidR="00C96E2F" w:rsidRPr="00C62639" w14:paraId="3DE91056" w14:textId="77777777" w:rsidTr="000A159C">
        <w:trPr>
          <w:cnfStyle w:val="000000100000" w:firstRow="0" w:lastRow="0" w:firstColumn="0" w:lastColumn="0" w:oddVBand="0" w:evenVBand="0" w:oddHBand="1" w:evenHBand="0" w:firstRowFirstColumn="0" w:firstRowLastColumn="0" w:lastRowFirstColumn="0" w:lastRowLastColumn="0"/>
          <w:trHeight w:val="20"/>
          <w:jc w:val="center"/>
        </w:trPr>
        <w:tc>
          <w:tcPr>
            <w:tcW w:w="2942" w:type="pct"/>
            <w:vAlign w:val="center"/>
            <w:hideMark/>
          </w:tcPr>
          <w:p w14:paraId="0226CC28" w14:textId="77777777" w:rsidR="00C96E2F" w:rsidRPr="00C62639" w:rsidRDefault="000305CD" w:rsidP="00F02313">
            <w:pPr>
              <w:pStyle w:val="Normlnzprva"/>
              <w:spacing w:after="0" w:line="0" w:lineRule="atLeast"/>
              <w:rPr>
                <w:rFonts w:asciiTheme="minorHAnsi" w:hAnsiTheme="minorHAnsi"/>
                <w:noProof/>
              </w:rPr>
            </w:pPr>
            <w:r>
              <w:rPr>
                <w:rFonts w:cs="Calibri"/>
                <w:sz w:val="20"/>
                <w:szCs w:val="20"/>
                <w:lang w:eastAsia="cs-CZ"/>
              </w:rPr>
              <w:t>Extrémně nízké fakturované množství</w:t>
            </w:r>
          </w:p>
        </w:tc>
        <w:tc>
          <w:tcPr>
            <w:tcW w:w="2058" w:type="pct"/>
            <w:vAlign w:val="center"/>
            <w:hideMark/>
          </w:tcPr>
          <w:p w14:paraId="2572BDD3" w14:textId="77777777" w:rsidR="00C96E2F" w:rsidRPr="00F6250E" w:rsidRDefault="000305CD" w:rsidP="000305CD">
            <w:pPr>
              <w:pStyle w:val="Normlnzprva"/>
              <w:spacing w:after="0" w:line="0" w:lineRule="atLeast"/>
              <w:ind w:firstLine="0"/>
              <w:jc w:val="center"/>
              <w:rPr>
                <w:rFonts w:asciiTheme="minorHAnsi" w:hAnsiTheme="minorHAnsi"/>
                <w:noProof/>
                <w:sz w:val="20"/>
                <w:szCs w:val="20"/>
              </w:rPr>
            </w:pPr>
            <w:r w:rsidRPr="00F6250E">
              <w:rPr>
                <w:rFonts w:asciiTheme="minorHAnsi" w:hAnsiTheme="minorHAnsi"/>
                <w:noProof/>
                <w:sz w:val="20"/>
                <w:szCs w:val="20"/>
              </w:rPr>
              <w:t>36</w:t>
            </w:r>
          </w:p>
        </w:tc>
      </w:tr>
      <w:tr w:rsidR="00C96E2F" w:rsidRPr="00C62639" w14:paraId="7BEC910F" w14:textId="77777777" w:rsidTr="000A159C">
        <w:trPr>
          <w:trHeight w:val="20"/>
          <w:jc w:val="center"/>
        </w:trPr>
        <w:tc>
          <w:tcPr>
            <w:tcW w:w="2942" w:type="pct"/>
            <w:vAlign w:val="center"/>
            <w:hideMark/>
          </w:tcPr>
          <w:p w14:paraId="31248511" w14:textId="77777777" w:rsidR="00C96E2F" w:rsidRPr="00C62639" w:rsidRDefault="000305CD" w:rsidP="00F02313">
            <w:pPr>
              <w:pStyle w:val="Normlnzprva"/>
              <w:spacing w:after="0" w:line="0" w:lineRule="atLeast"/>
              <w:rPr>
                <w:rFonts w:asciiTheme="minorHAnsi" w:hAnsiTheme="minorHAnsi"/>
                <w:noProof/>
              </w:rPr>
            </w:pPr>
            <w:r>
              <w:rPr>
                <w:rFonts w:cs="Calibri"/>
                <w:sz w:val="20"/>
                <w:szCs w:val="20"/>
                <w:lang w:eastAsia="cs-CZ"/>
              </w:rPr>
              <w:t>Chyba ve vykazování</w:t>
            </w:r>
          </w:p>
        </w:tc>
        <w:tc>
          <w:tcPr>
            <w:tcW w:w="2058" w:type="pct"/>
            <w:vAlign w:val="center"/>
            <w:hideMark/>
          </w:tcPr>
          <w:p w14:paraId="61119E23" w14:textId="77777777" w:rsidR="00C96E2F" w:rsidRPr="00F6250E" w:rsidRDefault="000305CD" w:rsidP="000305CD">
            <w:pPr>
              <w:pStyle w:val="Normlnzprva"/>
              <w:spacing w:after="0" w:line="0" w:lineRule="atLeast"/>
              <w:ind w:firstLine="21"/>
              <w:jc w:val="center"/>
              <w:rPr>
                <w:rFonts w:asciiTheme="minorHAnsi" w:hAnsiTheme="minorHAnsi"/>
                <w:noProof/>
                <w:sz w:val="20"/>
                <w:szCs w:val="20"/>
              </w:rPr>
            </w:pPr>
            <w:r w:rsidRPr="00F6250E">
              <w:rPr>
                <w:rFonts w:asciiTheme="minorHAnsi" w:hAnsiTheme="minorHAnsi"/>
                <w:noProof/>
                <w:sz w:val="20"/>
                <w:szCs w:val="20"/>
              </w:rPr>
              <w:t>3</w:t>
            </w:r>
          </w:p>
        </w:tc>
      </w:tr>
      <w:tr w:rsidR="00C96E2F" w:rsidRPr="00C62639" w14:paraId="2A58E654" w14:textId="77777777" w:rsidTr="000A159C">
        <w:trPr>
          <w:cnfStyle w:val="000000100000" w:firstRow="0" w:lastRow="0" w:firstColumn="0" w:lastColumn="0" w:oddVBand="0" w:evenVBand="0" w:oddHBand="1" w:evenHBand="0" w:firstRowFirstColumn="0" w:firstRowLastColumn="0" w:lastRowFirstColumn="0" w:lastRowLastColumn="0"/>
          <w:trHeight w:val="20"/>
          <w:jc w:val="center"/>
        </w:trPr>
        <w:tc>
          <w:tcPr>
            <w:tcW w:w="2942" w:type="pct"/>
            <w:vAlign w:val="center"/>
            <w:hideMark/>
          </w:tcPr>
          <w:p w14:paraId="3D85DF51" w14:textId="77777777" w:rsidR="00C96E2F" w:rsidRPr="00C62639" w:rsidRDefault="000305CD" w:rsidP="00F02313">
            <w:pPr>
              <w:pStyle w:val="Normlnzprva"/>
              <w:spacing w:after="0" w:line="0" w:lineRule="atLeast"/>
              <w:rPr>
                <w:rFonts w:asciiTheme="minorHAnsi" w:hAnsiTheme="minorHAnsi"/>
                <w:noProof/>
              </w:rPr>
            </w:pPr>
            <w:r>
              <w:rPr>
                <w:rFonts w:cs="Calibri"/>
                <w:sz w:val="20"/>
                <w:szCs w:val="20"/>
                <w:lang w:eastAsia="cs-CZ"/>
              </w:rPr>
              <w:t>Přiřazené IČME není ve VUME</w:t>
            </w:r>
          </w:p>
        </w:tc>
        <w:tc>
          <w:tcPr>
            <w:tcW w:w="2058" w:type="pct"/>
            <w:vAlign w:val="center"/>
            <w:hideMark/>
          </w:tcPr>
          <w:p w14:paraId="53D4EB6F" w14:textId="77777777" w:rsidR="00C96E2F" w:rsidRPr="00F6250E" w:rsidRDefault="000305CD" w:rsidP="000305CD">
            <w:pPr>
              <w:pStyle w:val="Normlnzprva"/>
              <w:spacing w:after="0" w:line="0" w:lineRule="atLeast"/>
              <w:ind w:firstLine="21"/>
              <w:jc w:val="center"/>
              <w:rPr>
                <w:rFonts w:asciiTheme="minorHAnsi" w:hAnsiTheme="minorHAnsi"/>
                <w:noProof/>
                <w:sz w:val="20"/>
                <w:szCs w:val="20"/>
              </w:rPr>
            </w:pPr>
            <w:r w:rsidRPr="00F6250E">
              <w:rPr>
                <w:rFonts w:asciiTheme="minorHAnsi" w:hAnsiTheme="minorHAnsi"/>
                <w:noProof/>
                <w:sz w:val="20"/>
                <w:szCs w:val="20"/>
              </w:rPr>
              <w:t>3</w:t>
            </w:r>
          </w:p>
        </w:tc>
      </w:tr>
      <w:tr w:rsidR="00C96E2F" w:rsidRPr="00C62639" w14:paraId="1C2B01A3" w14:textId="77777777" w:rsidTr="000A159C">
        <w:trPr>
          <w:trHeight w:val="20"/>
          <w:jc w:val="center"/>
        </w:trPr>
        <w:tc>
          <w:tcPr>
            <w:tcW w:w="2942" w:type="pct"/>
            <w:vAlign w:val="center"/>
            <w:hideMark/>
          </w:tcPr>
          <w:p w14:paraId="2F88F8A9" w14:textId="77777777" w:rsidR="00C96E2F" w:rsidRPr="00C62639" w:rsidRDefault="000305CD" w:rsidP="0071058D">
            <w:pPr>
              <w:pStyle w:val="Normlnzprva"/>
              <w:spacing w:after="0" w:line="0" w:lineRule="atLeast"/>
              <w:rPr>
                <w:rFonts w:asciiTheme="minorHAnsi" w:hAnsiTheme="minorHAnsi"/>
                <w:noProof/>
              </w:rPr>
            </w:pPr>
            <w:r>
              <w:rPr>
                <w:rFonts w:cs="Calibri"/>
                <w:sz w:val="20"/>
                <w:szCs w:val="20"/>
                <w:lang w:eastAsia="cs-CZ"/>
              </w:rPr>
              <w:t>Obsahuje IČPE, které není ve VUPE</w:t>
            </w:r>
          </w:p>
        </w:tc>
        <w:tc>
          <w:tcPr>
            <w:tcW w:w="2058" w:type="pct"/>
            <w:vAlign w:val="center"/>
            <w:hideMark/>
          </w:tcPr>
          <w:p w14:paraId="34B8448F" w14:textId="77777777" w:rsidR="00C96E2F" w:rsidRPr="00F6250E" w:rsidRDefault="000305CD" w:rsidP="000305CD">
            <w:pPr>
              <w:pStyle w:val="Normlnzprva"/>
              <w:spacing w:after="0" w:line="0" w:lineRule="atLeast"/>
              <w:ind w:firstLine="21"/>
              <w:jc w:val="center"/>
              <w:rPr>
                <w:rFonts w:asciiTheme="minorHAnsi" w:hAnsiTheme="minorHAnsi"/>
                <w:noProof/>
                <w:sz w:val="20"/>
                <w:szCs w:val="20"/>
              </w:rPr>
            </w:pPr>
            <w:r w:rsidRPr="00F6250E">
              <w:rPr>
                <w:rFonts w:asciiTheme="minorHAnsi" w:hAnsiTheme="minorHAnsi"/>
                <w:noProof/>
                <w:sz w:val="20"/>
                <w:szCs w:val="20"/>
              </w:rPr>
              <w:t>155</w:t>
            </w:r>
          </w:p>
        </w:tc>
      </w:tr>
      <w:tr w:rsidR="000305CD" w:rsidRPr="00C62639" w14:paraId="7878665C" w14:textId="77777777" w:rsidTr="000A159C">
        <w:trPr>
          <w:cnfStyle w:val="000000100000" w:firstRow="0" w:lastRow="0" w:firstColumn="0" w:lastColumn="0" w:oddVBand="0" w:evenVBand="0" w:oddHBand="1" w:evenHBand="0" w:firstRowFirstColumn="0" w:firstRowLastColumn="0" w:lastRowFirstColumn="0" w:lastRowLastColumn="0"/>
          <w:trHeight w:val="20"/>
          <w:jc w:val="center"/>
        </w:trPr>
        <w:tc>
          <w:tcPr>
            <w:tcW w:w="2942" w:type="pct"/>
            <w:vAlign w:val="center"/>
          </w:tcPr>
          <w:p w14:paraId="38EA7BF8" w14:textId="77777777" w:rsidR="000305CD" w:rsidRPr="00C62639" w:rsidRDefault="000305CD" w:rsidP="000305CD">
            <w:pPr>
              <w:pStyle w:val="Normlnzprva"/>
              <w:spacing w:after="0" w:line="0" w:lineRule="atLeast"/>
              <w:jc w:val="left"/>
              <w:rPr>
                <w:rFonts w:asciiTheme="minorHAnsi" w:hAnsiTheme="minorHAnsi"/>
                <w:b/>
                <w:bCs/>
                <w:noProof/>
              </w:rPr>
            </w:pPr>
            <w:r>
              <w:rPr>
                <w:rFonts w:cs="Calibri"/>
                <w:sz w:val="20"/>
                <w:szCs w:val="20"/>
                <w:lang w:eastAsia="cs-CZ"/>
              </w:rPr>
              <w:t>Není IČPE kanalizace</w:t>
            </w:r>
          </w:p>
        </w:tc>
        <w:tc>
          <w:tcPr>
            <w:tcW w:w="2058" w:type="pct"/>
            <w:vAlign w:val="center"/>
          </w:tcPr>
          <w:p w14:paraId="16A2A3F3" w14:textId="77777777" w:rsidR="000305CD" w:rsidRPr="00F6250E" w:rsidRDefault="000305CD" w:rsidP="000305CD">
            <w:pPr>
              <w:pStyle w:val="Normlnzprva"/>
              <w:spacing w:after="0" w:line="0" w:lineRule="atLeast"/>
              <w:ind w:firstLine="21"/>
              <w:jc w:val="center"/>
              <w:rPr>
                <w:rFonts w:asciiTheme="minorHAnsi" w:hAnsiTheme="minorHAnsi"/>
                <w:bCs/>
                <w:noProof/>
                <w:sz w:val="20"/>
                <w:szCs w:val="20"/>
              </w:rPr>
            </w:pPr>
            <w:r w:rsidRPr="00F6250E">
              <w:rPr>
                <w:rFonts w:asciiTheme="minorHAnsi" w:hAnsiTheme="minorHAnsi"/>
                <w:bCs/>
                <w:noProof/>
                <w:sz w:val="20"/>
                <w:szCs w:val="20"/>
              </w:rPr>
              <w:t>30</w:t>
            </w:r>
          </w:p>
        </w:tc>
      </w:tr>
      <w:tr w:rsidR="00C96E2F" w:rsidRPr="00C62639" w14:paraId="20E12AE5" w14:textId="77777777" w:rsidTr="000A159C">
        <w:trPr>
          <w:trHeight w:val="20"/>
          <w:jc w:val="center"/>
        </w:trPr>
        <w:tc>
          <w:tcPr>
            <w:tcW w:w="2942" w:type="pct"/>
            <w:vAlign w:val="center"/>
            <w:hideMark/>
          </w:tcPr>
          <w:p w14:paraId="3DFBC365" w14:textId="77777777" w:rsidR="00C96E2F" w:rsidRPr="000305CD" w:rsidRDefault="00C96E2F" w:rsidP="002A3893">
            <w:pPr>
              <w:pStyle w:val="Normlnzprva"/>
              <w:spacing w:after="0" w:line="0" w:lineRule="atLeast"/>
              <w:jc w:val="right"/>
              <w:rPr>
                <w:rFonts w:asciiTheme="minorHAnsi" w:hAnsiTheme="minorHAnsi"/>
                <w:noProof/>
                <w:sz w:val="20"/>
              </w:rPr>
            </w:pPr>
            <w:r w:rsidRPr="000305CD">
              <w:rPr>
                <w:rFonts w:asciiTheme="minorHAnsi" w:hAnsiTheme="minorHAnsi"/>
                <w:b/>
                <w:bCs/>
                <w:noProof/>
                <w:sz w:val="20"/>
              </w:rPr>
              <w:t>celkem</w:t>
            </w:r>
          </w:p>
        </w:tc>
        <w:tc>
          <w:tcPr>
            <w:tcW w:w="2058" w:type="pct"/>
            <w:vAlign w:val="center"/>
            <w:hideMark/>
          </w:tcPr>
          <w:p w14:paraId="7E83C9C9" w14:textId="77777777" w:rsidR="00C96E2F" w:rsidRPr="00F6250E" w:rsidRDefault="00C96E2F" w:rsidP="000305CD">
            <w:pPr>
              <w:pStyle w:val="Normlnzprva"/>
              <w:spacing w:after="0" w:line="0" w:lineRule="atLeast"/>
              <w:ind w:firstLine="21"/>
              <w:jc w:val="center"/>
              <w:rPr>
                <w:rFonts w:asciiTheme="minorHAnsi" w:hAnsiTheme="minorHAnsi"/>
                <w:noProof/>
                <w:sz w:val="20"/>
                <w:szCs w:val="20"/>
              </w:rPr>
            </w:pPr>
            <w:r w:rsidRPr="00F6250E">
              <w:rPr>
                <w:rFonts w:asciiTheme="minorHAnsi" w:hAnsiTheme="minorHAnsi"/>
                <w:b/>
                <w:bCs/>
                <w:noProof/>
                <w:sz w:val="20"/>
                <w:szCs w:val="20"/>
              </w:rPr>
              <w:t>194</w:t>
            </w:r>
          </w:p>
        </w:tc>
      </w:tr>
    </w:tbl>
    <w:p w14:paraId="793744DE" w14:textId="77777777" w:rsidR="00F666F7" w:rsidRDefault="00F02313" w:rsidP="0026569A">
      <w:pPr>
        <w:pStyle w:val="Normlnzprva"/>
        <w:rPr>
          <w:noProof/>
        </w:rPr>
      </w:pPr>
      <w:r w:rsidRPr="00C62639">
        <w:rPr>
          <w:noProof/>
        </w:rPr>
        <w:t xml:space="preserve"> </w:t>
      </w:r>
    </w:p>
    <w:p w14:paraId="5859E2E5" w14:textId="4435892D" w:rsidR="00F666F7" w:rsidRDefault="000305CD" w:rsidP="009478F5">
      <w:pPr>
        <w:pStyle w:val="NORMLN0"/>
        <w:rPr>
          <w:noProof/>
        </w:rPr>
      </w:pPr>
      <w:r>
        <w:rPr>
          <w:noProof/>
        </w:rPr>
        <w:t>Jak v případě vodovodu, tak i v případě kanalizace je nejvíce se vysky</w:t>
      </w:r>
      <w:r w:rsidR="009478F5">
        <w:rPr>
          <w:noProof/>
        </w:rPr>
        <w:t>tujícím nedostatkem zabraňujícím</w:t>
      </w:r>
      <w:r>
        <w:rPr>
          <w:noProof/>
        </w:rPr>
        <w:t xml:space="preserve"> zařazení Porovnání do dalších analýz </w:t>
      </w:r>
      <w:r w:rsidR="00567243">
        <w:rPr>
          <w:noProof/>
        </w:rPr>
        <w:t>chybějící hlášení VÚPE k IČPE uvedenému na Porovnání.</w:t>
      </w:r>
      <w:r>
        <w:rPr>
          <w:noProof/>
        </w:rPr>
        <w:t xml:space="preserve"> </w:t>
      </w:r>
    </w:p>
    <w:p w14:paraId="47481EC5" w14:textId="77777777" w:rsidR="00567243" w:rsidRDefault="00567243" w:rsidP="009478F5">
      <w:pPr>
        <w:pStyle w:val="NORMLN0"/>
        <w:rPr>
          <w:noProof/>
        </w:rPr>
      </w:pPr>
    </w:p>
    <w:p w14:paraId="0B625AEA" w14:textId="77777777" w:rsidR="00493C25" w:rsidRPr="00C62639" w:rsidRDefault="00E9122F" w:rsidP="00F7523D">
      <w:pPr>
        <w:pStyle w:val="Nadpis2"/>
        <w:rPr>
          <w:rFonts w:asciiTheme="minorHAnsi" w:hAnsiTheme="minorHAnsi"/>
          <w:noProof/>
        </w:rPr>
      </w:pPr>
      <w:bookmarkStart w:id="28" w:name="_Toc3291989"/>
      <w:r w:rsidRPr="00C62639">
        <w:rPr>
          <w:rFonts w:asciiTheme="minorHAnsi" w:hAnsiTheme="minorHAnsi"/>
          <w:noProof/>
        </w:rPr>
        <w:t xml:space="preserve">Rozdělení Porovnání do </w:t>
      </w:r>
      <w:r w:rsidR="00C1539B" w:rsidRPr="00C62639">
        <w:rPr>
          <w:rFonts w:asciiTheme="minorHAnsi" w:hAnsiTheme="minorHAnsi"/>
          <w:noProof/>
        </w:rPr>
        <w:t xml:space="preserve">vlastnických </w:t>
      </w:r>
      <w:r w:rsidRPr="00C62639">
        <w:rPr>
          <w:rFonts w:asciiTheme="minorHAnsi" w:hAnsiTheme="minorHAnsi"/>
          <w:noProof/>
        </w:rPr>
        <w:t xml:space="preserve">a </w:t>
      </w:r>
      <w:r w:rsidR="00C1539B" w:rsidRPr="00C62639">
        <w:rPr>
          <w:rFonts w:asciiTheme="minorHAnsi" w:hAnsiTheme="minorHAnsi"/>
          <w:noProof/>
        </w:rPr>
        <w:t xml:space="preserve">provozovatelských </w:t>
      </w:r>
      <w:r w:rsidRPr="00C62639">
        <w:rPr>
          <w:rFonts w:asciiTheme="minorHAnsi" w:hAnsiTheme="minorHAnsi"/>
          <w:noProof/>
        </w:rPr>
        <w:t>skupin</w:t>
      </w:r>
      <w:bookmarkEnd w:id="28"/>
    </w:p>
    <w:p w14:paraId="57466FD0" w14:textId="77777777" w:rsidR="00F666F7" w:rsidRPr="00F6250E" w:rsidRDefault="00F73F99" w:rsidP="00F6250E">
      <w:pPr>
        <w:pStyle w:val="NORMLN0"/>
      </w:pPr>
      <w:r w:rsidRPr="00F6250E">
        <w:t xml:space="preserve">Rozdělení analyzovaných Porovnání do skupin bylo realizováno v souladu se stanoveným postupem v metodice </w:t>
      </w:r>
      <w:r w:rsidR="00997593" w:rsidRPr="00934258">
        <w:rPr>
          <w:noProof/>
        </w:rPr>
        <w:t>benchmarking</w:t>
      </w:r>
      <w:r w:rsidRPr="00F6250E">
        <w:t>u. Počty Porovnání v</w:t>
      </w:r>
      <w:r w:rsidR="00B26631" w:rsidRPr="00F6250E">
        <w:t xml:space="preserve"> </w:t>
      </w:r>
      <w:r w:rsidRPr="00F6250E">
        <w:t>jednotlivých skupinách vlastnického a provozovatelského benchmarkingu</w:t>
      </w:r>
      <w:r w:rsidR="004F510A" w:rsidRPr="00F6250E">
        <w:t xml:space="preserve"> jsou uvedeny</w:t>
      </w:r>
      <w:r w:rsidRPr="00F6250E">
        <w:t xml:space="preserve"> v následujících tabulkách.</w:t>
      </w:r>
      <w:r w:rsidR="00D7224F" w:rsidRPr="00F6250E">
        <w:t xml:space="preserve"> </w:t>
      </w:r>
    </w:p>
    <w:p w14:paraId="443C703B" w14:textId="77777777" w:rsidR="00E9122F" w:rsidRPr="00C62639" w:rsidRDefault="00F7523D" w:rsidP="00F7523D">
      <w:pPr>
        <w:pStyle w:val="Nadpis3"/>
        <w:rPr>
          <w:rFonts w:asciiTheme="minorHAnsi" w:eastAsia="Calibri" w:hAnsiTheme="minorHAnsi"/>
          <w:noProof/>
        </w:rPr>
      </w:pPr>
      <w:bookmarkStart w:id="29" w:name="_Toc3291990"/>
      <w:r w:rsidRPr="00C62639">
        <w:rPr>
          <w:rFonts w:asciiTheme="minorHAnsi" w:eastAsia="Calibri" w:hAnsiTheme="minorHAnsi"/>
          <w:noProof/>
        </w:rPr>
        <w:lastRenderedPageBreak/>
        <w:t>Skupiny vlastnického benchmarkingu</w:t>
      </w:r>
      <w:bookmarkEnd w:id="29"/>
    </w:p>
    <w:p w14:paraId="5DAA4FF6" w14:textId="791FBF88" w:rsidR="00C1539B" w:rsidRDefault="00F73F99" w:rsidP="004F510A">
      <w:pPr>
        <w:pStyle w:val="NORMLN0"/>
        <w:rPr>
          <w:noProof/>
        </w:rPr>
      </w:pPr>
      <w:r w:rsidRPr="00934258">
        <w:rPr>
          <w:noProof/>
        </w:rPr>
        <w:t xml:space="preserve">Vlastnický </w:t>
      </w:r>
      <w:r w:rsidR="00997593" w:rsidRPr="00934258">
        <w:rPr>
          <w:noProof/>
        </w:rPr>
        <w:t>benchmarking</w:t>
      </w:r>
      <w:r w:rsidRPr="00934258">
        <w:rPr>
          <w:noProof/>
        </w:rPr>
        <w:t xml:space="preserve"> dělí Porovnání do skupin podle hodnoty </w:t>
      </w:r>
      <w:r w:rsidR="004F510A">
        <w:rPr>
          <w:noProof/>
        </w:rPr>
        <w:t>VIM</w:t>
      </w:r>
      <w:r w:rsidRPr="00934258">
        <w:rPr>
          <w:noProof/>
        </w:rPr>
        <w:t xml:space="preserve"> vypočtené</w:t>
      </w:r>
      <w:r w:rsidR="004F510A">
        <w:rPr>
          <w:noProof/>
        </w:rPr>
        <w:t xml:space="preserve"> podle</w:t>
      </w:r>
      <w:r w:rsidR="00BC03D3">
        <w:rPr>
          <w:noProof/>
        </w:rPr>
        <w:t xml:space="preserve"> </w:t>
      </w:r>
      <w:r w:rsidRPr="00934258">
        <w:rPr>
          <w:noProof/>
        </w:rPr>
        <w:t>metodického pokynu Ministerstva Z</w:t>
      </w:r>
      <w:r w:rsidR="004F510A">
        <w:rPr>
          <w:noProof/>
        </w:rPr>
        <w:t>emědělství č.j.: 401/2010-15000.</w:t>
      </w:r>
      <w:r>
        <w:rPr>
          <w:noProof/>
        </w:rPr>
        <w:t xml:space="preserve"> Vlastníci, jejichž majetek je uveden na více Porovnáních, se mohou vyskytnout ve více skupinách</w:t>
      </w:r>
      <w:r w:rsidR="004F510A">
        <w:rPr>
          <w:noProof/>
        </w:rPr>
        <w:t>, a to i několikrát</w:t>
      </w:r>
      <w:r>
        <w:rPr>
          <w:noProof/>
        </w:rPr>
        <w:t>.</w:t>
      </w:r>
    </w:p>
    <w:p w14:paraId="68A72EF5" w14:textId="77777777" w:rsidR="00567243" w:rsidRDefault="00567243" w:rsidP="004F510A">
      <w:pPr>
        <w:pStyle w:val="NORMLN0"/>
        <w:rPr>
          <w:noProof/>
        </w:rPr>
      </w:pPr>
    </w:p>
    <w:p w14:paraId="69CA89F9" w14:textId="77777777" w:rsidR="00D34DCA" w:rsidRPr="00C62639" w:rsidRDefault="00D34DCA" w:rsidP="00F666F7">
      <w:pPr>
        <w:pStyle w:val="Normlnzprva"/>
        <w:rPr>
          <w:rFonts w:asciiTheme="minorHAnsi" w:hAnsiTheme="minorHAnsi"/>
          <w:noProof/>
        </w:rPr>
      </w:pPr>
    </w:p>
    <w:tbl>
      <w:tblPr>
        <w:tblW w:w="5000" w:type="pct"/>
        <w:jc w:val="center"/>
        <w:tblBorders>
          <w:top w:val="single" w:sz="12" w:space="0" w:color="548DD4"/>
          <w:left w:val="single" w:sz="12" w:space="0" w:color="548DD4"/>
          <w:bottom w:val="single" w:sz="12" w:space="0" w:color="548DD4"/>
          <w:right w:val="single" w:sz="12" w:space="0" w:color="548DD4"/>
        </w:tblBorders>
        <w:tblCellMar>
          <w:left w:w="70" w:type="dxa"/>
          <w:right w:w="70" w:type="dxa"/>
        </w:tblCellMar>
        <w:tblLook w:val="04A0" w:firstRow="1" w:lastRow="0" w:firstColumn="1" w:lastColumn="0" w:noHBand="0" w:noVBand="1"/>
      </w:tblPr>
      <w:tblGrid>
        <w:gridCol w:w="2831"/>
        <w:gridCol w:w="1672"/>
        <w:gridCol w:w="918"/>
        <w:gridCol w:w="680"/>
        <w:gridCol w:w="973"/>
        <w:gridCol w:w="1002"/>
        <w:gridCol w:w="964"/>
      </w:tblGrid>
      <w:tr w:rsidR="003445F0" w:rsidRPr="009722AF" w14:paraId="02240468" w14:textId="77777777" w:rsidTr="00115BC3">
        <w:trPr>
          <w:trHeight w:val="613"/>
          <w:jc w:val="center"/>
        </w:trPr>
        <w:tc>
          <w:tcPr>
            <w:tcW w:w="1566" w:type="pct"/>
            <w:tcBorders>
              <w:top w:val="single" w:sz="12" w:space="0" w:color="548DD4"/>
              <w:bottom w:val="nil"/>
              <w:right w:val="single" w:sz="12" w:space="0" w:color="548DD4"/>
            </w:tcBorders>
            <w:shd w:val="clear" w:color="auto" w:fill="auto"/>
            <w:vAlign w:val="bottom"/>
            <w:hideMark/>
          </w:tcPr>
          <w:p w14:paraId="1A1C0E18" w14:textId="77777777" w:rsidR="003445F0" w:rsidRPr="009722AF" w:rsidRDefault="003445F0" w:rsidP="00AC433C">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b/>
                <w:noProof/>
                <w:color w:val="000000"/>
                <w:sz w:val="22"/>
                <w:lang w:eastAsia="cs-CZ"/>
              </w:rPr>
              <w:t>PITNÁ VODA</w:t>
            </w:r>
            <w:r w:rsidRPr="009722AF">
              <w:rPr>
                <w:rFonts w:asciiTheme="majorHAnsi" w:eastAsia="Times New Roman" w:hAnsiTheme="majorHAnsi"/>
                <w:noProof/>
                <w:color w:val="000000"/>
                <w:sz w:val="22"/>
                <w:lang w:eastAsia="cs-CZ"/>
              </w:rPr>
              <w:t xml:space="preserve"> </w:t>
            </w:r>
            <w:r w:rsidRPr="009722AF">
              <w:rPr>
                <w:rFonts w:asciiTheme="majorHAnsi" w:eastAsia="Times New Roman" w:hAnsiTheme="majorHAnsi"/>
                <w:noProof/>
                <w:color w:val="000000"/>
                <w:sz w:val="22"/>
                <w:lang w:eastAsia="cs-CZ"/>
              </w:rPr>
              <w:br/>
              <w:t>Rozdělení Porovnání do skupin</w:t>
            </w:r>
          </w:p>
        </w:tc>
        <w:tc>
          <w:tcPr>
            <w:tcW w:w="925" w:type="pct"/>
            <w:tcBorders>
              <w:left w:val="single" w:sz="12" w:space="0" w:color="548DD4"/>
            </w:tcBorders>
            <w:shd w:val="clear" w:color="auto" w:fill="auto"/>
            <w:noWrap/>
            <w:vAlign w:val="bottom"/>
            <w:hideMark/>
          </w:tcPr>
          <w:p w14:paraId="41557321" w14:textId="77777777" w:rsidR="003445F0" w:rsidRPr="009722AF" w:rsidRDefault="003445F0" w:rsidP="00AC433C">
            <w:pPr>
              <w:spacing w:before="0" w:after="0"/>
              <w:contextualSpacing w:val="0"/>
              <w:jc w:val="left"/>
              <w:rPr>
                <w:rFonts w:asciiTheme="majorHAnsi" w:eastAsia="Times New Roman" w:hAnsiTheme="majorHAnsi"/>
                <w:noProof/>
                <w:color w:val="000000"/>
                <w:lang w:eastAsia="cs-CZ"/>
              </w:rPr>
            </w:pPr>
          </w:p>
        </w:tc>
        <w:tc>
          <w:tcPr>
            <w:tcW w:w="508" w:type="pct"/>
            <w:tcBorders>
              <w:bottom w:val="nil"/>
            </w:tcBorders>
          </w:tcPr>
          <w:p w14:paraId="062E8C9D" w14:textId="77777777" w:rsidR="003445F0" w:rsidRPr="009722AF" w:rsidRDefault="003445F0" w:rsidP="00AC433C">
            <w:pPr>
              <w:spacing w:before="0" w:after="0"/>
              <w:contextualSpacing w:val="0"/>
              <w:jc w:val="center"/>
              <w:rPr>
                <w:rFonts w:asciiTheme="majorHAnsi" w:eastAsia="Times New Roman" w:hAnsiTheme="majorHAnsi"/>
                <w:noProof/>
                <w:color w:val="000000"/>
                <w:sz w:val="22"/>
                <w:lang w:eastAsia="cs-CZ"/>
              </w:rPr>
            </w:pPr>
          </w:p>
        </w:tc>
        <w:tc>
          <w:tcPr>
            <w:tcW w:w="2002" w:type="pct"/>
            <w:gridSpan w:val="4"/>
            <w:tcBorders>
              <w:bottom w:val="nil"/>
            </w:tcBorders>
            <w:shd w:val="clear" w:color="auto" w:fill="auto"/>
            <w:noWrap/>
            <w:vAlign w:val="center"/>
            <w:hideMark/>
          </w:tcPr>
          <w:p w14:paraId="42D50B6C" w14:textId="77777777" w:rsidR="003445F0" w:rsidRPr="009722AF" w:rsidRDefault="003445F0" w:rsidP="00AC433C">
            <w:pPr>
              <w:spacing w:before="0" w:after="0"/>
              <w:contextualSpacing w:val="0"/>
              <w:jc w:val="center"/>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 xml:space="preserve">Zastoupení podle modelu provozování </w:t>
            </w:r>
          </w:p>
        </w:tc>
      </w:tr>
      <w:tr w:rsidR="003445F0" w:rsidRPr="009722AF" w14:paraId="638BE61D" w14:textId="77777777" w:rsidTr="00115BC3">
        <w:trPr>
          <w:trHeight w:val="306"/>
          <w:jc w:val="center"/>
        </w:trPr>
        <w:tc>
          <w:tcPr>
            <w:tcW w:w="1566" w:type="pct"/>
            <w:tcBorders>
              <w:top w:val="nil"/>
              <w:bottom w:val="nil"/>
              <w:right w:val="single" w:sz="12" w:space="0" w:color="548DD4"/>
            </w:tcBorders>
            <w:shd w:val="clear" w:color="5B9BD5" w:fill="5B9BD5"/>
            <w:noWrap/>
            <w:vAlign w:val="center"/>
            <w:hideMark/>
          </w:tcPr>
          <w:p w14:paraId="3AC9B8E9" w14:textId="77777777" w:rsidR="003445F0" w:rsidRPr="009722AF" w:rsidRDefault="003445F0" w:rsidP="00AC433C">
            <w:pPr>
              <w:spacing w:before="0" w:after="0"/>
              <w:contextualSpacing w:val="0"/>
              <w:jc w:val="left"/>
              <w:rPr>
                <w:rFonts w:asciiTheme="majorHAnsi" w:eastAsia="Times New Roman" w:hAnsiTheme="majorHAnsi"/>
                <w:b/>
                <w:bCs/>
                <w:noProof/>
                <w:color w:val="FFFFFF"/>
                <w:lang w:eastAsia="cs-CZ"/>
              </w:rPr>
            </w:pPr>
            <w:r w:rsidRPr="009722AF">
              <w:rPr>
                <w:rFonts w:asciiTheme="majorHAnsi" w:eastAsia="Times New Roman" w:hAnsiTheme="majorHAnsi"/>
                <w:b/>
                <w:bCs/>
                <w:noProof/>
                <w:color w:val="FFFFFF"/>
                <w:sz w:val="22"/>
                <w:lang w:eastAsia="cs-CZ"/>
              </w:rPr>
              <w:t xml:space="preserve">Skupina / Model provozování </w:t>
            </w:r>
          </w:p>
        </w:tc>
        <w:tc>
          <w:tcPr>
            <w:tcW w:w="925" w:type="pct"/>
            <w:tcBorders>
              <w:left w:val="single" w:sz="12" w:space="0" w:color="548DD4"/>
              <w:right w:val="single" w:sz="12" w:space="0" w:color="548DD4"/>
            </w:tcBorders>
            <w:shd w:val="clear" w:color="5B9BD5" w:fill="5B9BD5"/>
            <w:noWrap/>
            <w:vAlign w:val="center"/>
            <w:hideMark/>
          </w:tcPr>
          <w:p w14:paraId="67C7A626" w14:textId="77777777" w:rsidR="003445F0" w:rsidRPr="009722AF" w:rsidRDefault="003445F0" w:rsidP="00AC433C">
            <w:pPr>
              <w:spacing w:before="0" w:after="0"/>
              <w:contextualSpacing w:val="0"/>
              <w:jc w:val="left"/>
              <w:rPr>
                <w:rFonts w:asciiTheme="majorHAnsi" w:eastAsia="Times New Roman" w:hAnsiTheme="majorHAnsi"/>
                <w:b/>
                <w:bCs/>
                <w:noProof/>
                <w:color w:val="FFFFFF"/>
                <w:lang w:eastAsia="cs-CZ"/>
              </w:rPr>
            </w:pPr>
            <w:r w:rsidRPr="009722AF">
              <w:rPr>
                <w:rFonts w:asciiTheme="majorHAnsi" w:eastAsia="Times New Roman" w:hAnsiTheme="majorHAnsi"/>
                <w:b/>
                <w:bCs/>
                <w:noProof/>
                <w:color w:val="FFFFFF"/>
                <w:sz w:val="22"/>
                <w:lang w:eastAsia="cs-CZ"/>
              </w:rPr>
              <w:t xml:space="preserve">Počet Porovnání </w:t>
            </w:r>
          </w:p>
          <w:p w14:paraId="713DF909" w14:textId="77777777" w:rsidR="003445F0" w:rsidRPr="009722AF" w:rsidRDefault="003445F0" w:rsidP="00AC433C">
            <w:pPr>
              <w:spacing w:before="0" w:after="0"/>
              <w:contextualSpacing w:val="0"/>
              <w:jc w:val="left"/>
              <w:rPr>
                <w:rFonts w:asciiTheme="majorHAnsi" w:eastAsia="Times New Roman" w:hAnsiTheme="majorHAnsi"/>
                <w:b/>
                <w:bCs/>
                <w:noProof/>
                <w:color w:val="FFFFFF"/>
                <w:lang w:eastAsia="cs-CZ"/>
              </w:rPr>
            </w:pPr>
            <w:r w:rsidRPr="009722AF">
              <w:rPr>
                <w:rFonts w:asciiTheme="majorHAnsi" w:eastAsia="Times New Roman" w:hAnsiTheme="majorHAnsi"/>
                <w:b/>
                <w:bCs/>
                <w:noProof/>
                <w:color w:val="FFFFFF"/>
                <w:sz w:val="22"/>
                <w:lang w:eastAsia="cs-CZ"/>
              </w:rPr>
              <w:t>ve skupině</w:t>
            </w:r>
          </w:p>
        </w:tc>
        <w:tc>
          <w:tcPr>
            <w:tcW w:w="884" w:type="pct"/>
            <w:gridSpan w:val="2"/>
            <w:tcBorders>
              <w:top w:val="nil"/>
              <w:left w:val="single" w:sz="12" w:space="0" w:color="548DD4"/>
              <w:bottom w:val="nil"/>
              <w:right w:val="single" w:sz="6" w:space="0" w:color="FFFFFF" w:themeColor="background1"/>
            </w:tcBorders>
            <w:shd w:val="clear" w:color="5B9BD5" w:fill="5B9BD5"/>
            <w:noWrap/>
            <w:vAlign w:val="center"/>
            <w:hideMark/>
          </w:tcPr>
          <w:p w14:paraId="7187CA6C"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lang w:eastAsia="cs-CZ"/>
              </w:rPr>
            </w:pPr>
            <w:r w:rsidRPr="009722AF">
              <w:rPr>
                <w:rFonts w:asciiTheme="majorHAnsi" w:eastAsia="Times New Roman" w:hAnsiTheme="majorHAnsi"/>
                <w:b/>
                <w:bCs/>
                <w:noProof/>
                <w:color w:val="FFFFFF"/>
                <w:sz w:val="20"/>
                <w:lang w:eastAsia="cs-CZ"/>
              </w:rPr>
              <w:t>KOMBINOVANÝ</w:t>
            </w:r>
          </w:p>
        </w:tc>
        <w:tc>
          <w:tcPr>
            <w:tcW w:w="538" w:type="pct"/>
            <w:tcBorders>
              <w:top w:val="nil"/>
              <w:left w:val="single" w:sz="6" w:space="0" w:color="FFFFFF" w:themeColor="background1"/>
              <w:bottom w:val="nil"/>
              <w:right w:val="single" w:sz="6" w:space="0" w:color="FFFFFF" w:themeColor="background1"/>
            </w:tcBorders>
            <w:shd w:val="clear" w:color="5B9BD5" w:fill="5B9BD5"/>
            <w:noWrap/>
            <w:vAlign w:val="center"/>
            <w:hideMark/>
          </w:tcPr>
          <w:p w14:paraId="016D90B1"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lang w:eastAsia="cs-CZ"/>
              </w:rPr>
            </w:pPr>
            <w:r w:rsidRPr="009722AF">
              <w:rPr>
                <w:rFonts w:asciiTheme="majorHAnsi" w:eastAsia="Times New Roman" w:hAnsiTheme="majorHAnsi"/>
                <w:b/>
                <w:bCs/>
                <w:noProof/>
                <w:color w:val="FFFFFF"/>
                <w:sz w:val="20"/>
                <w:lang w:eastAsia="cs-CZ"/>
              </w:rPr>
              <w:t>ODDÍLNÝ</w:t>
            </w:r>
          </w:p>
        </w:tc>
        <w:tc>
          <w:tcPr>
            <w:tcW w:w="554" w:type="pct"/>
            <w:tcBorders>
              <w:top w:val="nil"/>
              <w:left w:val="single" w:sz="6" w:space="0" w:color="FFFFFF" w:themeColor="background1"/>
              <w:bottom w:val="nil"/>
              <w:right w:val="single" w:sz="6" w:space="0" w:color="FFFFFF" w:themeColor="background1"/>
            </w:tcBorders>
            <w:shd w:val="clear" w:color="5B9BD5" w:fill="5B9BD5"/>
            <w:vAlign w:val="center"/>
          </w:tcPr>
          <w:p w14:paraId="635488BA" w14:textId="77777777" w:rsidR="003445F0" w:rsidRPr="009722AF" w:rsidRDefault="003445F0" w:rsidP="003445F0">
            <w:pPr>
              <w:spacing w:before="0" w:after="0"/>
              <w:contextualSpacing w:val="0"/>
              <w:jc w:val="center"/>
              <w:rPr>
                <w:rFonts w:asciiTheme="majorHAnsi" w:hAnsiTheme="majorHAnsi"/>
                <w:b/>
                <w:bCs/>
                <w:color w:val="FFFFFF"/>
                <w:sz w:val="20"/>
                <w:lang w:eastAsia="cs-CZ"/>
              </w:rPr>
            </w:pPr>
            <w:r w:rsidRPr="009722AF">
              <w:rPr>
                <w:rFonts w:asciiTheme="majorHAnsi" w:hAnsiTheme="majorHAnsi"/>
                <w:b/>
                <w:bCs/>
                <w:color w:val="FFFFFF"/>
                <w:sz w:val="20"/>
              </w:rPr>
              <w:t>ODDÍLNÝ SERVISNÍ SMLOUVA</w:t>
            </w:r>
          </w:p>
        </w:tc>
        <w:tc>
          <w:tcPr>
            <w:tcW w:w="533" w:type="pct"/>
            <w:tcBorders>
              <w:top w:val="nil"/>
              <w:left w:val="single" w:sz="6" w:space="0" w:color="FFFFFF" w:themeColor="background1"/>
              <w:bottom w:val="nil"/>
            </w:tcBorders>
            <w:shd w:val="clear" w:color="5B9BD5" w:fill="5B9BD5"/>
            <w:noWrap/>
            <w:vAlign w:val="center"/>
            <w:hideMark/>
          </w:tcPr>
          <w:p w14:paraId="3D0E2AC7"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lang w:eastAsia="cs-CZ"/>
              </w:rPr>
            </w:pPr>
            <w:r w:rsidRPr="009722AF">
              <w:rPr>
                <w:rFonts w:asciiTheme="majorHAnsi" w:eastAsia="Times New Roman" w:hAnsiTheme="majorHAnsi"/>
                <w:b/>
                <w:bCs/>
                <w:noProof/>
                <w:color w:val="FFFFFF"/>
                <w:sz w:val="20"/>
                <w:lang w:eastAsia="cs-CZ"/>
              </w:rPr>
              <w:t>SMÍŠENÝ</w:t>
            </w:r>
          </w:p>
        </w:tc>
      </w:tr>
      <w:tr w:rsidR="00115BC3" w:rsidRPr="009722AF" w14:paraId="565CCD4B" w14:textId="77777777" w:rsidTr="00115BC3">
        <w:trPr>
          <w:trHeight w:val="306"/>
          <w:jc w:val="center"/>
        </w:trPr>
        <w:tc>
          <w:tcPr>
            <w:tcW w:w="1566" w:type="pct"/>
            <w:tcBorders>
              <w:top w:val="nil"/>
              <w:bottom w:val="nil"/>
              <w:right w:val="single" w:sz="12" w:space="0" w:color="548DD4"/>
            </w:tcBorders>
            <w:shd w:val="clear" w:color="BDD7EE" w:fill="BDD7EE"/>
            <w:noWrap/>
            <w:vAlign w:val="bottom"/>
            <w:hideMark/>
          </w:tcPr>
          <w:p w14:paraId="0907CDDD" w14:textId="77777777" w:rsidR="00115BC3" w:rsidRPr="009722AF" w:rsidRDefault="00115BC3" w:rsidP="00115BC3">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I.skupina(&gt;10 000mil.Kč)</w:t>
            </w:r>
          </w:p>
        </w:tc>
        <w:tc>
          <w:tcPr>
            <w:tcW w:w="925" w:type="pct"/>
            <w:tcBorders>
              <w:left w:val="single" w:sz="12" w:space="0" w:color="548DD4"/>
              <w:right w:val="single" w:sz="12" w:space="0" w:color="548DD4"/>
            </w:tcBorders>
            <w:shd w:val="clear" w:color="BDD7EE" w:fill="BDD7EE"/>
            <w:noWrap/>
            <w:vAlign w:val="bottom"/>
            <w:hideMark/>
          </w:tcPr>
          <w:p w14:paraId="0B715D46" w14:textId="77777777" w:rsidR="00115BC3" w:rsidRPr="009722AF" w:rsidRDefault="00115BC3" w:rsidP="00115BC3">
            <w:pPr>
              <w:spacing w:before="0" w:after="0"/>
              <w:contextualSpacing w:val="0"/>
              <w:jc w:val="center"/>
              <w:rPr>
                <w:rFonts w:asciiTheme="majorHAnsi" w:eastAsia="Times New Roman" w:hAnsiTheme="majorHAnsi"/>
                <w:b/>
                <w:noProof/>
                <w:color w:val="000000"/>
                <w:lang w:eastAsia="cs-CZ"/>
              </w:rPr>
            </w:pPr>
            <w:r>
              <w:rPr>
                <w:color w:val="000000"/>
                <w:sz w:val="22"/>
              </w:rPr>
              <w:t>3</w:t>
            </w:r>
          </w:p>
        </w:tc>
        <w:tc>
          <w:tcPr>
            <w:tcW w:w="884" w:type="pct"/>
            <w:gridSpan w:val="2"/>
            <w:tcBorders>
              <w:top w:val="nil"/>
              <w:left w:val="single" w:sz="12" w:space="0" w:color="548DD4"/>
              <w:bottom w:val="nil"/>
              <w:right w:val="single" w:sz="6" w:space="0" w:color="FFFFFF" w:themeColor="background1"/>
            </w:tcBorders>
            <w:shd w:val="clear" w:color="BDD7EE" w:fill="BDD7EE"/>
            <w:noWrap/>
            <w:vAlign w:val="bottom"/>
            <w:hideMark/>
          </w:tcPr>
          <w:p w14:paraId="1713EC92"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1</w:t>
            </w:r>
          </w:p>
        </w:tc>
        <w:tc>
          <w:tcPr>
            <w:tcW w:w="538" w:type="pct"/>
            <w:tcBorders>
              <w:top w:val="nil"/>
              <w:left w:val="single" w:sz="6" w:space="0" w:color="FFFFFF" w:themeColor="background1"/>
              <w:bottom w:val="nil"/>
              <w:right w:val="single" w:sz="6" w:space="0" w:color="FFFFFF" w:themeColor="background1"/>
            </w:tcBorders>
            <w:shd w:val="clear" w:color="BDD7EE" w:fill="BDD7EE"/>
            <w:noWrap/>
            <w:vAlign w:val="bottom"/>
            <w:hideMark/>
          </w:tcPr>
          <w:p w14:paraId="726761F8"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2</w:t>
            </w:r>
          </w:p>
        </w:tc>
        <w:tc>
          <w:tcPr>
            <w:tcW w:w="554" w:type="pct"/>
            <w:tcBorders>
              <w:top w:val="nil"/>
              <w:left w:val="single" w:sz="6" w:space="0" w:color="FFFFFF" w:themeColor="background1"/>
              <w:bottom w:val="nil"/>
              <w:right w:val="single" w:sz="6" w:space="0" w:color="FFFFFF" w:themeColor="background1"/>
            </w:tcBorders>
            <w:shd w:val="clear" w:color="BDD7EE" w:fill="BDD7EE"/>
            <w:vAlign w:val="bottom"/>
          </w:tcPr>
          <w:p w14:paraId="03266B7F"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p>
        </w:tc>
        <w:tc>
          <w:tcPr>
            <w:tcW w:w="533" w:type="pct"/>
            <w:tcBorders>
              <w:top w:val="nil"/>
              <w:left w:val="single" w:sz="6" w:space="0" w:color="FFFFFF" w:themeColor="background1"/>
              <w:bottom w:val="nil"/>
            </w:tcBorders>
            <w:shd w:val="clear" w:color="BDD7EE" w:fill="BDD7EE"/>
            <w:noWrap/>
            <w:vAlign w:val="bottom"/>
            <w:hideMark/>
          </w:tcPr>
          <w:p w14:paraId="73F6991C"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p>
        </w:tc>
      </w:tr>
      <w:tr w:rsidR="00115BC3" w:rsidRPr="009722AF" w14:paraId="5FE0B4C7" w14:textId="77777777" w:rsidTr="00115BC3">
        <w:trPr>
          <w:trHeight w:val="306"/>
          <w:jc w:val="center"/>
        </w:trPr>
        <w:tc>
          <w:tcPr>
            <w:tcW w:w="1566" w:type="pct"/>
            <w:tcBorders>
              <w:top w:val="nil"/>
              <w:bottom w:val="nil"/>
              <w:right w:val="single" w:sz="12" w:space="0" w:color="548DD4"/>
            </w:tcBorders>
            <w:shd w:val="clear" w:color="DDEBF7" w:fill="DDEBF7"/>
            <w:noWrap/>
            <w:vAlign w:val="bottom"/>
            <w:hideMark/>
          </w:tcPr>
          <w:p w14:paraId="413CAC69" w14:textId="77777777" w:rsidR="00115BC3" w:rsidRPr="009722AF" w:rsidRDefault="00115BC3" w:rsidP="00115BC3">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II.skupina(&gt;1 000mil.Kč)</w:t>
            </w:r>
          </w:p>
        </w:tc>
        <w:tc>
          <w:tcPr>
            <w:tcW w:w="925" w:type="pct"/>
            <w:tcBorders>
              <w:left w:val="single" w:sz="12" w:space="0" w:color="548DD4"/>
              <w:right w:val="single" w:sz="12" w:space="0" w:color="548DD4"/>
            </w:tcBorders>
            <w:shd w:val="clear" w:color="DDEBF7" w:fill="DDEBF7"/>
            <w:noWrap/>
            <w:vAlign w:val="bottom"/>
            <w:hideMark/>
          </w:tcPr>
          <w:p w14:paraId="4FAEFCC7" w14:textId="77777777" w:rsidR="00115BC3" w:rsidRPr="009722AF" w:rsidRDefault="00115BC3" w:rsidP="00115BC3">
            <w:pPr>
              <w:spacing w:before="0" w:after="0"/>
              <w:contextualSpacing w:val="0"/>
              <w:jc w:val="center"/>
              <w:rPr>
                <w:rFonts w:asciiTheme="majorHAnsi" w:eastAsia="Times New Roman" w:hAnsiTheme="majorHAnsi"/>
                <w:b/>
                <w:noProof/>
                <w:color w:val="000000"/>
                <w:lang w:eastAsia="cs-CZ"/>
              </w:rPr>
            </w:pPr>
            <w:r>
              <w:rPr>
                <w:color w:val="000000"/>
                <w:sz w:val="22"/>
              </w:rPr>
              <w:t>42</w:t>
            </w:r>
          </w:p>
        </w:tc>
        <w:tc>
          <w:tcPr>
            <w:tcW w:w="884" w:type="pct"/>
            <w:gridSpan w:val="2"/>
            <w:tcBorders>
              <w:top w:val="nil"/>
              <w:left w:val="single" w:sz="12" w:space="0" w:color="548DD4"/>
              <w:bottom w:val="nil"/>
              <w:right w:val="single" w:sz="6" w:space="0" w:color="FFFFFF" w:themeColor="background1"/>
            </w:tcBorders>
            <w:shd w:val="clear" w:color="DDEBF7" w:fill="DDEBF7"/>
            <w:noWrap/>
            <w:vAlign w:val="bottom"/>
            <w:hideMark/>
          </w:tcPr>
          <w:p w14:paraId="072446D2"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21</w:t>
            </w:r>
          </w:p>
        </w:tc>
        <w:tc>
          <w:tcPr>
            <w:tcW w:w="538" w:type="pct"/>
            <w:tcBorders>
              <w:top w:val="nil"/>
              <w:left w:val="single" w:sz="6" w:space="0" w:color="FFFFFF" w:themeColor="background1"/>
              <w:bottom w:val="nil"/>
              <w:right w:val="single" w:sz="6" w:space="0" w:color="FFFFFF" w:themeColor="background1"/>
            </w:tcBorders>
            <w:shd w:val="clear" w:color="DDEBF7" w:fill="DDEBF7"/>
            <w:noWrap/>
            <w:vAlign w:val="bottom"/>
            <w:hideMark/>
          </w:tcPr>
          <w:p w14:paraId="15BDA8AE"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21</w:t>
            </w:r>
          </w:p>
        </w:tc>
        <w:tc>
          <w:tcPr>
            <w:tcW w:w="554" w:type="pct"/>
            <w:tcBorders>
              <w:top w:val="nil"/>
              <w:left w:val="single" w:sz="6" w:space="0" w:color="FFFFFF" w:themeColor="background1"/>
              <w:bottom w:val="nil"/>
              <w:right w:val="single" w:sz="6" w:space="0" w:color="FFFFFF" w:themeColor="background1"/>
            </w:tcBorders>
            <w:shd w:val="clear" w:color="DDEBF7" w:fill="DDEBF7"/>
            <w:vAlign w:val="bottom"/>
          </w:tcPr>
          <w:p w14:paraId="27FCCC24"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p>
        </w:tc>
        <w:tc>
          <w:tcPr>
            <w:tcW w:w="533" w:type="pct"/>
            <w:tcBorders>
              <w:top w:val="nil"/>
              <w:left w:val="single" w:sz="6" w:space="0" w:color="FFFFFF" w:themeColor="background1"/>
              <w:bottom w:val="nil"/>
            </w:tcBorders>
            <w:shd w:val="clear" w:color="DDEBF7" w:fill="DDEBF7"/>
            <w:noWrap/>
            <w:vAlign w:val="bottom"/>
            <w:hideMark/>
          </w:tcPr>
          <w:p w14:paraId="28304C02"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p>
        </w:tc>
      </w:tr>
      <w:tr w:rsidR="00115BC3" w:rsidRPr="009722AF" w14:paraId="21A69874" w14:textId="77777777" w:rsidTr="00115BC3">
        <w:trPr>
          <w:trHeight w:val="306"/>
          <w:jc w:val="center"/>
        </w:trPr>
        <w:tc>
          <w:tcPr>
            <w:tcW w:w="1566" w:type="pct"/>
            <w:tcBorders>
              <w:top w:val="nil"/>
              <w:bottom w:val="nil"/>
              <w:right w:val="single" w:sz="12" w:space="0" w:color="548DD4"/>
            </w:tcBorders>
            <w:shd w:val="clear" w:color="BDD7EE" w:fill="BDD7EE"/>
            <w:noWrap/>
            <w:vAlign w:val="bottom"/>
            <w:hideMark/>
          </w:tcPr>
          <w:p w14:paraId="4A841E25" w14:textId="77777777" w:rsidR="00115BC3" w:rsidRPr="009722AF" w:rsidRDefault="00115BC3" w:rsidP="00115BC3">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III.skupina(&gt;100mil.Kč)</w:t>
            </w:r>
          </w:p>
        </w:tc>
        <w:tc>
          <w:tcPr>
            <w:tcW w:w="925" w:type="pct"/>
            <w:tcBorders>
              <w:left w:val="single" w:sz="12" w:space="0" w:color="548DD4"/>
              <w:right w:val="single" w:sz="12" w:space="0" w:color="548DD4"/>
            </w:tcBorders>
            <w:shd w:val="clear" w:color="BDD7EE" w:fill="BDD7EE"/>
            <w:noWrap/>
            <w:vAlign w:val="bottom"/>
            <w:hideMark/>
          </w:tcPr>
          <w:p w14:paraId="498541D7" w14:textId="77777777" w:rsidR="00115BC3" w:rsidRPr="009722AF" w:rsidRDefault="00115BC3" w:rsidP="00115BC3">
            <w:pPr>
              <w:spacing w:before="0" w:after="0"/>
              <w:contextualSpacing w:val="0"/>
              <w:jc w:val="center"/>
              <w:rPr>
                <w:rFonts w:asciiTheme="majorHAnsi" w:eastAsia="Times New Roman" w:hAnsiTheme="majorHAnsi"/>
                <w:b/>
                <w:noProof/>
                <w:color w:val="000000"/>
                <w:lang w:eastAsia="cs-CZ"/>
              </w:rPr>
            </w:pPr>
            <w:r>
              <w:rPr>
                <w:color w:val="000000"/>
                <w:sz w:val="22"/>
              </w:rPr>
              <w:t>138</w:t>
            </w:r>
          </w:p>
        </w:tc>
        <w:tc>
          <w:tcPr>
            <w:tcW w:w="884" w:type="pct"/>
            <w:gridSpan w:val="2"/>
            <w:tcBorders>
              <w:top w:val="nil"/>
              <w:left w:val="single" w:sz="12" w:space="0" w:color="548DD4"/>
              <w:bottom w:val="nil"/>
              <w:right w:val="single" w:sz="6" w:space="0" w:color="FFFFFF" w:themeColor="background1"/>
            </w:tcBorders>
            <w:shd w:val="clear" w:color="BDD7EE" w:fill="BDD7EE"/>
            <w:noWrap/>
            <w:vAlign w:val="bottom"/>
            <w:hideMark/>
          </w:tcPr>
          <w:p w14:paraId="183BAB20"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13</w:t>
            </w:r>
          </w:p>
        </w:tc>
        <w:tc>
          <w:tcPr>
            <w:tcW w:w="538" w:type="pct"/>
            <w:tcBorders>
              <w:top w:val="nil"/>
              <w:left w:val="single" w:sz="6" w:space="0" w:color="FFFFFF" w:themeColor="background1"/>
              <w:bottom w:val="nil"/>
              <w:right w:val="single" w:sz="6" w:space="0" w:color="FFFFFF" w:themeColor="background1"/>
            </w:tcBorders>
            <w:shd w:val="clear" w:color="BDD7EE" w:fill="BDD7EE"/>
            <w:noWrap/>
            <w:vAlign w:val="bottom"/>
            <w:hideMark/>
          </w:tcPr>
          <w:p w14:paraId="4420B22E"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103</w:t>
            </w:r>
          </w:p>
        </w:tc>
        <w:tc>
          <w:tcPr>
            <w:tcW w:w="554" w:type="pct"/>
            <w:tcBorders>
              <w:top w:val="nil"/>
              <w:left w:val="single" w:sz="6" w:space="0" w:color="FFFFFF" w:themeColor="background1"/>
              <w:bottom w:val="nil"/>
              <w:right w:val="single" w:sz="6" w:space="0" w:color="FFFFFF" w:themeColor="background1"/>
            </w:tcBorders>
            <w:shd w:val="clear" w:color="BDD7EE" w:fill="BDD7EE"/>
            <w:vAlign w:val="bottom"/>
          </w:tcPr>
          <w:p w14:paraId="35607A75"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2</w:t>
            </w:r>
          </w:p>
        </w:tc>
        <w:tc>
          <w:tcPr>
            <w:tcW w:w="533" w:type="pct"/>
            <w:tcBorders>
              <w:top w:val="nil"/>
              <w:left w:val="single" w:sz="6" w:space="0" w:color="FFFFFF" w:themeColor="background1"/>
              <w:bottom w:val="nil"/>
            </w:tcBorders>
            <w:shd w:val="clear" w:color="BDD7EE" w:fill="BDD7EE"/>
            <w:noWrap/>
            <w:vAlign w:val="bottom"/>
            <w:hideMark/>
          </w:tcPr>
          <w:p w14:paraId="5146BBFC"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20</w:t>
            </w:r>
          </w:p>
        </w:tc>
      </w:tr>
      <w:tr w:rsidR="00115BC3" w:rsidRPr="009722AF" w14:paraId="4347FF26" w14:textId="77777777" w:rsidTr="00115BC3">
        <w:trPr>
          <w:trHeight w:val="306"/>
          <w:jc w:val="center"/>
        </w:trPr>
        <w:tc>
          <w:tcPr>
            <w:tcW w:w="1566" w:type="pct"/>
            <w:tcBorders>
              <w:top w:val="nil"/>
              <w:bottom w:val="nil"/>
              <w:right w:val="single" w:sz="12" w:space="0" w:color="548DD4"/>
            </w:tcBorders>
            <w:shd w:val="clear" w:color="DDEBF7" w:fill="DDEBF7"/>
            <w:noWrap/>
            <w:vAlign w:val="bottom"/>
            <w:hideMark/>
          </w:tcPr>
          <w:p w14:paraId="0F334ED2" w14:textId="77777777" w:rsidR="00115BC3" w:rsidRPr="009722AF" w:rsidRDefault="00115BC3" w:rsidP="00115BC3">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IV.skupina(&gt;10mil.Kč)</w:t>
            </w:r>
          </w:p>
        </w:tc>
        <w:tc>
          <w:tcPr>
            <w:tcW w:w="925" w:type="pct"/>
            <w:tcBorders>
              <w:left w:val="single" w:sz="12" w:space="0" w:color="548DD4"/>
              <w:right w:val="single" w:sz="12" w:space="0" w:color="548DD4"/>
            </w:tcBorders>
            <w:shd w:val="clear" w:color="DDEBF7" w:fill="DDEBF7"/>
            <w:noWrap/>
            <w:vAlign w:val="bottom"/>
            <w:hideMark/>
          </w:tcPr>
          <w:p w14:paraId="3E637600" w14:textId="77777777" w:rsidR="00115BC3" w:rsidRPr="009722AF" w:rsidRDefault="00115BC3" w:rsidP="00115BC3">
            <w:pPr>
              <w:spacing w:before="0" w:after="0"/>
              <w:contextualSpacing w:val="0"/>
              <w:jc w:val="center"/>
              <w:rPr>
                <w:rFonts w:asciiTheme="majorHAnsi" w:eastAsia="Times New Roman" w:hAnsiTheme="majorHAnsi"/>
                <w:b/>
                <w:noProof/>
                <w:color w:val="000000"/>
                <w:lang w:eastAsia="cs-CZ"/>
              </w:rPr>
            </w:pPr>
            <w:r>
              <w:rPr>
                <w:color w:val="000000"/>
                <w:sz w:val="22"/>
              </w:rPr>
              <w:t>929</w:t>
            </w:r>
          </w:p>
        </w:tc>
        <w:tc>
          <w:tcPr>
            <w:tcW w:w="884" w:type="pct"/>
            <w:gridSpan w:val="2"/>
            <w:tcBorders>
              <w:top w:val="nil"/>
              <w:left w:val="single" w:sz="12" w:space="0" w:color="548DD4"/>
              <w:bottom w:val="nil"/>
              <w:right w:val="single" w:sz="6" w:space="0" w:color="FFFFFF" w:themeColor="background1"/>
            </w:tcBorders>
            <w:shd w:val="clear" w:color="DDEBF7" w:fill="DDEBF7"/>
            <w:noWrap/>
            <w:vAlign w:val="bottom"/>
            <w:hideMark/>
          </w:tcPr>
          <w:p w14:paraId="08B2C22F"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16</w:t>
            </w:r>
          </w:p>
        </w:tc>
        <w:tc>
          <w:tcPr>
            <w:tcW w:w="538" w:type="pct"/>
            <w:tcBorders>
              <w:top w:val="nil"/>
              <w:left w:val="single" w:sz="6" w:space="0" w:color="FFFFFF" w:themeColor="background1"/>
              <w:bottom w:val="nil"/>
              <w:right w:val="single" w:sz="6" w:space="0" w:color="FFFFFF" w:themeColor="background1"/>
            </w:tcBorders>
            <w:shd w:val="clear" w:color="DDEBF7" w:fill="DDEBF7"/>
            <w:noWrap/>
            <w:vAlign w:val="bottom"/>
            <w:hideMark/>
          </w:tcPr>
          <w:p w14:paraId="4CD032EE"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468</w:t>
            </w:r>
          </w:p>
        </w:tc>
        <w:tc>
          <w:tcPr>
            <w:tcW w:w="554" w:type="pct"/>
            <w:tcBorders>
              <w:top w:val="nil"/>
              <w:left w:val="single" w:sz="6" w:space="0" w:color="FFFFFF" w:themeColor="background1"/>
              <w:bottom w:val="nil"/>
              <w:right w:val="single" w:sz="6" w:space="0" w:color="FFFFFF" w:themeColor="background1"/>
            </w:tcBorders>
            <w:shd w:val="clear" w:color="DDEBF7" w:fill="DDEBF7"/>
            <w:vAlign w:val="bottom"/>
          </w:tcPr>
          <w:p w14:paraId="6A3EB497"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81</w:t>
            </w:r>
          </w:p>
        </w:tc>
        <w:tc>
          <w:tcPr>
            <w:tcW w:w="533" w:type="pct"/>
            <w:tcBorders>
              <w:top w:val="nil"/>
              <w:left w:val="single" w:sz="6" w:space="0" w:color="FFFFFF" w:themeColor="background1"/>
              <w:bottom w:val="nil"/>
            </w:tcBorders>
            <w:shd w:val="clear" w:color="DDEBF7" w:fill="DDEBF7"/>
            <w:noWrap/>
            <w:vAlign w:val="bottom"/>
            <w:hideMark/>
          </w:tcPr>
          <w:p w14:paraId="02A306C9"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364</w:t>
            </w:r>
          </w:p>
        </w:tc>
      </w:tr>
      <w:tr w:rsidR="00115BC3" w:rsidRPr="009722AF" w14:paraId="39077CA3" w14:textId="77777777" w:rsidTr="00115BC3">
        <w:trPr>
          <w:trHeight w:val="306"/>
          <w:jc w:val="center"/>
        </w:trPr>
        <w:tc>
          <w:tcPr>
            <w:tcW w:w="1566" w:type="pct"/>
            <w:tcBorders>
              <w:top w:val="nil"/>
              <w:bottom w:val="nil"/>
              <w:right w:val="single" w:sz="12" w:space="0" w:color="548DD4"/>
            </w:tcBorders>
            <w:shd w:val="clear" w:color="BDD7EE" w:fill="BDD7EE"/>
            <w:noWrap/>
            <w:vAlign w:val="bottom"/>
            <w:hideMark/>
          </w:tcPr>
          <w:p w14:paraId="3C141C24" w14:textId="77777777" w:rsidR="00115BC3" w:rsidRPr="009722AF" w:rsidRDefault="00115BC3" w:rsidP="00115BC3">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V.skupina(&gt;1mil.Kč)</w:t>
            </w:r>
          </w:p>
        </w:tc>
        <w:tc>
          <w:tcPr>
            <w:tcW w:w="925" w:type="pct"/>
            <w:tcBorders>
              <w:left w:val="single" w:sz="12" w:space="0" w:color="548DD4"/>
              <w:bottom w:val="nil"/>
              <w:right w:val="single" w:sz="12" w:space="0" w:color="548DD4"/>
            </w:tcBorders>
            <w:shd w:val="clear" w:color="BDD7EE" w:fill="BDD7EE"/>
            <w:noWrap/>
            <w:vAlign w:val="bottom"/>
            <w:hideMark/>
          </w:tcPr>
          <w:p w14:paraId="6A88588F" w14:textId="77777777" w:rsidR="00115BC3" w:rsidRPr="009722AF" w:rsidRDefault="00115BC3" w:rsidP="00115BC3">
            <w:pPr>
              <w:spacing w:before="0" w:after="0"/>
              <w:contextualSpacing w:val="0"/>
              <w:jc w:val="center"/>
              <w:rPr>
                <w:rFonts w:asciiTheme="majorHAnsi" w:eastAsia="Times New Roman" w:hAnsiTheme="majorHAnsi"/>
                <w:b/>
                <w:noProof/>
                <w:color w:val="000000"/>
                <w:lang w:eastAsia="cs-CZ"/>
              </w:rPr>
            </w:pPr>
            <w:r>
              <w:rPr>
                <w:color w:val="000000"/>
                <w:sz w:val="22"/>
              </w:rPr>
              <w:t>560</w:t>
            </w:r>
          </w:p>
        </w:tc>
        <w:tc>
          <w:tcPr>
            <w:tcW w:w="884" w:type="pct"/>
            <w:gridSpan w:val="2"/>
            <w:tcBorders>
              <w:top w:val="nil"/>
              <w:left w:val="single" w:sz="12" w:space="0" w:color="548DD4"/>
              <w:bottom w:val="nil"/>
              <w:right w:val="single" w:sz="6" w:space="0" w:color="FFFFFF" w:themeColor="background1"/>
            </w:tcBorders>
            <w:shd w:val="clear" w:color="BDD7EE" w:fill="BDD7EE"/>
            <w:noWrap/>
            <w:vAlign w:val="bottom"/>
            <w:hideMark/>
          </w:tcPr>
          <w:p w14:paraId="0BBA4ABB"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4</w:t>
            </w:r>
          </w:p>
        </w:tc>
        <w:tc>
          <w:tcPr>
            <w:tcW w:w="538" w:type="pct"/>
            <w:tcBorders>
              <w:top w:val="nil"/>
              <w:left w:val="single" w:sz="6" w:space="0" w:color="FFFFFF" w:themeColor="background1"/>
              <w:bottom w:val="nil"/>
              <w:right w:val="single" w:sz="6" w:space="0" w:color="FFFFFF" w:themeColor="background1"/>
            </w:tcBorders>
            <w:shd w:val="clear" w:color="BDD7EE" w:fill="BDD7EE"/>
            <w:noWrap/>
            <w:vAlign w:val="bottom"/>
            <w:hideMark/>
          </w:tcPr>
          <w:p w14:paraId="04D1A72D"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171</w:t>
            </w:r>
          </w:p>
        </w:tc>
        <w:tc>
          <w:tcPr>
            <w:tcW w:w="554" w:type="pct"/>
            <w:tcBorders>
              <w:top w:val="nil"/>
              <w:left w:val="single" w:sz="6" w:space="0" w:color="FFFFFF" w:themeColor="background1"/>
              <w:bottom w:val="nil"/>
              <w:right w:val="single" w:sz="6" w:space="0" w:color="FFFFFF" w:themeColor="background1"/>
            </w:tcBorders>
            <w:shd w:val="clear" w:color="BDD7EE" w:fill="BDD7EE"/>
            <w:vAlign w:val="bottom"/>
          </w:tcPr>
          <w:p w14:paraId="7A072882"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69</w:t>
            </w:r>
          </w:p>
        </w:tc>
        <w:tc>
          <w:tcPr>
            <w:tcW w:w="533" w:type="pct"/>
            <w:tcBorders>
              <w:top w:val="nil"/>
              <w:left w:val="single" w:sz="6" w:space="0" w:color="FFFFFF" w:themeColor="background1"/>
              <w:bottom w:val="nil"/>
            </w:tcBorders>
            <w:shd w:val="clear" w:color="BDD7EE" w:fill="BDD7EE"/>
            <w:noWrap/>
            <w:vAlign w:val="bottom"/>
            <w:hideMark/>
          </w:tcPr>
          <w:p w14:paraId="7FAA0825"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316</w:t>
            </w:r>
          </w:p>
        </w:tc>
      </w:tr>
      <w:tr w:rsidR="00115BC3" w:rsidRPr="009722AF" w14:paraId="4B6C129B" w14:textId="77777777" w:rsidTr="00115BC3">
        <w:trPr>
          <w:trHeight w:val="306"/>
          <w:jc w:val="center"/>
        </w:trPr>
        <w:tc>
          <w:tcPr>
            <w:tcW w:w="1566" w:type="pct"/>
            <w:tcBorders>
              <w:top w:val="nil"/>
              <w:bottom w:val="single" w:sz="8" w:space="0" w:color="548DD4"/>
              <w:right w:val="single" w:sz="12" w:space="0" w:color="548DD4"/>
            </w:tcBorders>
            <w:shd w:val="clear" w:color="DDEBF7" w:fill="DDEBF7"/>
            <w:noWrap/>
            <w:vAlign w:val="bottom"/>
            <w:hideMark/>
          </w:tcPr>
          <w:p w14:paraId="6F45432B" w14:textId="77777777" w:rsidR="00115BC3" w:rsidRPr="009722AF" w:rsidRDefault="00115BC3" w:rsidP="00115BC3">
            <w:pPr>
              <w:spacing w:before="0" w:after="0"/>
              <w:contextualSpacing w:val="0"/>
              <w:jc w:val="left"/>
              <w:rPr>
                <w:rFonts w:asciiTheme="majorHAnsi" w:eastAsia="Times New Roman" w:hAnsiTheme="majorHAnsi"/>
                <w:noProof/>
                <w:color w:val="000000"/>
                <w:lang w:eastAsia="cs-CZ"/>
              </w:rPr>
            </w:pPr>
            <w:r w:rsidRPr="009722AF">
              <w:rPr>
                <w:rFonts w:asciiTheme="majorHAnsi" w:eastAsia="Times New Roman" w:hAnsiTheme="majorHAnsi"/>
                <w:noProof/>
                <w:color w:val="000000"/>
                <w:sz w:val="22"/>
                <w:lang w:eastAsia="cs-CZ"/>
              </w:rPr>
              <w:t>VI.skupina(&lt;1mil.Kč)</w:t>
            </w:r>
          </w:p>
        </w:tc>
        <w:tc>
          <w:tcPr>
            <w:tcW w:w="925" w:type="pct"/>
            <w:tcBorders>
              <w:top w:val="nil"/>
              <w:left w:val="single" w:sz="12" w:space="0" w:color="548DD4"/>
              <w:bottom w:val="single" w:sz="8" w:space="0" w:color="548DD4"/>
              <w:right w:val="single" w:sz="12" w:space="0" w:color="548DD4"/>
            </w:tcBorders>
            <w:shd w:val="clear" w:color="DDEBF7" w:fill="DDEBF7"/>
            <w:noWrap/>
            <w:vAlign w:val="bottom"/>
            <w:hideMark/>
          </w:tcPr>
          <w:p w14:paraId="4F2EAD2D" w14:textId="77777777" w:rsidR="00115BC3" w:rsidRPr="009722AF" w:rsidRDefault="00115BC3" w:rsidP="00115BC3">
            <w:pPr>
              <w:spacing w:before="0" w:after="0"/>
              <w:contextualSpacing w:val="0"/>
              <w:jc w:val="center"/>
              <w:rPr>
                <w:rFonts w:asciiTheme="majorHAnsi" w:eastAsia="Times New Roman" w:hAnsiTheme="majorHAnsi"/>
                <w:b/>
                <w:noProof/>
                <w:color w:val="000000"/>
                <w:lang w:eastAsia="cs-CZ"/>
              </w:rPr>
            </w:pPr>
            <w:r>
              <w:rPr>
                <w:color w:val="000000"/>
                <w:sz w:val="22"/>
              </w:rPr>
              <w:t>25</w:t>
            </w:r>
          </w:p>
        </w:tc>
        <w:tc>
          <w:tcPr>
            <w:tcW w:w="884" w:type="pct"/>
            <w:gridSpan w:val="2"/>
            <w:tcBorders>
              <w:top w:val="nil"/>
              <w:left w:val="single" w:sz="12" w:space="0" w:color="548DD4"/>
              <w:bottom w:val="single" w:sz="8" w:space="0" w:color="548DD4"/>
              <w:right w:val="single" w:sz="6" w:space="0" w:color="FFFFFF" w:themeColor="background1"/>
            </w:tcBorders>
            <w:shd w:val="clear" w:color="DDEBF7" w:fill="DDEBF7"/>
            <w:noWrap/>
            <w:vAlign w:val="bottom"/>
            <w:hideMark/>
          </w:tcPr>
          <w:p w14:paraId="4CB66832"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p>
        </w:tc>
        <w:tc>
          <w:tcPr>
            <w:tcW w:w="538" w:type="pct"/>
            <w:tcBorders>
              <w:top w:val="nil"/>
              <w:left w:val="single" w:sz="6" w:space="0" w:color="FFFFFF" w:themeColor="background1"/>
              <w:bottom w:val="single" w:sz="8" w:space="0" w:color="548DD4"/>
              <w:right w:val="single" w:sz="6" w:space="0" w:color="FFFFFF" w:themeColor="background1"/>
            </w:tcBorders>
            <w:shd w:val="clear" w:color="DDEBF7" w:fill="DDEBF7"/>
            <w:noWrap/>
            <w:vAlign w:val="bottom"/>
            <w:hideMark/>
          </w:tcPr>
          <w:p w14:paraId="0CC81FA2"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5</w:t>
            </w:r>
          </w:p>
        </w:tc>
        <w:tc>
          <w:tcPr>
            <w:tcW w:w="554" w:type="pct"/>
            <w:tcBorders>
              <w:top w:val="nil"/>
              <w:left w:val="single" w:sz="6" w:space="0" w:color="FFFFFF" w:themeColor="background1"/>
              <w:bottom w:val="single" w:sz="8" w:space="0" w:color="548DD4"/>
              <w:right w:val="single" w:sz="6" w:space="0" w:color="FFFFFF" w:themeColor="background1"/>
            </w:tcBorders>
            <w:shd w:val="clear" w:color="DDEBF7" w:fill="DDEBF7"/>
            <w:vAlign w:val="bottom"/>
          </w:tcPr>
          <w:p w14:paraId="747238AE"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4</w:t>
            </w:r>
          </w:p>
        </w:tc>
        <w:tc>
          <w:tcPr>
            <w:tcW w:w="533" w:type="pct"/>
            <w:tcBorders>
              <w:top w:val="nil"/>
              <w:left w:val="single" w:sz="6" w:space="0" w:color="FFFFFF" w:themeColor="background1"/>
              <w:bottom w:val="single" w:sz="8" w:space="0" w:color="548DD4"/>
            </w:tcBorders>
            <w:shd w:val="clear" w:color="DDEBF7" w:fill="DDEBF7"/>
            <w:noWrap/>
            <w:vAlign w:val="bottom"/>
            <w:hideMark/>
          </w:tcPr>
          <w:p w14:paraId="5CF55934"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lang w:eastAsia="cs-CZ"/>
              </w:rPr>
            </w:pPr>
            <w:r>
              <w:rPr>
                <w:color w:val="000000"/>
                <w:sz w:val="22"/>
              </w:rPr>
              <w:t>16</w:t>
            </w:r>
          </w:p>
        </w:tc>
      </w:tr>
      <w:tr w:rsidR="00115BC3" w:rsidRPr="009722AF" w14:paraId="04B0A138" w14:textId="77777777" w:rsidTr="00115BC3">
        <w:trPr>
          <w:trHeight w:val="306"/>
          <w:jc w:val="center"/>
        </w:trPr>
        <w:tc>
          <w:tcPr>
            <w:tcW w:w="1566" w:type="pct"/>
            <w:tcBorders>
              <w:top w:val="single" w:sz="8" w:space="0" w:color="548DD4"/>
              <w:bottom w:val="single" w:sz="12" w:space="0" w:color="548DD4"/>
              <w:right w:val="single" w:sz="12" w:space="0" w:color="548DD4"/>
            </w:tcBorders>
            <w:shd w:val="clear" w:color="BDD7EE" w:fill="BDD7EE"/>
            <w:noWrap/>
            <w:vAlign w:val="bottom"/>
            <w:hideMark/>
          </w:tcPr>
          <w:p w14:paraId="0C12A1AC" w14:textId="77777777" w:rsidR="00115BC3" w:rsidRPr="009722AF" w:rsidRDefault="00115BC3" w:rsidP="00115BC3">
            <w:pPr>
              <w:spacing w:before="0" w:after="0"/>
              <w:contextualSpacing w:val="0"/>
              <w:jc w:val="right"/>
              <w:rPr>
                <w:rFonts w:asciiTheme="majorHAnsi" w:eastAsia="Times New Roman" w:hAnsiTheme="majorHAnsi"/>
                <w:b/>
                <w:noProof/>
                <w:color w:val="000000"/>
                <w:lang w:eastAsia="cs-CZ"/>
              </w:rPr>
            </w:pPr>
            <w:r w:rsidRPr="009722AF">
              <w:rPr>
                <w:rFonts w:asciiTheme="majorHAnsi" w:eastAsia="Times New Roman" w:hAnsiTheme="majorHAnsi"/>
                <w:b/>
                <w:noProof/>
                <w:color w:val="000000"/>
                <w:sz w:val="22"/>
                <w:lang w:eastAsia="cs-CZ"/>
              </w:rPr>
              <w:t>Celkový součet</w:t>
            </w:r>
          </w:p>
        </w:tc>
        <w:tc>
          <w:tcPr>
            <w:tcW w:w="925" w:type="pct"/>
            <w:tcBorders>
              <w:top w:val="single" w:sz="8" w:space="0" w:color="548DD4"/>
              <w:left w:val="single" w:sz="12" w:space="0" w:color="548DD4"/>
              <w:right w:val="single" w:sz="12" w:space="0" w:color="548DD4"/>
            </w:tcBorders>
            <w:shd w:val="clear" w:color="BDD7EE" w:fill="BDD7EE"/>
            <w:noWrap/>
            <w:vAlign w:val="bottom"/>
            <w:hideMark/>
          </w:tcPr>
          <w:p w14:paraId="41D10366" w14:textId="77777777" w:rsidR="00115BC3" w:rsidRPr="009722AF" w:rsidRDefault="00115BC3" w:rsidP="00115BC3">
            <w:pPr>
              <w:spacing w:before="0" w:after="0"/>
              <w:contextualSpacing w:val="0"/>
              <w:jc w:val="center"/>
              <w:rPr>
                <w:rFonts w:asciiTheme="majorHAnsi" w:eastAsia="Times New Roman" w:hAnsiTheme="majorHAnsi"/>
                <w:b/>
                <w:noProof/>
                <w:color w:val="000000"/>
                <w:lang w:eastAsia="cs-CZ"/>
              </w:rPr>
            </w:pPr>
            <w:r>
              <w:rPr>
                <w:b/>
                <w:bCs/>
                <w:color w:val="000000"/>
                <w:sz w:val="22"/>
              </w:rPr>
              <w:t>1 697</w:t>
            </w:r>
          </w:p>
        </w:tc>
        <w:tc>
          <w:tcPr>
            <w:tcW w:w="884" w:type="pct"/>
            <w:gridSpan w:val="2"/>
            <w:tcBorders>
              <w:top w:val="single" w:sz="8" w:space="0" w:color="548DD4"/>
              <w:left w:val="single" w:sz="12" w:space="0" w:color="548DD4"/>
              <w:bottom w:val="single" w:sz="12" w:space="0" w:color="548DD4"/>
              <w:right w:val="single" w:sz="6" w:space="0" w:color="FFFFFF" w:themeColor="background1"/>
            </w:tcBorders>
            <w:shd w:val="clear" w:color="BDD7EE" w:fill="BDD7EE"/>
            <w:noWrap/>
            <w:vAlign w:val="bottom"/>
            <w:hideMark/>
          </w:tcPr>
          <w:p w14:paraId="0A7C3793" w14:textId="77777777" w:rsidR="00115BC3" w:rsidRPr="009722AF" w:rsidRDefault="00115BC3" w:rsidP="00115BC3">
            <w:pPr>
              <w:spacing w:before="0" w:after="0"/>
              <w:contextualSpacing w:val="0"/>
              <w:jc w:val="center"/>
              <w:rPr>
                <w:rFonts w:asciiTheme="majorHAnsi" w:eastAsia="Times New Roman" w:hAnsiTheme="majorHAnsi"/>
                <w:b/>
                <w:noProof/>
                <w:color w:val="000000"/>
                <w:sz w:val="22"/>
                <w:lang w:eastAsia="cs-CZ"/>
              </w:rPr>
            </w:pPr>
            <w:r>
              <w:rPr>
                <w:b/>
                <w:bCs/>
                <w:color w:val="000000"/>
                <w:sz w:val="22"/>
              </w:rPr>
              <w:t>55</w:t>
            </w:r>
          </w:p>
        </w:tc>
        <w:tc>
          <w:tcPr>
            <w:tcW w:w="538" w:type="pct"/>
            <w:tcBorders>
              <w:top w:val="single" w:sz="8" w:space="0" w:color="548DD4"/>
              <w:left w:val="single" w:sz="6" w:space="0" w:color="FFFFFF" w:themeColor="background1"/>
              <w:bottom w:val="single" w:sz="12" w:space="0" w:color="548DD4"/>
              <w:right w:val="single" w:sz="6" w:space="0" w:color="FFFFFF" w:themeColor="background1"/>
            </w:tcBorders>
            <w:shd w:val="clear" w:color="BDD7EE" w:fill="BDD7EE"/>
            <w:noWrap/>
            <w:vAlign w:val="bottom"/>
            <w:hideMark/>
          </w:tcPr>
          <w:p w14:paraId="5A6CBBDF" w14:textId="77777777" w:rsidR="00115BC3" w:rsidRPr="009722AF" w:rsidRDefault="00115BC3" w:rsidP="00115BC3">
            <w:pPr>
              <w:spacing w:before="0" w:after="0"/>
              <w:contextualSpacing w:val="0"/>
              <w:jc w:val="center"/>
              <w:rPr>
                <w:rFonts w:asciiTheme="majorHAnsi" w:eastAsia="Times New Roman" w:hAnsiTheme="majorHAnsi"/>
                <w:b/>
                <w:noProof/>
                <w:color w:val="000000"/>
                <w:sz w:val="22"/>
                <w:lang w:eastAsia="cs-CZ"/>
              </w:rPr>
            </w:pPr>
            <w:r>
              <w:rPr>
                <w:b/>
                <w:bCs/>
                <w:color w:val="000000"/>
                <w:sz w:val="22"/>
              </w:rPr>
              <w:t>770</w:t>
            </w:r>
          </w:p>
        </w:tc>
        <w:tc>
          <w:tcPr>
            <w:tcW w:w="554" w:type="pct"/>
            <w:tcBorders>
              <w:top w:val="single" w:sz="8" w:space="0" w:color="548DD4"/>
              <w:left w:val="single" w:sz="6" w:space="0" w:color="FFFFFF" w:themeColor="background1"/>
              <w:bottom w:val="single" w:sz="12" w:space="0" w:color="548DD4"/>
              <w:right w:val="single" w:sz="6" w:space="0" w:color="FFFFFF" w:themeColor="background1"/>
            </w:tcBorders>
            <w:shd w:val="clear" w:color="BDD7EE" w:fill="BDD7EE"/>
            <w:vAlign w:val="bottom"/>
          </w:tcPr>
          <w:p w14:paraId="18704011" w14:textId="77777777" w:rsidR="00115BC3" w:rsidRPr="009722AF" w:rsidRDefault="00115BC3" w:rsidP="00115BC3">
            <w:pPr>
              <w:spacing w:before="0" w:after="0"/>
              <w:contextualSpacing w:val="0"/>
              <w:jc w:val="center"/>
              <w:rPr>
                <w:rFonts w:asciiTheme="majorHAnsi" w:eastAsia="Times New Roman" w:hAnsiTheme="majorHAnsi"/>
                <w:b/>
                <w:noProof/>
                <w:color w:val="000000"/>
                <w:sz w:val="22"/>
                <w:lang w:eastAsia="cs-CZ"/>
              </w:rPr>
            </w:pPr>
            <w:r>
              <w:rPr>
                <w:b/>
                <w:bCs/>
                <w:color w:val="000000"/>
                <w:sz w:val="22"/>
              </w:rPr>
              <w:t>156</w:t>
            </w:r>
          </w:p>
        </w:tc>
        <w:tc>
          <w:tcPr>
            <w:tcW w:w="533" w:type="pct"/>
            <w:tcBorders>
              <w:top w:val="single" w:sz="8" w:space="0" w:color="548DD4"/>
              <w:left w:val="single" w:sz="6" w:space="0" w:color="FFFFFF" w:themeColor="background1"/>
              <w:bottom w:val="single" w:sz="12" w:space="0" w:color="548DD4"/>
            </w:tcBorders>
            <w:shd w:val="clear" w:color="BDD7EE" w:fill="BDD7EE"/>
            <w:noWrap/>
            <w:vAlign w:val="bottom"/>
            <w:hideMark/>
          </w:tcPr>
          <w:p w14:paraId="25568ECA" w14:textId="77777777" w:rsidR="00115BC3" w:rsidRPr="009722AF" w:rsidRDefault="00115BC3" w:rsidP="00115BC3">
            <w:pPr>
              <w:spacing w:before="0" w:after="0"/>
              <w:contextualSpacing w:val="0"/>
              <w:jc w:val="center"/>
              <w:rPr>
                <w:rFonts w:asciiTheme="majorHAnsi" w:eastAsia="Times New Roman" w:hAnsiTheme="majorHAnsi"/>
                <w:b/>
                <w:noProof/>
                <w:color w:val="000000"/>
                <w:sz w:val="22"/>
                <w:lang w:eastAsia="cs-CZ"/>
              </w:rPr>
            </w:pPr>
            <w:r>
              <w:rPr>
                <w:b/>
                <w:bCs/>
                <w:color w:val="000000"/>
                <w:sz w:val="22"/>
              </w:rPr>
              <w:t>716</w:t>
            </w:r>
          </w:p>
        </w:tc>
      </w:tr>
    </w:tbl>
    <w:p w14:paraId="07259FEA" w14:textId="77777777" w:rsidR="00AC433C" w:rsidRDefault="00AC433C" w:rsidP="00C1539B">
      <w:pPr>
        <w:pStyle w:val="Normlnzprva"/>
        <w:rPr>
          <w:rFonts w:asciiTheme="minorHAnsi" w:hAnsiTheme="minorHAnsi"/>
          <w:noProof/>
        </w:rPr>
      </w:pPr>
    </w:p>
    <w:p w14:paraId="49747AD2" w14:textId="77777777" w:rsidR="00D34DCA" w:rsidRDefault="00D34DCA" w:rsidP="00C1539B">
      <w:pPr>
        <w:pStyle w:val="Normlnzprva"/>
        <w:rPr>
          <w:rFonts w:asciiTheme="minorHAnsi" w:hAnsiTheme="minorHAnsi"/>
          <w:noProof/>
        </w:rPr>
      </w:pPr>
    </w:p>
    <w:p w14:paraId="34D152E5" w14:textId="77777777" w:rsidR="00567243" w:rsidRPr="00C62639" w:rsidRDefault="00567243" w:rsidP="00C1539B">
      <w:pPr>
        <w:pStyle w:val="Normlnzprva"/>
        <w:rPr>
          <w:rFonts w:asciiTheme="minorHAnsi" w:hAnsiTheme="minorHAnsi"/>
          <w:noProof/>
        </w:rPr>
      </w:pPr>
    </w:p>
    <w:tbl>
      <w:tblPr>
        <w:tblW w:w="9040" w:type="dxa"/>
        <w:jc w:val="center"/>
        <w:tblBorders>
          <w:top w:val="single" w:sz="12" w:space="0" w:color="F79646"/>
          <w:left w:val="single" w:sz="12" w:space="0" w:color="F79646"/>
          <w:bottom w:val="single" w:sz="12" w:space="0" w:color="F79646"/>
          <w:right w:val="single" w:sz="12" w:space="0" w:color="F79646"/>
        </w:tblBorders>
        <w:tblCellMar>
          <w:left w:w="70" w:type="dxa"/>
          <w:right w:w="70" w:type="dxa"/>
        </w:tblCellMar>
        <w:tblLook w:val="04A0" w:firstRow="1" w:lastRow="0" w:firstColumn="1" w:lastColumn="0" w:noHBand="0" w:noVBand="1"/>
      </w:tblPr>
      <w:tblGrid>
        <w:gridCol w:w="2672"/>
        <w:gridCol w:w="1429"/>
        <w:gridCol w:w="1077"/>
        <w:gridCol w:w="519"/>
        <w:gridCol w:w="1189"/>
        <w:gridCol w:w="1077"/>
        <w:gridCol w:w="1077"/>
      </w:tblGrid>
      <w:tr w:rsidR="003445F0" w:rsidRPr="009722AF" w14:paraId="79022940" w14:textId="77777777" w:rsidTr="003445F0">
        <w:trPr>
          <w:trHeight w:val="302"/>
          <w:jc w:val="center"/>
        </w:trPr>
        <w:tc>
          <w:tcPr>
            <w:tcW w:w="2672" w:type="dxa"/>
            <w:tcBorders>
              <w:top w:val="single" w:sz="12" w:space="0" w:color="F79646"/>
              <w:bottom w:val="nil"/>
              <w:right w:val="single" w:sz="12" w:space="0" w:color="F79646"/>
            </w:tcBorders>
            <w:shd w:val="clear" w:color="auto" w:fill="auto"/>
            <w:noWrap/>
            <w:vAlign w:val="center"/>
            <w:hideMark/>
          </w:tcPr>
          <w:p w14:paraId="1498A794" w14:textId="77777777" w:rsidR="003445F0" w:rsidRPr="009722AF" w:rsidRDefault="003445F0" w:rsidP="00AC433C">
            <w:pPr>
              <w:spacing w:before="0" w:after="0"/>
              <w:contextualSpacing w:val="0"/>
              <w:jc w:val="left"/>
              <w:rPr>
                <w:rFonts w:asciiTheme="majorHAnsi" w:eastAsia="Times New Roman" w:hAnsiTheme="majorHAnsi"/>
                <w:b/>
                <w:noProof/>
                <w:color w:val="000000"/>
                <w:szCs w:val="20"/>
                <w:lang w:eastAsia="cs-CZ"/>
              </w:rPr>
            </w:pPr>
            <w:r w:rsidRPr="009722AF">
              <w:rPr>
                <w:rFonts w:asciiTheme="majorHAnsi" w:eastAsia="Times New Roman" w:hAnsiTheme="majorHAnsi"/>
                <w:b/>
                <w:noProof/>
                <w:color w:val="000000"/>
                <w:sz w:val="22"/>
                <w:szCs w:val="20"/>
                <w:lang w:eastAsia="cs-CZ"/>
              </w:rPr>
              <w:t>KANALIZACE</w:t>
            </w:r>
          </w:p>
          <w:p w14:paraId="3F6191B6" w14:textId="77777777" w:rsidR="003445F0" w:rsidRPr="009722AF" w:rsidRDefault="003445F0" w:rsidP="00AC433C">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Rozdělení Porovnání do skupin</w:t>
            </w:r>
          </w:p>
        </w:tc>
        <w:tc>
          <w:tcPr>
            <w:tcW w:w="1429" w:type="dxa"/>
            <w:tcBorders>
              <w:left w:val="single" w:sz="12" w:space="0" w:color="F79646"/>
              <w:bottom w:val="nil"/>
            </w:tcBorders>
            <w:shd w:val="clear" w:color="auto" w:fill="auto"/>
            <w:noWrap/>
            <w:vAlign w:val="center"/>
            <w:hideMark/>
          </w:tcPr>
          <w:p w14:paraId="1D1FCEC2" w14:textId="77777777" w:rsidR="003445F0" w:rsidRPr="009722AF" w:rsidRDefault="003445F0" w:rsidP="00AC433C">
            <w:pPr>
              <w:spacing w:before="0" w:after="0"/>
              <w:contextualSpacing w:val="0"/>
              <w:jc w:val="left"/>
              <w:rPr>
                <w:rFonts w:asciiTheme="majorHAnsi" w:eastAsia="Times New Roman" w:hAnsiTheme="majorHAnsi"/>
                <w:noProof/>
                <w:color w:val="000000"/>
                <w:szCs w:val="20"/>
                <w:lang w:eastAsia="cs-CZ"/>
              </w:rPr>
            </w:pPr>
          </w:p>
        </w:tc>
        <w:tc>
          <w:tcPr>
            <w:tcW w:w="1077" w:type="dxa"/>
            <w:tcBorders>
              <w:bottom w:val="nil"/>
            </w:tcBorders>
          </w:tcPr>
          <w:p w14:paraId="684BA192" w14:textId="77777777" w:rsidR="003445F0" w:rsidRPr="009722AF" w:rsidRDefault="003445F0" w:rsidP="00AC433C">
            <w:pPr>
              <w:spacing w:before="0" w:after="0"/>
              <w:contextualSpacing w:val="0"/>
              <w:jc w:val="center"/>
              <w:rPr>
                <w:rFonts w:asciiTheme="majorHAnsi" w:eastAsia="Times New Roman" w:hAnsiTheme="majorHAnsi"/>
                <w:noProof/>
                <w:color w:val="000000"/>
                <w:sz w:val="22"/>
                <w:szCs w:val="20"/>
                <w:lang w:eastAsia="cs-CZ"/>
              </w:rPr>
            </w:pPr>
          </w:p>
        </w:tc>
        <w:tc>
          <w:tcPr>
            <w:tcW w:w="3862" w:type="dxa"/>
            <w:gridSpan w:val="4"/>
            <w:tcBorders>
              <w:bottom w:val="nil"/>
            </w:tcBorders>
            <w:shd w:val="clear" w:color="auto" w:fill="auto"/>
            <w:noWrap/>
            <w:vAlign w:val="center"/>
            <w:hideMark/>
          </w:tcPr>
          <w:p w14:paraId="3882479D" w14:textId="77777777" w:rsidR="003445F0" w:rsidRPr="009722AF" w:rsidRDefault="003445F0" w:rsidP="00AC433C">
            <w:pPr>
              <w:spacing w:before="0" w:after="0"/>
              <w:contextualSpacing w:val="0"/>
              <w:jc w:val="center"/>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 xml:space="preserve">Zastoupení podle modelu provozování </w:t>
            </w:r>
          </w:p>
        </w:tc>
      </w:tr>
      <w:tr w:rsidR="003445F0" w:rsidRPr="009722AF" w14:paraId="4E8225C9" w14:textId="77777777" w:rsidTr="003445F0">
        <w:trPr>
          <w:trHeight w:val="302"/>
          <w:jc w:val="center"/>
        </w:trPr>
        <w:tc>
          <w:tcPr>
            <w:tcW w:w="2672" w:type="dxa"/>
            <w:tcBorders>
              <w:top w:val="nil"/>
              <w:bottom w:val="nil"/>
              <w:right w:val="single" w:sz="12" w:space="0" w:color="F79646"/>
            </w:tcBorders>
            <w:shd w:val="clear" w:color="ED7D31" w:fill="ED7D31"/>
            <w:noWrap/>
            <w:vAlign w:val="center"/>
            <w:hideMark/>
          </w:tcPr>
          <w:p w14:paraId="62F56692" w14:textId="77777777" w:rsidR="003445F0" w:rsidRPr="009722AF" w:rsidRDefault="003445F0" w:rsidP="00AC433C">
            <w:pPr>
              <w:spacing w:before="0" w:after="0"/>
              <w:contextualSpacing w:val="0"/>
              <w:jc w:val="left"/>
              <w:rPr>
                <w:rFonts w:asciiTheme="majorHAnsi" w:eastAsia="Times New Roman" w:hAnsiTheme="majorHAnsi"/>
                <w:b/>
                <w:bCs/>
                <w:noProof/>
                <w:color w:val="FFFFFF"/>
                <w:szCs w:val="20"/>
                <w:lang w:eastAsia="cs-CZ"/>
              </w:rPr>
            </w:pPr>
            <w:r w:rsidRPr="009722AF">
              <w:rPr>
                <w:rFonts w:asciiTheme="majorHAnsi" w:eastAsia="Times New Roman" w:hAnsiTheme="majorHAnsi"/>
                <w:b/>
                <w:bCs/>
                <w:noProof/>
                <w:color w:val="FFFFFF"/>
                <w:sz w:val="22"/>
                <w:szCs w:val="20"/>
                <w:lang w:eastAsia="cs-CZ"/>
              </w:rPr>
              <w:t xml:space="preserve">Skupina / Model provozování </w:t>
            </w:r>
          </w:p>
        </w:tc>
        <w:tc>
          <w:tcPr>
            <w:tcW w:w="1429" w:type="dxa"/>
            <w:tcBorders>
              <w:top w:val="nil"/>
              <w:left w:val="single" w:sz="12" w:space="0" w:color="F79646"/>
              <w:bottom w:val="nil"/>
              <w:right w:val="single" w:sz="12" w:space="0" w:color="F79646"/>
            </w:tcBorders>
            <w:shd w:val="clear" w:color="ED7D31" w:fill="ED7D31"/>
            <w:noWrap/>
            <w:vAlign w:val="center"/>
            <w:hideMark/>
          </w:tcPr>
          <w:p w14:paraId="7B6CE5A6" w14:textId="54DC5F0F" w:rsidR="003445F0" w:rsidRPr="009722AF" w:rsidRDefault="003445F0" w:rsidP="00AC433C">
            <w:pPr>
              <w:spacing w:before="0" w:after="0"/>
              <w:contextualSpacing w:val="0"/>
              <w:jc w:val="left"/>
              <w:rPr>
                <w:rFonts w:asciiTheme="majorHAnsi" w:eastAsia="Times New Roman" w:hAnsiTheme="majorHAnsi"/>
                <w:b/>
                <w:bCs/>
                <w:noProof/>
                <w:color w:val="FFFFFF"/>
                <w:szCs w:val="20"/>
                <w:lang w:eastAsia="cs-CZ"/>
              </w:rPr>
            </w:pPr>
            <w:r w:rsidRPr="009722AF">
              <w:rPr>
                <w:rFonts w:asciiTheme="majorHAnsi" w:eastAsia="Times New Roman" w:hAnsiTheme="majorHAnsi"/>
                <w:b/>
                <w:bCs/>
                <w:noProof/>
                <w:color w:val="FFFFFF"/>
                <w:sz w:val="22"/>
                <w:szCs w:val="20"/>
                <w:lang w:eastAsia="cs-CZ"/>
              </w:rPr>
              <w:t xml:space="preserve">Počet </w:t>
            </w:r>
            <w:r w:rsidR="00567243">
              <w:rPr>
                <w:rFonts w:asciiTheme="majorHAnsi" w:eastAsia="Times New Roman" w:hAnsiTheme="majorHAnsi"/>
                <w:b/>
                <w:bCs/>
                <w:noProof/>
                <w:color w:val="FFFFFF"/>
                <w:sz w:val="22"/>
                <w:szCs w:val="20"/>
                <w:lang w:eastAsia="cs-CZ"/>
              </w:rPr>
              <w:t>P</w:t>
            </w:r>
            <w:r w:rsidRPr="009722AF">
              <w:rPr>
                <w:rFonts w:asciiTheme="majorHAnsi" w:eastAsia="Times New Roman" w:hAnsiTheme="majorHAnsi"/>
                <w:b/>
                <w:bCs/>
                <w:noProof/>
                <w:color w:val="FFFFFF"/>
                <w:sz w:val="22"/>
                <w:szCs w:val="20"/>
                <w:lang w:eastAsia="cs-CZ"/>
              </w:rPr>
              <w:t>orovnání ve skupině</w:t>
            </w:r>
          </w:p>
        </w:tc>
        <w:tc>
          <w:tcPr>
            <w:tcW w:w="1596" w:type="dxa"/>
            <w:gridSpan w:val="2"/>
            <w:tcBorders>
              <w:top w:val="nil"/>
              <w:left w:val="single" w:sz="12" w:space="0" w:color="F79646"/>
              <w:bottom w:val="nil"/>
              <w:right w:val="single" w:sz="6" w:space="0" w:color="F2F2F2" w:themeColor="background1" w:themeShade="F2"/>
            </w:tcBorders>
            <w:shd w:val="clear" w:color="ED7D31" w:fill="ED7D31"/>
            <w:noWrap/>
            <w:vAlign w:val="center"/>
            <w:hideMark/>
          </w:tcPr>
          <w:p w14:paraId="1BB2FFC0"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szCs w:val="20"/>
                <w:lang w:eastAsia="cs-CZ"/>
              </w:rPr>
            </w:pPr>
            <w:r w:rsidRPr="009722AF">
              <w:rPr>
                <w:rFonts w:asciiTheme="majorHAnsi" w:eastAsia="Times New Roman" w:hAnsiTheme="majorHAnsi"/>
                <w:b/>
                <w:bCs/>
                <w:noProof/>
                <w:color w:val="FFFFFF"/>
                <w:sz w:val="20"/>
                <w:szCs w:val="20"/>
                <w:lang w:eastAsia="cs-CZ"/>
              </w:rPr>
              <w:t>KOMBINOVANÝ</w:t>
            </w:r>
          </w:p>
        </w:tc>
        <w:tc>
          <w:tcPr>
            <w:tcW w:w="1189" w:type="dxa"/>
            <w:tcBorders>
              <w:top w:val="nil"/>
              <w:left w:val="single" w:sz="6" w:space="0" w:color="F2F2F2" w:themeColor="background1" w:themeShade="F2"/>
              <w:bottom w:val="nil"/>
              <w:right w:val="single" w:sz="6" w:space="0" w:color="F2F2F2" w:themeColor="background1" w:themeShade="F2"/>
            </w:tcBorders>
            <w:shd w:val="clear" w:color="ED7D31" w:fill="ED7D31"/>
            <w:noWrap/>
            <w:vAlign w:val="center"/>
            <w:hideMark/>
          </w:tcPr>
          <w:p w14:paraId="3D0A38B3"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szCs w:val="20"/>
                <w:lang w:eastAsia="cs-CZ"/>
              </w:rPr>
            </w:pPr>
            <w:r w:rsidRPr="009722AF">
              <w:rPr>
                <w:rFonts w:asciiTheme="majorHAnsi" w:eastAsia="Times New Roman" w:hAnsiTheme="majorHAnsi"/>
                <w:b/>
                <w:bCs/>
                <w:noProof/>
                <w:color w:val="FFFFFF"/>
                <w:sz w:val="20"/>
                <w:szCs w:val="20"/>
                <w:lang w:eastAsia="cs-CZ"/>
              </w:rPr>
              <w:t>ODDÍLNÝ</w:t>
            </w:r>
          </w:p>
        </w:tc>
        <w:tc>
          <w:tcPr>
            <w:tcW w:w="1077" w:type="dxa"/>
            <w:tcBorders>
              <w:top w:val="nil"/>
              <w:left w:val="single" w:sz="6" w:space="0" w:color="F2F2F2" w:themeColor="background1" w:themeShade="F2"/>
              <w:bottom w:val="nil"/>
              <w:right w:val="single" w:sz="6" w:space="0" w:color="F2F2F2" w:themeColor="background1" w:themeShade="F2"/>
            </w:tcBorders>
            <w:shd w:val="clear" w:color="ED7D31" w:fill="ED7D31"/>
          </w:tcPr>
          <w:p w14:paraId="4C2DFD99"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szCs w:val="20"/>
                <w:lang w:eastAsia="cs-CZ"/>
              </w:rPr>
            </w:pPr>
            <w:r w:rsidRPr="009722AF">
              <w:rPr>
                <w:rFonts w:asciiTheme="majorHAnsi" w:eastAsia="Times New Roman" w:hAnsiTheme="majorHAnsi"/>
                <w:b/>
                <w:bCs/>
                <w:noProof/>
                <w:color w:val="FFFFFF"/>
                <w:sz w:val="20"/>
                <w:szCs w:val="20"/>
                <w:lang w:eastAsia="cs-CZ"/>
              </w:rPr>
              <w:t>ODDÍLNÝ SERVISNÍ SMLOUVA</w:t>
            </w:r>
          </w:p>
        </w:tc>
        <w:tc>
          <w:tcPr>
            <w:tcW w:w="1077" w:type="dxa"/>
            <w:tcBorders>
              <w:top w:val="nil"/>
              <w:left w:val="single" w:sz="6" w:space="0" w:color="F2F2F2" w:themeColor="background1" w:themeShade="F2"/>
              <w:bottom w:val="nil"/>
            </w:tcBorders>
            <w:shd w:val="clear" w:color="ED7D31" w:fill="ED7D31"/>
            <w:noWrap/>
            <w:vAlign w:val="center"/>
            <w:hideMark/>
          </w:tcPr>
          <w:p w14:paraId="1B66B6DE" w14:textId="77777777" w:rsidR="003445F0" w:rsidRPr="009722AF" w:rsidRDefault="003445F0" w:rsidP="003445F0">
            <w:pPr>
              <w:spacing w:before="0" w:after="0"/>
              <w:contextualSpacing w:val="0"/>
              <w:jc w:val="center"/>
              <w:rPr>
                <w:rFonts w:asciiTheme="majorHAnsi" w:eastAsia="Times New Roman" w:hAnsiTheme="majorHAnsi"/>
                <w:b/>
                <w:bCs/>
                <w:noProof/>
                <w:color w:val="FFFFFF"/>
                <w:sz w:val="20"/>
                <w:szCs w:val="20"/>
                <w:lang w:eastAsia="cs-CZ"/>
              </w:rPr>
            </w:pPr>
            <w:r w:rsidRPr="009722AF">
              <w:rPr>
                <w:rFonts w:asciiTheme="majorHAnsi" w:eastAsia="Times New Roman" w:hAnsiTheme="majorHAnsi"/>
                <w:b/>
                <w:bCs/>
                <w:noProof/>
                <w:color w:val="FFFFFF"/>
                <w:sz w:val="20"/>
                <w:szCs w:val="20"/>
                <w:lang w:eastAsia="cs-CZ"/>
              </w:rPr>
              <w:t>SMÍŠENÝ</w:t>
            </w:r>
          </w:p>
        </w:tc>
      </w:tr>
      <w:tr w:rsidR="00115BC3" w:rsidRPr="009722AF" w14:paraId="510A8D7A" w14:textId="77777777" w:rsidTr="00A46377">
        <w:trPr>
          <w:trHeight w:val="302"/>
          <w:jc w:val="center"/>
        </w:trPr>
        <w:tc>
          <w:tcPr>
            <w:tcW w:w="2672" w:type="dxa"/>
            <w:tcBorders>
              <w:top w:val="nil"/>
              <w:bottom w:val="nil"/>
              <w:right w:val="single" w:sz="12" w:space="0" w:color="F79646"/>
            </w:tcBorders>
            <w:shd w:val="clear" w:color="F8CBAD" w:fill="F8CBAD"/>
            <w:noWrap/>
            <w:vAlign w:val="center"/>
            <w:hideMark/>
          </w:tcPr>
          <w:p w14:paraId="71F06044" w14:textId="77777777" w:rsidR="00115BC3" w:rsidRPr="009722AF" w:rsidRDefault="00115BC3" w:rsidP="00115BC3">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I.skupina(&gt;10 000mil.Kč)</w:t>
            </w:r>
          </w:p>
        </w:tc>
        <w:tc>
          <w:tcPr>
            <w:tcW w:w="1429" w:type="dxa"/>
            <w:tcBorders>
              <w:top w:val="nil"/>
              <w:left w:val="single" w:sz="12" w:space="0" w:color="F79646"/>
              <w:bottom w:val="nil"/>
              <w:right w:val="single" w:sz="12" w:space="0" w:color="F79646"/>
            </w:tcBorders>
            <w:shd w:val="clear" w:color="F8CBAD" w:fill="F8CBAD"/>
            <w:noWrap/>
            <w:vAlign w:val="center"/>
            <w:hideMark/>
          </w:tcPr>
          <w:p w14:paraId="2DA9FF26" w14:textId="77777777" w:rsidR="00115BC3" w:rsidRPr="009722AF" w:rsidRDefault="00115BC3" w:rsidP="00115BC3">
            <w:pPr>
              <w:spacing w:before="0" w:after="0"/>
              <w:contextualSpacing w:val="0"/>
              <w:jc w:val="center"/>
              <w:rPr>
                <w:rFonts w:asciiTheme="majorHAnsi" w:eastAsia="Times New Roman" w:hAnsiTheme="majorHAnsi"/>
                <w:b/>
                <w:noProof/>
                <w:color w:val="000000"/>
                <w:szCs w:val="20"/>
                <w:lang w:eastAsia="cs-CZ"/>
              </w:rPr>
            </w:pPr>
            <w:r w:rsidRPr="00AA6E30">
              <w:rPr>
                <w:b/>
                <w:color w:val="000000"/>
                <w:sz w:val="22"/>
              </w:rPr>
              <w:t>5</w:t>
            </w:r>
          </w:p>
        </w:tc>
        <w:tc>
          <w:tcPr>
            <w:tcW w:w="1596" w:type="dxa"/>
            <w:gridSpan w:val="2"/>
            <w:tcBorders>
              <w:top w:val="nil"/>
              <w:left w:val="single" w:sz="12" w:space="0" w:color="F79646"/>
              <w:bottom w:val="nil"/>
              <w:right w:val="single" w:sz="6" w:space="0" w:color="F2F2F2" w:themeColor="background1" w:themeShade="F2"/>
            </w:tcBorders>
            <w:shd w:val="clear" w:color="F8CBAD" w:fill="F8CBAD"/>
            <w:noWrap/>
            <w:vAlign w:val="center"/>
            <w:hideMark/>
          </w:tcPr>
          <w:p w14:paraId="6DAE24C0"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3</w:t>
            </w:r>
          </w:p>
        </w:tc>
        <w:tc>
          <w:tcPr>
            <w:tcW w:w="1189" w:type="dxa"/>
            <w:tcBorders>
              <w:top w:val="nil"/>
              <w:left w:val="single" w:sz="6" w:space="0" w:color="F2F2F2" w:themeColor="background1" w:themeShade="F2"/>
              <w:bottom w:val="nil"/>
              <w:right w:val="single" w:sz="6" w:space="0" w:color="F2F2F2" w:themeColor="background1" w:themeShade="F2"/>
            </w:tcBorders>
            <w:shd w:val="clear" w:color="F8CBAD" w:fill="F8CBAD"/>
            <w:noWrap/>
            <w:vAlign w:val="center"/>
            <w:hideMark/>
          </w:tcPr>
          <w:p w14:paraId="4CC4D2AF"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2</w:t>
            </w:r>
          </w:p>
        </w:tc>
        <w:tc>
          <w:tcPr>
            <w:tcW w:w="1077" w:type="dxa"/>
            <w:tcBorders>
              <w:top w:val="nil"/>
              <w:left w:val="single" w:sz="6" w:space="0" w:color="F2F2F2" w:themeColor="background1" w:themeShade="F2"/>
              <w:bottom w:val="nil"/>
              <w:right w:val="single" w:sz="6" w:space="0" w:color="F2F2F2" w:themeColor="background1" w:themeShade="F2"/>
            </w:tcBorders>
            <w:shd w:val="clear" w:color="F8CBAD" w:fill="F8CBAD"/>
            <w:vAlign w:val="center"/>
          </w:tcPr>
          <w:p w14:paraId="35D36402"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p>
        </w:tc>
        <w:tc>
          <w:tcPr>
            <w:tcW w:w="1077" w:type="dxa"/>
            <w:tcBorders>
              <w:top w:val="nil"/>
              <w:left w:val="single" w:sz="6" w:space="0" w:color="F2F2F2" w:themeColor="background1" w:themeShade="F2"/>
              <w:bottom w:val="nil"/>
            </w:tcBorders>
            <w:shd w:val="clear" w:color="F8CBAD" w:fill="F8CBAD"/>
            <w:noWrap/>
            <w:vAlign w:val="center"/>
            <w:hideMark/>
          </w:tcPr>
          <w:p w14:paraId="09B071CD"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 </w:t>
            </w:r>
          </w:p>
        </w:tc>
      </w:tr>
      <w:tr w:rsidR="00115BC3" w:rsidRPr="009722AF" w14:paraId="76662B57" w14:textId="77777777" w:rsidTr="00A46377">
        <w:trPr>
          <w:trHeight w:val="302"/>
          <w:jc w:val="center"/>
        </w:trPr>
        <w:tc>
          <w:tcPr>
            <w:tcW w:w="2672" w:type="dxa"/>
            <w:tcBorders>
              <w:top w:val="nil"/>
              <w:bottom w:val="nil"/>
              <w:right w:val="single" w:sz="12" w:space="0" w:color="F79646"/>
            </w:tcBorders>
            <w:shd w:val="clear" w:color="FCE4D6" w:fill="FCE4D6"/>
            <w:noWrap/>
            <w:vAlign w:val="center"/>
            <w:hideMark/>
          </w:tcPr>
          <w:p w14:paraId="1CE27084" w14:textId="77777777" w:rsidR="00115BC3" w:rsidRPr="009722AF" w:rsidRDefault="00115BC3" w:rsidP="00115BC3">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II.skupina(&gt;1 000mil.Kč)</w:t>
            </w:r>
          </w:p>
        </w:tc>
        <w:tc>
          <w:tcPr>
            <w:tcW w:w="1429" w:type="dxa"/>
            <w:tcBorders>
              <w:top w:val="nil"/>
              <w:left w:val="single" w:sz="12" w:space="0" w:color="F79646"/>
              <w:bottom w:val="nil"/>
              <w:right w:val="single" w:sz="12" w:space="0" w:color="F79646"/>
            </w:tcBorders>
            <w:shd w:val="clear" w:color="FCE4D6" w:fill="FCE4D6"/>
            <w:noWrap/>
            <w:vAlign w:val="center"/>
            <w:hideMark/>
          </w:tcPr>
          <w:p w14:paraId="360340B6" w14:textId="77777777" w:rsidR="00115BC3" w:rsidRPr="009722AF" w:rsidRDefault="00115BC3" w:rsidP="00115BC3">
            <w:pPr>
              <w:spacing w:before="0" w:after="0"/>
              <w:contextualSpacing w:val="0"/>
              <w:jc w:val="center"/>
              <w:rPr>
                <w:rFonts w:asciiTheme="majorHAnsi" w:eastAsia="Times New Roman" w:hAnsiTheme="majorHAnsi"/>
                <w:b/>
                <w:noProof/>
                <w:color w:val="000000"/>
                <w:szCs w:val="20"/>
                <w:lang w:eastAsia="cs-CZ"/>
              </w:rPr>
            </w:pPr>
            <w:r w:rsidRPr="00AA6E30">
              <w:rPr>
                <w:b/>
                <w:color w:val="000000"/>
                <w:sz w:val="22"/>
              </w:rPr>
              <w:t>47</w:t>
            </w:r>
          </w:p>
        </w:tc>
        <w:tc>
          <w:tcPr>
            <w:tcW w:w="1596" w:type="dxa"/>
            <w:gridSpan w:val="2"/>
            <w:tcBorders>
              <w:top w:val="nil"/>
              <w:left w:val="single" w:sz="12" w:space="0" w:color="F79646"/>
              <w:bottom w:val="nil"/>
              <w:right w:val="single" w:sz="6" w:space="0" w:color="F2F2F2" w:themeColor="background1" w:themeShade="F2"/>
            </w:tcBorders>
            <w:shd w:val="clear" w:color="FCE4D6" w:fill="FCE4D6"/>
            <w:noWrap/>
            <w:vAlign w:val="center"/>
            <w:hideMark/>
          </w:tcPr>
          <w:p w14:paraId="35D647E8"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20</w:t>
            </w:r>
          </w:p>
        </w:tc>
        <w:tc>
          <w:tcPr>
            <w:tcW w:w="1189" w:type="dxa"/>
            <w:tcBorders>
              <w:top w:val="nil"/>
              <w:left w:val="single" w:sz="6" w:space="0" w:color="F2F2F2" w:themeColor="background1" w:themeShade="F2"/>
              <w:bottom w:val="nil"/>
              <w:right w:val="single" w:sz="6" w:space="0" w:color="F2F2F2" w:themeColor="background1" w:themeShade="F2"/>
            </w:tcBorders>
            <w:shd w:val="clear" w:color="FCE4D6" w:fill="FCE4D6"/>
            <w:noWrap/>
            <w:vAlign w:val="center"/>
            <w:hideMark/>
          </w:tcPr>
          <w:p w14:paraId="78915530"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26</w:t>
            </w:r>
          </w:p>
        </w:tc>
        <w:tc>
          <w:tcPr>
            <w:tcW w:w="1077" w:type="dxa"/>
            <w:tcBorders>
              <w:top w:val="nil"/>
              <w:left w:val="single" w:sz="6" w:space="0" w:color="F2F2F2" w:themeColor="background1" w:themeShade="F2"/>
              <w:bottom w:val="nil"/>
              <w:right w:val="single" w:sz="6" w:space="0" w:color="F2F2F2" w:themeColor="background1" w:themeShade="F2"/>
            </w:tcBorders>
            <w:shd w:val="clear" w:color="FCE4D6" w:fill="FCE4D6"/>
            <w:vAlign w:val="center"/>
          </w:tcPr>
          <w:p w14:paraId="7A7DFE55"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1</w:t>
            </w:r>
          </w:p>
        </w:tc>
        <w:tc>
          <w:tcPr>
            <w:tcW w:w="1077" w:type="dxa"/>
            <w:tcBorders>
              <w:top w:val="nil"/>
              <w:left w:val="single" w:sz="6" w:space="0" w:color="F2F2F2" w:themeColor="background1" w:themeShade="F2"/>
              <w:bottom w:val="nil"/>
            </w:tcBorders>
            <w:shd w:val="clear" w:color="FCE4D6" w:fill="FCE4D6"/>
            <w:noWrap/>
            <w:vAlign w:val="center"/>
            <w:hideMark/>
          </w:tcPr>
          <w:p w14:paraId="4E92F24C"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 </w:t>
            </w:r>
          </w:p>
        </w:tc>
      </w:tr>
      <w:tr w:rsidR="00115BC3" w:rsidRPr="009722AF" w14:paraId="0AF98CA8" w14:textId="77777777" w:rsidTr="00A46377">
        <w:trPr>
          <w:trHeight w:val="302"/>
          <w:jc w:val="center"/>
        </w:trPr>
        <w:tc>
          <w:tcPr>
            <w:tcW w:w="2672" w:type="dxa"/>
            <w:tcBorders>
              <w:top w:val="nil"/>
              <w:bottom w:val="nil"/>
              <w:right w:val="single" w:sz="12" w:space="0" w:color="F79646"/>
            </w:tcBorders>
            <w:shd w:val="clear" w:color="F8CBAD" w:fill="F8CBAD"/>
            <w:noWrap/>
            <w:vAlign w:val="center"/>
            <w:hideMark/>
          </w:tcPr>
          <w:p w14:paraId="4899B1B9" w14:textId="77777777" w:rsidR="00115BC3" w:rsidRPr="009722AF" w:rsidRDefault="00115BC3" w:rsidP="00115BC3">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III.skupina(&gt;100mil.Kč)</w:t>
            </w:r>
          </w:p>
        </w:tc>
        <w:tc>
          <w:tcPr>
            <w:tcW w:w="1429" w:type="dxa"/>
            <w:tcBorders>
              <w:top w:val="nil"/>
              <w:left w:val="single" w:sz="12" w:space="0" w:color="F79646"/>
              <w:bottom w:val="nil"/>
              <w:right w:val="single" w:sz="12" w:space="0" w:color="F79646"/>
            </w:tcBorders>
            <w:shd w:val="clear" w:color="F8CBAD" w:fill="F8CBAD"/>
            <w:noWrap/>
            <w:vAlign w:val="center"/>
            <w:hideMark/>
          </w:tcPr>
          <w:p w14:paraId="4B43EFA1" w14:textId="77777777" w:rsidR="00115BC3" w:rsidRPr="009722AF" w:rsidRDefault="00115BC3" w:rsidP="00115BC3">
            <w:pPr>
              <w:spacing w:before="0" w:after="0"/>
              <w:contextualSpacing w:val="0"/>
              <w:jc w:val="center"/>
              <w:rPr>
                <w:rFonts w:asciiTheme="majorHAnsi" w:eastAsia="Times New Roman" w:hAnsiTheme="majorHAnsi"/>
                <w:b/>
                <w:noProof/>
                <w:color w:val="000000"/>
                <w:szCs w:val="20"/>
                <w:lang w:eastAsia="cs-CZ"/>
              </w:rPr>
            </w:pPr>
            <w:r w:rsidRPr="00AA6E30">
              <w:rPr>
                <w:b/>
                <w:color w:val="000000"/>
                <w:sz w:val="22"/>
              </w:rPr>
              <w:t>289</w:t>
            </w:r>
          </w:p>
        </w:tc>
        <w:tc>
          <w:tcPr>
            <w:tcW w:w="1596" w:type="dxa"/>
            <w:gridSpan w:val="2"/>
            <w:tcBorders>
              <w:top w:val="nil"/>
              <w:left w:val="single" w:sz="12" w:space="0" w:color="F79646"/>
              <w:bottom w:val="nil"/>
              <w:right w:val="single" w:sz="6" w:space="0" w:color="F2F2F2" w:themeColor="background1" w:themeShade="F2"/>
            </w:tcBorders>
            <w:shd w:val="clear" w:color="F8CBAD" w:fill="F8CBAD"/>
            <w:noWrap/>
            <w:vAlign w:val="center"/>
            <w:hideMark/>
          </w:tcPr>
          <w:p w14:paraId="084CE323"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34</w:t>
            </w:r>
          </w:p>
        </w:tc>
        <w:tc>
          <w:tcPr>
            <w:tcW w:w="1189" w:type="dxa"/>
            <w:tcBorders>
              <w:top w:val="nil"/>
              <w:left w:val="single" w:sz="6" w:space="0" w:color="F2F2F2" w:themeColor="background1" w:themeShade="F2"/>
              <w:bottom w:val="nil"/>
              <w:right w:val="single" w:sz="6" w:space="0" w:color="F2F2F2" w:themeColor="background1" w:themeShade="F2"/>
            </w:tcBorders>
            <w:shd w:val="clear" w:color="F8CBAD" w:fill="F8CBAD"/>
            <w:noWrap/>
            <w:vAlign w:val="center"/>
            <w:hideMark/>
          </w:tcPr>
          <w:p w14:paraId="08B25B8F"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170</w:t>
            </w:r>
          </w:p>
        </w:tc>
        <w:tc>
          <w:tcPr>
            <w:tcW w:w="1077" w:type="dxa"/>
            <w:tcBorders>
              <w:top w:val="nil"/>
              <w:left w:val="single" w:sz="6" w:space="0" w:color="F2F2F2" w:themeColor="background1" w:themeShade="F2"/>
              <w:bottom w:val="nil"/>
              <w:right w:val="single" w:sz="6" w:space="0" w:color="F2F2F2" w:themeColor="background1" w:themeShade="F2"/>
            </w:tcBorders>
            <w:shd w:val="clear" w:color="F8CBAD" w:fill="F8CBAD"/>
            <w:vAlign w:val="center"/>
          </w:tcPr>
          <w:p w14:paraId="3D6F2603"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10</w:t>
            </w:r>
          </w:p>
        </w:tc>
        <w:tc>
          <w:tcPr>
            <w:tcW w:w="1077" w:type="dxa"/>
            <w:tcBorders>
              <w:top w:val="nil"/>
              <w:left w:val="single" w:sz="6" w:space="0" w:color="F2F2F2" w:themeColor="background1" w:themeShade="F2"/>
              <w:bottom w:val="nil"/>
            </w:tcBorders>
            <w:shd w:val="clear" w:color="F8CBAD" w:fill="F8CBAD"/>
            <w:noWrap/>
            <w:vAlign w:val="center"/>
            <w:hideMark/>
          </w:tcPr>
          <w:p w14:paraId="6C12093E"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75</w:t>
            </w:r>
          </w:p>
        </w:tc>
      </w:tr>
      <w:tr w:rsidR="00115BC3" w:rsidRPr="009722AF" w14:paraId="5B6A2C20" w14:textId="77777777" w:rsidTr="00A46377">
        <w:trPr>
          <w:trHeight w:val="302"/>
          <w:jc w:val="center"/>
        </w:trPr>
        <w:tc>
          <w:tcPr>
            <w:tcW w:w="2672" w:type="dxa"/>
            <w:tcBorders>
              <w:top w:val="nil"/>
              <w:bottom w:val="nil"/>
              <w:right w:val="single" w:sz="12" w:space="0" w:color="F79646"/>
            </w:tcBorders>
            <w:shd w:val="clear" w:color="FCE4D6" w:fill="FCE4D6"/>
            <w:noWrap/>
            <w:vAlign w:val="center"/>
            <w:hideMark/>
          </w:tcPr>
          <w:p w14:paraId="2295C9B2" w14:textId="77777777" w:rsidR="00115BC3" w:rsidRPr="009722AF" w:rsidRDefault="00115BC3" w:rsidP="00115BC3">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IV.skupina(&gt;10mil.Kč)</w:t>
            </w:r>
          </w:p>
        </w:tc>
        <w:tc>
          <w:tcPr>
            <w:tcW w:w="1429" w:type="dxa"/>
            <w:tcBorders>
              <w:top w:val="nil"/>
              <w:left w:val="single" w:sz="12" w:space="0" w:color="F79646"/>
              <w:bottom w:val="nil"/>
              <w:right w:val="single" w:sz="12" w:space="0" w:color="F79646"/>
            </w:tcBorders>
            <w:shd w:val="clear" w:color="FCE4D6" w:fill="FCE4D6"/>
            <w:noWrap/>
            <w:vAlign w:val="center"/>
            <w:hideMark/>
          </w:tcPr>
          <w:p w14:paraId="67678223" w14:textId="77777777" w:rsidR="00115BC3" w:rsidRPr="009722AF" w:rsidRDefault="00115BC3" w:rsidP="00115BC3">
            <w:pPr>
              <w:spacing w:before="0" w:after="0"/>
              <w:contextualSpacing w:val="0"/>
              <w:jc w:val="center"/>
              <w:rPr>
                <w:rFonts w:asciiTheme="majorHAnsi" w:eastAsia="Times New Roman" w:hAnsiTheme="majorHAnsi"/>
                <w:b/>
                <w:noProof/>
                <w:color w:val="000000"/>
                <w:szCs w:val="20"/>
                <w:lang w:eastAsia="cs-CZ"/>
              </w:rPr>
            </w:pPr>
            <w:r w:rsidRPr="00AA6E30">
              <w:rPr>
                <w:b/>
                <w:color w:val="000000"/>
                <w:sz w:val="22"/>
              </w:rPr>
              <w:t>1</w:t>
            </w:r>
            <w:r>
              <w:rPr>
                <w:b/>
                <w:color w:val="000000"/>
                <w:sz w:val="22"/>
              </w:rPr>
              <w:t xml:space="preserve"> </w:t>
            </w:r>
            <w:r w:rsidRPr="00AA6E30">
              <w:rPr>
                <w:b/>
                <w:color w:val="000000"/>
                <w:sz w:val="22"/>
              </w:rPr>
              <w:t>355</w:t>
            </w:r>
          </w:p>
        </w:tc>
        <w:tc>
          <w:tcPr>
            <w:tcW w:w="1596" w:type="dxa"/>
            <w:gridSpan w:val="2"/>
            <w:tcBorders>
              <w:top w:val="nil"/>
              <w:left w:val="single" w:sz="12" w:space="0" w:color="F79646"/>
              <w:bottom w:val="nil"/>
              <w:right w:val="single" w:sz="6" w:space="0" w:color="F2F2F2" w:themeColor="background1" w:themeShade="F2"/>
            </w:tcBorders>
            <w:shd w:val="clear" w:color="FCE4D6" w:fill="FCE4D6"/>
            <w:noWrap/>
            <w:vAlign w:val="center"/>
            <w:hideMark/>
          </w:tcPr>
          <w:p w14:paraId="08F855B4"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18</w:t>
            </w:r>
          </w:p>
        </w:tc>
        <w:tc>
          <w:tcPr>
            <w:tcW w:w="1189" w:type="dxa"/>
            <w:tcBorders>
              <w:top w:val="nil"/>
              <w:left w:val="single" w:sz="6" w:space="0" w:color="F2F2F2" w:themeColor="background1" w:themeShade="F2"/>
              <w:bottom w:val="nil"/>
              <w:right w:val="single" w:sz="6" w:space="0" w:color="F2F2F2" w:themeColor="background1" w:themeShade="F2"/>
            </w:tcBorders>
            <w:shd w:val="clear" w:color="FCE4D6" w:fill="FCE4D6"/>
            <w:noWrap/>
            <w:vAlign w:val="center"/>
            <w:hideMark/>
          </w:tcPr>
          <w:p w14:paraId="39FC9DD4"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423</w:t>
            </w:r>
          </w:p>
        </w:tc>
        <w:tc>
          <w:tcPr>
            <w:tcW w:w="1077" w:type="dxa"/>
            <w:tcBorders>
              <w:top w:val="nil"/>
              <w:left w:val="single" w:sz="6" w:space="0" w:color="F2F2F2" w:themeColor="background1" w:themeShade="F2"/>
              <w:bottom w:val="nil"/>
              <w:right w:val="single" w:sz="6" w:space="0" w:color="F2F2F2" w:themeColor="background1" w:themeShade="F2"/>
            </w:tcBorders>
            <w:shd w:val="clear" w:color="FCE4D6" w:fill="FCE4D6"/>
            <w:vAlign w:val="center"/>
          </w:tcPr>
          <w:p w14:paraId="2B3F93C7"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91</w:t>
            </w:r>
          </w:p>
        </w:tc>
        <w:tc>
          <w:tcPr>
            <w:tcW w:w="1077" w:type="dxa"/>
            <w:tcBorders>
              <w:top w:val="nil"/>
              <w:left w:val="single" w:sz="6" w:space="0" w:color="F2F2F2" w:themeColor="background1" w:themeShade="F2"/>
              <w:bottom w:val="nil"/>
            </w:tcBorders>
            <w:shd w:val="clear" w:color="FCE4D6" w:fill="FCE4D6"/>
            <w:noWrap/>
            <w:vAlign w:val="center"/>
            <w:hideMark/>
          </w:tcPr>
          <w:p w14:paraId="4114F0E4"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823</w:t>
            </w:r>
          </w:p>
        </w:tc>
      </w:tr>
      <w:tr w:rsidR="00115BC3" w:rsidRPr="009722AF" w14:paraId="6B6C4346" w14:textId="77777777" w:rsidTr="00A46377">
        <w:trPr>
          <w:trHeight w:val="302"/>
          <w:jc w:val="center"/>
        </w:trPr>
        <w:tc>
          <w:tcPr>
            <w:tcW w:w="2672" w:type="dxa"/>
            <w:tcBorders>
              <w:top w:val="nil"/>
              <w:bottom w:val="nil"/>
              <w:right w:val="single" w:sz="12" w:space="0" w:color="F79646"/>
            </w:tcBorders>
            <w:shd w:val="clear" w:color="F8CBAD" w:fill="F8CBAD"/>
            <w:noWrap/>
            <w:vAlign w:val="center"/>
            <w:hideMark/>
          </w:tcPr>
          <w:p w14:paraId="132BA48A" w14:textId="77777777" w:rsidR="00115BC3" w:rsidRPr="009722AF" w:rsidRDefault="00115BC3" w:rsidP="00115BC3">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V.skupina(&gt;1mil.Kč)</w:t>
            </w:r>
          </w:p>
        </w:tc>
        <w:tc>
          <w:tcPr>
            <w:tcW w:w="1429" w:type="dxa"/>
            <w:tcBorders>
              <w:top w:val="nil"/>
              <w:left w:val="single" w:sz="12" w:space="0" w:color="F79646"/>
              <w:bottom w:val="nil"/>
              <w:right w:val="single" w:sz="12" w:space="0" w:color="F79646"/>
            </w:tcBorders>
            <w:shd w:val="clear" w:color="F8CBAD" w:fill="F8CBAD"/>
            <w:noWrap/>
            <w:vAlign w:val="center"/>
            <w:hideMark/>
          </w:tcPr>
          <w:p w14:paraId="0C53FE9A" w14:textId="77777777" w:rsidR="00115BC3" w:rsidRPr="009722AF" w:rsidRDefault="00115BC3" w:rsidP="00115BC3">
            <w:pPr>
              <w:spacing w:before="0" w:after="0"/>
              <w:contextualSpacing w:val="0"/>
              <w:jc w:val="center"/>
              <w:rPr>
                <w:rFonts w:asciiTheme="majorHAnsi" w:eastAsia="Times New Roman" w:hAnsiTheme="majorHAnsi"/>
                <w:b/>
                <w:noProof/>
                <w:color w:val="000000"/>
                <w:szCs w:val="20"/>
                <w:lang w:eastAsia="cs-CZ"/>
              </w:rPr>
            </w:pPr>
            <w:r w:rsidRPr="00AA6E30">
              <w:rPr>
                <w:b/>
                <w:color w:val="000000"/>
                <w:sz w:val="22"/>
              </w:rPr>
              <w:t>295</w:t>
            </w:r>
          </w:p>
        </w:tc>
        <w:tc>
          <w:tcPr>
            <w:tcW w:w="1596" w:type="dxa"/>
            <w:gridSpan w:val="2"/>
            <w:tcBorders>
              <w:top w:val="nil"/>
              <w:left w:val="single" w:sz="12" w:space="0" w:color="F79646"/>
              <w:bottom w:val="nil"/>
              <w:right w:val="single" w:sz="6" w:space="0" w:color="F2F2F2" w:themeColor="background1" w:themeShade="F2"/>
            </w:tcBorders>
            <w:shd w:val="clear" w:color="F8CBAD" w:fill="F8CBAD"/>
            <w:noWrap/>
            <w:vAlign w:val="center"/>
            <w:hideMark/>
          </w:tcPr>
          <w:p w14:paraId="0D5B23D4"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p>
        </w:tc>
        <w:tc>
          <w:tcPr>
            <w:tcW w:w="1189" w:type="dxa"/>
            <w:tcBorders>
              <w:top w:val="nil"/>
              <w:left w:val="single" w:sz="6" w:space="0" w:color="F2F2F2" w:themeColor="background1" w:themeShade="F2"/>
              <w:bottom w:val="nil"/>
              <w:right w:val="single" w:sz="6" w:space="0" w:color="F2F2F2" w:themeColor="background1" w:themeShade="F2"/>
            </w:tcBorders>
            <w:shd w:val="clear" w:color="F8CBAD" w:fill="F8CBAD"/>
            <w:noWrap/>
            <w:vAlign w:val="center"/>
            <w:hideMark/>
          </w:tcPr>
          <w:p w14:paraId="7C7A333C"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27</w:t>
            </w:r>
          </w:p>
        </w:tc>
        <w:tc>
          <w:tcPr>
            <w:tcW w:w="1077" w:type="dxa"/>
            <w:tcBorders>
              <w:top w:val="nil"/>
              <w:left w:val="single" w:sz="6" w:space="0" w:color="F2F2F2" w:themeColor="background1" w:themeShade="F2"/>
              <w:bottom w:val="nil"/>
              <w:right w:val="single" w:sz="6" w:space="0" w:color="F2F2F2" w:themeColor="background1" w:themeShade="F2"/>
            </w:tcBorders>
            <w:shd w:val="clear" w:color="F8CBAD" w:fill="F8CBAD"/>
            <w:vAlign w:val="center"/>
          </w:tcPr>
          <w:p w14:paraId="770C7FFA"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34</w:t>
            </w:r>
          </w:p>
        </w:tc>
        <w:tc>
          <w:tcPr>
            <w:tcW w:w="1077" w:type="dxa"/>
            <w:tcBorders>
              <w:top w:val="nil"/>
              <w:left w:val="single" w:sz="6" w:space="0" w:color="F2F2F2" w:themeColor="background1" w:themeShade="F2"/>
              <w:bottom w:val="nil"/>
            </w:tcBorders>
            <w:shd w:val="clear" w:color="F8CBAD" w:fill="F8CBAD"/>
            <w:noWrap/>
            <w:vAlign w:val="center"/>
            <w:hideMark/>
          </w:tcPr>
          <w:p w14:paraId="35968B56"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234</w:t>
            </w:r>
          </w:p>
        </w:tc>
      </w:tr>
      <w:tr w:rsidR="00115BC3" w:rsidRPr="009722AF" w14:paraId="2E88F490" w14:textId="77777777" w:rsidTr="00A46377">
        <w:trPr>
          <w:trHeight w:val="302"/>
          <w:jc w:val="center"/>
        </w:trPr>
        <w:tc>
          <w:tcPr>
            <w:tcW w:w="2672" w:type="dxa"/>
            <w:tcBorders>
              <w:top w:val="nil"/>
              <w:bottom w:val="nil"/>
              <w:right w:val="single" w:sz="12" w:space="0" w:color="F79646"/>
            </w:tcBorders>
            <w:shd w:val="clear" w:color="FCE4D6" w:fill="FCE4D6"/>
            <w:noWrap/>
            <w:vAlign w:val="center"/>
            <w:hideMark/>
          </w:tcPr>
          <w:p w14:paraId="335DB6E3" w14:textId="77777777" w:rsidR="00115BC3" w:rsidRPr="009722AF" w:rsidRDefault="00115BC3" w:rsidP="00115BC3">
            <w:pPr>
              <w:spacing w:before="0" w:after="0"/>
              <w:contextualSpacing w:val="0"/>
              <w:jc w:val="left"/>
              <w:rPr>
                <w:rFonts w:asciiTheme="majorHAnsi" w:eastAsia="Times New Roman" w:hAnsiTheme="majorHAnsi"/>
                <w:noProof/>
                <w:color w:val="000000"/>
                <w:szCs w:val="20"/>
                <w:lang w:eastAsia="cs-CZ"/>
              </w:rPr>
            </w:pPr>
            <w:r w:rsidRPr="009722AF">
              <w:rPr>
                <w:rFonts w:asciiTheme="majorHAnsi" w:eastAsia="Times New Roman" w:hAnsiTheme="majorHAnsi"/>
                <w:noProof/>
                <w:color w:val="000000"/>
                <w:sz w:val="22"/>
                <w:szCs w:val="20"/>
                <w:lang w:eastAsia="cs-CZ"/>
              </w:rPr>
              <w:t>VI.skupina(&lt;1mil.Kč)</w:t>
            </w:r>
          </w:p>
        </w:tc>
        <w:tc>
          <w:tcPr>
            <w:tcW w:w="1429" w:type="dxa"/>
            <w:tcBorders>
              <w:top w:val="nil"/>
              <w:left w:val="single" w:sz="12" w:space="0" w:color="F79646"/>
              <w:bottom w:val="nil"/>
              <w:right w:val="single" w:sz="12" w:space="0" w:color="F79646"/>
            </w:tcBorders>
            <w:shd w:val="clear" w:color="FCE4D6" w:fill="FCE4D6"/>
            <w:noWrap/>
            <w:vAlign w:val="center"/>
            <w:hideMark/>
          </w:tcPr>
          <w:p w14:paraId="2D3DF004" w14:textId="77777777" w:rsidR="00115BC3" w:rsidRPr="009722AF" w:rsidRDefault="00115BC3" w:rsidP="00115BC3">
            <w:pPr>
              <w:spacing w:before="0" w:after="0"/>
              <w:contextualSpacing w:val="0"/>
              <w:jc w:val="center"/>
              <w:rPr>
                <w:rFonts w:asciiTheme="majorHAnsi" w:eastAsia="Times New Roman" w:hAnsiTheme="majorHAnsi"/>
                <w:b/>
                <w:noProof/>
                <w:color w:val="000000"/>
                <w:szCs w:val="20"/>
                <w:lang w:eastAsia="cs-CZ"/>
              </w:rPr>
            </w:pPr>
            <w:r w:rsidRPr="00AA6E30">
              <w:rPr>
                <w:b/>
                <w:color w:val="000000"/>
                <w:sz w:val="22"/>
              </w:rPr>
              <w:t>14</w:t>
            </w:r>
          </w:p>
        </w:tc>
        <w:tc>
          <w:tcPr>
            <w:tcW w:w="1596" w:type="dxa"/>
            <w:gridSpan w:val="2"/>
            <w:tcBorders>
              <w:top w:val="nil"/>
              <w:left w:val="single" w:sz="12" w:space="0" w:color="F79646"/>
              <w:bottom w:val="nil"/>
              <w:right w:val="single" w:sz="6" w:space="0" w:color="F2F2F2" w:themeColor="background1" w:themeShade="F2"/>
            </w:tcBorders>
            <w:shd w:val="clear" w:color="FCE4D6" w:fill="FCE4D6"/>
            <w:noWrap/>
            <w:vAlign w:val="center"/>
            <w:hideMark/>
          </w:tcPr>
          <w:p w14:paraId="3C2DA338"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 </w:t>
            </w:r>
          </w:p>
        </w:tc>
        <w:tc>
          <w:tcPr>
            <w:tcW w:w="1189" w:type="dxa"/>
            <w:tcBorders>
              <w:top w:val="nil"/>
              <w:left w:val="single" w:sz="6" w:space="0" w:color="F2F2F2" w:themeColor="background1" w:themeShade="F2"/>
              <w:bottom w:val="nil"/>
              <w:right w:val="single" w:sz="6" w:space="0" w:color="F2F2F2" w:themeColor="background1" w:themeShade="F2"/>
            </w:tcBorders>
            <w:shd w:val="clear" w:color="FCE4D6" w:fill="FCE4D6"/>
            <w:noWrap/>
            <w:vAlign w:val="center"/>
            <w:hideMark/>
          </w:tcPr>
          <w:p w14:paraId="3DDB660C"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1</w:t>
            </w:r>
          </w:p>
        </w:tc>
        <w:tc>
          <w:tcPr>
            <w:tcW w:w="1077" w:type="dxa"/>
            <w:tcBorders>
              <w:top w:val="nil"/>
              <w:left w:val="single" w:sz="6" w:space="0" w:color="F2F2F2" w:themeColor="background1" w:themeShade="F2"/>
              <w:bottom w:val="nil"/>
              <w:right w:val="single" w:sz="6" w:space="0" w:color="F2F2F2" w:themeColor="background1" w:themeShade="F2"/>
            </w:tcBorders>
            <w:shd w:val="clear" w:color="FCE4D6" w:fill="FCE4D6"/>
            <w:vAlign w:val="center"/>
          </w:tcPr>
          <w:p w14:paraId="24E6B7DF"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 </w:t>
            </w:r>
          </w:p>
        </w:tc>
        <w:tc>
          <w:tcPr>
            <w:tcW w:w="1077" w:type="dxa"/>
            <w:tcBorders>
              <w:top w:val="nil"/>
              <w:left w:val="single" w:sz="6" w:space="0" w:color="F2F2F2" w:themeColor="background1" w:themeShade="F2"/>
              <w:bottom w:val="nil"/>
            </w:tcBorders>
            <w:shd w:val="clear" w:color="FCE4D6" w:fill="FCE4D6"/>
            <w:noWrap/>
            <w:vAlign w:val="center"/>
            <w:hideMark/>
          </w:tcPr>
          <w:p w14:paraId="4228B3DD" w14:textId="77777777" w:rsidR="00115BC3" w:rsidRPr="009722AF" w:rsidRDefault="00115BC3" w:rsidP="00115BC3">
            <w:pPr>
              <w:spacing w:before="0" w:after="0"/>
              <w:contextualSpacing w:val="0"/>
              <w:jc w:val="center"/>
              <w:rPr>
                <w:rFonts w:asciiTheme="majorHAnsi" w:eastAsia="Times New Roman" w:hAnsiTheme="majorHAnsi"/>
                <w:noProof/>
                <w:color w:val="000000"/>
                <w:sz w:val="22"/>
                <w:szCs w:val="20"/>
                <w:lang w:eastAsia="cs-CZ"/>
              </w:rPr>
            </w:pPr>
            <w:r>
              <w:rPr>
                <w:color w:val="000000"/>
                <w:sz w:val="22"/>
              </w:rPr>
              <w:t>13</w:t>
            </w:r>
          </w:p>
        </w:tc>
      </w:tr>
      <w:tr w:rsidR="00115BC3" w:rsidRPr="009722AF" w14:paraId="4A45BCDF" w14:textId="77777777" w:rsidTr="00A46377">
        <w:trPr>
          <w:trHeight w:val="302"/>
          <w:jc w:val="center"/>
        </w:trPr>
        <w:tc>
          <w:tcPr>
            <w:tcW w:w="2672" w:type="dxa"/>
            <w:tcBorders>
              <w:top w:val="nil"/>
              <w:bottom w:val="single" w:sz="12" w:space="0" w:color="F79646"/>
              <w:right w:val="single" w:sz="12" w:space="0" w:color="F79646"/>
            </w:tcBorders>
            <w:shd w:val="clear" w:color="F8CBAD" w:fill="F8CBAD"/>
            <w:noWrap/>
            <w:vAlign w:val="center"/>
            <w:hideMark/>
          </w:tcPr>
          <w:p w14:paraId="571AF288" w14:textId="77777777" w:rsidR="00115BC3" w:rsidRPr="009722AF" w:rsidRDefault="00115BC3" w:rsidP="00115BC3">
            <w:pPr>
              <w:spacing w:before="0" w:after="0"/>
              <w:contextualSpacing w:val="0"/>
              <w:jc w:val="right"/>
              <w:rPr>
                <w:rFonts w:asciiTheme="majorHAnsi" w:eastAsia="Times New Roman" w:hAnsiTheme="majorHAnsi"/>
                <w:b/>
                <w:bCs/>
                <w:noProof/>
                <w:color w:val="000000"/>
                <w:szCs w:val="20"/>
                <w:lang w:eastAsia="cs-CZ"/>
              </w:rPr>
            </w:pPr>
            <w:r w:rsidRPr="009722AF">
              <w:rPr>
                <w:rFonts w:asciiTheme="majorHAnsi" w:eastAsia="Times New Roman" w:hAnsiTheme="majorHAnsi"/>
                <w:b/>
                <w:bCs/>
                <w:noProof/>
                <w:color w:val="000000"/>
                <w:sz w:val="22"/>
                <w:szCs w:val="20"/>
                <w:lang w:eastAsia="cs-CZ"/>
              </w:rPr>
              <w:t>Celkový součet</w:t>
            </w:r>
          </w:p>
        </w:tc>
        <w:tc>
          <w:tcPr>
            <w:tcW w:w="1429" w:type="dxa"/>
            <w:tcBorders>
              <w:top w:val="nil"/>
              <w:left w:val="single" w:sz="12" w:space="0" w:color="F79646"/>
              <w:bottom w:val="single" w:sz="12" w:space="0" w:color="F79646"/>
              <w:right w:val="single" w:sz="12" w:space="0" w:color="F79646"/>
            </w:tcBorders>
            <w:shd w:val="clear" w:color="F8CBAD" w:fill="F8CBAD"/>
            <w:noWrap/>
            <w:vAlign w:val="center"/>
            <w:hideMark/>
          </w:tcPr>
          <w:p w14:paraId="3FD72A6A" w14:textId="77777777" w:rsidR="00115BC3" w:rsidRPr="009722AF" w:rsidRDefault="00115BC3" w:rsidP="00115BC3">
            <w:pPr>
              <w:spacing w:before="0" w:after="0"/>
              <w:contextualSpacing w:val="0"/>
              <w:jc w:val="center"/>
              <w:rPr>
                <w:rFonts w:asciiTheme="majorHAnsi" w:eastAsia="Times New Roman" w:hAnsiTheme="majorHAnsi"/>
                <w:b/>
                <w:bCs/>
                <w:noProof/>
                <w:color w:val="000000"/>
                <w:szCs w:val="20"/>
                <w:lang w:eastAsia="cs-CZ"/>
              </w:rPr>
            </w:pPr>
            <w:r w:rsidRPr="00AA6E30">
              <w:rPr>
                <w:b/>
                <w:bCs/>
                <w:color w:val="000000"/>
                <w:sz w:val="22"/>
              </w:rPr>
              <w:t>2</w:t>
            </w:r>
            <w:r>
              <w:rPr>
                <w:b/>
                <w:bCs/>
                <w:color w:val="000000"/>
                <w:sz w:val="22"/>
              </w:rPr>
              <w:t xml:space="preserve"> </w:t>
            </w:r>
            <w:r w:rsidRPr="00AA6E30">
              <w:rPr>
                <w:b/>
                <w:bCs/>
                <w:color w:val="000000"/>
                <w:sz w:val="22"/>
              </w:rPr>
              <w:t>005</w:t>
            </w:r>
          </w:p>
        </w:tc>
        <w:tc>
          <w:tcPr>
            <w:tcW w:w="1596" w:type="dxa"/>
            <w:gridSpan w:val="2"/>
            <w:tcBorders>
              <w:top w:val="nil"/>
              <w:left w:val="single" w:sz="12" w:space="0" w:color="F79646"/>
              <w:bottom w:val="single" w:sz="12" w:space="0" w:color="F79646"/>
              <w:right w:val="single" w:sz="6" w:space="0" w:color="F2F2F2" w:themeColor="background1" w:themeShade="F2"/>
            </w:tcBorders>
            <w:shd w:val="clear" w:color="F8CBAD" w:fill="F8CBAD"/>
            <w:noWrap/>
            <w:vAlign w:val="center"/>
            <w:hideMark/>
          </w:tcPr>
          <w:p w14:paraId="3C830AA3" w14:textId="77777777" w:rsidR="00115BC3" w:rsidRPr="009722AF" w:rsidRDefault="00115BC3" w:rsidP="00115BC3">
            <w:pPr>
              <w:spacing w:before="0" w:after="0"/>
              <w:contextualSpacing w:val="0"/>
              <w:jc w:val="center"/>
              <w:rPr>
                <w:rFonts w:asciiTheme="majorHAnsi" w:eastAsia="Times New Roman" w:hAnsiTheme="majorHAnsi"/>
                <w:b/>
                <w:bCs/>
                <w:noProof/>
                <w:color w:val="000000"/>
                <w:sz w:val="22"/>
                <w:szCs w:val="20"/>
                <w:lang w:eastAsia="cs-CZ"/>
              </w:rPr>
            </w:pPr>
            <w:r>
              <w:rPr>
                <w:b/>
                <w:bCs/>
                <w:color w:val="000000"/>
                <w:sz w:val="22"/>
              </w:rPr>
              <w:t>75</w:t>
            </w:r>
          </w:p>
        </w:tc>
        <w:tc>
          <w:tcPr>
            <w:tcW w:w="1189" w:type="dxa"/>
            <w:tcBorders>
              <w:top w:val="nil"/>
              <w:left w:val="single" w:sz="6" w:space="0" w:color="F2F2F2" w:themeColor="background1" w:themeShade="F2"/>
              <w:bottom w:val="single" w:sz="12" w:space="0" w:color="F79646"/>
              <w:right w:val="single" w:sz="6" w:space="0" w:color="F2F2F2" w:themeColor="background1" w:themeShade="F2"/>
            </w:tcBorders>
            <w:shd w:val="clear" w:color="F8CBAD" w:fill="F8CBAD"/>
            <w:noWrap/>
            <w:vAlign w:val="center"/>
            <w:hideMark/>
          </w:tcPr>
          <w:p w14:paraId="0A3BD8CC" w14:textId="77777777" w:rsidR="00115BC3" w:rsidRPr="009722AF" w:rsidRDefault="00115BC3" w:rsidP="00115BC3">
            <w:pPr>
              <w:spacing w:before="0" w:after="0"/>
              <w:contextualSpacing w:val="0"/>
              <w:jc w:val="center"/>
              <w:rPr>
                <w:rFonts w:asciiTheme="majorHAnsi" w:eastAsia="Times New Roman" w:hAnsiTheme="majorHAnsi"/>
                <w:b/>
                <w:bCs/>
                <w:noProof/>
                <w:color w:val="000000"/>
                <w:sz w:val="22"/>
                <w:szCs w:val="20"/>
                <w:lang w:eastAsia="cs-CZ"/>
              </w:rPr>
            </w:pPr>
            <w:r>
              <w:rPr>
                <w:b/>
                <w:bCs/>
                <w:color w:val="000000"/>
                <w:sz w:val="22"/>
              </w:rPr>
              <w:t>649</w:t>
            </w:r>
          </w:p>
        </w:tc>
        <w:tc>
          <w:tcPr>
            <w:tcW w:w="1077" w:type="dxa"/>
            <w:tcBorders>
              <w:top w:val="nil"/>
              <w:left w:val="single" w:sz="6" w:space="0" w:color="F2F2F2" w:themeColor="background1" w:themeShade="F2"/>
              <w:bottom w:val="single" w:sz="12" w:space="0" w:color="F79646"/>
              <w:right w:val="single" w:sz="6" w:space="0" w:color="F2F2F2" w:themeColor="background1" w:themeShade="F2"/>
            </w:tcBorders>
            <w:shd w:val="clear" w:color="F8CBAD" w:fill="F8CBAD"/>
            <w:vAlign w:val="center"/>
          </w:tcPr>
          <w:p w14:paraId="34F8CBD3" w14:textId="77777777" w:rsidR="00115BC3" w:rsidRPr="009722AF" w:rsidRDefault="00115BC3" w:rsidP="00115BC3">
            <w:pPr>
              <w:spacing w:before="0" w:after="0"/>
              <w:contextualSpacing w:val="0"/>
              <w:jc w:val="center"/>
              <w:rPr>
                <w:rFonts w:asciiTheme="majorHAnsi" w:eastAsia="Times New Roman" w:hAnsiTheme="majorHAnsi"/>
                <w:b/>
                <w:bCs/>
                <w:noProof/>
                <w:color w:val="000000"/>
                <w:sz w:val="22"/>
                <w:szCs w:val="20"/>
                <w:lang w:eastAsia="cs-CZ"/>
              </w:rPr>
            </w:pPr>
            <w:r>
              <w:rPr>
                <w:b/>
                <w:bCs/>
                <w:color w:val="000000"/>
                <w:sz w:val="22"/>
              </w:rPr>
              <w:t>136</w:t>
            </w:r>
          </w:p>
        </w:tc>
        <w:tc>
          <w:tcPr>
            <w:tcW w:w="1077" w:type="dxa"/>
            <w:tcBorders>
              <w:top w:val="nil"/>
              <w:left w:val="single" w:sz="6" w:space="0" w:color="F2F2F2" w:themeColor="background1" w:themeShade="F2"/>
              <w:bottom w:val="single" w:sz="12" w:space="0" w:color="F79646"/>
            </w:tcBorders>
            <w:shd w:val="clear" w:color="F8CBAD" w:fill="F8CBAD"/>
            <w:noWrap/>
            <w:vAlign w:val="center"/>
            <w:hideMark/>
          </w:tcPr>
          <w:p w14:paraId="47B01C98" w14:textId="77777777" w:rsidR="00115BC3" w:rsidRPr="009722AF" w:rsidRDefault="00115BC3" w:rsidP="00115BC3">
            <w:pPr>
              <w:spacing w:before="0" w:after="0"/>
              <w:contextualSpacing w:val="0"/>
              <w:jc w:val="center"/>
              <w:rPr>
                <w:rFonts w:asciiTheme="majorHAnsi" w:eastAsia="Times New Roman" w:hAnsiTheme="majorHAnsi"/>
                <w:b/>
                <w:bCs/>
                <w:noProof/>
                <w:color w:val="000000"/>
                <w:sz w:val="22"/>
                <w:szCs w:val="20"/>
                <w:lang w:eastAsia="cs-CZ"/>
              </w:rPr>
            </w:pPr>
            <w:r>
              <w:rPr>
                <w:b/>
                <w:bCs/>
                <w:color w:val="000000"/>
                <w:sz w:val="22"/>
              </w:rPr>
              <w:t>1 145</w:t>
            </w:r>
          </w:p>
        </w:tc>
      </w:tr>
    </w:tbl>
    <w:p w14:paraId="706BA60E" w14:textId="77777777" w:rsidR="00AC433C" w:rsidRDefault="00AC433C" w:rsidP="00C1539B">
      <w:pPr>
        <w:pStyle w:val="Normlnzprva"/>
        <w:rPr>
          <w:rFonts w:asciiTheme="minorHAnsi" w:hAnsiTheme="minorHAnsi"/>
          <w:noProof/>
        </w:rPr>
      </w:pPr>
    </w:p>
    <w:p w14:paraId="6CCE4844" w14:textId="77777777" w:rsidR="00C1539B" w:rsidRPr="00C62639" w:rsidRDefault="00C1539B" w:rsidP="00C1539B">
      <w:pPr>
        <w:pStyle w:val="Nadpis3"/>
        <w:rPr>
          <w:rFonts w:asciiTheme="minorHAnsi" w:eastAsia="Calibri" w:hAnsiTheme="minorHAnsi"/>
          <w:noProof/>
        </w:rPr>
      </w:pPr>
      <w:bookmarkStart w:id="30" w:name="_Toc3291991"/>
      <w:r w:rsidRPr="00C62639">
        <w:rPr>
          <w:rFonts w:asciiTheme="minorHAnsi" w:eastAsia="Calibri" w:hAnsiTheme="minorHAnsi"/>
          <w:noProof/>
        </w:rPr>
        <w:t xml:space="preserve">Skupiny provozovatelského </w:t>
      </w:r>
      <w:r w:rsidR="00B87BD4" w:rsidRPr="00C62639">
        <w:rPr>
          <w:rFonts w:asciiTheme="minorHAnsi" w:eastAsia="Calibri" w:hAnsiTheme="minorHAnsi"/>
          <w:noProof/>
        </w:rPr>
        <w:t>benchmarkingu</w:t>
      </w:r>
      <w:bookmarkEnd w:id="30"/>
    </w:p>
    <w:p w14:paraId="40B7492C" w14:textId="5BABE4A6" w:rsidR="00C1539B" w:rsidRPr="00C62639" w:rsidRDefault="00F73F99" w:rsidP="004F510A">
      <w:pPr>
        <w:pStyle w:val="NORMLN0"/>
        <w:rPr>
          <w:rFonts w:asciiTheme="minorHAnsi" w:hAnsiTheme="minorHAnsi" w:cs="Calibri"/>
        </w:rPr>
      </w:pPr>
      <w:r>
        <w:t>Provozovatelský</w:t>
      </w:r>
      <w:r w:rsidR="00B26631">
        <w:t xml:space="preserve"> </w:t>
      </w:r>
      <w:r w:rsidRPr="00934258">
        <w:t>benchmarking</w:t>
      </w:r>
      <w:r>
        <w:t xml:space="preserve"> dělí Porovnání podle</w:t>
      </w:r>
      <w:r w:rsidR="00B26631">
        <w:t xml:space="preserve"> </w:t>
      </w:r>
      <w:r w:rsidRPr="00934258">
        <w:t xml:space="preserve">počtu připojených obyvatel. </w:t>
      </w:r>
      <w:r>
        <w:t>P</w:t>
      </w:r>
      <w:r w:rsidRPr="00934258">
        <w:t>rovozovatelé, kteří provozují majetky různých vlastníků (tj. uzavřeli více smluv o nájmu a provozu majetku VaK)</w:t>
      </w:r>
      <w:r w:rsidR="004C7C21">
        <w:t>,</w:t>
      </w:r>
      <w:r w:rsidR="00B26631">
        <w:t xml:space="preserve"> </w:t>
      </w:r>
      <w:r>
        <w:t xml:space="preserve">se mohou </w:t>
      </w:r>
      <w:r w:rsidRPr="00D25F53">
        <w:t>vysk</w:t>
      </w:r>
      <w:r w:rsidR="00D25F53" w:rsidRPr="00D25F53">
        <w:t>y</w:t>
      </w:r>
      <w:r w:rsidRPr="00D25F53">
        <w:t>tova</w:t>
      </w:r>
      <w:r w:rsidR="00D25F53">
        <w:t>t ve více skupin</w:t>
      </w:r>
      <w:r w:rsidRPr="00934258">
        <w:t>ách</w:t>
      </w:r>
      <w:r w:rsidR="004F510A">
        <w:t>, a to i několikrát</w:t>
      </w:r>
      <w:r w:rsidRPr="00934258">
        <w:t xml:space="preserve">. </w:t>
      </w:r>
    </w:p>
    <w:p w14:paraId="527EE930" w14:textId="77777777" w:rsidR="000E38AE" w:rsidRDefault="000E38AE" w:rsidP="000E38AE">
      <w:pPr>
        <w:pStyle w:val="Normlnzprva"/>
        <w:rPr>
          <w:rFonts w:asciiTheme="minorHAnsi" w:hAnsiTheme="minorHAnsi"/>
          <w:noProof/>
        </w:rPr>
      </w:pPr>
    </w:p>
    <w:tbl>
      <w:tblPr>
        <w:tblW w:w="5000" w:type="pct"/>
        <w:jc w:val="center"/>
        <w:tblLayout w:type="fixed"/>
        <w:tblCellMar>
          <w:left w:w="0" w:type="dxa"/>
          <w:right w:w="0" w:type="dxa"/>
        </w:tblCellMar>
        <w:tblLook w:val="04A0" w:firstRow="1" w:lastRow="0" w:firstColumn="1" w:lastColumn="0" w:noHBand="0" w:noVBand="1"/>
      </w:tblPr>
      <w:tblGrid>
        <w:gridCol w:w="3031"/>
        <w:gridCol w:w="1669"/>
        <w:gridCol w:w="1470"/>
        <w:gridCol w:w="968"/>
        <w:gridCol w:w="956"/>
        <w:gridCol w:w="956"/>
      </w:tblGrid>
      <w:tr w:rsidR="000306EC" w:rsidRPr="009722AF" w14:paraId="64D198CD" w14:textId="77777777" w:rsidTr="000306EC">
        <w:trPr>
          <w:trHeight w:val="576"/>
          <w:jc w:val="center"/>
        </w:trPr>
        <w:tc>
          <w:tcPr>
            <w:tcW w:w="1675" w:type="pct"/>
            <w:tcBorders>
              <w:top w:val="single" w:sz="8" w:space="0" w:color="2F75B5"/>
              <w:left w:val="single" w:sz="8" w:space="0" w:color="2F75B5"/>
              <w:bottom w:val="nil"/>
              <w:right w:val="single" w:sz="8" w:space="0" w:color="2F75B5"/>
            </w:tcBorders>
            <w:shd w:val="clear" w:color="auto" w:fill="auto"/>
            <w:tcMar>
              <w:top w:w="15" w:type="dxa"/>
              <w:left w:w="15" w:type="dxa"/>
              <w:bottom w:w="0" w:type="dxa"/>
              <w:right w:w="15" w:type="dxa"/>
            </w:tcMar>
            <w:vAlign w:val="center"/>
            <w:hideMark/>
          </w:tcPr>
          <w:p w14:paraId="381BD771" w14:textId="77777777" w:rsidR="000306EC" w:rsidRPr="009722AF" w:rsidRDefault="000306EC" w:rsidP="003C548E">
            <w:pPr>
              <w:spacing w:before="0" w:after="0" w:line="240" w:lineRule="atLeast"/>
              <w:jc w:val="left"/>
              <w:rPr>
                <w:rFonts w:asciiTheme="majorHAnsi" w:hAnsiTheme="majorHAnsi"/>
                <w:noProof/>
                <w:color w:val="000000"/>
              </w:rPr>
            </w:pPr>
            <w:r w:rsidRPr="009722AF">
              <w:rPr>
                <w:rFonts w:asciiTheme="majorHAnsi" w:hAnsiTheme="majorHAnsi"/>
                <w:b/>
                <w:noProof/>
                <w:color w:val="000000"/>
                <w:sz w:val="22"/>
              </w:rPr>
              <w:lastRenderedPageBreak/>
              <w:t>PITNÁ VODA</w:t>
            </w:r>
            <w:r w:rsidRPr="009722AF">
              <w:rPr>
                <w:rFonts w:asciiTheme="majorHAnsi" w:hAnsiTheme="majorHAnsi"/>
                <w:noProof/>
                <w:color w:val="000000"/>
                <w:sz w:val="22"/>
              </w:rPr>
              <w:t xml:space="preserve"> </w:t>
            </w:r>
            <w:r w:rsidRPr="009722AF">
              <w:rPr>
                <w:rFonts w:asciiTheme="majorHAnsi" w:hAnsiTheme="majorHAnsi"/>
                <w:noProof/>
                <w:color w:val="000000"/>
                <w:sz w:val="22"/>
              </w:rPr>
              <w:br/>
              <w:t>Rozdělení Porovnání do skupin</w:t>
            </w:r>
          </w:p>
        </w:tc>
        <w:tc>
          <w:tcPr>
            <w:tcW w:w="3325" w:type="pct"/>
            <w:gridSpan w:val="5"/>
            <w:tcBorders>
              <w:top w:val="single" w:sz="8" w:space="0" w:color="2F75B5"/>
              <w:left w:val="nil"/>
              <w:bottom w:val="nil"/>
              <w:right w:val="single" w:sz="8" w:space="0" w:color="2F75B5"/>
            </w:tcBorders>
            <w:shd w:val="clear" w:color="auto" w:fill="auto"/>
            <w:noWrap/>
            <w:tcMar>
              <w:top w:w="15" w:type="dxa"/>
              <w:left w:w="15" w:type="dxa"/>
              <w:bottom w:w="0" w:type="dxa"/>
              <w:right w:w="15" w:type="dxa"/>
            </w:tcMar>
            <w:vAlign w:val="center"/>
            <w:hideMark/>
          </w:tcPr>
          <w:p w14:paraId="1F24E0D2" w14:textId="77777777" w:rsidR="000306EC" w:rsidRPr="009722AF" w:rsidRDefault="000306EC" w:rsidP="000306EC">
            <w:pPr>
              <w:spacing w:before="0" w:after="0" w:line="240" w:lineRule="atLeast"/>
              <w:jc w:val="right"/>
              <w:rPr>
                <w:rFonts w:asciiTheme="majorHAnsi" w:hAnsiTheme="majorHAnsi"/>
                <w:noProof/>
                <w:color w:val="000000"/>
              </w:rPr>
            </w:pPr>
            <w:r w:rsidRPr="009722AF">
              <w:rPr>
                <w:rFonts w:asciiTheme="majorHAnsi" w:hAnsiTheme="majorHAnsi"/>
                <w:noProof/>
                <w:color w:val="000000"/>
                <w:sz w:val="22"/>
              </w:rPr>
              <w:t>Zastoupení podle modelu provozování</w:t>
            </w:r>
          </w:p>
        </w:tc>
      </w:tr>
      <w:tr w:rsidR="000306EC" w:rsidRPr="009722AF" w14:paraId="13E9A91B" w14:textId="77777777" w:rsidTr="000306EC">
        <w:trPr>
          <w:trHeight w:val="288"/>
          <w:jc w:val="center"/>
        </w:trPr>
        <w:tc>
          <w:tcPr>
            <w:tcW w:w="1675" w:type="pct"/>
            <w:tcBorders>
              <w:top w:val="nil"/>
              <w:left w:val="single" w:sz="8" w:space="0" w:color="2F75B5"/>
              <w:bottom w:val="single" w:sz="12" w:space="0" w:color="FFFFFF"/>
              <w:right w:val="single" w:sz="8" w:space="0" w:color="2F75B5"/>
            </w:tcBorders>
            <w:shd w:val="clear" w:color="5B9BD5" w:fill="5B9BD5"/>
            <w:noWrap/>
            <w:tcMar>
              <w:top w:w="15" w:type="dxa"/>
              <w:left w:w="15" w:type="dxa"/>
              <w:bottom w:w="0" w:type="dxa"/>
              <w:right w:w="15" w:type="dxa"/>
            </w:tcMar>
            <w:vAlign w:val="center"/>
            <w:hideMark/>
          </w:tcPr>
          <w:p w14:paraId="57DFD95F" w14:textId="77777777" w:rsidR="000306EC" w:rsidRPr="009722AF" w:rsidRDefault="000306EC" w:rsidP="003C548E">
            <w:pPr>
              <w:spacing w:before="0" w:after="0" w:line="240" w:lineRule="atLeast"/>
              <w:jc w:val="center"/>
              <w:rPr>
                <w:rFonts w:asciiTheme="majorHAnsi" w:hAnsiTheme="majorHAnsi"/>
                <w:b/>
                <w:bCs/>
                <w:noProof/>
                <w:color w:val="FFFFFF"/>
              </w:rPr>
            </w:pPr>
            <w:r w:rsidRPr="009722AF">
              <w:rPr>
                <w:rFonts w:asciiTheme="majorHAnsi" w:hAnsiTheme="majorHAnsi"/>
                <w:b/>
                <w:bCs/>
                <w:noProof/>
                <w:color w:val="FFFFFF"/>
                <w:sz w:val="22"/>
              </w:rPr>
              <w:t>Skupina / Model Provozování</w:t>
            </w:r>
          </w:p>
        </w:tc>
        <w:tc>
          <w:tcPr>
            <w:tcW w:w="922" w:type="pct"/>
            <w:tcBorders>
              <w:top w:val="nil"/>
              <w:left w:val="single" w:sz="8" w:space="0" w:color="2F75B5"/>
              <w:bottom w:val="single" w:sz="12" w:space="0" w:color="FFFFFF"/>
              <w:right w:val="single" w:sz="8" w:space="0" w:color="2F75B5"/>
            </w:tcBorders>
            <w:shd w:val="clear" w:color="5B9BD5" w:fill="5B9BD5"/>
            <w:noWrap/>
            <w:tcMar>
              <w:top w:w="15" w:type="dxa"/>
              <w:left w:w="15" w:type="dxa"/>
              <w:bottom w:w="0" w:type="dxa"/>
              <w:right w:w="15" w:type="dxa"/>
            </w:tcMar>
            <w:vAlign w:val="center"/>
            <w:hideMark/>
          </w:tcPr>
          <w:p w14:paraId="41A2F6BD" w14:textId="77777777" w:rsidR="000306EC" w:rsidRPr="009722AF" w:rsidRDefault="000306EC" w:rsidP="003C548E">
            <w:pPr>
              <w:spacing w:before="0" w:after="0" w:line="240" w:lineRule="atLeast"/>
              <w:jc w:val="center"/>
              <w:rPr>
                <w:rFonts w:asciiTheme="majorHAnsi" w:hAnsiTheme="majorHAnsi"/>
                <w:b/>
                <w:bCs/>
                <w:noProof/>
                <w:color w:val="FFFFFF"/>
              </w:rPr>
            </w:pPr>
            <w:r w:rsidRPr="009722AF">
              <w:rPr>
                <w:rFonts w:asciiTheme="majorHAnsi" w:hAnsiTheme="majorHAnsi"/>
                <w:b/>
                <w:bCs/>
                <w:noProof/>
                <w:color w:val="FFFFFF"/>
                <w:sz w:val="22"/>
              </w:rPr>
              <w:t>Počet porovnání ve skupině</w:t>
            </w:r>
          </w:p>
        </w:tc>
        <w:tc>
          <w:tcPr>
            <w:tcW w:w="812" w:type="pct"/>
            <w:tcBorders>
              <w:top w:val="nil"/>
              <w:left w:val="single" w:sz="4" w:space="0" w:color="FFFFFF"/>
              <w:bottom w:val="single" w:sz="12" w:space="0" w:color="FFFFFF"/>
              <w:right w:val="single" w:sz="4" w:space="0" w:color="FFFFFF"/>
            </w:tcBorders>
            <w:shd w:val="clear" w:color="5B9BD5" w:fill="5B9BD5"/>
            <w:noWrap/>
            <w:tcMar>
              <w:top w:w="15" w:type="dxa"/>
              <w:left w:w="15" w:type="dxa"/>
              <w:bottom w:w="0" w:type="dxa"/>
              <w:right w:w="15" w:type="dxa"/>
            </w:tcMar>
            <w:vAlign w:val="center"/>
            <w:hideMark/>
          </w:tcPr>
          <w:p w14:paraId="23E099B6" w14:textId="77777777" w:rsidR="000306EC" w:rsidRPr="009722AF" w:rsidRDefault="000306EC"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KOMBINOVANÝ</w:t>
            </w:r>
          </w:p>
        </w:tc>
        <w:tc>
          <w:tcPr>
            <w:tcW w:w="535" w:type="pct"/>
            <w:tcBorders>
              <w:top w:val="nil"/>
              <w:left w:val="single" w:sz="4" w:space="0" w:color="FFFFFF"/>
              <w:bottom w:val="single" w:sz="12" w:space="0" w:color="FFFFFF"/>
              <w:right w:val="single" w:sz="4" w:space="0" w:color="FFFFFF"/>
            </w:tcBorders>
            <w:shd w:val="clear" w:color="5B9BD5" w:fill="5B9BD5"/>
            <w:noWrap/>
            <w:tcMar>
              <w:top w:w="15" w:type="dxa"/>
              <w:left w:w="15" w:type="dxa"/>
              <w:bottom w:w="0" w:type="dxa"/>
              <w:right w:w="15" w:type="dxa"/>
            </w:tcMar>
            <w:vAlign w:val="center"/>
            <w:hideMark/>
          </w:tcPr>
          <w:p w14:paraId="7A75A7EA" w14:textId="77777777" w:rsidR="000306EC" w:rsidRPr="009722AF" w:rsidRDefault="000306EC"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ODDÍLNÝ</w:t>
            </w:r>
          </w:p>
        </w:tc>
        <w:tc>
          <w:tcPr>
            <w:tcW w:w="528" w:type="pct"/>
            <w:tcBorders>
              <w:top w:val="nil"/>
              <w:left w:val="single" w:sz="4" w:space="0" w:color="FFFFFF"/>
              <w:bottom w:val="single" w:sz="12" w:space="0" w:color="FFFFFF"/>
              <w:right w:val="single" w:sz="4" w:space="0" w:color="FFFFFF"/>
            </w:tcBorders>
            <w:shd w:val="clear" w:color="5B9BD5" w:fill="5B9BD5"/>
          </w:tcPr>
          <w:p w14:paraId="0EB7C32F" w14:textId="77777777" w:rsidR="000306EC" w:rsidRPr="009722AF" w:rsidRDefault="000306EC" w:rsidP="000306EC">
            <w:pPr>
              <w:spacing w:before="0" w:after="0"/>
              <w:contextualSpacing w:val="0"/>
              <w:jc w:val="center"/>
              <w:rPr>
                <w:rFonts w:asciiTheme="majorHAnsi" w:hAnsiTheme="majorHAnsi"/>
                <w:b/>
                <w:bCs/>
                <w:color w:val="FFFFFF"/>
                <w:sz w:val="20"/>
                <w:lang w:eastAsia="cs-CZ"/>
              </w:rPr>
            </w:pPr>
            <w:r w:rsidRPr="009722AF">
              <w:rPr>
                <w:rFonts w:asciiTheme="majorHAnsi" w:hAnsiTheme="majorHAnsi"/>
                <w:b/>
                <w:bCs/>
                <w:color w:val="FFFFFF"/>
                <w:sz w:val="20"/>
              </w:rPr>
              <w:t>ODDÍLNÝ SERVISNÍ SMLOUVA</w:t>
            </w:r>
          </w:p>
        </w:tc>
        <w:tc>
          <w:tcPr>
            <w:tcW w:w="528" w:type="pct"/>
            <w:tcBorders>
              <w:top w:val="nil"/>
              <w:left w:val="single" w:sz="4" w:space="0" w:color="FFFFFF"/>
              <w:bottom w:val="single" w:sz="12" w:space="0" w:color="FFFFFF"/>
              <w:right w:val="single" w:sz="8" w:space="0" w:color="2F75B5"/>
            </w:tcBorders>
            <w:shd w:val="clear" w:color="5B9BD5" w:fill="5B9BD5"/>
            <w:noWrap/>
            <w:tcMar>
              <w:top w:w="15" w:type="dxa"/>
              <w:left w:w="15" w:type="dxa"/>
              <w:bottom w:w="0" w:type="dxa"/>
              <w:right w:w="15" w:type="dxa"/>
            </w:tcMar>
            <w:vAlign w:val="center"/>
            <w:hideMark/>
          </w:tcPr>
          <w:p w14:paraId="3AC78943" w14:textId="77777777" w:rsidR="000306EC" w:rsidRPr="009722AF" w:rsidRDefault="000306EC"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SMÍŠENÝ</w:t>
            </w:r>
          </w:p>
        </w:tc>
      </w:tr>
      <w:tr w:rsidR="00115BC3" w:rsidRPr="009722AF" w14:paraId="41437321" w14:textId="77777777" w:rsidTr="00A46377">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06093B84" w14:textId="77777777" w:rsidR="00115BC3" w:rsidRPr="009722AF" w:rsidRDefault="00115BC3" w:rsidP="00115BC3">
            <w:pPr>
              <w:spacing w:before="0" w:after="0" w:line="240" w:lineRule="atLeast"/>
              <w:rPr>
                <w:rFonts w:asciiTheme="majorHAnsi" w:hAnsiTheme="majorHAnsi"/>
                <w:noProof/>
                <w:color w:val="000000"/>
              </w:rPr>
            </w:pPr>
            <w:r w:rsidRPr="009722AF">
              <w:rPr>
                <w:rFonts w:asciiTheme="majorHAnsi" w:hAnsiTheme="majorHAnsi"/>
                <w:noProof/>
                <w:color w:val="000000"/>
                <w:sz w:val="22"/>
              </w:rPr>
              <w:t>I.skupina(&gt;500 000př.ob.)</w:t>
            </w:r>
          </w:p>
        </w:tc>
        <w:tc>
          <w:tcPr>
            <w:tcW w:w="922"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2B3CEE1A" w14:textId="77777777" w:rsidR="00115BC3" w:rsidRPr="009722AF" w:rsidRDefault="00115BC3" w:rsidP="00115BC3">
            <w:pPr>
              <w:spacing w:before="0" w:after="0" w:line="240" w:lineRule="atLeast"/>
              <w:jc w:val="center"/>
              <w:rPr>
                <w:rFonts w:asciiTheme="majorHAnsi" w:hAnsiTheme="majorHAnsi"/>
                <w:b/>
                <w:noProof/>
                <w:color w:val="000000"/>
              </w:rPr>
            </w:pPr>
            <w:r w:rsidRPr="007D0146">
              <w:rPr>
                <w:b/>
                <w:color w:val="000000"/>
                <w:sz w:val="22"/>
              </w:rPr>
              <w:t>3</w:t>
            </w:r>
          </w:p>
        </w:tc>
        <w:tc>
          <w:tcPr>
            <w:tcW w:w="812"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vAlign w:val="bottom"/>
            <w:hideMark/>
          </w:tcPr>
          <w:p w14:paraId="5B87294B"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1</w:t>
            </w:r>
          </w:p>
        </w:tc>
        <w:tc>
          <w:tcPr>
            <w:tcW w:w="535"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vAlign w:val="bottom"/>
            <w:hideMark/>
          </w:tcPr>
          <w:p w14:paraId="6B4817E2"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2</w:t>
            </w:r>
          </w:p>
        </w:tc>
        <w:tc>
          <w:tcPr>
            <w:tcW w:w="528" w:type="pct"/>
            <w:tcBorders>
              <w:top w:val="single" w:sz="4" w:space="0" w:color="FFFFFF"/>
              <w:left w:val="single" w:sz="4" w:space="0" w:color="FFFFFF"/>
              <w:bottom w:val="single" w:sz="4" w:space="0" w:color="FFFFFF"/>
              <w:right w:val="single" w:sz="4" w:space="0" w:color="FFFFFF"/>
            </w:tcBorders>
            <w:shd w:val="clear" w:color="BDD7EE" w:fill="BDD7EE"/>
            <w:vAlign w:val="bottom"/>
          </w:tcPr>
          <w:p w14:paraId="47C919AF" w14:textId="77777777" w:rsidR="00115BC3" w:rsidRPr="009722AF" w:rsidRDefault="00115BC3" w:rsidP="00115BC3">
            <w:pPr>
              <w:spacing w:before="0" w:after="0" w:line="240" w:lineRule="atLeast"/>
              <w:jc w:val="center"/>
              <w:rPr>
                <w:rFonts w:asciiTheme="majorHAnsi" w:hAnsiTheme="majorHAnsi"/>
                <w:noProof/>
                <w:color w:val="000000"/>
                <w:sz w:val="22"/>
              </w:rPr>
            </w:pPr>
          </w:p>
        </w:tc>
        <w:tc>
          <w:tcPr>
            <w:tcW w:w="528" w:type="pct"/>
            <w:tcBorders>
              <w:top w:val="single" w:sz="4" w:space="0" w:color="FFFFFF"/>
              <w:left w:val="single" w:sz="4" w:space="0" w:color="FFFFFF"/>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08EB2DA9" w14:textId="77777777" w:rsidR="00115BC3" w:rsidRPr="009722AF" w:rsidRDefault="00115BC3" w:rsidP="00115BC3">
            <w:pPr>
              <w:spacing w:before="0" w:after="0" w:line="240" w:lineRule="atLeast"/>
              <w:jc w:val="center"/>
              <w:rPr>
                <w:rFonts w:asciiTheme="majorHAnsi" w:hAnsiTheme="majorHAnsi"/>
                <w:noProof/>
                <w:color w:val="000000"/>
                <w:sz w:val="22"/>
              </w:rPr>
            </w:pPr>
          </w:p>
        </w:tc>
      </w:tr>
      <w:tr w:rsidR="00115BC3" w:rsidRPr="009722AF" w14:paraId="004C54D0" w14:textId="77777777" w:rsidTr="00A46377">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53A47E72" w14:textId="77777777" w:rsidR="00115BC3" w:rsidRPr="009722AF" w:rsidRDefault="00115BC3" w:rsidP="00115BC3">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II.skupina(&gt;200 000př.ob.)</w:t>
            </w:r>
          </w:p>
        </w:tc>
        <w:tc>
          <w:tcPr>
            <w:tcW w:w="922"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6893C3DD" w14:textId="77777777" w:rsidR="00115BC3" w:rsidRPr="009722AF" w:rsidRDefault="00115BC3" w:rsidP="00115BC3">
            <w:pPr>
              <w:spacing w:before="0" w:after="0" w:line="240" w:lineRule="atLeast"/>
              <w:jc w:val="center"/>
              <w:rPr>
                <w:rFonts w:asciiTheme="majorHAnsi" w:hAnsiTheme="majorHAnsi"/>
                <w:b/>
                <w:noProof/>
                <w:color w:val="000000"/>
              </w:rPr>
            </w:pPr>
            <w:r w:rsidRPr="007D0146">
              <w:rPr>
                <w:b/>
                <w:color w:val="000000"/>
                <w:sz w:val="22"/>
              </w:rPr>
              <w:t>3</w:t>
            </w:r>
          </w:p>
        </w:tc>
        <w:tc>
          <w:tcPr>
            <w:tcW w:w="812"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vAlign w:val="bottom"/>
            <w:hideMark/>
          </w:tcPr>
          <w:p w14:paraId="07CDD712" w14:textId="77777777" w:rsidR="00115BC3" w:rsidRPr="009722AF" w:rsidRDefault="00115BC3" w:rsidP="00115BC3">
            <w:pPr>
              <w:spacing w:before="0" w:after="0" w:line="240" w:lineRule="atLeast"/>
              <w:jc w:val="center"/>
              <w:rPr>
                <w:rFonts w:asciiTheme="majorHAnsi" w:hAnsiTheme="majorHAnsi"/>
                <w:noProof/>
                <w:color w:val="000000"/>
                <w:sz w:val="22"/>
              </w:rPr>
            </w:pPr>
          </w:p>
        </w:tc>
        <w:tc>
          <w:tcPr>
            <w:tcW w:w="535"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vAlign w:val="bottom"/>
            <w:hideMark/>
          </w:tcPr>
          <w:p w14:paraId="7EC08296"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3</w:t>
            </w:r>
          </w:p>
        </w:tc>
        <w:tc>
          <w:tcPr>
            <w:tcW w:w="528" w:type="pct"/>
            <w:tcBorders>
              <w:top w:val="single" w:sz="4" w:space="0" w:color="FFFFFF"/>
              <w:left w:val="single" w:sz="4" w:space="0" w:color="FFFFFF"/>
              <w:bottom w:val="single" w:sz="4" w:space="0" w:color="FFFFFF"/>
              <w:right w:val="single" w:sz="4" w:space="0" w:color="FFFFFF"/>
            </w:tcBorders>
            <w:shd w:val="clear" w:color="DDEBF7" w:fill="DDEBF7"/>
            <w:vAlign w:val="bottom"/>
          </w:tcPr>
          <w:p w14:paraId="3A5EA569" w14:textId="77777777" w:rsidR="00115BC3" w:rsidRPr="009722AF" w:rsidRDefault="00115BC3" w:rsidP="00115BC3">
            <w:pPr>
              <w:spacing w:before="0" w:after="0" w:line="240" w:lineRule="atLeast"/>
              <w:jc w:val="center"/>
              <w:rPr>
                <w:rFonts w:asciiTheme="majorHAnsi" w:hAnsiTheme="majorHAnsi"/>
                <w:noProof/>
                <w:color w:val="000000"/>
                <w:sz w:val="22"/>
              </w:rPr>
            </w:pPr>
          </w:p>
        </w:tc>
        <w:tc>
          <w:tcPr>
            <w:tcW w:w="528" w:type="pct"/>
            <w:tcBorders>
              <w:top w:val="single" w:sz="4" w:space="0" w:color="FFFFFF"/>
              <w:left w:val="single" w:sz="4" w:space="0" w:color="FFFFFF"/>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5BFC7CCB" w14:textId="77777777" w:rsidR="00115BC3" w:rsidRPr="009722AF" w:rsidRDefault="00115BC3" w:rsidP="00115BC3">
            <w:pPr>
              <w:spacing w:before="0" w:after="0" w:line="240" w:lineRule="atLeast"/>
              <w:jc w:val="center"/>
              <w:rPr>
                <w:rFonts w:asciiTheme="majorHAnsi" w:hAnsiTheme="majorHAnsi"/>
                <w:noProof/>
                <w:color w:val="000000"/>
                <w:sz w:val="22"/>
              </w:rPr>
            </w:pPr>
          </w:p>
        </w:tc>
      </w:tr>
      <w:tr w:rsidR="00115BC3" w:rsidRPr="009722AF" w14:paraId="00930242" w14:textId="77777777" w:rsidTr="00A46377">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0B5E539B" w14:textId="77777777" w:rsidR="00115BC3" w:rsidRPr="009722AF" w:rsidRDefault="00115BC3" w:rsidP="00115BC3">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III.skupina(&gt;100 000př.ob.)</w:t>
            </w:r>
          </w:p>
        </w:tc>
        <w:tc>
          <w:tcPr>
            <w:tcW w:w="922"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3CBA22F3" w14:textId="77777777" w:rsidR="00115BC3" w:rsidRPr="009722AF" w:rsidRDefault="00115BC3" w:rsidP="00115BC3">
            <w:pPr>
              <w:spacing w:before="0" w:after="0" w:line="240" w:lineRule="atLeast"/>
              <w:jc w:val="center"/>
              <w:rPr>
                <w:rFonts w:asciiTheme="majorHAnsi" w:hAnsiTheme="majorHAnsi"/>
                <w:b/>
                <w:noProof/>
                <w:color w:val="000000"/>
              </w:rPr>
            </w:pPr>
            <w:r w:rsidRPr="007D0146">
              <w:rPr>
                <w:b/>
                <w:color w:val="000000"/>
                <w:sz w:val="22"/>
              </w:rPr>
              <w:t>12</w:t>
            </w:r>
          </w:p>
        </w:tc>
        <w:tc>
          <w:tcPr>
            <w:tcW w:w="812"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vAlign w:val="bottom"/>
            <w:hideMark/>
          </w:tcPr>
          <w:p w14:paraId="4BDB8AA0"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8</w:t>
            </w:r>
          </w:p>
        </w:tc>
        <w:tc>
          <w:tcPr>
            <w:tcW w:w="535"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vAlign w:val="bottom"/>
            <w:hideMark/>
          </w:tcPr>
          <w:p w14:paraId="4061FC2F"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4</w:t>
            </w:r>
          </w:p>
        </w:tc>
        <w:tc>
          <w:tcPr>
            <w:tcW w:w="528" w:type="pct"/>
            <w:tcBorders>
              <w:top w:val="single" w:sz="4" w:space="0" w:color="FFFFFF"/>
              <w:left w:val="single" w:sz="4" w:space="0" w:color="FFFFFF"/>
              <w:bottom w:val="single" w:sz="4" w:space="0" w:color="FFFFFF"/>
              <w:right w:val="single" w:sz="4" w:space="0" w:color="FFFFFF"/>
            </w:tcBorders>
            <w:shd w:val="clear" w:color="BDD7EE" w:fill="BDD7EE"/>
            <w:vAlign w:val="bottom"/>
          </w:tcPr>
          <w:p w14:paraId="0A146BAC" w14:textId="77777777" w:rsidR="00115BC3" w:rsidRPr="009722AF" w:rsidRDefault="00115BC3" w:rsidP="00115BC3">
            <w:pPr>
              <w:spacing w:before="0" w:after="0" w:line="240" w:lineRule="atLeast"/>
              <w:jc w:val="center"/>
              <w:rPr>
                <w:rFonts w:asciiTheme="majorHAnsi" w:hAnsiTheme="majorHAnsi"/>
                <w:noProof/>
                <w:color w:val="000000"/>
                <w:sz w:val="22"/>
              </w:rPr>
            </w:pPr>
          </w:p>
        </w:tc>
        <w:tc>
          <w:tcPr>
            <w:tcW w:w="528" w:type="pct"/>
            <w:tcBorders>
              <w:top w:val="single" w:sz="4" w:space="0" w:color="FFFFFF"/>
              <w:left w:val="single" w:sz="4" w:space="0" w:color="FFFFFF"/>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4C735BBB" w14:textId="77777777" w:rsidR="00115BC3" w:rsidRPr="009722AF" w:rsidRDefault="00115BC3" w:rsidP="00115BC3">
            <w:pPr>
              <w:spacing w:before="0" w:after="0" w:line="240" w:lineRule="atLeast"/>
              <w:jc w:val="center"/>
              <w:rPr>
                <w:rFonts w:asciiTheme="majorHAnsi" w:hAnsiTheme="majorHAnsi"/>
                <w:noProof/>
                <w:color w:val="000000"/>
                <w:sz w:val="22"/>
              </w:rPr>
            </w:pPr>
          </w:p>
        </w:tc>
      </w:tr>
      <w:tr w:rsidR="00115BC3" w:rsidRPr="009722AF" w14:paraId="4A6378B2" w14:textId="77777777" w:rsidTr="00A46377">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22CA51FB" w14:textId="77777777" w:rsidR="00115BC3" w:rsidRPr="009722AF" w:rsidRDefault="00115BC3" w:rsidP="00115BC3">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IV.skupina(&gt;50 000př.ob.)</w:t>
            </w:r>
          </w:p>
        </w:tc>
        <w:tc>
          <w:tcPr>
            <w:tcW w:w="922"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46B7BFE9" w14:textId="77777777" w:rsidR="00115BC3" w:rsidRPr="009722AF" w:rsidRDefault="00115BC3" w:rsidP="00115BC3">
            <w:pPr>
              <w:spacing w:before="0" w:after="0" w:line="240" w:lineRule="atLeast"/>
              <w:jc w:val="center"/>
              <w:rPr>
                <w:rFonts w:asciiTheme="majorHAnsi" w:hAnsiTheme="majorHAnsi"/>
                <w:b/>
                <w:noProof/>
                <w:color w:val="000000"/>
              </w:rPr>
            </w:pPr>
            <w:r w:rsidRPr="007D0146">
              <w:rPr>
                <w:b/>
                <w:color w:val="000000"/>
                <w:sz w:val="22"/>
              </w:rPr>
              <w:t>19</w:t>
            </w:r>
          </w:p>
        </w:tc>
        <w:tc>
          <w:tcPr>
            <w:tcW w:w="812"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vAlign w:val="bottom"/>
            <w:hideMark/>
          </w:tcPr>
          <w:p w14:paraId="124A15B1"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8</w:t>
            </w:r>
          </w:p>
        </w:tc>
        <w:tc>
          <w:tcPr>
            <w:tcW w:w="535"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vAlign w:val="bottom"/>
            <w:hideMark/>
          </w:tcPr>
          <w:p w14:paraId="3F2EE066"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11</w:t>
            </w:r>
          </w:p>
        </w:tc>
        <w:tc>
          <w:tcPr>
            <w:tcW w:w="528" w:type="pct"/>
            <w:tcBorders>
              <w:top w:val="single" w:sz="4" w:space="0" w:color="FFFFFF"/>
              <w:left w:val="single" w:sz="4" w:space="0" w:color="FFFFFF"/>
              <w:bottom w:val="single" w:sz="4" w:space="0" w:color="FFFFFF"/>
              <w:right w:val="single" w:sz="4" w:space="0" w:color="FFFFFF"/>
            </w:tcBorders>
            <w:shd w:val="clear" w:color="DDEBF7" w:fill="DDEBF7"/>
            <w:vAlign w:val="bottom"/>
          </w:tcPr>
          <w:p w14:paraId="04636C45" w14:textId="77777777" w:rsidR="00115BC3" w:rsidRPr="009722AF" w:rsidRDefault="00115BC3" w:rsidP="00115BC3">
            <w:pPr>
              <w:spacing w:before="0" w:after="0" w:line="240" w:lineRule="atLeast"/>
              <w:jc w:val="center"/>
              <w:rPr>
                <w:rFonts w:asciiTheme="majorHAnsi" w:hAnsiTheme="majorHAnsi"/>
                <w:noProof/>
                <w:color w:val="000000"/>
                <w:sz w:val="22"/>
              </w:rPr>
            </w:pPr>
          </w:p>
        </w:tc>
        <w:tc>
          <w:tcPr>
            <w:tcW w:w="528" w:type="pct"/>
            <w:tcBorders>
              <w:top w:val="single" w:sz="4" w:space="0" w:color="FFFFFF"/>
              <w:left w:val="single" w:sz="4" w:space="0" w:color="FFFFFF"/>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753D43EB" w14:textId="77777777" w:rsidR="00115BC3" w:rsidRPr="009722AF" w:rsidRDefault="00115BC3" w:rsidP="00115BC3">
            <w:pPr>
              <w:spacing w:before="0" w:after="0" w:line="240" w:lineRule="atLeast"/>
              <w:jc w:val="center"/>
              <w:rPr>
                <w:rFonts w:asciiTheme="majorHAnsi" w:hAnsiTheme="majorHAnsi"/>
                <w:noProof/>
                <w:color w:val="000000"/>
                <w:sz w:val="22"/>
              </w:rPr>
            </w:pPr>
          </w:p>
        </w:tc>
      </w:tr>
      <w:tr w:rsidR="00115BC3" w:rsidRPr="009722AF" w14:paraId="5ECDBF12" w14:textId="77777777" w:rsidTr="00A46377">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651A14E9" w14:textId="77777777" w:rsidR="00115BC3" w:rsidRPr="009722AF" w:rsidRDefault="00115BC3" w:rsidP="00115BC3">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V.skupina(&gt;10 000př.ob.)</w:t>
            </w:r>
          </w:p>
        </w:tc>
        <w:tc>
          <w:tcPr>
            <w:tcW w:w="922"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34A11D17" w14:textId="77777777" w:rsidR="00115BC3" w:rsidRPr="009722AF" w:rsidRDefault="00115BC3" w:rsidP="00115BC3">
            <w:pPr>
              <w:spacing w:before="0" w:after="0" w:line="240" w:lineRule="atLeast"/>
              <w:jc w:val="center"/>
              <w:rPr>
                <w:rFonts w:asciiTheme="majorHAnsi" w:hAnsiTheme="majorHAnsi"/>
                <w:b/>
                <w:noProof/>
                <w:color w:val="000000"/>
              </w:rPr>
            </w:pPr>
            <w:r w:rsidRPr="007D0146">
              <w:rPr>
                <w:b/>
                <w:color w:val="000000"/>
                <w:sz w:val="22"/>
              </w:rPr>
              <w:t>48</w:t>
            </w:r>
          </w:p>
        </w:tc>
        <w:tc>
          <w:tcPr>
            <w:tcW w:w="812"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vAlign w:val="bottom"/>
            <w:hideMark/>
          </w:tcPr>
          <w:p w14:paraId="23E5CB28"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11</w:t>
            </w:r>
          </w:p>
        </w:tc>
        <w:tc>
          <w:tcPr>
            <w:tcW w:w="535"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vAlign w:val="bottom"/>
            <w:hideMark/>
          </w:tcPr>
          <w:p w14:paraId="41AF822A"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33</w:t>
            </w:r>
          </w:p>
        </w:tc>
        <w:tc>
          <w:tcPr>
            <w:tcW w:w="528" w:type="pct"/>
            <w:tcBorders>
              <w:top w:val="single" w:sz="4" w:space="0" w:color="FFFFFF"/>
              <w:left w:val="single" w:sz="4" w:space="0" w:color="FFFFFF"/>
              <w:bottom w:val="single" w:sz="4" w:space="0" w:color="FFFFFF"/>
              <w:right w:val="single" w:sz="4" w:space="0" w:color="FFFFFF"/>
            </w:tcBorders>
            <w:shd w:val="clear" w:color="BDD7EE" w:fill="BDD7EE"/>
            <w:vAlign w:val="bottom"/>
          </w:tcPr>
          <w:p w14:paraId="05216DC9"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1</w:t>
            </w:r>
          </w:p>
        </w:tc>
        <w:tc>
          <w:tcPr>
            <w:tcW w:w="528" w:type="pct"/>
            <w:tcBorders>
              <w:top w:val="single" w:sz="4" w:space="0" w:color="FFFFFF"/>
              <w:left w:val="single" w:sz="4" w:space="0" w:color="FFFFFF"/>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6E7D7A67"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3</w:t>
            </w:r>
          </w:p>
        </w:tc>
      </w:tr>
      <w:tr w:rsidR="00115BC3" w:rsidRPr="009722AF" w14:paraId="459DBD00" w14:textId="77777777" w:rsidTr="00A46377">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162806E9" w14:textId="77777777" w:rsidR="00115BC3" w:rsidRPr="009722AF" w:rsidRDefault="00115BC3" w:rsidP="00115BC3">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VI.skupina(&gt;1 000př.ob.)</w:t>
            </w:r>
          </w:p>
        </w:tc>
        <w:tc>
          <w:tcPr>
            <w:tcW w:w="922" w:type="pct"/>
            <w:tcBorders>
              <w:top w:val="single" w:sz="4" w:space="0" w:color="FFFFFF"/>
              <w:left w:val="single" w:sz="8" w:space="0" w:color="2F75B5"/>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189DC54E" w14:textId="77777777" w:rsidR="00115BC3" w:rsidRPr="009722AF" w:rsidRDefault="00115BC3" w:rsidP="00115BC3">
            <w:pPr>
              <w:spacing w:before="0" w:after="0" w:line="240" w:lineRule="atLeast"/>
              <w:jc w:val="center"/>
              <w:rPr>
                <w:rFonts w:asciiTheme="majorHAnsi" w:hAnsiTheme="majorHAnsi"/>
                <w:b/>
                <w:noProof/>
                <w:color w:val="000000"/>
              </w:rPr>
            </w:pPr>
            <w:r w:rsidRPr="007D0146">
              <w:rPr>
                <w:b/>
                <w:color w:val="000000"/>
                <w:sz w:val="22"/>
              </w:rPr>
              <w:t>347</w:t>
            </w:r>
          </w:p>
        </w:tc>
        <w:tc>
          <w:tcPr>
            <w:tcW w:w="812"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vAlign w:val="bottom"/>
            <w:hideMark/>
          </w:tcPr>
          <w:p w14:paraId="77A6FEB3"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16</w:t>
            </w:r>
          </w:p>
        </w:tc>
        <w:tc>
          <w:tcPr>
            <w:tcW w:w="535" w:type="pct"/>
            <w:tcBorders>
              <w:top w:val="single" w:sz="4" w:space="0" w:color="FFFFFF"/>
              <w:left w:val="single" w:sz="4" w:space="0" w:color="FFFFFF"/>
              <w:bottom w:val="single" w:sz="4" w:space="0" w:color="FFFFFF"/>
              <w:right w:val="single" w:sz="4" w:space="0" w:color="FFFFFF"/>
            </w:tcBorders>
            <w:shd w:val="clear" w:color="DDEBF7" w:fill="DDEBF7"/>
            <w:noWrap/>
            <w:tcMar>
              <w:top w:w="15" w:type="dxa"/>
              <w:left w:w="15" w:type="dxa"/>
              <w:bottom w:w="0" w:type="dxa"/>
              <w:right w:w="15" w:type="dxa"/>
            </w:tcMar>
            <w:vAlign w:val="bottom"/>
            <w:hideMark/>
          </w:tcPr>
          <w:p w14:paraId="5C861029"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242</w:t>
            </w:r>
          </w:p>
        </w:tc>
        <w:tc>
          <w:tcPr>
            <w:tcW w:w="528" w:type="pct"/>
            <w:tcBorders>
              <w:top w:val="single" w:sz="4" w:space="0" w:color="FFFFFF"/>
              <w:left w:val="single" w:sz="4" w:space="0" w:color="FFFFFF"/>
              <w:bottom w:val="single" w:sz="4" w:space="0" w:color="FFFFFF"/>
              <w:right w:val="single" w:sz="4" w:space="0" w:color="FFFFFF"/>
            </w:tcBorders>
            <w:shd w:val="clear" w:color="DDEBF7" w:fill="DDEBF7"/>
            <w:vAlign w:val="bottom"/>
          </w:tcPr>
          <w:p w14:paraId="1E26EDE8"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8</w:t>
            </w:r>
          </w:p>
        </w:tc>
        <w:tc>
          <w:tcPr>
            <w:tcW w:w="528" w:type="pct"/>
            <w:tcBorders>
              <w:top w:val="single" w:sz="4" w:space="0" w:color="FFFFFF"/>
              <w:left w:val="single" w:sz="4" w:space="0" w:color="FFFFFF"/>
              <w:bottom w:val="single" w:sz="4" w:space="0" w:color="FFFFFF"/>
              <w:right w:val="single" w:sz="8" w:space="0" w:color="2F75B5"/>
            </w:tcBorders>
            <w:shd w:val="clear" w:color="DDEBF7" w:fill="DDEBF7"/>
            <w:noWrap/>
            <w:tcMar>
              <w:top w:w="15" w:type="dxa"/>
              <w:left w:w="15" w:type="dxa"/>
              <w:bottom w:w="0" w:type="dxa"/>
              <w:right w:w="15" w:type="dxa"/>
            </w:tcMar>
            <w:vAlign w:val="bottom"/>
            <w:hideMark/>
          </w:tcPr>
          <w:p w14:paraId="56819E2B"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81</w:t>
            </w:r>
          </w:p>
        </w:tc>
      </w:tr>
      <w:tr w:rsidR="00115BC3" w:rsidRPr="009722AF" w14:paraId="08A9CCA7" w14:textId="77777777" w:rsidTr="00A46377">
        <w:trPr>
          <w:trHeight w:val="288"/>
          <w:jc w:val="center"/>
        </w:trPr>
        <w:tc>
          <w:tcPr>
            <w:tcW w:w="1675"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4F68799F" w14:textId="77777777" w:rsidR="00115BC3" w:rsidRPr="009722AF" w:rsidRDefault="00115BC3" w:rsidP="00115BC3">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VII.skupina(&gt;300př.ob.)</w:t>
            </w:r>
          </w:p>
        </w:tc>
        <w:tc>
          <w:tcPr>
            <w:tcW w:w="922" w:type="pct"/>
            <w:tcBorders>
              <w:top w:val="single" w:sz="4" w:space="0" w:color="FFFFFF"/>
              <w:left w:val="single" w:sz="8" w:space="0" w:color="2F75B5"/>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760EB3AE" w14:textId="77777777" w:rsidR="00115BC3" w:rsidRPr="009722AF" w:rsidRDefault="00115BC3" w:rsidP="00115BC3">
            <w:pPr>
              <w:spacing w:before="0" w:after="0" w:line="240" w:lineRule="atLeast"/>
              <w:jc w:val="center"/>
              <w:rPr>
                <w:rFonts w:asciiTheme="majorHAnsi" w:hAnsiTheme="majorHAnsi"/>
                <w:b/>
                <w:noProof/>
                <w:color w:val="000000"/>
              </w:rPr>
            </w:pPr>
            <w:r w:rsidRPr="007D0146">
              <w:rPr>
                <w:b/>
                <w:color w:val="000000"/>
                <w:sz w:val="22"/>
              </w:rPr>
              <w:t>575</w:t>
            </w:r>
          </w:p>
        </w:tc>
        <w:tc>
          <w:tcPr>
            <w:tcW w:w="812"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vAlign w:val="bottom"/>
            <w:hideMark/>
          </w:tcPr>
          <w:p w14:paraId="2D102222"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7</w:t>
            </w:r>
          </w:p>
        </w:tc>
        <w:tc>
          <w:tcPr>
            <w:tcW w:w="535" w:type="pct"/>
            <w:tcBorders>
              <w:top w:val="single" w:sz="4" w:space="0" w:color="FFFFFF"/>
              <w:left w:val="single" w:sz="4" w:space="0" w:color="FFFFFF"/>
              <w:bottom w:val="single" w:sz="4" w:space="0" w:color="FFFFFF"/>
              <w:right w:val="single" w:sz="4" w:space="0" w:color="FFFFFF"/>
            </w:tcBorders>
            <w:shd w:val="clear" w:color="BDD7EE" w:fill="BDD7EE"/>
            <w:noWrap/>
            <w:tcMar>
              <w:top w:w="15" w:type="dxa"/>
              <w:left w:w="15" w:type="dxa"/>
              <w:bottom w:w="0" w:type="dxa"/>
              <w:right w:w="15" w:type="dxa"/>
            </w:tcMar>
            <w:vAlign w:val="bottom"/>
            <w:hideMark/>
          </w:tcPr>
          <w:p w14:paraId="5EFA3902"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260</w:t>
            </w:r>
          </w:p>
        </w:tc>
        <w:tc>
          <w:tcPr>
            <w:tcW w:w="528" w:type="pct"/>
            <w:tcBorders>
              <w:top w:val="single" w:sz="4" w:space="0" w:color="FFFFFF"/>
              <w:left w:val="single" w:sz="4" w:space="0" w:color="FFFFFF"/>
              <w:bottom w:val="single" w:sz="4" w:space="0" w:color="FFFFFF"/>
              <w:right w:val="single" w:sz="4" w:space="0" w:color="FFFFFF"/>
            </w:tcBorders>
            <w:shd w:val="clear" w:color="BDD7EE" w:fill="BDD7EE"/>
            <w:vAlign w:val="bottom"/>
          </w:tcPr>
          <w:p w14:paraId="4069E695"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52</w:t>
            </w:r>
          </w:p>
        </w:tc>
        <w:tc>
          <w:tcPr>
            <w:tcW w:w="528" w:type="pct"/>
            <w:tcBorders>
              <w:top w:val="single" w:sz="4" w:space="0" w:color="FFFFFF"/>
              <w:left w:val="single" w:sz="4" w:space="0" w:color="FFFFFF"/>
              <w:bottom w:val="single" w:sz="4" w:space="0" w:color="FFFFFF"/>
              <w:right w:val="single" w:sz="8" w:space="0" w:color="2F75B5"/>
            </w:tcBorders>
            <w:shd w:val="clear" w:color="BDD7EE" w:fill="BDD7EE"/>
            <w:noWrap/>
            <w:tcMar>
              <w:top w:w="15" w:type="dxa"/>
              <w:left w:w="15" w:type="dxa"/>
              <w:bottom w:w="0" w:type="dxa"/>
              <w:right w:w="15" w:type="dxa"/>
            </w:tcMar>
            <w:vAlign w:val="bottom"/>
            <w:hideMark/>
          </w:tcPr>
          <w:p w14:paraId="39BFA856"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256</w:t>
            </w:r>
          </w:p>
        </w:tc>
      </w:tr>
      <w:tr w:rsidR="00115BC3" w:rsidRPr="009722AF" w14:paraId="08EC0B4E" w14:textId="77777777" w:rsidTr="00A46377">
        <w:trPr>
          <w:trHeight w:val="288"/>
          <w:jc w:val="center"/>
        </w:trPr>
        <w:tc>
          <w:tcPr>
            <w:tcW w:w="1675" w:type="pct"/>
            <w:tcBorders>
              <w:top w:val="single" w:sz="4" w:space="0" w:color="FFFFFF"/>
              <w:left w:val="single" w:sz="8" w:space="0" w:color="2F75B5"/>
              <w:bottom w:val="single" w:sz="4" w:space="0" w:color="548DD4"/>
              <w:right w:val="single" w:sz="8" w:space="0" w:color="2F75B5"/>
            </w:tcBorders>
            <w:shd w:val="clear" w:color="DDEBF7" w:fill="DDEBF7"/>
            <w:noWrap/>
            <w:tcMar>
              <w:top w:w="15" w:type="dxa"/>
              <w:left w:w="15" w:type="dxa"/>
              <w:bottom w:w="0" w:type="dxa"/>
              <w:right w:w="15" w:type="dxa"/>
            </w:tcMar>
            <w:vAlign w:val="bottom"/>
            <w:hideMark/>
          </w:tcPr>
          <w:p w14:paraId="751CDB3C" w14:textId="77777777" w:rsidR="00115BC3" w:rsidRPr="009722AF" w:rsidRDefault="00115BC3" w:rsidP="00115BC3">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VIII.skupina(&lt;300př.ob.)</w:t>
            </w:r>
          </w:p>
        </w:tc>
        <w:tc>
          <w:tcPr>
            <w:tcW w:w="922" w:type="pct"/>
            <w:tcBorders>
              <w:top w:val="single" w:sz="4" w:space="0" w:color="FFFFFF"/>
              <w:left w:val="single" w:sz="8" w:space="0" w:color="2F75B5"/>
              <w:bottom w:val="single" w:sz="4" w:space="0" w:color="548DD4"/>
              <w:right w:val="single" w:sz="8" w:space="0" w:color="2F75B5"/>
            </w:tcBorders>
            <w:shd w:val="clear" w:color="DDEBF7" w:fill="DDEBF7"/>
            <w:noWrap/>
            <w:tcMar>
              <w:top w:w="15" w:type="dxa"/>
              <w:left w:w="15" w:type="dxa"/>
              <w:bottom w:w="0" w:type="dxa"/>
              <w:right w:w="15" w:type="dxa"/>
            </w:tcMar>
            <w:vAlign w:val="bottom"/>
            <w:hideMark/>
          </w:tcPr>
          <w:p w14:paraId="6F139251" w14:textId="77777777" w:rsidR="00115BC3" w:rsidRPr="009722AF" w:rsidRDefault="00115BC3" w:rsidP="00115BC3">
            <w:pPr>
              <w:spacing w:before="0" w:after="0" w:line="240" w:lineRule="atLeast"/>
              <w:jc w:val="center"/>
              <w:rPr>
                <w:rFonts w:asciiTheme="majorHAnsi" w:hAnsiTheme="majorHAnsi"/>
                <w:b/>
                <w:noProof/>
                <w:color w:val="000000"/>
              </w:rPr>
            </w:pPr>
            <w:r w:rsidRPr="007D0146">
              <w:rPr>
                <w:b/>
                <w:color w:val="000000"/>
                <w:sz w:val="22"/>
              </w:rPr>
              <w:t>690</w:t>
            </w:r>
          </w:p>
        </w:tc>
        <w:tc>
          <w:tcPr>
            <w:tcW w:w="812" w:type="pct"/>
            <w:tcBorders>
              <w:top w:val="single" w:sz="4" w:space="0" w:color="FFFFFF"/>
              <w:left w:val="single" w:sz="4" w:space="0" w:color="FFFFFF"/>
              <w:bottom w:val="single" w:sz="4" w:space="0" w:color="548DD4"/>
              <w:right w:val="single" w:sz="4" w:space="0" w:color="FFFFFF"/>
            </w:tcBorders>
            <w:shd w:val="clear" w:color="DDEBF7" w:fill="DDEBF7"/>
            <w:noWrap/>
            <w:tcMar>
              <w:top w:w="15" w:type="dxa"/>
              <w:left w:w="15" w:type="dxa"/>
              <w:bottom w:w="0" w:type="dxa"/>
              <w:right w:w="15" w:type="dxa"/>
            </w:tcMar>
            <w:vAlign w:val="bottom"/>
            <w:hideMark/>
          </w:tcPr>
          <w:p w14:paraId="5CE121A3"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4</w:t>
            </w:r>
          </w:p>
        </w:tc>
        <w:tc>
          <w:tcPr>
            <w:tcW w:w="535" w:type="pct"/>
            <w:tcBorders>
              <w:top w:val="single" w:sz="4" w:space="0" w:color="FFFFFF"/>
              <w:left w:val="single" w:sz="4" w:space="0" w:color="FFFFFF"/>
              <w:bottom w:val="single" w:sz="4" w:space="0" w:color="548DD4"/>
              <w:right w:val="single" w:sz="4" w:space="0" w:color="FFFFFF"/>
            </w:tcBorders>
            <w:shd w:val="clear" w:color="DDEBF7" w:fill="DDEBF7"/>
            <w:noWrap/>
            <w:tcMar>
              <w:top w:w="15" w:type="dxa"/>
              <w:left w:w="15" w:type="dxa"/>
              <w:bottom w:w="0" w:type="dxa"/>
              <w:right w:w="15" w:type="dxa"/>
            </w:tcMar>
            <w:vAlign w:val="bottom"/>
            <w:hideMark/>
          </w:tcPr>
          <w:p w14:paraId="43D45FED"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215</w:t>
            </w:r>
          </w:p>
        </w:tc>
        <w:tc>
          <w:tcPr>
            <w:tcW w:w="528" w:type="pct"/>
            <w:tcBorders>
              <w:top w:val="single" w:sz="4" w:space="0" w:color="FFFFFF"/>
              <w:left w:val="single" w:sz="4" w:space="0" w:color="FFFFFF"/>
              <w:bottom w:val="single" w:sz="4" w:space="0" w:color="548DD4"/>
              <w:right w:val="single" w:sz="4" w:space="0" w:color="FFFFFF"/>
            </w:tcBorders>
            <w:shd w:val="clear" w:color="DDEBF7" w:fill="DDEBF7"/>
            <w:vAlign w:val="bottom"/>
          </w:tcPr>
          <w:p w14:paraId="4570EEA6"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95</w:t>
            </w:r>
          </w:p>
        </w:tc>
        <w:tc>
          <w:tcPr>
            <w:tcW w:w="528" w:type="pct"/>
            <w:tcBorders>
              <w:top w:val="single" w:sz="4" w:space="0" w:color="FFFFFF"/>
              <w:left w:val="single" w:sz="4" w:space="0" w:color="FFFFFF"/>
              <w:bottom w:val="single" w:sz="4" w:space="0" w:color="548DD4"/>
              <w:right w:val="single" w:sz="8" w:space="0" w:color="2F75B5"/>
            </w:tcBorders>
            <w:shd w:val="clear" w:color="DDEBF7" w:fill="DDEBF7"/>
            <w:noWrap/>
            <w:tcMar>
              <w:top w:w="15" w:type="dxa"/>
              <w:left w:w="15" w:type="dxa"/>
              <w:bottom w:w="0" w:type="dxa"/>
              <w:right w:w="15" w:type="dxa"/>
            </w:tcMar>
            <w:vAlign w:val="bottom"/>
            <w:hideMark/>
          </w:tcPr>
          <w:p w14:paraId="18803132" w14:textId="77777777" w:rsidR="00115BC3" w:rsidRPr="009722AF" w:rsidRDefault="00115BC3" w:rsidP="00115BC3">
            <w:pPr>
              <w:spacing w:before="0" w:after="0" w:line="240" w:lineRule="atLeast"/>
              <w:jc w:val="center"/>
              <w:rPr>
                <w:rFonts w:asciiTheme="majorHAnsi" w:hAnsiTheme="majorHAnsi"/>
                <w:noProof/>
                <w:color w:val="000000"/>
                <w:sz w:val="22"/>
              </w:rPr>
            </w:pPr>
            <w:r>
              <w:rPr>
                <w:color w:val="000000"/>
                <w:sz w:val="22"/>
              </w:rPr>
              <w:t>376</w:t>
            </w:r>
          </w:p>
        </w:tc>
      </w:tr>
      <w:tr w:rsidR="00115BC3" w:rsidRPr="009722AF" w14:paraId="0C39D504" w14:textId="77777777" w:rsidTr="00A46377">
        <w:trPr>
          <w:trHeight w:val="302"/>
          <w:jc w:val="center"/>
        </w:trPr>
        <w:tc>
          <w:tcPr>
            <w:tcW w:w="1675" w:type="pct"/>
            <w:tcBorders>
              <w:top w:val="single" w:sz="4" w:space="0" w:color="548DD4"/>
              <w:left w:val="single" w:sz="8" w:space="0" w:color="2F75B5"/>
              <w:bottom w:val="single" w:sz="8" w:space="0" w:color="2F75B5"/>
              <w:right w:val="single" w:sz="8" w:space="0" w:color="2F75B5"/>
            </w:tcBorders>
            <w:shd w:val="clear" w:color="BDD7EE" w:fill="BDD7EE"/>
            <w:noWrap/>
            <w:tcMar>
              <w:top w:w="15" w:type="dxa"/>
              <w:left w:w="15" w:type="dxa"/>
              <w:bottom w:w="0" w:type="dxa"/>
              <w:right w:w="15" w:type="dxa"/>
            </w:tcMar>
            <w:vAlign w:val="bottom"/>
            <w:hideMark/>
          </w:tcPr>
          <w:p w14:paraId="627A7564" w14:textId="77777777" w:rsidR="00115BC3" w:rsidRPr="009722AF" w:rsidRDefault="00115BC3" w:rsidP="00115BC3">
            <w:pPr>
              <w:spacing w:before="0" w:after="0" w:line="240" w:lineRule="atLeast"/>
              <w:jc w:val="right"/>
              <w:rPr>
                <w:rFonts w:asciiTheme="majorHAnsi" w:hAnsiTheme="majorHAnsi"/>
                <w:b/>
                <w:bCs/>
                <w:noProof/>
                <w:color w:val="000000"/>
              </w:rPr>
            </w:pPr>
            <w:r w:rsidRPr="009722AF">
              <w:rPr>
                <w:rFonts w:asciiTheme="majorHAnsi" w:hAnsiTheme="majorHAnsi"/>
                <w:b/>
                <w:bCs/>
                <w:noProof/>
                <w:color w:val="000000"/>
                <w:sz w:val="22"/>
              </w:rPr>
              <w:t>Celkový součet</w:t>
            </w:r>
          </w:p>
        </w:tc>
        <w:tc>
          <w:tcPr>
            <w:tcW w:w="922" w:type="pct"/>
            <w:tcBorders>
              <w:top w:val="single" w:sz="4" w:space="0" w:color="548DD4"/>
              <w:left w:val="single" w:sz="8" w:space="0" w:color="2F75B5"/>
              <w:bottom w:val="single" w:sz="8" w:space="0" w:color="2F75B5"/>
              <w:right w:val="single" w:sz="8" w:space="0" w:color="2F75B5"/>
            </w:tcBorders>
            <w:shd w:val="clear" w:color="BDD7EE" w:fill="BDD7EE"/>
            <w:noWrap/>
            <w:tcMar>
              <w:top w:w="15" w:type="dxa"/>
              <w:left w:w="15" w:type="dxa"/>
              <w:bottom w:w="0" w:type="dxa"/>
              <w:right w:w="15" w:type="dxa"/>
            </w:tcMar>
            <w:vAlign w:val="bottom"/>
            <w:hideMark/>
          </w:tcPr>
          <w:p w14:paraId="0EF6772A" w14:textId="77777777" w:rsidR="00115BC3" w:rsidRPr="009722AF" w:rsidRDefault="00115BC3" w:rsidP="00115BC3">
            <w:pPr>
              <w:spacing w:before="0" w:after="0" w:line="240" w:lineRule="atLeast"/>
              <w:jc w:val="center"/>
              <w:rPr>
                <w:rFonts w:asciiTheme="majorHAnsi" w:hAnsiTheme="majorHAnsi"/>
                <w:b/>
                <w:bCs/>
                <w:noProof/>
                <w:color w:val="000000"/>
              </w:rPr>
            </w:pPr>
            <w:r w:rsidRPr="007D0146">
              <w:rPr>
                <w:b/>
                <w:bCs/>
                <w:color w:val="000000"/>
                <w:sz w:val="22"/>
              </w:rPr>
              <w:t>1</w:t>
            </w:r>
            <w:r>
              <w:rPr>
                <w:b/>
                <w:bCs/>
                <w:color w:val="000000"/>
                <w:sz w:val="22"/>
              </w:rPr>
              <w:t xml:space="preserve"> </w:t>
            </w:r>
            <w:r w:rsidRPr="007D0146">
              <w:rPr>
                <w:b/>
                <w:bCs/>
                <w:color w:val="000000"/>
                <w:sz w:val="22"/>
              </w:rPr>
              <w:t>697</w:t>
            </w:r>
          </w:p>
        </w:tc>
        <w:tc>
          <w:tcPr>
            <w:tcW w:w="812" w:type="pct"/>
            <w:tcBorders>
              <w:top w:val="single" w:sz="4" w:space="0" w:color="548DD4"/>
              <w:left w:val="single" w:sz="4" w:space="0" w:color="FFFFFF"/>
              <w:bottom w:val="single" w:sz="8" w:space="0" w:color="2F75B5"/>
              <w:right w:val="single" w:sz="4" w:space="0" w:color="FFFFFF"/>
            </w:tcBorders>
            <w:shd w:val="clear" w:color="BDD7EE" w:fill="BDD7EE"/>
            <w:noWrap/>
            <w:tcMar>
              <w:top w:w="15" w:type="dxa"/>
              <w:left w:w="15" w:type="dxa"/>
              <w:bottom w:w="0" w:type="dxa"/>
              <w:right w:w="15" w:type="dxa"/>
            </w:tcMar>
            <w:vAlign w:val="bottom"/>
            <w:hideMark/>
          </w:tcPr>
          <w:p w14:paraId="20464713" w14:textId="77777777" w:rsidR="00115BC3" w:rsidRPr="009722AF" w:rsidRDefault="00115BC3" w:rsidP="00115BC3">
            <w:pPr>
              <w:spacing w:before="0" w:after="0" w:line="240" w:lineRule="atLeast"/>
              <w:jc w:val="center"/>
              <w:rPr>
                <w:rFonts w:asciiTheme="majorHAnsi" w:hAnsiTheme="majorHAnsi"/>
                <w:b/>
                <w:bCs/>
                <w:noProof/>
                <w:color w:val="000000"/>
                <w:sz w:val="22"/>
              </w:rPr>
            </w:pPr>
            <w:r>
              <w:rPr>
                <w:b/>
                <w:bCs/>
                <w:color w:val="000000"/>
                <w:sz w:val="22"/>
              </w:rPr>
              <w:t>55</w:t>
            </w:r>
          </w:p>
        </w:tc>
        <w:tc>
          <w:tcPr>
            <w:tcW w:w="535" w:type="pct"/>
            <w:tcBorders>
              <w:top w:val="single" w:sz="4" w:space="0" w:color="548DD4"/>
              <w:left w:val="single" w:sz="4" w:space="0" w:color="FFFFFF"/>
              <w:bottom w:val="single" w:sz="8" w:space="0" w:color="2F75B5"/>
              <w:right w:val="single" w:sz="4" w:space="0" w:color="FFFFFF"/>
            </w:tcBorders>
            <w:shd w:val="clear" w:color="BDD7EE" w:fill="BDD7EE"/>
            <w:noWrap/>
            <w:tcMar>
              <w:top w:w="15" w:type="dxa"/>
              <w:left w:w="15" w:type="dxa"/>
              <w:bottom w:w="0" w:type="dxa"/>
              <w:right w:w="15" w:type="dxa"/>
            </w:tcMar>
            <w:vAlign w:val="bottom"/>
            <w:hideMark/>
          </w:tcPr>
          <w:p w14:paraId="43215BF3" w14:textId="77777777" w:rsidR="00115BC3" w:rsidRPr="009722AF" w:rsidRDefault="00115BC3" w:rsidP="00115BC3">
            <w:pPr>
              <w:spacing w:before="0" w:after="0" w:line="240" w:lineRule="atLeast"/>
              <w:jc w:val="center"/>
              <w:rPr>
                <w:rFonts w:asciiTheme="majorHAnsi" w:hAnsiTheme="majorHAnsi"/>
                <w:b/>
                <w:bCs/>
                <w:noProof/>
                <w:color w:val="000000"/>
                <w:sz w:val="22"/>
              </w:rPr>
            </w:pPr>
            <w:r>
              <w:rPr>
                <w:b/>
                <w:bCs/>
                <w:color w:val="000000"/>
                <w:sz w:val="22"/>
              </w:rPr>
              <w:t>770</w:t>
            </w:r>
          </w:p>
        </w:tc>
        <w:tc>
          <w:tcPr>
            <w:tcW w:w="528" w:type="pct"/>
            <w:tcBorders>
              <w:top w:val="single" w:sz="4" w:space="0" w:color="548DD4"/>
              <w:left w:val="single" w:sz="4" w:space="0" w:color="FFFFFF"/>
              <w:bottom w:val="single" w:sz="8" w:space="0" w:color="2F75B5"/>
              <w:right w:val="single" w:sz="4" w:space="0" w:color="FFFFFF"/>
            </w:tcBorders>
            <w:shd w:val="clear" w:color="BDD7EE" w:fill="BDD7EE"/>
            <w:vAlign w:val="bottom"/>
          </w:tcPr>
          <w:p w14:paraId="71D14E05" w14:textId="77777777" w:rsidR="00115BC3" w:rsidRPr="009722AF" w:rsidRDefault="00115BC3" w:rsidP="00115BC3">
            <w:pPr>
              <w:spacing w:before="0" w:after="0" w:line="240" w:lineRule="atLeast"/>
              <w:jc w:val="center"/>
              <w:rPr>
                <w:rFonts w:asciiTheme="majorHAnsi" w:hAnsiTheme="majorHAnsi"/>
                <w:b/>
                <w:bCs/>
                <w:noProof/>
                <w:color w:val="000000"/>
                <w:sz w:val="22"/>
              </w:rPr>
            </w:pPr>
            <w:r>
              <w:rPr>
                <w:b/>
                <w:bCs/>
                <w:color w:val="000000"/>
                <w:sz w:val="22"/>
              </w:rPr>
              <w:t>156</w:t>
            </w:r>
          </w:p>
        </w:tc>
        <w:tc>
          <w:tcPr>
            <w:tcW w:w="528" w:type="pct"/>
            <w:tcBorders>
              <w:top w:val="single" w:sz="4" w:space="0" w:color="548DD4"/>
              <w:left w:val="single" w:sz="4" w:space="0" w:color="FFFFFF"/>
              <w:bottom w:val="single" w:sz="8" w:space="0" w:color="2F75B5"/>
              <w:right w:val="single" w:sz="8" w:space="0" w:color="2F75B5"/>
            </w:tcBorders>
            <w:shd w:val="clear" w:color="BDD7EE" w:fill="BDD7EE"/>
            <w:noWrap/>
            <w:tcMar>
              <w:top w:w="15" w:type="dxa"/>
              <w:left w:w="15" w:type="dxa"/>
              <w:bottom w:w="0" w:type="dxa"/>
              <w:right w:w="15" w:type="dxa"/>
            </w:tcMar>
            <w:vAlign w:val="bottom"/>
            <w:hideMark/>
          </w:tcPr>
          <w:p w14:paraId="05AB005E" w14:textId="77777777" w:rsidR="00115BC3" w:rsidRPr="009722AF" w:rsidRDefault="00115BC3" w:rsidP="00115BC3">
            <w:pPr>
              <w:spacing w:before="0" w:after="0" w:line="240" w:lineRule="atLeast"/>
              <w:jc w:val="center"/>
              <w:rPr>
                <w:rFonts w:asciiTheme="majorHAnsi" w:hAnsiTheme="majorHAnsi"/>
                <w:b/>
                <w:bCs/>
                <w:noProof/>
                <w:color w:val="000000"/>
                <w:sz w:val="22"/>
              </w:rPr>
            </w:pPr>
            <w:r>
              <w:rPr>
                <w:b/>
                <w:bCs/>
                <w:color w:val="000000"/>
                <w:sz w:val="22"/>
              </w:rPr>
              <w:t>716</w:t>
            </w:r>
          </w:p>
        </w:tc>
      </w:tr>
    </w:tbl>
    <w:p w14:paraId="213DDAE2" w14:textId="77777777" w:rsidR="00F666F7" w:rsidRPr="00C62639" w:rsidRDefault="00F666F7">
      <w:pPr>
        <w:spacing w:before="0" w:after="200" w:line="276" w:lineRule="auto"/>
        <w:contextualSpacing w:val="0"/>
        <w:jc w:val="left"/>
        <w:rPr>
          <w:rFonts w:asciiTheme="minorHAnsi" w:hAnsiTheme="minorHAnsi"/>
          <w:noProof/>
        </w:rPr>
      </w:pPr>
    </w:p>
    <w:tbl>
      <w:tblPr>
        <w:tblW w:w="5000" w:type="pct"/>
        <w:jc w:val="center"/>
        <w:tblLayout w:type="fixed"/>
        <w:tblCellMar>
          <w:left w:w="0" w:type="dxa"/>
          <w:right w:w="0" w:type="dxa"/>
        </w:tblCellMar>
        <w:tblLook w:val="04A0" w:firstRow="1" w:lastRow="0" w:firstColumn="1" w:lastColumn="0" w:noHBand="0" w:noVBand="1"/>
      </w:tblPr>
      <w:tblGrid>
        <w:gridCol w:w="3027"/>
        <w:gridCol w:w="1645"/>
        <w:gridCol w:w="1414"/>
        <w:gridCol w:w="968"/>
        <w:gridCol w:w="999"/>
        <w:gridCol w:w="997"/>
      </w:tblGrid>
      <w:tr w:rsidR="000306EC" w:rsidRPr="009722AF" w14:paraId="4664D7E9" w14:textId="77777777" w:rsidTr="000306EC">
        <w:trPr>
          <w:trHeight w:val="600"/>
          <w:jc w:val="center"/>
        </w:trPr>
        <w:tc>
          <w:tcPr>
            <w:tcW w:w="1672" w:type="pct"/>
            <w:tcBorders>
              <w:top w:val="single" w:sz="8" w:space="0" w:color="ED7D31"/>
              <w:left w:val="single" w:sz="8" w:space="0" w:color="ED7D31"/>
              <w:bottom w:val="nil"/>
              <w:right w:val="single" w:sz="8" w:space="0" w:color="ED7D31"/>
            </w:tcBorders>
            <w:shd w:val="clear" w:color="auto" w:fill="auto"/>
            <w:tcMar>
              <w:top w:w="15" w:type="dxa"/>
              <w:left w:w="15" w:type="dxa"/>
              <w:bottom w:w="0" w:type="dxa"/>
              <w:right w:w="15" w:type="dxa"/>
            </w:tcMar>
            <w:vAlign w:val="center"/>
            <w:hideMark/>
          </w:tcPr>
          <w:p w14:paraId="5D02CA8B" w14:textId="77777777" w:rsidR="000306EC" w:rsidRPr="009722AF" w:rsidRDefault="000306EC" w:rsidP="003C548E">
            <w:pPr>
              <w:spacing w:before="0" w:after="0" w:line="240" w:lineRule="atLeast"/>
              <w:jc w:val="left"/>
              <w:rPr>
                <w:rFonts w:asciiTheme="majorHAnsi" w:hAnsiTheme="majorHAnsi"/>
                <w:noProof/>
                <w:color w:val="000000"/>
              </w:rPr>
            </w:pPr>
            <w:r w:rsidRPr="009722AF">
              <w:rPr>
                <w:rFonts w:asciiTheme="majorHAnsi" w:hAnsiTheme="majorHAnsi"/>
                <w:b/>
                <w:bCs/>
                <w:noProof/>
                <w:color w:val="000000"/>
                <w:sz w:val="22"/>
              </w:rPr>
              <w:t>KANALIZACE</w:t>
            </w:r>
            <w:r w:rsidRPr="009722AF">
              <w:rPr>
                <w:rFonts w:asciiTheme="majorHAnsi" w:hAnsiTheme="majorHAnsi"/>
                <w:noProof/>
                <w:color w:val="000000"/>
                <w:sz w:val="22"/>
              </w:rPr>
              <w:br/>
              <w:t>Rozdělení Porovnání do skupin</w:t>
            </w:r>
          </w:p>
        </w:tc>
        <w:tc>
          <w:tcPr>
            <w:tcW w:w="3328" w:type="pct"/>
            <w:gridSpan w:val="5"/>
            <w:tcBorders>
              <w:top w:val="single" w:sz="8" w:space="0" w:color="ED7D31"/>
              <w:left w:val="nil"/>
              <w:bottom w:val="nil"/>
              <w:right w:val="single" w:sz="8" w:space="0" w:color="ED7D31"/>
            </w:tcBorders>
            <w:shd w:val="clear" w:color="auto" w:fill="auto"/>
            <w:noWrap/>
            <w:tcMar>
              <w:top w:w="15" w:type="dxa"/>
              <w:left w:w="15" w:type="dxa"/>
              <w:bottom w:w="0" w:type="dxa"/>
              <w:right w:w="15" w:type="dxa"/>
            </w:tcMar>
            <w:vAlign w:val="center"/>
            <w:hideMark/>
          </w:tcPr>
          <w:p w14:paraId="4F212A69" w14:textId="77777777" w:rsidR="000306EC" w:rsidRPr="009722AF" w:rsidRDefault="000306EC" w:rsidP="000306EC">
            <w:pPr>
              <w:spacing w:before="0" w:after="0" w:line="240" w:lineRule="atLeast"/>
              <w:jc w:val="right"/>
              <w:rPr>
                <w:rFonts w:asciiTheme="majorHAnsi" w:hAnsiTheme="majorHAnsi"/>
                <w:noProof/>
                <w:color w:val="000000"/>
              </w:rPr>
            </w:pPr>
            <w:r w:rsidRPr="009722AF">
              <w:rPr>
                <w:rFonts w:asciiTheme="majorHAnsi" w:hAnsiTheme="majorHAnsi"/>
                <w:noProof/>
                <w:color w:val="000000"/>
                <w:sz w:val="22"/>
              </w:rPr>
              <w:t xml:space="preserve">Zastoupení podle modelu provozování </w:t>
            </w:r>
          </w:p>
        </w:tc>
      </w:tr>
      <w:tr w:rsidR="003445F0" w:rsidRPr="009722AF" w14:paraId="4DCCFC27" w14:textId="77777777" w:rsidTr="000B3942">
        <w:trPr>
          <w:trHeight w:val="600"/>
          <w:jc w:val="center"/>
        </w:trPr>
        <w:tc>
          <w:tcPr>
            <w:tcW w:w="1672" w:type="pct"/>
            <w:tcBorders>
              <w:top w:val="nil"/>
              <w:left w:val="single" w:sz="8" w:space="0" w:color="ED7D31"/>
              <w:bottom w:val="single" w:sz="12" w:space="0" w:color="FFFFFF"/>
              <w:right w:val="single" w:sz="8" w:space="0" w:color="ED7D31"/>
            </w:tcBorders>
            <w:shd w:val="clear" w:color="ED7D31" w:fill="ED7D31"/>
            <w:noWrap/>
            <w:tcMar>
              <w:top w:w="15" w:type="dxa"/>
              <w:left w:w="15" w:type="dxa"/>
              <w:bottom w:w="0" w:type="dxa"/>
              <w:right w:w="15" w:type="dxa"/>
            </w:tcMar>
            <w:vAlign w:val="center"/>
            <w:hideMark/>
          </w:tcPr>
          <w:p w14:paraId="25BBD05A" w14:textId="77777777" w:rsidR="003445F0" w:rsidRPr="009722AF" w:rsidRDefault="003445F0" w:rsidP="003C548E">
            <w:pPr>
              <w:spacing w:before="0" w:after="0" w:line="240" w:lineRule="atLeast"/>
              <w:jc w:val="center"/>
              <w:rPr>
                <w:rFonts w:asciiTheme="majorHAnsi" w:hAnsiTheme="majorHAnsi"/>
                <w:b/>
                <w:bCs/>
                <w:noProof/>
                <w:color w:val="FFFFFF"/>
              </w:rPr>
            </w:pPr>
            <w:r w:rsidRPr="009722AF">
              <w:rPr>
                <w:rFonts w:asciiTheme="majorHAnsi" w:hAnsiTheme="majorHAnsi"/>
                <w:b/>
                <w:bCs/>
                <w:noProof/>
                <w:color w:val="FFFFFF"/>
                <w:sz w:val="22"/>
              </w:rPr>
              <w:t>Skupina / Model provozování</w:t>
            </w:r>
          </w:p>
        </w:tc>
        <w:tc>
          <w:tcPr>
            <w:tcW w:w="909" w:type="pct"/>
            <w:tcBorders>
              <w:top w:val="nil"/>
              <w:left w:val="single" w:sz="8" w:space="0" w:color="ED7D31"/>
              <w:bottom w:val="single" w:sz="12" w:space="0" w:color="FFFFFF"/>
              <w:right w:val="single" w:sz="8" w:space="0" w:color="ED7D31"/>
            </w:tcBorders>
            <w:shd w:val="clear" w:color="ED7D31" w:fill="ED7D31"/>
            <w:tcMar>
              <w:top w:w="15" w:type="dxa"/>
              <w:left w:w="15" w:type="dxa"/>
              <w:bottom w:w="0" w:type="dxa"/>
              <w:right w:w="15" w:type="dxa"/>
            </w:tcMar>
            <w:vAlign w:val="center"/>
            <w:hideMark/>
          </w:tcPr>
          <w:p w14:paraId="3134C3D8" w14:textId="77777777" w:rsidR="003445F0" w:rsidRPr="009722AF" w:rsidRDefault="003445F0" w:rsidP="003C548E">
            <w:pPr>
              <w:spacing w:before="0" w:after="0" w:line="240" w:lineRule="atLeast"/>
              <w:jc w:val="center"/>
              <w:rPr>
                <w:rFonts w:asciiTheme="majorHAnsi" w:hAnsiTheme="majorHAnsi"/>
                <w:b/>
                <w:bCs/>
                <w:noProof/>
                <w:color w:val="FFFFFF"/>
              </w:rPr>
            </w:pPr>
            <w:r w:rsidRPr="009722AF">
              <w:rPr>
                <w:rFonts w:asciiTheme="majorHAnsi" w:hAnsiTheme="majorHAnsi"/>
                <w:b/>
                <w:bCs/>
                <w:noProof/>
                <w:color w:val="FFFFFF"/>
                <w:sz w:val="22"/>
              </w:rPr>
              <w:t>Počet porovnání ve skupině</w:t>
            </w:r>
          </w:p>
        </w:tc>
        <w:tc>
          <w:tcPr>
            <w:tcW w:w="781" w:type="pct"/>
            <w:tcBorders>
              <w:top w:val="nil"/>
              <w:left w:val="single" w:sz="4" w:space="0" w:color="FFFFFF"/>
              <w:bottom w:val="single" w:sz="12" w:space="0" w:color="FFFFFF"/>
              <w:right w:val="single" w:sz="4" w:space="0" w:color="FFFFFF"/>
            </w:tcBorders>
            <w:shd w:val="clear" w:color="ED7D31" w:fill="ED7D31"/>
            <w:noWrap/>
            <w:tcMar>
              <w:top w:w="15" w:type="dxa"/>
              <w:left w:w="15" w:type="dxa"/>
              <w:bottom w:w="0" w:type="dxa"/>
              <w:right w:w="15" w:type="dxa"/>
            </w:tcMar>
            <w:vAlign w:val="center"/>
            <w:hideMark/>
          </w:tcPr>
          <w:p w14:paraId="504A0352" w14:textId="77777777" w:rsidR="003445F0" w:rsidRPr="009722AF" w:rsidRDefault="003445F0"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KOMBINOVANÝ</w:t>
            </w:r>
          </w:p>
        </w:tc>
        <w:tc>
          <w:tcPr>
            <w:tcW w:w="535" w:type="pct"/>
            <w:tcBorders>
              <w:top w:val="nil"/>
              <w:left w:val="single" w:sz="4" w:space="0" w:color="FFFFFF"/>
              <w:bottom w:val="single" w:sz="12" w:space="0" w:color="FFFFFF"/>
              <w:right w:val="single" w:sz="4" w:space="0" w:color="FFFFFF"/>
            </w:tcBorders>
            <w:shd w:val="clear" w:color="ED7D31" w:fill="ED7D31"/>
            <w:noWrap/>
            <w:tcMar>
              <w:top w:w="15" w:type="dxa"/>
              <w:left w:w="15" w:type="dxa"/>
              <w:bottom w:w="0" w:type="dxa"/>
              <w:right w:w="15" w:type="dxa"/>
            </w:tcMar>
            <w:vAlign w:val="center"/>
            <w:hideMark/>
          </w:tcPr>
          <w:p w14:paraId="426E3010" w14:textId="77777777" w:rsidR="003445F0" w:rsidRPr="009722AF" w:rsidRDefault="003445F0"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ODDÍLNÝ</w:t>
            </w:r>
          </w:p>
        </w:tc>
        <w:tc>
          <w:tcPr>
            <w:tcW w:w="552" w:type="pct"/>
            <w:tcBorders>
              <w:top w:val="nil"/>
              <w:left w:val="single" w:sz="4" w:space="0" w:color="FFFFFF"/>
              <w:bottom w:val="single" w:sz="12" w:space="0" w:color="FFFFFF"/>
              <w:right w:val="single" w:sz="4" w:space="0" w:color="FFFFFF"/>
            </w:tcBorders>
            <w:shd w:val="clear" w:color="ED7D31" w:fill="ED7D31"/>
          </w:tcPr>
          <w:p w14:paraId="1836B666" w14:textId="77777777" w:rsidR="003445F0" w:rsidRPr="009722AF" w:rsidRDefault="003445F0"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ODDÍLNÝ SERVISNÍ SMLOUVA</w:t>
            </w:r>
          </w:p>
        </w:tc>
        <w:tc>
          <w:tcPr>
            <w:tcW w:w="551" w:type="pct"/>
            <w:tcBorders>
              <w:top w:val="nil"/>
              <w:left w:val="single" w:sz="4" w:space="0" w:color="FFFFFF"/>
              <w:bottom w:val="single" w:sz="12" w:space="0" w:color="FFFFFF"/>
              <w:right w:val="single" w:sz="8" w:space="0" w:color="ED7D31"/>
            </w:tcBorders>
            <w:shd w:val="clear" w:color="ED7D31" w:fill="ED7D31"/>
            <w:noWrap/>
            <w:tcMar>
              <w:top w:w="15" w:type="dxa"/>
              <w:left w:w="15" w:type="dxa"/>
              <w:bottom w:w="0" w:type="dxa"/>
              <w:right w:w="15" w:type="dxa"/>
            </w:tcMar>
            <w:vAlign w:val="center"/>
            <w:hideMark/>
          </w:tcPr>
          <w:p w14:paraId="06001FB4" w14:textId="77777777" w:rsidR="003445F0" w:rsidRPr="009722AF" w:rsidRDefault="003445F0" w:rsidP="003C548E">
            <w:pPr>
              <w:spacing w:before="0" w:after="0" w:line="240" w:lineRule="atLeast"/>
              <w:jc w:val="center"/>
              <w:rPr>
                <w:rFonts w:asciiTheme="majorHAnsi" w:hAnsiTheme="majorHAnsi"/>
                <w:b/>
                <w:bCs/>
                <w:noProof/>
                <w:color w:val="FFFFFF"/>
                <w:sz w:val="20"/>
              </w:rPr>
            </w:pPr>
            <w:r w:rsidRPr="009722AF">
              <w:rPr>
                <w:rFonts w:asciiTheme="majorHAnsi" w:hAnsiTheme="majorHAnsi"/>
                <w:b/>
                <w:bCs/>
                <w:noProof/>
                <w:color w:val="FFFFFF"/>
                <w:sz w:val="20"/>
              </w:rPr>
              <w:t>SMÍŠENÝ</w:t>
            </w:r>
          </w:p>
        </w:tc>
      </w:tr>
      <w:tr w:rsidR="000B3942" w:rsidRPr="009722AF" w14:paraId="0CD02402" w14:textId="77777777" w:rsidTr="000B3942">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4BF2541C" w14:textId="77777777" w:rsidR="000B3942" w:rsidRPr="009722AF" w:rsidRDefault="000B3942" w:rsidP="000B3942">
            <w:pPr>
              <w:spacing w:before="0" w:after="0" w:line="240" w:lineRule="atLeast"/>
              <w:rPr>
                <w:rFonts w:asciiTheme="majorHAnsi" w:hAnsiTheme="majorHAnsi"/>
                <w:noProof/>
                <w:color w:val="000000"/>
              </w:rPr>
            </w:pPr>
            <w:r w:rsidRPr="009722AF">
              <w:rPr>
                <w:rFonts w:asciiTheme="majorHAnsi" w:hAnsiTheme="majorHAnsi"/>
                <w:noProof/>
                <w:color w:val="000000"/>
                <w:sz w:val="22"/>
              </w:rPr>
              <w:t>I.skupina(&gt;500 000př.ob.)</w:t>
            </w:r>
          </w:p>
        </w:tc>
        <w:tc>
          <w:tcPr>
            <w:tcW w:w="909"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hideMark/>
          </w:tcPr>
          <w:p w14:paraId="2A919E40" w14:textId="77777777" w:rsidR="000B3942" w:rsidRPr="000B3942" w:rsidRDefault="000B3942" w:rsidP="000B3942">
            <w:pPr>
              <w:jc w:val="center"/>
              <w:rPr>
                <w:rFonts w:asciiTheme="majorHAnsi" w:hAnsiTheme="majorHAnsi"/>
                <w:b/>
                <w:sz w:val="22"/>
              </w:rPr>
            </w:pPr>
            <w:r w:rsidRPr="000B3942">
              <w:rPr>
                <w:rFonts w:asciiTheme="majorHAnsi" w:hAnsiTheme="majorHAnsi"/>
                <w:b/>
                <w:sz w:val="22"/>
              </w:rPr>
              <w:t>2</w:t>
            </w:r>
          </w:p>
        </w:tc>
        <w:tc>
          <w:tcPr>
            <w:tcW w:w="781"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2F70BC31" w14:textId="77777777" w:rsidR="000B3942" w:rsidRPr="000B3942" w:rsidRDefault="000B3942" w:rsidP="000B3942">
            <w:pPr>
              <w:jc w:val="center"/>
              <w:rPr>
                <w:rFonts w:asciiTheme="majorHAnsi" w:hAnsiTheme="majorHAnsi"/>
                <w:sz w:val="22"/>
              </w:rPr>
            </w:pPr>
          </w:p>
        </w:tc>
        <w:tc>
          <w:tcPr>
            <w:tcW w:w="535"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12F06D75" w14:textId="77777777" w:rsidR="000B3942" w:rsidRPr="000B3942" w:rsidRDefault="000B3942" w:rsidP="000B3942">
            <w:pPr>
              <w:jc w:val="center"/>
              <w:rPr>
                <w:rFonts w:ascii="Calibri Light" w:hAnsi="Calibri Light"/>
                <w:sz w:val="22"/>
              </w:rPr>
            </w:pPr>
            <w:r w:rsidRPr="000B3942">
              <w:rPr>
                <w:rFonts w:ascii="Calibri Light" w:hAnsi="Calibri Light"/>
                <w:sz w:val="22"/>
              </w:rPr>
              <w:t>2</w:t>
            </w:r>
          </w:p>
        </w:tc>
        <w:tc>
          <w:tcPr>
            <w:tcW w:w="552" w:type="pct"/>
            <w:tcBorders>
              <w:top w:val="single" w:sz="4" w:space="0" w:color="FFFFFF"/>
              <w:left w:val="single" w:sz="4" w:space="0" w:color="FFFFFF"/>
              <w:bottom w:val="single" w:sz="4" w:space="0" w:color="FFFFFF"/>
              <w:right w:val="single" w:sz="4" w:space="0" w:color="FFFFFF"/>
            </w:tcBorders>
            <w:shd w:val="clear" w:color="F8CBAD" w:fill="F8CBAD"/>
          </w:tcPr>
          <w:p w14:paraId="2CA3EA30" w14:textId="77777777" w:rsidR="000B3942" w:rsidRPr="000B3942" w:rsidRDefault="000B3942" w:rsidP="000B3942">
            <w:pPr>
              <w:jc w:val="center"/>
              <w:rPr>
                <w:rFonts w:ascii="Calibri Light" w:hAnsi="Calibri Light"/>
                <w:sz w:val="22"/>
              </w:rPr>
            </w:pPr>
          </w:p>
        </w:tc>
        <w:tc>
          <w:tcPr>
            <w:tcW w:w="551" w:type="pct"/>
            <w:tcBorders>
              <w:top w:val="single" w:sz="4" w:space="0" w:color="FFFFFF"/>
              <w:left w:val="single" w:sz="4" w:space="0" w:color="FFFFFF"/>
              <w:bottom w:val="single" w:sz="4" w:space="0" w:color="FFFFFF"/>
              <w:right w:val="single" w:sz="8" w:space="0" w:color="ED7D31"/>
            </w:tcBorders>
            <w:shd w:val="clear" w:color="F8CBAD" w:fill="F8CBAD"/>
            <w:noWrap/>
            <w:tcMar>
              <w:top w:w="15" w:type="dxa"/>
              <w:left w:w="15" w:type="dxa"/>
              <w:bottom w:w="0" w:type="dxa"/>
              <w:right w:w="15" w:type="dxa"/>
            </w:tcMar>
            <w:hideMark/>
          </w:tcPr>
          <w:p w14:paraId="275BEE42" w14:textId="77777777" w:rsidR="000B3942" w:rsidRPr="000B3942" w:rsidRDefault="000B3942" w:rsidP="000B3942">
            <w:pPr>
              <w:jc w:val="center"/>
              <w:rPr>
                <w:rFonts w:ascii="Calibri Light" w:hAnsi="Calibri Light"/>
                <w:sz w:val="22"/>
              </w:rPr>
            </w:pPr>
          </w:p>
        </w:tc>
      </w:tr>
      <w:tr w:rsidR="000B3942" w:rsidRPr="009722AF" w14:paraId="2DE2B5FB" w14:textId="77777777" w:rsidTr="000B3942">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vAlign w:val="center"/>
            <w:hideMark/>
          </w:tcPr>
          <w:p w14:paraId="280225E3" w14:textId="77777777" w:rsidR="000B3942" w:rsidRPr="009722AF" w:rsidRDefault="000B3942" w:rsidP="000B3942">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II.skupina(&gt;200 000př.ob.)</w:t>
            </w:r>
          </w:p>
        </w:tc>
        <w:tc>
          <w:tcPr>
            <w:tcW w:w="909"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hideMark/>
          </w:tcPr>
          <w:p w14:paraId="7574420A" w14:textId="77777777" w:rsidR="000B3942" w:rsidRPr="000B3942" w:rsidRDefault="000B3942" w:rsidP="000B3942">
            <w:pPr>
              <w:jc w:val="center"/>
              <w:rPr>
                <w:rFonts w:asciiTheme="majorHAnsi" w:hAnsiTheme="majorHAnsi"/>
                <w:b/>
                <w:sz w:val="22"/>
              </w:rPr>
            </w:pPr>
            <w:r w:rsidRPr="000B3942">
              <w:rPr>
                <w:rFonts w:asciiTheme="majorHAnsi" w:hAnsiTheme="majorHAnsi"/>
                <w:b/>
                <w:sz w:val="22"/>
              </w:rPr>
              <w:t>3</w:t>
            </w:r>
          </w:p>
        </w:tc>
        <w:tc>
          <w:tcPr>
            <w:tcW w:w="781"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08166BE7" w14:textId="77777777" w:rsidR="000B3942" w:rsidRPr="000B3942" w:rsidRDefault="000B3942" w:rsidP="000B3942">
            <w:pPr>
              <w:jc w:val="center"/>
              <w:rPr>
                <w:rFonts w:asciiTheme="majorHAnsi" w:hAnsiTheme="majorHAnsi"/>
                <w:sz w:val="22"/>
              </w:rPr>
            </w:pPr>
            <w:r w:rsidRPr="000B3942">
              <w:rPr>
                <w:rFonts w:asciiTheme="majorHAnsi" w:hAnsiTheme="majorHAnsi"/>
                <w:sz w:val="22"/>
              </w:rPr>
              <w:t>3</w:t>
            </w:r>
          </w:p>
        </w:tc>
        <w:tc>
          <w:tcPr>
            <w:tcW w:w="535"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5F36308B" w14:textId="77777777" w:rsidR="000B3942" w:rsidRPr="000B3942" w:rsidRDefault="000B3942" w:rsidP="000B3942">
            <w:pPr>
              <w:jc w:val="center"/>
              <w:rPr>
                <w:rFonts w:ascii="Calibri Light" w:hAnsi="Calibri Light"/>
                <w:sz w:val="22"/>
              </w:rPr>
            </w:pPr>
          </w:p>
        </w:tc>
        <w:tc>
          <w:tcPr>
            <w:tcW w:w="552" w:type="pct"/>
            <w:tcBorders>
              <w:top w:val="single" w:sz="4" w:space="0" w:color="FFFFFF"/>
              <w:left w:val="single" w:sz="4" w:space="0" w:color="FFFFFF"/>
              <w:bottom w:val="single" w:sz="4" w:space="0" w:color="FFFFFF"/>
              <w:right w:val="single" w:sz="4" w:space="0" w:color="FFFFFF"/>
            </w:tcBorders>
            <w:shd w:val="clear" w:color="FCE4D6" w:fill="FCE4D6"/>
          </w:tcPr>
          <w:p w14:paraId="3CF1241B" w14:textId="77777777" w:rsidR="000B3942" w:rsidRPr="000B3942" w:rsidRDefault="000B3942" w:rsidP="000B3942">
            <w:pPr>
              <w:jc w:val="center"/>
              <w:rPr>
                <w:rFonts w:ascii="Calibri Light" w:hAnsi="Calibri Light"/>
                <w:sz w:val="22"/>
              </w:rPr>
            </w:pPr>
          </w:p>
        </w:tc>
        <w:tc>
          <w:tcPr>
            <w:tcW w:w="551" w:type="pct"/>
            <w:tcBorders>
              <w:top w:val="single" w:sz="4" w:space="0" w:color="FFFFFF"/>
              <w:left w:val="single" w:sz="4" w:space="0" w:color="FFFFFF"/>
              <w:bottom w:val="single" w:sz="4" w:space="0" w:color="FFFFFF"/>
              <w:right w:val="single" w:sz="8" w:space="0" w:color="ED7D31"/>
            </w:tcBorders>
            <w:shd w:val="clear" w:color="FCE4D6" w:fill="FCE4D6"/>
            <w:noWrap/>
            <w:tcMar>
              <w:top w:w="15" w:type="dxa"/>
              <w:left w:w="15" w:type="dxa"/>
              <w:bottom w:w="0" w:type="dxa"/>
              <w:right w:w="15" w:type="dxa"/>
            </w:tcMar>
            <w:hideMark/>
          </w:tcPr>
          <w:p w14:paraId="0A02F0F6" w14:textId="77777777" w:rsidR="000B3942" w:rsidRPr="000B3942" w:rsidRDefault="000B3942" w:rsidP="000B3942">
            <w:pPr>
              <w:jc w:val="center"/>
              <w:rPr>
                <w:rFonts w:ascii="Calibri Light" w:hAnsi="Calibri Light"/>
                <w:sz w:val="22"/>
              </w:rPr>
            </w:pPr>
          </w:p>
        </w:tc>
      </w:tr>
      <w:tr w:rsidR="000B3942" w:rsidRPr="009722AF" w14:paraId="172BB547" w14:textId="77777777" w:rsidTr="000B3942">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6D6C22E4" w14:textId="77777777" w:rsidR="000B3942" w:rsidRPr="009722AF" w:rsidRDefault="000B3942" w:rsidP="000B3942">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III.skupina(&gt;100 000př.ob.)</w:t>
            </w:r>
          </w:p>
        </w:tc>
        <w:tc>
          <w:tcPr>
            <w:tcW w:w="909"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hideMark/>
          </w:tcPr>
          <w:p w14:paraId="68837452" w14:textId="77777777" w:rsidR="000B3942" w:rsidRPr="000B3942" w:rsidRDefault="000B3942" w:rsidP="000B3942">
            <w:pPr>
              <w:jc w:val="center"/>
              <w:rPr>
                <w:rFonts w:asciiTheme="majorHAnsi" w:hAnsiTheme="majorHAnsi"/>
                <w:b/>
                <w:sz w:val="22"/>
              </w:rPr>
            </w:pPr>
            <w:r w:rsidRPr="000B3942">
              <w:rPr>
                <w:rFonts w:asciiTheme="majorHAnsi" w:hAnsiTheme="majorHAnsi"/>
                <w:b/>
                <w:sz w:val="22"/>
              </w:rPr>
              <w:t>10</w:t>
            </w:r>
          </w:p>
        </w:tc>
        <w:tc>
          <w:tcPr>
            <w:tcW w:w="781"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1612526C" w14:textId="77777777" w:rsidR="000B3942" w:rsidRPr="000B3942" w:rsidRDefault="000B3942" w:rsidP="000B3942">
            <w:pPr>
              <w:jc w:val="center"/>
              <w:rPr>
                <w:rFonts w:asciiTheme="majorHAnsi" w:hAnsiTheme="majorHAnsi"/>
                <w:sz w:val="22"/>
              </w:rPr>
            </w:pPr>
            <w:r w:rsidRPr="000B3942">
              <w:rPr>
                <w:rFonts w:asciiTheme="majorHAnsi" w:hAnsiTheme="majorHAnsi"/>
                <w:sz w:val="22"/>
              </w:rPr>
              <w:t>6</w:t>
            </w:r>
          </w:p>
        </w:tc>
        <w:tc>
          <w:tcPr>
            <w:tcW w:w="535"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57F0AA89" w14:textId="77777777" w:rsidR="000B3942" w:rsidRPr="000B3942" w:rsidRDefault="000B3942" w:rsidP="000B3942">
            <w:pPr>
              <w:jc w:val="center"/>
              <w:rPr>
                <w:rFonts w:ascii="Calibri Light" w:hAnsi="Calibri Light"/>
                <w:sz w:val="22"/>
              </w:rPr>
            </w:pPr>
            <w:r w:rsidRPr="000B3942">
              <w:rPr>
                <w:rFonts w:ascii="Calibri Light" w:hAnsi="Calibri Light"/>
                <w:sz w:val="22"/>
              </w:rPr>
              <w:t>4</w:t>
            </w:r>
          </w:p>
        </w:tc>
        <w:tc>
          <w:tcPr>
            <w:tcW w:w="552" w:type="pct"/>
            <w:tcBorders>
              <w:top w:val="single" w:sz="4" w:space="0" w:color="FFFFFF"/>
              <w:left w:val="single" w:sz="4" w:space="0" w:color="FFFFFF"/>
              <w:bottom w:val="single" w:sz="4" w:space="0" w:color="FFFFFF"/>
              <w:right w:val="single" w:sz="4" w:space="0" w:color="FFFFFF"/>
            </w:tcBorders>
            <w:shd w:val="clear" w:color="F8CBAD" w:fill="F8CBAD"/>
          </w:tcPr>
          <w:p w14:paraId="46CB378A" w14:textId="77777777" w:rsidR="000B3942" w:rsidRPr="000B3942" w:rsidRDefault="000B3942" w:rsidP="000B3942">
            <w:pPr>
              <w:jc w:val="center"/>
              <w:rPr>
                <w:rFonts w:ascii="Calibri Light" w:hAnsi="Calibri Light"/>
                <w:sz w:val="22"/>
              </w:rPr>
            </w:pPr>
          </w:p>
        </w:tc>
        <w:tc>
          <w:tcPr>
            <w:tcW w:w="551" w:type="pct"/>
            <w:tcBorders>
              <w:top w:val="single" w:sz="4" w:space="0" w:color="FFFFFF"/>
              <w:left w:val="single" w:sz="4" w:space="0" w:color="FFFFFF"/>
              <w:bottom w:val="single" w:sz="4" w:space="0" w:color="FFFFFF"/>
              <w:right w:val="single" w:sz="8" w:space="0" w:color="ED7D31"/>
            </w:tcBorders>
            <w:shd w:val="clear" w:color="F8CBAD" w:fill="F8CBAD"/>
            <w:noWrap/>
            <w:tcMar>
              <w:top w:w="15" w:type="dxa"/>
              <w:left w:w="15" w:type="dxa"/>
              <w:bottom w:w="0" w:type="dxa"/>
              <w:right w:w="15" w:type="dxa"/>
            </w:tcMar>
            <w:hideMark/>
          </w:tcPr>
          <w:p w14:paraId="7D1E86F1" w14:textId="77777777" w:rsidR="000B3942" w:rsidRPr="000B3942" w:rsidRDefault="000B3942" w:rsidP="000B3942">
            <w:pPr>
              <w:jc w:val="center"/>
              <w:rPr>
                <w:rFonts w:ascii="Calibri Light" w:hAnsi="Calibri Light"/>
                <w:sz w:val="22"/>
              </w:rPr>
            </w:pPr>
          </w:p>
        </w:tc>
      </w:tr>
      <w:tr w:rsidR="000B3942" w:rsidRPr="009722AF" w14:paraId="0722BCB7" w14:textId="77777777" w:rsidTr="000B3942">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vAlign w:val="center"/>
            <w:hideMark/>
          </w:tcPr>
          <w:p w14:paraId="02D623A9" w14:textId="77777777" w:rsidR="000B3942" w:rsidRPr="009722AF" w:rsidRDefault="000B3942" w:rsidP="000B3942">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IV.skupina(&gt;50 000př.ob.)</w:t>
            </w:r>
          </w:p>
        </w:tc>
        <w:tc>
          <w:tcPr>
            <w:tcW w:w="909"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hideMark/>
          </w:tcPr>
          <w:p w14:paraId="6C22CD14" w14:textId="77777777" w:rsidR="000B3942" w:rsidRPr="000B3942" w:rsidRDefault="000B3942" w:rsidP="000B3942">
            <w:pPr>
              <w:jc w:val="center"/>
              <w:rPr>
                <w:rFonts w:asciiTheme="majorHAnsi" w:hAnsiTheme="majorHAnsi"/>
                <w:b/>
                <w:sz w:val="22"/>
              </w:rPr>
            </w:pPr>
            <w:r w:rsidRPr="000B3942">
              <w:rPr>
                <w:rFonts w:asciiTheme="majorHAnsi" w:hAnsiTheme="majorHAnsi"/>
                <w:b/>
                <w:sz w:val="22"/>
              </w:rPr>
              <w:t>16</w:t>
            </w:r>
          </w:p>
        </w:tc>
        <w:tc>
          <w:tcPr>
            <w:tcW w:w="781"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0E226B70" w14:textId="77777777" w:rsidR="000B3942" w:rsidRPr="000B3942" w:rsidRDefault="000B3942" w:rsidP="000B3942">
            <w:pPr>
              <w:jc w:val="center"/>
              <w:rPr>
                <w:rFonts w:asciiTheme="majorHAnsi" w:hAnsiTheme="majorHAnsi"/>
                <w:sz w:val="22"/>
              </w:rPr>
            </w:pPr>
            <w:r w:rsidRPr="000B3942">
              <w:rPr>
                <w:rFonts w:asciiTheme="majorHAnsi" w:hAnsiTheme="majorHAnsi"/>
                <w:sz w:val="22"/>
              </w:rPr>
              <w:t>7</w:t>
            </w:r>
          </w:p>
        </w:tc>
        <w:tc>
          <w:tcPr>
            <w:tcW w:w="535"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598052C5" w14:textId="77777777" w:rsidR="000B3942" w:rsidRPr="000B3942" w:rsidRDefault="000B3942" w:rsidP="000B3942">
            <w:pPr>
              <w:jc w:val="center"/>
              <w:rPr>
                <w:rFonts w:ascii="Calibri Light" w:hAnsi="Calibri Light"/>
                <w:sz w:val="22"/>
              </w:rPr>
            </w:pPr>
            <w:r w:rsidRPr="000B3942">
              <w:rPr>
                <w:rFonts w:ascii="Calibri Light" w:hAnsi="Calibri Light"/>
                <w:sz w:val="22"/>
              </w:rPr>
              <w:t>9</w:t>
            </w:r>
          </w:p>
        </w:tc>
        <w:tc>
          <w:tcPr>
            <w:tcW w:w="552" w:type="pct"/>
            <w:tcBorders>
              <w:top w:val="single" w:sz="4" w:space="0" w:color="FFFFFF"/>
              <w:left w:val="single" w:sz="4" w:space="0" w:color="FFFFFF"/>
              <w:bottom w:val="single" w:sz="4" w:space="0" w:color="FFFFFF"/>
              <w:right w:val="single" w:sz="4" w:space="0" w:color="FFFFFF"/>
            </w:tcBorders>
            <w:shd w:val="clear" w:color="FCE4D6" w:fill="FCE4D6"/>
          </w:tcPr>
          <w:p w14:paraId="2AF43A6A" w14:textId="77777777" w:rsidR="000B3942" w:rsidRPr="000B3942" w:rsidRDefault="000B3942" w:rsidP="000B3942">
            <w:pPr>
              <w:jc w:val="center"/>
              <w:rPr>
                <w:rFonts w:ascii="Calibri Light" w:hAnsi="Calibri Light"/>
                <w:sz w:val="22"/>
              </w:rPr>
            </w:pPr>
          </w:p>
        </w:tc>
        <w:tc>
          <w:tcPr>
            <w:tcW w:w="551" w:type="pct"/>
            <w:tcBorders>
              <w:top w:val="single" w:sz="4" w:space="0" w:color="FFFFFF"/>
              <w:left w:val="single" w:sz="4" w:space="0" w:color="FFFFFF"/>
              <w:bottom w:val="single" w:sz="4" w:space="0" w:color="FFFFFF"/>
              <w:right w:val="single" w:sz="8" w:space="0" w:color="ED7D31"/>
            </w:tcBorders>
            <w:shd w:val="clear" w:color="FCE4D6" w:fill="FCE4D6"/>
            <w:noWrap/>
            <w:tcMar>
              <w:top w:w="15" w:type="dxa"/>
              <w:left w:w="15" w:type="dxa"/>
              <w:bottom w:w="0" w:type="dxa"/>
              <w:right w:w="15" w:type="dxa"/>
            </w:tcMar>
            <w:hideMark/>
          </w:tcPr>
          <w:p w14:paraId="7671CF18" w14:textId="77777777" w:rsidR="000B3942" w:rsidRPr="000B3942" w:rsidRDefault="000B3942" w:rsidP="000B3942">
            <w:pPr>
              <w:jc w:val="center"/>
              <w:rPr>
                <w:rFonts w:ascii="Calibri Light" w:hAnsi="Calibri Light"/>
                <w:sz w:val="22"/>
              </w:rPr>
            </w:pPr>
          </w:p>
        </w:tc>
      </w:tr>
      <w:tr w:rsidR="000B3942" w:rsidRPr="009722AF" w14:paraId="6C96EC93" w14:textId="77777777" w:rsidTr="000B3942">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5AAE68A8" w14:textId="77777777" w:rsidR="000B3942" w:rsidRPr="009722AF" w:rsidRDefault="000B3942" w:rsidP="000B3942">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V.skupina(&gt;10 000př.ob.)</w:t>
            </w:r>
          </w:p>
        </w:tc>
        <w:tc>
          <w:tcPr>
            <w:tcW w:w="909"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hideMark/>
          </w:tcPr>
          <w:p w14:paraId="6FF1ED5D" w14:textId="77777777" w:rsidR="000B3942" w:rsidRPr="000B3942" w:rsidRDefault="000B3942" w:rsidP="000B3942">
            <w:pPr>
              <w:jc w:val="center"/>
              <w:rPr>
                <w:rFonts w:asciiTheme="majorHAnsi" w:hAnsiTheme="majorHAnsi"/>
                <w:b/>
                <w:sz w:val="22"/>
              </w:rPr>
            </w:pPr>
            <w:r w:rsidRPr="000B3942">
              <w:rPr>
                <w:rFonts w:asciiTheme="majorHAnsi" w:hAnsiTheme="majorHAnsi"/>
                <w:b/>
                <w:sz w:val="22"/>
              </w:rPr>
              <w:t>53</w:t>
            </w:r>
          </w:p>
        </w:tc>
        <w:tc>
          <w:tcPr>
            <w:tcW w:w="781"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2F2BFE0D" w14:textId="77777777" w:rsidR="000B3942" w:rsidRPr="000B3942" w:rsidRDefault="000B3942" w:rsidP="000B3942">
            <w:pPr>
              <w:jc w:val="center"/>
              <w:rPr>
                <w:rFonts w:asciiTheme="majorHAnsi" w:hAnsiTheme="majorHAnsi"/>
                <w:sz w:val="22"/>
              </w:rPr>
            </w:pPr>
            <w:r w:rsidRPr="000B3942">
              <w:rPr>
                <w:rFonts w:asciiTheme="majorHAnsi" w:hAnsiTheme="majorHAnsi"/>
                <w:sz w:val="22"/>
              </w:rPr>
              <w:t>14</w:t>
            </w:r>
          </w:p>
        </w:tc>
        <w:tc>
          <w:tcPr>
            <w:tcW w:w="535"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45BDF68A" w14:textId="77777777" w:rsidR="000B3942" w:rsidRPr="000B3942" w:rsidRDefault="000B3942" w:rsidP="000B3942">
            <w:pPr>
              <w:jc w:val="center"/>
              <w:rPr>
                <w:rFonts w:ascii="Calibri Light" w:hAnsi="Calibri Light"/>
                <w:sz w:val="22"/>
              </w:rPr>
            </w:pPr>
            <w:r w:rsidRPr="000B3942">
              <w:rPr>
                <w:rFonts w:ascii="Calibri Light" w:hAnsi="Calibri Light"/>
                <w:sz w:val="22"/>
              </w:rPr>
              <w:t>34</w:t>
            </w:r>
          </w:p>
        </w:tc>
        <w:tc>
          <w:tcPr>
            <w:tcW w:w="552" w:type="pct"/>
            <w:tcBorders>
              <w:top w:val="single" w:sz="4" w:space="0" w:color="FFFFFF"/>
              <w:left w:val="single" w:sz="4" w:space="0" w:color="FFFFFF"/>
              <w:bottom w:val="single" w:sz="4" w:space="0" w:color="FFFFFF"/>
              <w:right w:val="single" w:sz="4" w:space="0" w:color="FFFFFF"/>
            </w:tcBorders>
            <w:shd w:val="clear" w:color="F8CBAD" w:fill="F8CBAD"/>
          </w:tcPr>
          <w:p w14:paraId="23A7E05B" w14:textId="77777777" w:rsidR="000B3942" w:rsidRPr="000B3942" w:rsidRDefault="000B3942" w:rsidP="000B3942">
            <w:pPr>
              <w:jc w:val="center"/>
              <w:rPr>
                <w:rFonts w:ascii="Calibri Light" w:hAnsi="Calibri Light"/>
                <w:sz w:val="22"/>
              </w:rPr>
            </w:pPr>
            <w:r w:rsidRPr="000B3942">
              <w:rPr>
                <w:rFonts w:ascii="Calibri Light" w:hAnsi="Calibri Light"/>
                <w:sz w:val="22"/>
              </w:rPr>
              <w:t>2</w:t>
            </w:r>
          </w:p>
        </w:tc>
        <w:tc>
          <w:tcPr>
            <w:tcW w:w="551" w:type="pct"/>
            <w:tcBorders>
              <w:top w:val="single" w:sz="4" w:space="0" w:color="FFFFFF"/>
              <w:left w:val="single" w:sz="4" w:space="0" w:color="FFFFFF"/>
              <w:bottom w:val="single" w:sz="4" w:space="0" w:color="FFFFFF"/>
              <w:right w:val="single" w:sz="8" w:space="0" w:color="ED7D31"/>
            </w:tcBorders>
            <w:shd w:val="clear" w:color="F8CBAD" w:fill="F8CBAD"/>
            <w:noWrap/>
            <w:tcMar>
              <w:top w:w="15" w:type="dxa"/>
              <w:left w:w="15" w:type="dxa"/>
              <w:bottom w:w="0" w:type="dxa"/>
              <w:right w:w="15" w:type="dxa"/>
            </w:tcMar>
            <w:hideMark/>
          </w:tcPr>
          <w:p w14:paraId="7A56BCD3" w14:textId="77777777" w:rsidR="000B3942" w:rsidRPr="000B3942" w:rsidRDefault="000B3942" w:rsidP="000B3942">
            <w:pPr>
              <w:jc w:val="center"/>
              <w:rPr>
                <w:rFonts w:ascii="Calibri Light" w:hAnsi="Calibri Light"/>
                <w:sz w:val="22"/>
              </w:rPr>
            </w:pPr>
            <w:r w:rsidRPr="000B3942">
              <w:rPr>
                <w:rFonts w:ascii="Calibri Light" w:hAnsi="Calibri Light"/>
                <w:sz w:val="22"/>
              </w:rPr>
              <w:t>3</w:t>
            </w:r>
          </w:p>
        </w:tc>
      </w:tr>
      <w:tr w:rsidR="000B3942" w:rsidRPr="009722AF" w14:paraId="5C307A76" w14:textId="77777777" w:rsidTr="000B3942">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vAlign w:val="center"/>
            <w:hideMark/>
          </w:tcPr>
          <w:p w14:paraId="74FEC267" w14:textId="77777777" w:rsidR="000B3942" w:rsidRPr="009722AF" w:rsidRDefault="000B3942" w:rsidP="000B3942">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VI.skupina(&gt;1 000př.ob.)</w:t>
            </w:r>
          </w:p>
        </w:tc>
        <w:tc>
          <w:tcPr>
            <w:tcW w:w="909" w:type="pct"/>
            <w:tcBorders>
              <w:top w:val="single" w:sz="4" w:space="0" w:color="FFFFFF"/>
              <w:left w:val="single" w:sz="8" w:space="0" w:color="ED7D31"/>
              <w:bottom w:val="single" w:sz="4" w:space="0" w:color="FFFFFF"/>
              <w:right w:val="single" w:sz="8" w:space="0" w:color="ED7D31"/>
            </w:tcBorders>
            <w:shd w:val="clear" w:color="FCE4D6" w:fill="FCE4D6"/>
            <w:noWrap/>
            <w:tcMar>
              <w:top w:w="15" w:type="dxa"/>
              <w:left w:w="15" w:type="dxa"/>
              <w:bottom w:w="0" w:type="dxa"/>
              <w:right w:w="15" w:type="dxa"/>
            </w:tcMar>
            <w:hideMark/>
          </w:tcPr>
          <w:p w14:paraId="6C74E51F" w14:textId="77777777" w:rsidR="000B3942" w:rsidRPr="000B3942" w:rsidRDefault="000B3942" w:rsidP="000B3942">
            <w:pPr>
              <w:jc w:val="center"/>
              <w:rPr>
                <w:rFonts w:asciiTheme="majorHAnsi" w:hAnsiTheme="majorHAnsi"/>
                <w:b/>
                <w:sz w:val="22"/>
              </w:rPr>
            </w:pPr>
            <w:r w:rsidRPr="000B3942">
              <w:rPr>
                <w:rFonts w:asciiTheme="majorHAnsi" w:hAnsiTheme="majorHAnsi"/>
                <w:b/>
                <w:sz w:val="22"/>
              </w:rPr>
              <w:t>468</w:t>
            </w:r>
          </w:p>
        </w:tc>
        <w:tc>
          <w:tcPr>
            <w:tcW w:w="781"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5B86D244" w14:textId="77777777" w:rsidR="000B3942" w:rsidRPr="000B3942" w:rsidRDefault="000B3942" w:rsidP="000B3942">
            <w:pPr>
              <w:jc w:val="center"/>
              <w:rPr>
                <w:rFonts w:asciiTheme="majorHAnsi" w:hAnsiTheme="majorHAnsi"/>
                <w:sz w:val="22"/>
              </w:rPr>
            </w:pPr>
            <w:r w:rsidRPr="000B3942">
              <w:rPr>
                <w:rFonts w:asciiTheme="majorHAnsi" w:hAnsiTheme="majorHAnsi"/>
                <w:sz w:val="22"/>
              </w:rPr>
              <w:t>29</w:t>
            </w:r>
          </w:p>
        </w:tc>
        <w:tc>
          <w:tcPr>
            <w:tcW w:w="535" w:type="pct"/>
            <w:tcBorders>
              <w:top w:val="single" w:sz="4" w:space="0" w:color="FFFFFF"/>
              <w:left w:val="single" w:sz="4" w:space="0" w:color="FFFFFF"/>
              <w:bottom w:val="single" w:sz="4" w:space="0" w:color="FFFFFF"/>
              <w:right w:val="single" w:sz="4" w:space="0" w:color="FFFFFF"/>
            </w:tcBorders>
            <w:shd w:val="clear" w:color="FCE4D6" w:fill="FCE4D6"/>
            <w:noWrap/>
            <w:tcMar>
              <w:top w:w="15" w:type="dxa"/>
              <w:left w:w="15" w:type="dxa"/>
              <w:bottom w:w="0" w:type="dxa"/>
              <w:right w:w="15" w:type="dxa"/>
            </w:tcMar>
            <w:hideMark/>
          </w:tcPr>
          <w:p w14:paraId="5E3D6C38" w14:textId="77777777" w:rsidR="000B3942" w:rsidRPr="000B3942" w:rsidRDefault="000B3942" w:rsidP="000B3942">
            <w:pPr>
              <w:jc w:val="center"/>
              <w:rPr>
                <w:rFonts w:ascii="Calibri Light" w:hAnsi="Calibri Light"/>
                <w:sz w:val="22"/>
              </w:rPr>
            </w:pPr>
            <w:r w:rsidRPr="000B3942">
              <w:rPr>
                <w:rFonts w:ascii="Calibri Light" w:hAnsi="Calibri Light"/>
                <w:sz w:val="22"/>
              </w:rPr>
              <w:t>245</w:t>
            </w:r>
          </w:p>
        </w:tc>
        <w:tc>
          <w:tcPr>
            <w:tcW w:w="552" w:type="pct"/>
            <w:tcBorders>
              <w:top w:val="single" w:sz="4" w:space="0" w:color="FFFFFF"/>
              <w:left w:val="single" w:sz="4" w:space="0" w:color="FFFFFF"/>
              <w:bottom w:val="single" w:sz="4" w:space="0" w:color="FFFFFF"/>
              <w:right w:val="single" w:sz="4" w:space="0" w:color="FFFFFF"/>
            </w:tcBorders>
            <w:shd w:val="clear" w:color="FCE4D6" w:fill="FCE4D6"/>
          </w:tcPr>
          <w:p w14:paraId="756D814C" w14:textId="77777777" w:rsidR="000B3942" w:rsidRPr="000B3942" w:rsidRDefault="000B3942" w:rsidP="000B3942">
            <w:pPr>
              <w:jc w:val="center"/>
              <w:rPr>
                <w:rFonts w:ascii="Calibri Light" w:hAnsi="Calibri Light"/>
                <w:sz w:val="22"/>
              </w:rPr>
            </w:pPr>
            <w:r w:rsidRPr="000B3942">
              <w:rPr>
                <w:rFonts w:ascii="Calibri Light" w:hAnsi="Calibri Light"/>
                <w:sz w:val="22"/>
              </w:rPr>
              <w:t>15</w:t>
            </w:r>
          </w:p>
        </w:tc>
        <w:tc>
          <w:tcPr>
            <w:tcW w:w="551" w:type="pct"/>
            <w:tcBorders>
              <w:top w:val="single" w:sz="4" w:space="0" w:color="FFFFFF"/>
              <w:left w:val="single" w:sz="4" w:space="0" w:color="FFFFFF"/>
              <w:bottom w:val="single" w:sz="4" w:space="0" w:color="FFFFFF"/>
              <w:right w:val="single" w:sz="8" w:space="0" w:color="ED7D31"/>
            </w:tcBorders>
            <w:shd w:val="clear" w:color="FCE4D6" w:fill="FCE4D6"/>
            <w:noWrap/>
            <w:tcMar>
              <w:top w:w="15" w:type="dxa"/>
              <w:left w:w="15" w:type="dxa"/>
              <w:bottom w:w="0" w:type="dxa"/>
              <w:right w:w="15" w:type="dxa"/>
            </w:tcMar>
            <w:hideMark/>
          </w:tcPr>
          <w:p w14:paraId="05064277" w14:textId="77777777" w:rsidR="000B3942" w:rsidRPr="000B3942" w:rsidRDefault="000B3942" w:rsidP="000B3942">
            <w:pPr>
              <w:jc w:val="center"/>
              <w:rPr>
                <w:rFonts w:ascii="Calibri Light" w:hAnsi="Calibri Light"/>
                <w:sz w:val="22"/>
              </w:rPr>
            </w:pPr>
            <w:r w:rsidRPr="000B3942">
              <w:rPr>
                <w:rFonts w:ascii="Calibri Light" w:hAnsi="Calibri Light"/>
                <w:sz w:val="22"/>
              </w:rPr>
              <w:t>179</w:t>
            </w:r>
          </w:p>
        </w:tc>
      </w:tr>
      <w:tr w:rsidR="000B3942" w:rsidRPr="009722AF" w14:paraId="790473B5" w14:textId="77777777" w:rsidTr="000B3942">
        <w:trPr>
          <w:trHeight w:val="300"/>
          <w:jc w:val="center"/>
        </w:trPr>
        <w:tc>
          <w:tcPr>
            <w:tcW w:w="1672"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vAlign w:val="center"/>
            <w:hideMark/>
          </w:tcPr>
          <w:p w14:paraId="4AD6F9A7" w14:textId="77777777" w:rsidR="000B3942" w:rsidRPr="009722AF" w:rsidRDefault="000B3942" w:rsidP="000B3942">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VII.skupina(&gt;300př.ob.)</w:t>
            </w:r>
          </w:p>
        </w:tc>
        <w:tc>
          <w:tcPr>
            <w:tcW w:w="909" w:type="pct"/>
            <w:tcBorders>
              <w:top w:val="single" w:sz="4" w:space="0" w:color="FFFFFF"/>
              <w:left w:val="single" w:sz="8" w:space="0" w:color="ED7D31"/>
              <w:bottom w:val="single" w:sz="4" w:space="0" w:color="FFFFFF"/>
              <w:right w:val="single" w:sz="8" w:space="0" w:color="ED7D31"/>
            </w:tcBorders>
            <w:shd w:val="clear" w:color="F8CBAD" w:fill="F8CBAD"/>
            <w:noWrap/>
            <w:tcMar>
              <w:top w:w="15" w:type="dxa"/>
              <w:left w:w="15" w:type="dxa"/>
              <w:bottom w:w="0" w:type="dxa"/>
              <w:right w:w="15" w:type="dxa"/>
            </w:tcMar>
            <w:hideMark/>
          </w:tcPr>
          <w:p w14:paraId="34344E04" w14:textId="77777777" w:rsidR="000B3942" w:rsidRPr="000B3942" w:rsidRDefault="000B3942" w:rsidP="000B3942">
            <w:pPr>
              <w:jc w:val="center"/>
              <w:rPr>
                <w:rFonts w:asciiTheme="majorHAnsi" w:hAnsiTheme="majorHAnsi"/>
                <w:b/>
                <w:sz w:val="22"/>
              </w:rPr>
            </w:pPr>
            <w:r w:rsidRPr="000B3942">
              <w:rPr>
                <w:rFonts w:asciiTheme="majorHAnsi" w:hAnsiTheme="majorHAnsi"/>
                <w:b/>
                <w:sz w:val="22"/>
              </w:rPr>
              <w:t>774</w:t>
            </w:r>
          </w:p>
        </w:tc>
        <w:tc>
          <w:tcPr>
            <w:tcW w:w="781"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55A1BAD4" w14:textId="77777777" w:rsidR="000B3942" w:rsidRPr="000B3942" w:rsidRDefault="000B3942" w:rsidP="000B3942">
            <w:pPr>
              <w:jc w:val="center"/>
              <w:rPr>
                <w:rFonts w:asciiTheme="majorHAnsi" w:hAnsiTheme="majorHAnsi"/>
                <w:sz w:val="22"/>
              </w:rPr>
            </w:pPr>
            <w:r w:rsidRPr="000B3942">
              <w:rPr>
                <w:rFonts w:asciiTheme="majorHAnsi" w:hAnsiTheme="majorHAnsi"/>
                <w:sz w:val="22"/>
              </w:rPr>
              <w:t>11</w:t>
            </w:r>
          </w:p>
        </w:tc>
        <w:tc>
          <w:tcPr>
            <w:tcW w:w="535" w:type="pct"/>
            <w:tcBorders>
              <w:top w:val="single" w:sz="4" w:space="0" w:color="FFFFFF"/>
              <w:left w:val="single" w:sz="4" w:space="0" w:color="FFFFFF"/>
              <w:bottom w:val="single" w:sz="4" w:space="0" w:color="FFFFFF"/>
              <w:right w:val="single" w:sz="4" w:space="0" w:color="FFFFFF"/>
            </w:tcBorders>
            <w:shd w:val="clear" w:color="F8CBAD" w:fill="F8CBAD"/>
            <w:noWrap/>
            <w:tcMar>
              <w:top w:w="15" w:type="dxa"/>
              <w:left w:w="15" w:type="dxa"/>
              <w:bottom w:w="0" w:type="dxa"/>
              <w:right w:w="15" w:type="dxa"/>
            </w:tcMar>
            <w:hideMark/>
          </w:tcPr>
          <w:p w14:paraId="38894CE1" w14:textId="77777777" w:rsidR="000B3942" w:rsidRPr="000B3942" w:rsidRDefault="000B3942" w:rsidP="000B3942">
            <w:pPr>
              <w:jc w:val="center"/>
              <w:rPr>
                <w:rFonts w:ascii="Calibri Light" w:hAnsi="Calibri Light"/>
                <w:sz w:val="22"/>
              </w:rPr>
            </w:pPr>
            <w:r w:rsidRPr="000B3942">
              <w:rPr>
                <w:rFonts w:ascii="Calibri Light" w:hAnsi="Calibri Light"/>
                <w:sz w:val="22"/>
              </w:rPr>
              <w:t>238</w:t>
            </w:r>
          </w:p>
        </w:tc>
        <w:tc>
          <w:tcPr>
            <w:tcW w:w="552" w:type="pct"/>
            <w:tcBorders>
              <w:top w:val="single" w:sz="4" w:space="0" w:color="FFFFFF"/>
              <w:left w:val="single" w:sz="4" w:space="0" w:color="FFFFFF"/>
              <w:bottom w:val="single" w:sz="4" w:space="0" w:color="FFFFFF"/>
              <w:right w:val="single" w:sz="4" w:space="0" w:color="FFFFFF"/>
            </w:tcBorders>
            <w:shd w:val="clear" w:color="F8CBAD" w:fill="F8CBAD"/>
          </w:tcPr>
          <w:p w14:paraId="065722DE" w14:textId="77777777" w:rsidR="000B3942" w:rsidRPr="000B3942" w:rsidRDefault="000B3942" w:rsidP="000B3942">
            <w:pPr>
              <w:jc w:val="center"/>
              <w:rPr>
                <w:rFonts w:ascii="Calibri Light" w:hAnsi="Calibri Light"/>
                <w:sz w:val="22"/>
              </w:rPr>
            </w:pPr>
            <w:r w:rsidRPr="000B3942">
              <w:rPr>
                <w:rFonts w:ascii="Calibri Light" w:hAnsi="Calibri Light"/>
                <w:sz w:val="22"/>
              </w:rPr>
              <w:t>52</w:t>
            </w:r>
          </w:p>
        </w:tc>
        <w:tc>
          <w:tcPr>
            <w:tcW w:w="551" w:type="pct"/>
            <w:tcBorders>
              <w:top w:val="single" w:sz="4" w:space="0" w:color="FFFFFF"/>
              <w:left w:val="single" w:sz="4" w:space="0" w:color="FFFFFF"/>
              <w:bottom w:val="single" w:sz="4" w:space="0" w:color="FFFFFF"/>
              <w:right w:val="single" w:sz="8" w:space="0" w:color="ED7D31"/>
            </w:tcBorders>
            <w:shd w:val="clear" w:color="F8CBAD" w:fill="F8CBAD"/>
            <w:noWrap/>
            <w:tcMar>
              <w:top w:w="15" w:type="dxa"/>
              <w:left w:w="15" w:type="dxa"/>
              <w:bottom w:w="0" w:type="dxa"/>
              <w:right w:w="15" w:type="dxa"/>
            </w:tcMar>
            <w:hideMark/>
          </w:tcPr>
          <w:p w14:paraId="57E14AEE" w14:textId="77777777" w:rsidR="000B3942" w:rsidRPr="000B3942" w:rsidRDefault="000B3942" w:rsidP="000B3942">
            <w:pPr>
              <w:jc w:val="center"/>
              <w:rPr>
                <w:rFonts w:ascii="Calibri Light" w:hAnsi="Calibri Light"/>
                <w:sz w:val="22"/>
              </w:rPr>
            </w:pPr>
            <w:r w:rsidRPr="000B3942">
              <w:rPr>
                <w:rFonts w:ascii="Calibri Light" w:hAnsi="Calibri Light"/>
                <w:sz w:val="22"/>
              </w:rPr>
              <w:t>473</w:t>
            </w:r>
          </w:p>
        </w:tc>
      </w:tr>
      <w:tr w:rsidR="000B3942" w:rsidRPr="009722AF" w14:paraId="62C0409B" w14:textId="77777777" w:rsidTr="000B3942">
        <w:trPr>
          <w:trHeight w:val="300"/>
          <w:jc w:val="center"/>
        </w:trPr>
        <w:tc>
          <w:tcPr>
            <w:tcW w:w="1672" w:type="pct"/>
            <w:tcBorders>
              <w:top w:val="single" w:sz="4" w:space="0" w:color="FFFFFF"/>
              <w:left w:val="single" w:sz="8" w:space="0" w:color="ED7D31"/>
              <w:bottom w:val="single" w:sz="4" w:space="0" w:color="F79646"/>
              <w:right w:val="single" w:sz="8" w:space="0" w:color="ED7D31"/>
            </w:tcBorders>
            <w:shd w:val="clear" w:color="FCE4D6" w:fill="FCE4D6"/>
            <w:noWrap/>
            <w:tcMar>
              <w:top w:w="15" w:type="dxa"/>
              <w:left w:w="15" w:type="dxa"/>
              <w:bottom w:w="0" w:type="dxa"/>
              <w:right w:w="15" w:type="dxa"/>
            </w:tcMar>
            <w:vAlign w:val="center"/>
            <w:hideMark/>
          </w:tcPr>
          <w:p w14:paraId="3AD7F27F" w14:textId="77777777" w:rsidR="000B3942" w:rsidRPr="009722AF" w:rsidRDefault="000B3942" w:rsidP="000B3942">
            <w:pPr>
              <w:spacing w:before="0" w:after="0" w:line="240" w:lineRule="atLeast"/>
              <w:jc w:val="left"/>
              <w:rPr>
                <w:rFonts w:asciiTheme="majorHAnsi" w:hAnsiTheme="majorHAnsi"/>
                <w:noProof/>
                <w:color w:val="000000"/>
              </w:rPr>
            </w:pPr>
            <w:r w:rsidRPr="009722AF">
              <w:rPr>
                <w:rFonts w:asciiTheme="majorHAnsi" w:hAnsiTheme="majorHAnsi"/>
                <w:noProof/>
                <w:color w:val="000000"/>
                <w:sz w:val="22"/>
              </w:rPr>
              <w:t>VIII.skupina(&lt;300př.ob.)</w:t>
            </w:r>
          </w:p>
        </w:tc>
        <w:tc>
          <w:tcPr>
            <w:tcW w:w="909" w:type="pct"/>
            <w:tcBorders>
              <w:top w:val="single" w:sz="4" w:space="0" w:color="FFFFFF"/>
              <w:left w:val="single" w:sz="8" w:space="0" w:color="ED7D31"/>
              <w:bottom w:val="single" w:sz="4" w:space="0" w:color="F79646"/>
              <w:right w:val="single" w:sz="8" w:space="0" w:color="ED7D31"/>
            </w:tcBorders>
            <w:shd w:val="clear" w:color="FCE4D6" w:fill="FCE4D6"/>
            <w:noWrap/>
            <w:tcMar>
              <w:top w:w="15" w:type="dxa"/>
              <w:left w:w="15" w:type="dxa"/>
              <w:bottom w:w="0" w:type="dxa"/>
              <w:right w:w="15" w:type="dxa"/>
            </w:tcMar>
            <w:hideMark/>
          </w:tcPr>
          <w:p w14:paraId="097EC2D7" w14:textId="77777777" w:rsidR="000B3942" w:rsidRPr="000B3942" w:rsidRDefault="000B3942" w:rsidP="000B3942">
            <w:pPr>
              <w:jc w:val="center"/>
              <w:rPr>
                <w:rFonts w:asciiTheme="majorHAnsi" w:hAnsiTheme="majorHAnsi"/>
                <w:b/>
                <w:sz w:val="22"/>
              </w:rPr>
            </w:pPr>
            <w:r w:rsidRPr="000B3942">
              <w:rPr>
                <w:rFonts w:asciiTheme="majorHAnsi" w:hAnsiTheme="majorHAnsi"/>
                <w:b/>
                <w:sz w:val="22"/>
              </w:rPr>
              <w:t>679</w:t>
            </w:r>
          </w:p>
        </w:tc>
        <w:tc>
          <w:tcPr>
            <w:tcW w:w="781" w:type="pct"/>
            <w:tcBorders>
              <w:top w:val="single" w:sz="4" w:space="0" w:color="FFFFFF"/>
              <w:left w:val="single" w:sz="4" w:space="0" w:color="FFFFFF"/>
              <w:bottom w:val="single" w:sz="4" w:space="0" w:color="F79646"/>
              <w:right w:val="single" w:sz="4" w:space="0" w:color="FFFFFF"/>
            </w:tcBorders>
            <w:shd w:val="clear" w:color="FCE4D6" w:fill="FCE4D6"/>
            <w:noWrap/>
            <w:tcMar>
              <w:top w:w="15" w:type="dxa"/>
              <w:left w:w="15" w:type="dxa"/>
              <w:bottom w:w="0" w:type="dxa"/>
              <w:right w:w="15" w:type="dxa"/>
            </w:tcMar>
            <w:hideMark/>
          </w:tcPr>
          <w:p w14:paraId="5F055745" w14:textId="77777777" w:rsidR="000B3942" w:rsidRPr="000B3942" w:rsidRDefault="000B3942" w:rsidP="000B3942">
            <w:pPr>
              <w:jc w:val="center"/>
              <w:rPr>
                <w:rFonts w:asciiTheme="majorHAnsi" w:hAnsiTheme="majorHAnsi"/>
                <w:sz w:val="22"/>
              </w:rPr>
            </w:pPr>
            <w:r w:rsidRPr="000B3942">
              <w:rPr>
                <w:rFonts w:asciiTheme="majorHAnsi" w:hAnsiTheme="majorHAnsi"/>
                <w:sz w:val="22"/>
              </w:rPr>
              <w:t>5</w:t>
            </w:r>
          </w:p>
        </w:tc>
        <w:tc>
          <w:tcPr>
            <w:tcW w:w="535" w:type="pct"/>
            <w:tcBorders>
              <w:top w:val="single" w:sz="4" w:space="0" w:color="FFFFFF"/>
              <w:left w:val="single" w:sz="4" w:space="0" w:color="FFFFFF"/>
              <w:bottom w:val="single" w:sz="4" w:space="0" w:color="F79646"/>
              <w:right w:val="single" w:sz="4" w:space="0" w:color="FFFFFF"/>
            </w:tcBorders>
            <w:shd w:val="clear" w:color="FCE4D6" w:fill="FCE4D6"/>
            <w:noWrap/>
            <w:tcMar>
              <w:top w:w="15" w:type="dxa"/>
              <w:left w:w="15" w:type="dxa"/>
              <w:bottom w:w="0" w:type="dxa"/>
              <w:right w:w="15" w:type="dxa"/>
            </w:tcMar>
            <w:hideMark/>
          </w:tcPr>
          <w:p w14:paraId="6AF1CF80" w14:textId="77777777" w:rsidR="000B3942" w:rsidRPr="000B3942" w:rsidRDefault="000B3942" w:rsidP="000B3942">
            <w:pPr>
              <w:jc w:val="center"/>
              <w:rPr>
                <w:rFonts w:ascii="Calibri Light" w:hAnsi="Calibri Light"/>
                <w:sz w:val="22"/>
              </w:rPr>
            </w:pPr>
            <w:r w:rsidRPr="000B3942">
              <w:rPr>
                <w:rFonts w:ascii="Calibri Light" w:hAnsi="Calibri Light"/>
                <w:sz w:val="22"/>
              </w:rPr>
              <w:t>117</w:t>
            </w:r>
          </w:p>
        </w:tc>
        <w:tc>
          <w:tcPr>
            <w:tcW w:w="552" w:type="pct"/>
            <w:tcBorders>
              <w:top w:val="single" w:sz="4" w:space="0" w:color="FFFFFF"/>
              <w:left w:val="single" w:sz="4" w:space="0" w:color="FFFFFF"/>
              <w:bottom w:val="single" w:sz="4" w:space="0" w:color="F79646"/>
              <w:right w:val="single" w:sz="4" w:space="0" w:color="FFFFFF"/>
            </w:tcBorders>
            <w:shd w:val="clear" w:color="FCE4D6" w:fill="FCE4D6"/>
          </w:tcPr>
          <w:p w14:paraId="59B24EBF" w14:textId="77777777" w:rsidR="000B3942" w:rsidRPr="000B3942" w:rsidRDefault="000B3942" w:rsidP="000B3942">
            <w:pPr>
              <w:jc w:val="center"/>
              <w:rPr>
                <w:rFonts w:ascii="Calibri Light" w:hAnsi="Calibri Light"/>
                <w:sz w:val="22"/>
              </w:rPr>
            </w:pPr>
            <w:r w:rsidRPr="000B3942">
              <w:rPr>
                <w:rFonts w:ascii="Calibri Light" w:hAnsi="Calibri Light"/>
                <w:sz w:val="22"/>
              </w:rPr>
              <w:t>67</w:t>
            </w:r>
          </w:p>
        </w:tc>
        <w:tc>
          <w:tcPr>
            <w:tcW w:w="551" w:type="pct"/>
            <w:tcBorders>
              <w:top w:val="single" w:sz="4" w:space="0" w:color="FFFFFF"/>
              <w:left w:val="single" w:sz="4" w:space="0" w:color="FFFFFF"/>
              <w:bottom w:val="single" w:sz="4" w:space="0" w:color="F79646"/>
              <w:right w:val="single" w:sz="8" w:space="0" w:color="ED7D31"/>
            </w:tcBorders>
            <w:shd w:val="clear" w:color="FCE4D6" w:fill="FCE4D6"/>
            <w:noWrap/>
            <w:tcMar>
              <w:top w:w="15" w:type="dxa"/>
              <w:left w:w="15" w:type="dxa"/>
              <w:bottom w:w="0" w:type="dxa"/>
              <w:right w:w="15" w:type="dxa"/>
            </w:tcMar>
            <w:hideMark/>
          </w:tcPr>
          <w:p w14:paraId="2883C8EF" w14:textId="77777777" w:rsidR="000B3942" w:rsidRPr="000B3942" w:rsidRDefault="000B3942" w:rsidP="000B3942">
            <w:pPr>
              <w:jc w:val="center"/>
              <w:rPr>
                <w:rFonts w:ascii="Calibri Light" w:hAnsi="Calibri Light"/>
                <w:sz w:val="22"/>
              </w:rPr>
            </w:pPr>
            <w:r w:rsidRPr="000B3942">
              <w:rPr>
                <w:rFonts w:ascii="Calibri Light" w:hAnsi="Calibri Light"/>
                <w:sz w:val="22"/>
              </w:rPr>
              <w:t>490</w:t>
            </w:r>
          </w:p>
        </w:tc>
      </w:tr>
      <w:tr w:rsidR="000B3942" w:rsidRPr="009722AF" w14:paraId="327A80C1" w14:textId="77777777" w:rsidTr="000B3942">
        <w:trPr>
          <w:trHeight w:val="315"/>
          <w:jc w:val="center"/>
        </w:trPr>
        <w:tc>
          <w:tcPr>
            <w:tcW w:w="1672" w:type="pct"/>
            <w:tcBorders>
              <w:top w:val="single" w:sz="4" w:space="0" w:color="F79646"/>
              <w:left w:val="single" w:sz="8" w:space="0" w:color="ED7D31"/>
              <w:bottom w:val="single" w:sz="8" w:space="0" w:color="ED7D31"/>
              <w:right w:val="single" w:sz="8" w:space="0" w:color="ED7D31"/>
            </w:tcBorders>
            <w:shd w:val="clear" w:color="F8CBAD" w:fill="F8CBAD"/>
            <w:noWrap/>
            <w:tcMar>
              <w:top w:w="15" w:type="dxa"/>
              <w:left w:w="15" w:type="dxa"/>
              <w:bottom w:w="0" w:type="dxa"/>
              <w:right w:w="15" w:type="dxa"/>
            </w:tcMar>
            <w:vAlign w:val="center"/>
            <w:hideMark/>
          </w:tcPr>
          <w:p w14:paraId="047B549A" w14:textId="77777777" w:rsidR="000B3942" w:rsidRPr="009722AF" w:rsidRDefault="000B3942" w:rsidP="000B3942">
            <w:pPr>
              <w:spacing w:before="0" w:after="0" w:line="240" w:lineRule="atLeast"/>
              <w:jc w:val="right"/>
              <w:rPr>
                <w:rFonts w:asciiTheme="majorHAnsi" w:hAnsiTheme="majorHAnsi"/>
                <w:b/>
                <w:bCs/>
                <w:noProof/>
                <w:color w:val="000000"/>
              </w:rPr>
            </w:pPr>
            <w:r w:rsidRPr="009722AF">
              <w:rPr>
                <w:rFonts w:asciiTheme="majorHAnsi" w:hAnsiTheme="majorHAnsi"/>
                <w:b/>
                <w:bCs/>
                <w:noProof/>
                <w:color w:val="000000"/>
                <w:sz w:val="22"/>
              </w:rPr>
              <w:t>Celkový součet</w:t>
            </w:r>
          </w:p>
        </w:tc>
        <w:tc>
          <w:tcPr>
            <w:tcW w:w="909" w:type="pct"/>
            <w:tcBorders>
              <w:top w:val="single" w:sz="4" w:space="0" w:color="F79646"/>
              <w:left w:val="single" w:sz="8" w:space="0" w:color="ED7D31"/>
              <w:bottom w:val="single" w:sz="8" w:space="0" w:color="ED7D31"/>
              <w:right w:val="single" w:sz="8" w:space="0" w:color="ED7D31"/>
            </w:tcBorders>
            <w:shd w:val="clear" w:color="F8CBAD" w:fill="F8CBAD"/>
            <w:noWrap/>
            <w:tcMar>
              <w:top w:w="15" w:type="dxa"/>
              <w:left w:w="15" w:type="dxa"/>
              <w:bottom w:w="0" w:type="dxa"/>
              <w:right w:w="15" w:type="dxa"/>
            </w:tcMar>
            <w:hideMark/>
          </w:tcPr>
          <w:p w14:paraId="0A6946B4" w14:textId="77777777" w:rsidR="000B3942" w:rsidRPr="000B3942" w:rsidRDefault="000B3942" w:rsidP="000B3942">
            <w:pPr>
              <w:jc w:val="center"/>
              <w:rPr>
                <w:rFonts w:asciiTheme="majorHAnsi" w:hAnsiTheme="majorHAnsi"/>
                <w:b/>
                <w:sz w:val="22"/>
              </w:rPr>
            </w:pPr>
            <w:r w:rsidRPr="000B3942">
              <w:rPr>
                <w:rFonts w:asciiTheme="majorHAnsi" w:hAnsiTheme="majorHAnsi"/>
                <w:b/>
                <w:sz w:val="22"/>
              </w:rPr>
              <w:t>2005</w:t>
            </w:r>
          </w:p>
        </w:tc>
        <w:tc>
          <w:tcPr>
            <w:tcW w:w="781" w:type="pct"/>
            <w:tcBorders>
              <w:top w:val="single" w:sz="4" w:space="0" w:color="F79646"/>
              <w:left w:val="single" w:sz="4" w:space="0" w:color="FFFFFF"/>
              <w:bottom w:val="single" w:sz="8" w:space="0" w:color="ED7D31"/>
              <w:right w:val="single" w:sz="4" w:space="0" w:color="FFFFFF"/>
            </w:tcBorders>
            <w:shd w:val="clear" w:color="F8CBAD" w:fill="F8CBAD"/>
            <w:noWrap/>
            <w:tcMar>
              <w:top w:w="15" w:type="dxa"/>
              <w:left w:w="15" w:type="dxa"/>
              <w:bottom w:w="0" w:type="dxa"/>
              <w:right w:w="15" w:type="dxa"/>
            </w:tcMar>
            <w:hideMark/>
          </w:tcPr>
          <w:p w14:paraId="03CA280F" w14:textId="77777777" w:rsidR="000B3942" w:rsidRPr="000B3942" w:rsidRDefault="000B3942" w:rsidP="000B3942">
            <w:pPr>
              <w:spacing w:before="0" w:after="0" w:line="240" w:lineRule="atLeast"/>
              <w:jc w:val="center"/>
              <w:rPr>
                <w:rFonts w:asciiTheme="majorHAnsi" w:hAnsiTheme="majorHAnsi"/>
                <w:b/>
                <w:bCs/>
                <w:noProof/>
                <w:color w:val="000000"/>
                <w:sz w:val="22"/>
              </w:rPr>
            </w:pPr>
            <w:r w:rsidRPr="000B3942">
              <w:rPr>
                <w:rFonts w:asciiTheme="majorHAnsi" w:hAnsiTheme="majorHAnsi"/>
                <w:b/>
                <w:sz w:val="22"/>
              </w:rPr>
              <w:t>75</w:t>
            </w:r>
          </w:p>
        </w:tc>
        <w:tc>
          <w:tcPr>
            <w:tcW w:w="535" w:type="pct"/>
            <w:tcBorders>
              <w:top w:val="single" w:sz="4" w:space="0" w:color="F79646"/>
              <w:left w:val="single" w:sz="4" w:space="0" w:color="FFFFFF"/>
              <w:bottom w:val="single" w:sz="8" w:space="0" w:color="ED7D31"/>
              <w:right w:val="single" w:sz="4" w:space="0" w:color="FFFFFF"/>
            </w:tcBorders>
            <w:shd w:val="clear" w:color="F8CBAD" w:fill="F8CBAD"/>
            <w:noWrap/>
            <w:tcMar>
              <w:top w:w="15" w:type="dxa"/>
              <w:left w:w="15" w:type="dxa"/>
              <w:bottom w:w="0" w:type="dxa"/>
              <w:right w:w="15" w:type="dxa"/>
            </w:tcMar>
            <w:hideMark/>
          </w:tcPr>
          <w:p w14:paraId="7D6F718E" w14:textId="77777777" w:rsidR="000B3942" w:rsidRPr="000B3942" w:rsidRDefault="000B3942" w:rsidP="000B3942">
            <w:pPr>
              <w:spacing w:before="0" w:after="0" w:line="240" w:lineRule="atLeast"/>
              <w:jc w:val="center"/>
              <w:rPr>
                <w:rFonts w:asciiTheme="majorHAnsi" w:hAnsiTheme="majorHAnsi"/>
                <w:b/>
                <w:bCs/>
                <w:noProof/>
                <w:color w:val="000000"/>
                <w:sz w:val="22"/>
              </w:rPr>
            </w:pPr>
            <w:r>
              <w:rPr>
                <w:rFonts w:asciiTheme="majorHAnsi" w:hAnsiTheme="majorHAnsi"/>
                <w:b/>
                <w:sz w:val="22"/>
              </w:rPr>
              <w:t>649</w:t>
            </w:r>
          </w:p>
        </w:tc>
        <w:tc>
          <w:tcPr>
            <w:tcW w:w="552" w:type="pct"/>
            <w:tcBorders>
              <w:top w:val="single" w:sz="4" w:space="0" w:color="F79646"/>
              <w:left w:val="single" w:sz="4" w:space="0" w:color="FFFFFF"/>
              <w:bottom w:val="single" w:sz="8" w:space="0" w:color="ED7D31"/>
              <w:right w:val="single" w:sz="4" w:space="0" w:color="FFFFFF"/>
            </w:tcBorders>
            <w:shd w:val="clear" w:color="F8CBAD" w:fill="F8CBAD"/>
          </w:tcPr>
          <w:p w14:paraId="376457F0" w14:textId="77777777" w:rsidR="000B3942" w:rsidRPr="009722AF" w:rsidRDefault="000B3942" w:rsidP="000B3942">
            <w:pPr>
              <w:spacing w:before="0" w:after="0" w:line="240" w:lineRule="atLeast"/>
              <w:jc w:val="center"/>
              <w:rPr>
                <w:rFonts w:asciiTheme="majorHAnsi" w:hAnsiTheme="majorHAnsi"/>
                <w:b/>
                <w:bCs/>
                <w:noProof/>
                <w:color w:val="000000"/>
                <w:sz w:val="22"/>
              </w:rPr>
            </w:pPr>
            <w:r>
              <w:rPr>
                <w:rFonts w:asciiTheme="majorHAnsi" w:hAnsiTheme="majorHAnsi"/>
                <w:b/>
                <w:sz w:val="22"/>
              </w:rPr>
              <w:t>136</w:t>
            </w:r>
          </w:p>
        </w:tc>
        <w:tc>
          <w:tcPr>
            <w:tcW w:w="551" w:type="pct"/>
            <w:tcBorders>
              <w:top w:val="single" w:sz="4" w:space="0" w:color="F79646"/>
              <w:left w:val="single" w:sz="4" w:space="0" w:color="FFFFFF"/>
              <w:bottom w:val="single" w:sz="8" w:space="0" w:color="ED7D31"/>
              <w:right w:val="single" w:sz="8" w:space="0" w:color="ED7D31"/>
            </w:tcBorders>
            <w:shd w:val="clear" w:color="F8CBAD" w:fill="F8CBAD"/>
            <w:noWrap/>
            <w:tcMar>
              <w:top w:w="15" w:type="dxa"/>
              <w:left w:w="15" w:type="dxa"/>
              <w:bottom w:w="0" w:type="dxa"/>
              <w:right w:w="15" w:type="dxa"/>
            </w:tcMar>
            <w:hideMark/>
          </w:tcPr>
          <w:p w14:paraId="1F8E55B3" w14:textId="77777777" w:rsidR="000B3942" w:rsidRPr="009722AF" w:rsidRDefault="000B3942" w:rsidP="000B3942">
            <w:pPr>
              <w:spacing w:before="0" w:after="0" w:line="240" w:lineRule="atLeast"/>
              <w:jc w:val="center"/>
              <w:rPr>
                <w:rFonts w:asciiTheme="majorHAnsi" w:hAnsiTheme="majorHAnsi"/>
                <w:b/>
                <w:bCs/>
                <w:noProof/>
                <w:color w:val="000000"/>
                <w:sz w:val="22"/>
              </w:rPr>
            </w:pPr>
            <w:r>
              <w:rPr>
                <w:rFonts w:asciiTheme="majorHAnsi" w:hAnsiTheme="majorHAnsi"/>
                <w:b/>
                <w:sz w:val="22"/>
              </w:rPr>
              <w:t>1 145</w:t>
            </w:r>
          </w:p>
        </w:tc>
      </w:tr>
    </w:tbl>
    <w:p w14:paraId="20AA45F4" w14:textId="107DC83A" w:rsidR="000E38AE" w:rsidRDefault="000E38AE">
      <w:pPr>
        <w:spacing w:before="0" w:after="200" w:line="276" w:lineRule="auto"/>
        <w:contextualSpacing w:val="0"/>
        <w:jc w:val="left"/>
        <w:rPr>
          <w:rFonts w:asciiTheme="minorHAnsi" w:hAnsiTheme="minorHAnsi"/>
          <w:noProof/>
        </w:rPr>
      </w:pPr>
    </w:p>
    <w:p w14:paraId="3F4A7350" w14:textId="77777777" w:rsidR="00430622" w:rsidRDefault="00430622">
      <w:pPr>
        <w:spacing w:before="0" w:after="0"/>
        <w:contextualSpacing w:val="0"/>
        <w:jc w:val="left"/>
        <w:rPr>
          <w:rFonts w:asciiTheme="minorHAnsi" w:hAnsiTheme="minorHAnsi"/>
          <w:noProof/>
          <w:sz w:val="22"/>
        </w:rPr>
      </w:pPr>
      <w:r>
        <w:rPr>
          <w:rFonts w:asciiTheme="minorHAnsi" w:hAnsiTheme="minorHAnsi"/>
          <w:noProof/>
          <w:sz w:val="22"/>
        </w:rPr>
        <w:br w:type="page"/>
      </w:r>
    </w:p>
    <w:p w14:paraId="26369D74" w14:textId="77777777" w:rsidR="00C1539B" w:rsidRPr="00C62639" w:rsidRDefault="00C1539B" w:rsidP="00C1539B">
      <w:pPr>
        <w:pStyle w:val="Nadpis1"/>
        <w:rPr>
          <w:rFonts w:asciiTheme="minorHAnsi" w:eastAsia="Calibri" w:hAnsiTheme="minorHAnsi"/>
          <w:noProof/>
        </w:rPr>
      </w:pPr>
      <w:bookmarkStart w:id="31" w:name="_Toc3291992"/>
      <w:r w:rsidRPr="00C62639">
        <w:rPr>
          <w:rFonts w:asciiTheme="minorHAnsi" w:eastAsia="Calibri" w:hAnsiTheme="minorHAnsi"/>
          <w:noProof/>
        </w:rPr>
        <w:lastRenderedPageBreak/>
        <w:t>Benchmarking vlastnických subjektů 201</w:t>
      </w:r>
      <w:r w:rsidR="004F510A">
        <w:rPr>
          <w:rFonts w:asciiTheme="minorHAnsi" w:eastAsia="Calibri" w:hAnsiTheme="minorHAnsi"/>
          <w:noProof/>
        </w:rPr>
        <w:t>7</w:t>
      </w:r>
      <w:bookmarkEnd w:id="31"/>
    </w:p>
    <w:p w14:paraId="1843395E" w14:textId="77777777" w:rsidR="00C1539B" w:rsidRPr="00C62639" w:rsidRDefault="00C1539B" w:rsidP="00C1539B">
      <w:pPr>
        <w:pStyle w:val="Nadpis2"/>
        <w:rPr>
          <w:rFonts w:asciiTheme="minorHAnsi" w:eastAsia="Calibri" w:hAnsiTheme="minorHAnsi"/>
          <w:noProof/>
        </w:rPr>
      </w:pPr>
      <w:bookmarkStart w:id="32" w:name="_Toc3291993"/>
      <w:r w:rsidRPr="00C62639">
        <w:rPr>
          <w:rFonts w:asciiTheme="minorHAnsi" w:eastAsia="Calibri" w:hAnsiTheme="minorHAnsi"/>
          <w:noProof/>
        </w:rPr>
        <w:t>Cíl zprávy</w:t>
      </w:r>
      <w:bookmarkEnd w:id="32"/>
    </w:p>
    <w:p w14:paraId="65FC96E6" w14:textId="63567ED3" w:rsidR="009F36D5" w:rsidRPr="00F6250E" w:rsidRDefault="00890442" w:rsidP="00F6250E">
      <w:pPr>
        <w:pStyle w:val="NORMLN0"/>
      </w:pPr>
      <w:r w:rsidRPr="00F6250E">
        <w:t xml:space="preserve">Předmětem projektu </w:t>
      </w:r>
      <w:r w:rsidR="00254B75" w:rsidRPr="00F6250E">
        <w:t>benchmarking</w:t>
      </w:r>
      <w:r w:rsidRPr="00F6250E">
        <w:t xml:space="preserve"> vlastnických subjektů je především pr</w:t>
      </w:r>
      <w:r w:rsidR="000937F8" w:rsidRPr="00F6250E">
        <w:t>oblematika obnovy, resp. sledová</w:t>
      </w:r>
      <w:r w:rsidRPr="00F6250E">
        <w:t>ní chování se vlastníků VIM ve vztahu k</w:t>
      </w:r>
      <w:r w:rsidR="000620B2" w:rsidRPr="00F6250E">
        <w:t xml:space="preserve"> </w:t>
      </w:r>
      <w:r w:rsidRPr="00F6250E">
        <w:t>plnění záměru regulace</w:t>
      </w:r>
      <w:r w:rsidR="00B26631" w:rsidRPr="00F6250E">
        <w:t xml:space="preserve"> </w:t>
      </w:r>
      <w:r w:rsidRPr="00F6250E">
        <w:t>- dosažení</w:t>
      </w:r>
      <w:r w:rsidR="00B26631" w:rsidRPr="00F6250E">
        <w:t xml:space="preserve"> </w:t>
      </w:r>
      <w:r w:rsidRPr="00F6250E">
        <w:t xml:space="preserve">samofinancování </w:t>
      </w:r>
      <w:r w:rsidR="00567243">
        <w:t>VIM</w:t>
      </w:r>
      <w:r w:rsidR="000620B2" w:rsidRPr="00F6250E">
        <w:t xml:space="preserve">. </w:t>
      </w:r>
    </w:p>
    <w:p w14:paraId="2635E7E6" w14:textId="755289B9" w:rsidR="009F36D5" w:rsidRDefault="00C83AA1" w:rsidP="00F6250E">
      <w:pPr>
        <w:pStyle w:val="NORMLN0"/>
      </w:pPr>
      <w:r w:rsidRPr="00F6250E">
        <w:t xml:space="preserve">Základním cílem </w:t>
      </w:r>
      <w:r w:rsidR="000937F8" w:rsidRPr="00F6250E">
        <w:t>proj</w:t>
      </w:r>
      <w:r w:rsidR="00BC41E5" w:rsidRPr="00F6250E">
        <w:t xml:space="preserve">ektu byla identifikace anomálii u konkrétních subjektů (resp. Porovnání). </w:t>
      </w:r>
      <w:r w:rsidR="0020479B" w:rsidRPr="00F6250E">
        <w:t xml:space="preserve">Stěžejní sledovanou oblastí je schopnost vlastníků VIM zajistit </w:t>
      </w:r>
      <w:r w:rsidR="005A2E4E" w:rsidRPr="00F6250E">
        <w:t>gener</w:t>
      </w:r>
      <w:r w:rsidR="0020479B" w:rsidRPr="00F6250E">
        <w:t>ování</w:t>
      </w:r>
      <w:r w:rsidR="00B26631" w:rsidRPr="00F6250E">
        <w:t xml:space="preserve"> </w:t>
      </w:r>
      <w:r w:rsidRPr="00F6250E">
        <w:t>dostatečné</w:t>
      </w:r>
      <w:r w:rsidR="0020479B" w:rsidRPr="00F6250E">
        <w:t>ho</w:t>
      </w:r>
      <w:r w:rsidR="00B26631" w:rsidRPr="00F6250E">
        <w:t xml:space="preserve"> </w:t>
      </w:r>
      <w:r w:rsidRPr="00F6250E">
        <w:t>množství prostředků na obnovu VIM</w:t>
      </w:r>
      <w:r w:rsidR="005A2E4E" w:rsidRPr="00F6250E">
        <w:t xml:space="preserve"> v</w:t>
      </w:r>
      <w:r w:rsidR="000543B7" w:rsidRPr="00F6250E">
        <w:t> </w:t>
      </w:r>
      <w:r w:rsidR="005A2E4E" w:rsidRPr="00F6250E">
        <w:t>ceně</w:t>
      </w:r>
      <w:r w:rsidR="000543B7" w:rsidRPr="00F6250E">
        <w:t xml:space="preserve"> pro vodné a stočné</w:t>
      </w:r>
      <w:r w:rsidR="0020479B" w:rsidRPr="00F6250E">
        <w:t>.</w:t>
      </w:r>
      <w:r w:rsidR="00460D65" w:rsidRPr="00F6250E">
        <w:t xml:space="preserve"> </w:t>
      </w:r>
      <w:r w:rsidR="0083753D" w:rsidRPr="00F6250E">
        <w:t>P</w:t>
      </w:r>
      <w:r w:rsidR="00320A35" w:rsidRPr="00F6250E">
        <w:t xml:space="preserve">ro každé Porovnání </w:t>
      </w:r>
      <w:r w:rsidR="0083753D" w:rsidRPr="00F6250E">
        <w:t xml:space="preserve">byla </w:t>
      </w:r>
      <w:r w:rsidR="00320A35" w:rsidRPr="00F6250E">
        <w:t xml:space="preserve">vypočtena </w:t>
      </w:r>
      <w:r w:rsidR="0083753D" w:rsidRPr="00F6250E">
        <w:t xml:space="preserve">teoretická </w:t>
      </w:r>
      <w:r w:rsidR="00320A35" w:rsidRPr="00F6250E">
        <w:t>cena pro vodné a stočné</w:t>
      </w:r>
      <w:r w:rsidR="0083753D" w:rsidRPr="00F6250E">
        <w:t xml:space="preserve"> </w:t>
      </w:r>
      <w:r w:rsidR="00567243">
        <w:t>při vykázaném fakturovaném</w:t>
      </w:r>
      <w:r w:rsidR="00567243" w:rsidRPr="00F6250E">
        <w:t xml:space="preserve"> množství vod</w:t>
      </w:r>
      <w:r w:rsidR="00567243">
        <w:t xml:space="preserve"> a</w:t>
      </w:r>
      <w:r w:rsidR="0083753D" w:rsidRPr="00F6250E">
        <w:t xml:space="preserve"> nulovém zisku</w:t>
      </w:r>
      <w:r w:rsidR="00567243">
        <w:t>, která</w:t>
      </w:r>
      <w:r w:rsidR="0083753D" w:rsidRPr="00F6250E">
        <w:t xml:space="preserve"> pokr</w:t>
      </w:r>
      <w:r w:rsidR="00567243">
        <w:t>ývá náklady a</w:t>
      </w:r>
      <w:r w:rsidR="00BC03D3">
        <w:t xml:space="preserve"> </w:t>
      </w:r>
      <w:r w:rsidR="0083753D" w:rsidRPr="00F6250E">
        <w:t>minimální teoretick</w:t>
      </w:r>
      <w:r w:rsidR="00567243">
        <w:t>ou</w:t>
      </w:r>
      <w:r w:rsidR="0083753D" w:rsidRPr="00F6250E">
        <w:t xml:space="preserve"> výš</w:t>
      </w:r>
      <w:r w:rsidR="00567243">
        <w:t>i</w:t>
      </w:r>
      <w:r w:rsidR="0083753D" w:rsidRPr="00F6250E">
        <w:t xml:space="preserve"> prostředků </w:t>
      </w:r>
      <w:r w:rsidR="00567243">
        <w:t>obnovy</w:t>
      </w:r>
      <w:r w:rsidR="00320A35" w:rsidRPr="00F6250E">
        <w:t xml:space="preserve">. Vzhledem k faktu, že MŽP nestanovuje sociálně únosnou cenu pro vodné a stočné </w:t>
      </w:r>
      <w:r w:rsidR="007456E1" w:rsidRPr="00F6250E">
        <w:t>odděleně</w:t>
      </w:r>
      <w:r w:rsidR="009F5BE5">
        <w:t xml:space="preserve">, </w:t>
      </w:r>
      <w:r w:rsidR="00320A35" w:rsidRPr="00F6250E">
        <w:t>nebylo možné přistoupit k</w:t>
      </w:r>
      <w:r w:rsidR="0083753D" w:rsidRPr="00F6250E">
        <w:t>e</w:t>
      </w:r>
      <w:r w:rsidR="00320A35" w:rsidRPr="00F6250E">
        <w:t> zhodnocení sociální únosnosti takto vypočtené ceny.</w:t>
      </w:r>
      <w:r w:rsidR="00320A35">
        <w:t xml:space="preserve"> </w:t>
      </w:r>
    </w:p>
    <w:p w14:paraId="7D0E1D12" w14:textId="36234E20" w:rsidR="000C5319" w:rsidRDefault="0084637E" w:rsidP="00C1539B">
      <w:pPr>
        <w:pStyle w:val="Nadpis2"/>
        <w:rPr>
          <w:rFonts w:asciiTheme="minorHAnsi" w:hAnsiTheme="minorHAnsi"/>
          <w:noProof/>
        </w:rPr>
      </w:pPr>
      <w:bookmarkStart w:id="33" w:name="_Toc3291994"/>
      <w:r>
        <w:rPr>
          <w:rFonts w:asciiTheme="minorHAnsi" w:hAnsiTheme="minorHAnsi"/>
          <w:noProof/>
        </w:rPr>
        <w:t>Praktické v</w:t>
      </w:r>
      <w:r w:rsidR="000C5319">
        <w:rPr>
          <w:rFonts w:asciiTheme="minorHAnsi" w:hAnsiTheme="minorHAnsi"/>
          <w:noProof/>
        </w:rPr>
        <w:t xml:space="preserve">yužití výsledků </w:t>
      </w:r>
      <w:r>
        <w:rPr>
          <w:rFonts w:asciiTheme="minorHAnsi" w:hAnsiTheme="minorHAnsi"/>
          <w:noProof/>
        </w:rPr>
        <w:t>benchmarkingu za rok 2016 MZe pro plnění záměru dosažení samofinancování VIM</w:t>
      </w:r>
      <w:bookmarkEnd w:id="33"/>
    </w:p>
    <w:p w14:paraId="217E366C" w14:textId="4886F182" w:rsidR="009F36D5" w:rsidRDefault="0084637E" w:rsidP="00F6250E">
      <w:pPr>
        <w:pStyle w:val="NORMLN0"/>
      </w:pPr>
      <w:r>
        <w:t xml:space="preserve">Na základě </w:t>
      </w:r>
      <w:r w:rsidRPr="000C5319">
        <w:t>výsledků z benchma</w:t>
      </w:r>
      <w:r w:rsidR="00FC1C1F">
        <w:t>rkingu vlastnických subjektů za</w:t>
      </w:r>
      <w:r w:rsidRPr="000C5319">
        <w:t xml:space="preserve"> rok 2016</w:t>
      </w:r>
      <w:r>
        <w:t xml:space="preserve"> zaslalo MZe vlastníkům VIM</w:t>
      </w:r>
      <w:r w:rsidR="009C311E">
        <w:t>,</w:t>
      </w:r>
      <w:r>
        <w:t xml:space="preserve"> u kterých byla </w:t>
      </w:r>
      <w:r w:rsidR="00FC1C1F">
        <w:t>jednoznačně identifikována</w:t>
      </w:r>
      <w:r>
        <w:t xml:space="preserve"> anomálie nedostatečné tvorby prostředků na obnovu z vodného a stočného</w:t>
      </w:r>
      <w:r w:rsidR="00FC1C1F">
        <w:t xml:space="preserve"> s přihlédnutím k hodnotám uvedeným na ř. 20</w:t>
      </w:r>
      <w:r w:rsidR="009C311E">
        <w:t>, písemnou</w:t>
      </w:r>
      <w:r w:rsidRPr="000C5319">
        <w:t xml:space="preserve"> „Výzv</w:t>
      </w:r>
      <w:r>
        <w:t>u</w:t>
      </w:r>
      <w:r w:rsidRPr="000C5319">
        <w:t xml:space="preserve"> vlastníkům vodovodů a kanalizací</w:t>
      </w:r>
      <w:r w:rsidR="00FC1C1F">
        <w:t>“</w:t>
      </w:r>
      <w:r w:rsidR="00D30267">
        <w:t xml:space="preserve"> </w:t>
      </w:r>
      <w:r w:rsidR="00FC1C1F">
        <w:t>s upozorněním</w:t>
      </w:r>
      <w:r w:rsidRPr="000C5319">
        <w:t xml:space="preserve"> na možné riziko nedostatečné t</w:t>
      </w:r>
      <w:r w:rsidR="00D25F53">
        <w:t>vorby prostředků na obnovu VaK.</w:t>
      </w:r>
      <w:r w:rsidRPr="000C5319">
        <w:t xml:space="preserve"> Celkově bylo kontaktováno</w:t>
      </w:r>
      <w:r w:rsidR="00FC1C1F">
        <w:t xml:space="preserve"> </w:t>
      </w:r>
      <w:r w:rsidR="00D25F53">
        <w:t>přibližně</w:t>
      </w:r>
      <w:r w:rsidRPr="000C5319">
        <w:t xml:space="preserve"> </w:t>
      </w:r>
      <w:r>
        <w:t>1900</w:t>
      </w:r>
      <w:r w:rsidRPr="000C5319">
        <w:t xml:space="preserve"> vlastnických subjektů. 69 z nich zaslalo písemné vysvětlení nebo stanovisko. Nejčastějším důvodem, proč v datech roku 2016 byla nalezena </w:t>
      </w:r>
      <w:r w:rsidR="009F5BE5">
        <w:t xml:space="preserve">uvedená </w:t>
      </w:r>
      <w:r w:rsidRPr="000C5319">
        <w:t xml:space="preserve">anomálie, byl </w:t>
      </w:r>
      <w:r w:rsidR="00BB6E99" w:rsidRPr="000C5319">
        <w:t>problém s</w:t>
      </w:r>
      <w:r w:rsidR="009F5BE5">
        <w:t> </w:t>
      </w:r>
      <w:r w:rsidR="00BB6E99" w:rsidRPr="000C5319">
        <w:t>vykazováním</w:t>
      </w:r>
      <w:r w:rsidRPr="000C5319">
        <w:t xml:space="preserve"> </w:t>
      </w:r>
      <w:r w:rsidR="00BB6E99">
        <w:t xml:space="preserve">údajů </w:t>
      </w:r>
      <w:r w:rsidR="00BB6E99" w:rsidRPr="000C5319">
        <w:t>na</w:t>
      </w:r>
      <w:r w:rsidRPr="000C5319">
        <w:t xml:space="preserve"> řádku 20. – </w:t>
      </w:r>
      <w:r w:rsidR="00FC1C1F">
        <w:t>T</w:t>
      </w:r>
      <w:r w:rsidRPr="000C5319">
        <w:t>vorba a čerpání prostředků na obnovu v</w:t>
      </w:r>
      <w:r w:rsidR="009F5BE5">
        <w:t> Porovnání.</w:t>
      </w:r>
      <w:r w:rsidRPr="000C5319">
        <w:t xml:space="preserve"> Dalším často se vyskytujícím </w:t>
      </w:r>
      <w:r w:rsidR="009F5BE5">
        <w:t>zdůvodněním (62 odpovědí)</w:t>
      </w:r>
      <w:r w:rsidR="00BC03D3">
        <w:t xml:space="preserve"> </w:t>
      </w:r>
      <w:r w:rsidR="00641C60">
        <w:t>b</w:t>
      </w:r>
      <w:r w:rsidR="009C311E">
        <w:t>ylo</w:t>
      </w:r>
      <w:r w:rsidRPr="000C5319">
        <w:t xml:space="preserve"> dodržování cenové křivky podle OPŽP. D</w:t>
      </w:r>
      <w:r w:rsidR="009F5BE5">
        <w:t xml:space="preserve">ále se vyskytlo vysvětlení, že obec rozhodla o nevybírání </w:t>
      </w:r>
      <w:r w:rsidRPr="000C5319">
        <w:t>stočného</w:t>
      </w:r>
      <w:r w:rsidR="00FC1C1F">
        <w:t xml:space="preserve"> za odvádění odpadních a srážkových vod</w:t>
      </w:r>
      <w:r w:rsidRPr="000C5319">
        <w:t xml:space="preserve"> </w:t>
      </w:r>
      <w:r w:rsidR="00FC1C1F" w:rsidRPr="000C5319">
        <w:t>kanalizac</w:t>
      </w:r>
      <w:r w:rsidR="00FC1C1F">
        <w:t>í</w:t>
      </w:r>
      <w:r w:rsidR="00FC1C1F" w:rsidRPr="000C5319">
        <w:t xml:space="preserve"> </w:t>
      </w:r>
      <w:r w:rsidRPr="000C5319">
        <w:t>s volnou výustí. Na základě vyhodnocení reakcí oslovených vlastníků se opět potvrdilo, že zejména malé subjekty nemají dostatečnou znalost problematiky obnovy a většina oslovených subjektů nedostatečně rozumí systému vykazování dat o obnově</w:t>
      </w:r>
      <w:r w:rsidR="00FC1C1F">
        <w:t xml:space="preserve"> VIM </w:t>
      </w:r>
      <w:r w:rsidRPr="000C5319">
        <w:t>v</w:t>
      </w:r>
      <w:r w:rsidR="009F5BE5">
        <w:t> </w:t>
      </w:r>
      <w:r w:rsidR="00FC1C1F">
        <w:t>P</w:t>
      </w:r>
      <w:r w:rsidRPr="000C5319">
        <w:t>orovnání</w:t>
      </w:r>
      <w:r w:rsidR="009F5BE5">
        <w:t>, popř. že si mohou mylně vysvětlovat pravidla poskytování dotací z OPŽP.</w:t>
      </w:r>
    </w:p>
    <w:p w14:paraId="01FAA2E2" w14:textId="77777777" w:rsidR="009F36D5" w:rsidRDefault="0084637E" w:rsidP="00F6250E">
      <w:pPr>
        <w:pStyle w:val="NORMLN0"/>
      </w:pPr>
      <w:r>
        <w:t>Následující tabulka obsahuje členění počtu oslovených vlastníků VIM podle jednotlivých krajů</w:t>
      </w:r>
      <w:r w:rsidR="00FC1C1F">
        <w:t>.</w:t>
      </w:r>
      <w:r>
        <w:t xml:space="preserve"> </w:t>
      </w:r>
    </w:p>
    <w:p w14:paraId="07475CD2" w14:textId="77777777" w:rsidR="009F36D5" w:rsidRDefault="009F36D5">
      <w:pPr>
        <w:pStyle w:val="NORMLN0"/>
      </w:pPr>
      <w:r w:rsidRPr="009F36D5">
        <w:rPr>
          <w:noProof/>
          <w:lang w:eastAsia="cs-CZ"/>
        </w:rPr>
        <w:lastRenderedPageBreak/>
        <w:drawing>
          <wp:anchor distT="0" distB="0" distL="114300" distR="114300" simplePos="0" relativeHeight="251649024" behindDoc="0" locked="0" layoutInCell="1" allowOverlap="1" wp14:anchorId="069085F1" wp14:editId="716F2B17">
            <wp:simplePos x="0" y="0"/>
            <wp:positionH relativeFrom="column">
              <wp:posOffset>-52705</wp:posOffset>
            </wp:positionH>
            <wp:positionV relativeFrom="paragraph">
              <wp:posOffset>80645</wp:posOffset>
            </wp:positionV>
            <wp:extent cx="5762625" cy="3095625"/>
            <wp:effectExtent l="19050" t="0" r="9525" b="0"/>
            <wp:wrapTopAndBottom/>
            <wp:docPr id="1" name="Obrázok 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pic:cNvPicPr>
                  </pic:nvPicPr>
                  <pic:blipFill rotWithShape="1">
                    <a:blip r:embed="rId13" cstate="print"/>
                    <a:srcRect l="14429" t="15001" r="48014" b="47782"/>
                    <a:stretch/>
                  </pic:blipFill>
                  <pic:spPr>
                    <a:xfrm>
                      <a:off x="0" y="0"/>
                      <a:ext cx="5762625" cy="3095625"/>
                    </a:xfrm>
                    <a:prstGeom prst="rect">
                      <a:avLst/>
                    </a:prstGeom>
                  </pic:spPr>
                </pic:pic>
              </a:graphicData>
            </a:graphic>
          </wp:anchor>
        </w:drawing>
      </w:r>
    </w:p>
    <w:p w14:paraId="57C097EA" w14:textId="77777777" w:rsidR="0084637E" w:rsidRDefault="0084637E" w:rsidP="0084637E">
      <w:pPr>
        <w:pStyle w:val="Normlnzprva"/>
      </w:pPr>
    </w:p>
    <w:p w14:paraId="1290E29D" w14:textId="777B7C9F" w:rsidR="009F36D5" w:rsidRDefault="009C311E" w:rsidP="00F6250E">
      <w:pPr>
        <w:pStyle w:val="NORMLN0"/>
        <w:rPr>
          <w:noProof/>
        </w:rPr>
      </w:pPr>
      <w:r>
        <w:rPr>
          <w:noProof/>
        </w:rPr>
        <w:t>MZe provede další vyhodnocení plnění tvorby prostředků na obnovu v roce 2020 z</w:t>
      </w:r>
      <w:r w:rsidR="00FC1C1F">
        <w:rPr>
          <w:noProof/>
        </w:rPr>
        <w:t xml:space="preserve"> </w:t>
      </w:r>
      <w:r>
        <w:rPr>
          <w:noProof/>
        </w:rPr>
        <w:t>údaj</w:t>
      </w:r>
      <w:r w:rsidR="00FC1C1F">
        <w:rPr>
          <w:noProof/>
        </w:rPr>
        <w:t>ů zaslaných za rok</w:t>
      </w:r>
      <w:r>
        <w:rPr>
          <w:noProof/>
        </w:rPr>
        <w:t xml:space="preserve"> 2019</w:t>
      </w:r>
      <w:r w:rsidR="00FC1C1F">
        <w:rPr>
          <w:noProof/>
        </w:rPr>
        <w:t xml:space="preserve">, kdy již oslovení vlastníci </w:t>
      </w:r>
      <w:r>
        <w:rPr>
          <w:noProof/>
        </w:rPr>
        <w:t>měli možnost reagovat na upozornění případnou úpravou výše ceny pro vodné a stočné</w:t>
      </w:r>
      <w:r w:rsidR="00FC1C1F">
        <w:rPr>
          <w:noProof/>
        </w:rPr>
        <w:t xml:space="preserve"> nebo zlepšením vykazování hodnot ř. 20 v</w:t>
      </w:r>
      <w:r w:rsidR="009F5BE5">
        <w:rPr>
          <w:noProof/>
        </w:rPr>
        <w:t> </w:t>
      </w:r>
      <w:r w:rsidR="00FC1C1F">
        <w:rPr>
          <w:noProof/>
        </w:rPr>
        <w:t>Porovnání</w:t>
      </w:r>
      <w:r w:rsidR="009F5BE5">
        <w:rPr>
          <w:noProof/>
        </w:rPr>
        <w:t>, případně využitím jiných zdrojů než je vodné a stočné.</w:t>
      </w:r>
    </w:p>
    <w:p w14:paraId="5B5259D4" w14:textId="77777777" w:rsidR="00C1539B" w:rsidRPr="00C62639" w:rsidRDefault="00C1539B" w:rsidP="00C1539B">
      <w:pPr>
        <w:pStyle w:val="Nadpis2"/>
        <w:rPr>
          <w:rFonts w:asciiTheme="minorHAnsi" w:hAnsiTheme="minorHAnsi"/>
          <w:noProof/>
        </w:rPr>
      </w:pPr>
      <w:bookmarkStart w:id="34" w:name="_Toc3291995"/>
      <w:r w:rsidRPr="00C62639">
        <w:rPr>
          <w:rFonts w:asciiTheme="minorHAnsi" w:hAnsiTheme="minorHAnsi"/>
          <w:noProof/>
        </w:rPr>
        <w:t>Identifikované anomálie</w:t>
      </w:r>
      <w:bookmarkEnd w:id="34"/>
    </w:p>
    <w:p w14:paraId="014D0E15" w14:textId="5768E5A8" w:rsidR="009F36D5" w:rsidRDefault="00F73F99" w:rsidP="00F6250E">
      <w:pPr>
        <w:pStyle w:val="NORMLN0"/>
      </w:pPr>
      <w:r w:rsidRPr="000937F8">
        <w:t>Identifikace anomáli</w:t>
      </w:r>
      <w:r w:rsidR="009F5BE5">
        <w:t>í</w:t>
      </w:r>
      <w:r w:rsidRPr="000937F8">
        <w:t xml:space="preserve"> vyskytujících se </w:t>
      </w:r>
      <w:r w:rsidR="002F6442">
        <w:t xml:space="preserve">na </w:t>
      </w:r>
      <w:r w:rsidRPr="000937F8">
        <w:t>jednotlivých Porovnání tvoří důležitou součást hodnocení stavu oboru VaK. Zpráva by na základě identifikovaných anomálií měla dát základní informaci o tom, čemu by se měl regulátor při utváření a řízení podmínek fungování oboru VaK věnovat, aby bylo dosaženo dlouhodobých záměrů regulace. Těmito záměry jsou zejména</w:t>
      </w:r>
      <w:r w:rsidR="00B26631" w:rsidRPr="000937F8">
        <w:t xml:space="preserve"> </w:t>
      </w:r>
      <w:r w:rsidRPr="000937F8">
        <w:t xml:space="preserve">dosažení samofinancovatelnosti VIM a zabezpečení rovnováhy mezi cenou za služby a náklady na poskytování služeb. Vzhledem k platné legislativě má v tomto směru zákonné povinnosti zejména na vlastník VIM. </w:t>
      </w:r>
      <w:r w:rsidR="00DD7AC4">
        <w:t>Seznam zjišťovaných anomálií je uveden v </w:t>
      </w:r>
      <w:r w:rsidR="00436927">
        <w:t>kapitole</w:t>
      </w:r>
      <w:r w:rsidR="00DD7AC4">
        <w:t xml:space="preserve"> 1.1.3</w:t>
      </w:r>
      <w:r w:rsidR="00436927">
        <w:t>.</w:t>
      </w:r>
      <w:r w:rsidR="00DD7AC4">
        <w:t xml:space="preserve"> </w:t>
      </w:r>
    </w:p>
    <w:p w14:paraId="0421FCF8" w14:textId="77777777" w:rsidR="00F73F99" w:rsidRPr="00A3111F" w:rsidRDefault="00F73F99" w:rsidP="00A3111F">
      <w:pPr>
        <w:pStyle w:val="NORMLN0"/>
      </w:pPr>
      <w:r w:rsidRPr="000937F8">
        <w:t>Pro posouzení míry plnění uvedených záměrů regulace byla hodnocena především schopnost tvorby prostředků na obnovu VIM ve</w:t>
      </w:r>
      <w:r w:rsidR="00B26631" w:rsidRPr="000937F8">
        <w:t xml:space="preserve"> </w:t>
      </w:r>
      <w:r w:rsidR="00F706FE">
        <w:t xml:space="preserve">vodném a </w:t>
      </w:r>
      <w:r w:rsidRPr="000937F8">
        <w:t>stočném.</w:t>
      </w:r>
      <w:r w:rsidR="00B26631" w:rsidRPr="000937F8">
        <w:t xml:space="preserve"> </w:t>
      </w:r>
      <w:r w:rsidRPr="000937F8">
        <w:t xml:space="preserve">Aby vlastníci zabezpečili obnovu VIM, měli by se v závislosti na aplikovaném modelu provozování prioritně zaměřit na </w:t>
      </w:r>
      <w:r w:rsidR="002F6442">
        <w:t xml:space="preserve">správné </w:t>
      </w:r>
      <w:r w:rsidRPr="000937F8">
        <w:t>nastavení ceny. Její výše by měla obsahovat veškeré související ekonomicky oprávněné náklady</w:t>
      </w:r>
      <w:r w:rsidR="00F706FE">
        <w:t xml:space="preserve"> v plné výši</w:t>
      </w:r>
      <w:r w:rsidRPr="000937F8">
        <w:t xml:space="preserve">, </w:t>
      </w:r>
      <w:r w:rsidR="002F6442">
        <w:t>zejména</w:t>
      </w:r>
      <w:r w:rsidRPr="000937F8">
        <w:t xml:space="preserve"> nájemného (v případě oddílného a kombinovaného modelu provozování), odpisů VIM, nákladů na opravy, prostředků na obnovu (výše definována podle plánu financování obnovy pro daný rok, řádek 4.4 Porovnání) a kalkulačního zisku (výpočet výše podle cenového výměru MF).</w:t>
      </w:r>
      <w:r w:rsidR="00B26631" w:rsidRPr="000937F8">
        <w:t xml:space="preserve"> </w:t>
      </w:r>
    </w:p>
    <w:p w14:paraId="26F2788F" w14:textId="77777777" w:rsidR="009F36D5" w:rsidRDefault="00F73F99" w:rsidP="00F6250E">
      <w:pPr>
        <w:pStyle w:val="NORMLN0"/>
      </w:pPr>
      <w:r w:rsidRPr="000937F8">
        <w:t xml:space="preserve">Detailnější specifikace anomálií a zhodnocení četnosti jejich výskytu je uvedena samostatně pro vodovod a kanalizaci. </w:t>
      </w:r>
    </w:p>
    <w:p w14:paraId="3F07C958" w14:textId="77777777" w:rsidR="00C1539B" w:rsidRPr="00C62639" w:rsidRDefault="00C1539B" w:rsidP="00C1539B">
      <w:pPr>
        <w:pStyle w:val="Nadpis3"/>
        <w:rPr>
          <w:rFonts w:asciiTheme="minorHAnsi" w:hAnsiTheme="minorHAnsi"/>
        </w:rPr>
      </w:pPr>
      <w:bookmarkStart w:id="35" w:name="_Toc3291996"/>
      <w:r w:rsidRPr="00C62639">
        <w:rPr>
          <w:rFonts w:asciiTheme="minorHAnsi" w:eastAsia="Calibri Light" w:hAnsiTheme="minorHAnsi"/>
        </w:rPr>
        <w:lastRenderedPageBreak/>
        <w:t>Vodovod</w:t>
      </w:r>
      <w:bookmarkEnd w:id="35"/>
    </w:p>
    <w:p w14:paraId="28C402C9" w14:textId="458A8AD5" w:rsidR="00F73F99" w:rsidRPr="000937F8" w:rsidRDefault="00F73F99" w:rsidP="00F706FE">
      <w:pPr>
        <w:pStyle w:val="NORMLN0"/>
      </w:pPr>
      <w:r w:rsidRPr="000937F8">
        <w:t xml:space="preserve">V rámci benchmarkingu vlastnických subjektů v části týkající se vodovodu bylo posuzováno </w:t>
      </w:r>
      <w:r w:rsidR="00CE3AD4">
        <w:t>1</w:t>
      </w:r>
      <w:r w:rsidR="00D30267">
        <w:t xml:space="preserve"> </w:t>
      </w:r>
      <w:r w:rsidR="00CE3AD4">
        <w:t>697</w:t>
      </w:r>
      <w:r w:rsidRPr="000937F8">
        <w:t xml:space="preserve"> Porovnání, která představovala </w:t>
      </w:r>
      <w:r w:rsidR="00CE3AD4">
        <w:t>97,5</w:t>
      </w:r>
      <w:r w:rsidRPr="000937F8">
        <w:t xml:space="preserve">% podíl trhu určený na základě množství pitné vody fakturované (tj. </w:t>
      </w:r>
      <w:r w:rsidR="00CE3AD4">
        <w:t>473,197</w:t>
      </w:r>
      <w:r w:rsidR="00B26631" w:rsidRPr="000937F8">
        <w:t xml:space="preserve"> </w:t>
      </w:r>
      <w:r w:rsidR="00E27252">
        <w:t>mil. m</w:t>
      </w:r>
      <w:r w:rsidR="00E27252" w:rsidRPr="00E27252">
        <w:rPr>
          <w:vertAlign w:val="superscript"/>
        </w:rPr>
        <w:t>3</w:t>
      </w:r>
      <w:r w:rsidRPr="000937F8">
        <w:t xml:space="preserve">). </w:t>
      </w:r>
      <w:r w:rsidRPr="006B5D19">
        <w:t>Celkem se vyskytuje alespoň jedna anomálie v</w:t>
      </w:r>
      <w:r w:rsidR="006B5D19" w:rsidRPr="006B5D19">
        <w:t> 96,</w:t>
      </w:r>
      <w:r w:rsidR="00BB6E99">
        <w:t>11</w:t>
      </w:r>
      <w:r w:rsidR="00625659">
        <w:t xml:space="preserve"> </w:t>
      </w:r>
      <w:r w:rsidRPr="006B5D19">
        <w:t>% z celkov</w:t>
      </w:r>
      <w:r w:rsidR="000937F8" w:rsidRPr="006B5D19">
        <w:t>é</w:t>
      </w:r>
      <w:r w:rsidRPr="006B5D19">
        <w:t xml:space="preserve">ho počtu </w:t>
      </w:r>
      <w:r w:rsidR="006B5D19" w:rsidRPr="006B5D19">
        <w:t xml:space="preserve">analyzovaných </w:t>
      </w:r>
      <w:r w:rsidR="00F706FE">
        <w:t>P</w:t>
      </w:r>
      <w:r w:rsidRPr="006B5D19">
        <w:t xml:space="preserve">orovnání, tj. na </w:t>
      </w:r>
      <w:r w:rsidR="006B5D19" w:rsidRPr="006B5D19">
        <w:t>1</w:t>
      </w:r>
      <w:r w:rsidR="00925C30">
        <w:t xml:space="preserve"> </w:t>
      </w:r>
      <w:r w:rsidR="006B5D19" w:rsidRPr="006B5D19">
        <w:t>63</w:t>
      </w:r>
      <w:r w:rsidR="00BB6E99">
        <w:t>1</w:t>
      </w:r>
      <w:r w:rsidRPr="006B5D19">
        <w:t xml:space="preserve"> Porovnáních.</w:t>
      </w:r>
      <w:r w:rsidR="00B26631" w:rsidRPr="000937F8">
        <w:t xml:space="preserve"> </w:t>
      </w:r>
    </w:p>
    <w:p w14:paraId="02AB91AB" w14:textId="77777777" w:rsidR="009F36D5" w:rsidRDefault="00BB6E99" w:rsidP="00F6250E">
      <w:pPr>
        <w:pStyle w:val="NORMLN0"/>
      </w:pPr>
      <w:r>
        <w:rPr>
          <w:noProof/>
          <w:lang w:eastAsia="cs-CZ"/>
        </w:rPr>
        <w:drawing>
          <wp:anchor distT="0" distB="0" distL="114300" distR="114300" simplePos="0" relativeHeight="251670528" behindDoc="0" locked="0" layoutInCell="1" allowOverlap="1" wp14:anchorId="50D50891" wp14:editId="17B67C38">
            <wp:simplePos x="0" y="0"/>
            <wp:positionH relativeFrom="margin">
              <wp:posOffset>831240</wp:posOffset>
            </wp:positionH>
            <wp:positionV relativeFrom="paragraph">
              <wp:posOffset>725030</wp:posOffset>
            </wp:positionV>
            <wp:extent cx="3895090" cy="2879725"/>
            <wp:effectExtent l="0" t="0" r="0" b="0"/>
            <wp:wrapTopAndBottom/>
            <wp:docPr id="7" name="Graf 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7B63E2B4-D1D4-413D-9331-9C894E7781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r w:rsidRPr="000937F8">
        <w:t xml:space="preserve"> </w:t>
      </w:r>
      <w:r w:rsidR="00F73F99" w:rsidRPr="000937F8">
        <w:t xml:space="preserve">Níže uvedený graf znázorňuje výskyt alespoň jedné anomálie podle podílu na trhu. Z hlediska objemu pitné vody fakturované nebyly nalezeny žádné anomálie na </w:t>
      </w:r>
      <w:r w:rsidR="00CE3AD4">
        <w:t>21</w:t>
      </w:r>
      <w:r>
        <w:t>,75</w:t>
      </w:r>
      <w:r w:rsidR="00F73F99" w:rsidRPr="000937F8">
        <w:t xml:space="preserve"> % analyzovaného trhu. Jedná se o </w:t>
      </w:r>
      <w:r>
        <w:t>100,35</w:t>
      </w:r>
      <w:r w:rsidR="00F73F99" w:rsidRPr="000937F8">
        <w:t xml:space="preserve"> </w:t>
      </w:r>
      <w:r w:rsidR="00E27252">
        <w:t>mil. m</w:t>
      </w:r>
      <w:r w:rsidR="00E27252" w:rsidRPr="00E27252">
        <w:rPr>
          <w:vertAlign w:val="superscript"/>
        </w:rPr>
        <w:t>3</w:t>
      </w:r>
      <w:r w:rsidR="00F73F99" w:rsidRPr="000937F8">
        <w:t xml:space="preserve"> vody fakturované</w:t>
      </w:r>
      <w:r w:rsidR="00F73F99">
        <w:t>.</w:t>
      </w:r>
    </w:p>
    <w:p w14:paraId="0B000CE3" w14:textId="77777777" w:rsidR="00BB6E99" w:rsidRDefault="00BB6E99" w:rsidP="00F706FE">
      <w:pPr>
        <w:pStyle w:val="NORMLN0"/>
      </w:pPr>
    </w:p>
    <w:p w14:paraId="1BFB2A0D" w14:textId="77777777" w:rsidR="00512184" w:rsidRPr="00F666F7" w:rsidRDefault="00512184" w:rsidP="00F706FE">
      <w:pPr>
        <w:pStyle w:val="NORMLN0"/>
        <w:rPr>
          <w:noProof/>
        </w:rPr>
      </w:pPr>
      <w:r w:rsidRPr="00F666F7">
        <w:t>Jedním z hlavních záměrů regulace je dosažení samofinancování oboru VaK. I proto byla část analýzy benchmarkingu vlastnických subjektů zamě</w:t>
      </w:r>
      <w:r w:rsidR="000937F8" w:rsidRPr="00F666F7">
        <w:t>řena</w:t>
      </w:r>
      <w:r w:rsidRPr="00F666F7">
        <w:t xml:space="preserve"> na identifikaci skutečností, které indikují neplnění</w:t>
      </w:r>
      <w:r w:rsidR="00996186" w:rsidRPr="00F666F7">
        <w:t xml:space="preserve"> tohoto </w:t>
      </w:r>
      <w:r w:rsidR="00456C7E" w:rsidRPr="00F666F7">
        <w:t>záměru</w:t>
      </w:r>
      <w:r w:rsidR="00996186" w:rsidRPr="00F666F7">
        <w:t>. U jednotlivých Por</w:t>
      </w:r>
      <w:r w:rsidR="000937F8" w:rsidRPr="00F666F7">
        <w:t>ovnání bylo hodnoceno, zda</w:t>
      </w:r>
      <w:r w:rsidR="00996186" w:rsidRPr="00F666F7">
        <w:t xml:space="preserve"> nastavení obchodního vztahu mezi vlastníkem, provozovatelem a odběratelem (s přihlédnutím k aplikovanému modelu provozování a </w:t>
      </w:r>
      <w:r w:rsidR="000937F8" w:rsidRPr="00F666F7">
        <w:t xml:space="preserve">k </w:t>
      </w:r>
      <w:r w:rsidR="00996186" w:rsidRPr="00F666F7">
        <w:t>využívání zákonem stanovených nástrojů</w:t>
      </w:r>
      <w:r w:rsidR="00F706FE">
        <w:t xml:space="preserve"> jako jsou</w:t>
      </w:r>
      <w:r w:rsidR="00996186" w:rsidRPr="00F666F7">
        <w:t xml:space="preserve"> kalkulační zisk a možnost započtení prostře</w:t>
      </w:r>
      <w:r w:rsidR="00F706FE">
        <w:t>dků na obnovu do kalkulace ceny</w:t>
      </w:r>
      <w:r w:rsidR="00996186" w:rsidRPr="00F666F7">
        <w:t>), umožňuje vlastníkovi VIM tvořit prostředky na ob</w:t>
      </w:r>
      <w:r w:rsidR="000937F8" w:rsidRPr="00F666F7">
        <w:t>novu VIM v teoreticky dostatečné</w:t>
      </w:r>
      <w:r w:rsidR="00996186" w:rsidRPr="00F666F7">
        <w:t xml:space="preserve"> minimální v</w:t>
      </w:r>
      <w:r w:rsidR="00996186" w:rsidRPr="00F666F7">
        <w:rPr>
          <w:noProof/>
        </w:rPr>
        <w:t xml:space="preserve">ýši. </w:t>
      </w:r>
    </w:p>
    <w:p w14:paraId="0D88E712" w14:textId="3A20CE1E" w:rsidR="00F73F99" w:rsidRPr="00996186" w:rsidRDefault="00F73F99" w:rsidP="00F706FE">
      <w:pPr>
        <w:pStyle w:val="NORMLN0"/>
        <w:rPr>
          <w:noProof/>
        </w:rPr>
      </w:pPr>
      <w:r w:rsidRPr="002D50EE">
        <w:rPr>
          <w:rStyle w:val="NORMLNChar"/>
        </w:rPr>
        <w:t>Následující tabulka uv</w:t>
      </w:r>
      <w:r>
        <w:rPr>
          <w:rStyle w:val="NORMLNChar"/>
        </w:rPr>
        <w:t xml:space="preserve">ádí četnost výskytu </w:t>
      </w:r>
      <w:r w:rsidRPr="002D50EE">
        <w:rPr>
          <w:rStyle w:val="NORMLNChar"/>
        </w:rPr>
        <w:t>identifikovaných anomálií v analyzovaných Porovnáních</w:t>
      </w:r>
      <w:r>
        <w:rPr>
          <w:rStyle w:val="NORMLNChar"/>
        </w:rPr>
        <w:t xml:space="preserve">. Kromě anomálií souvisejících s </w:t>
      </w:r>
      <w:r w:rsidRPr="002D50EE">
        <w:rPr>
          <w:rStyle w:val="NORMLNChar"/>
        </w:rPr>
        <w:t>nedostatečn</w:t>
      </w:r>
      <w:r>
        <w:rPr>
          <w:rStyle w:val="NORMLNChar"/>
        </w:rPr>
        <w:t>ou</w:t>
      </w:r>
      <w:r w:rsidRPr="002D50EE">
        <w:rPr>
          <w:rStyle w:val="NORMLNChar"/>
        </w:rPr>
        <w:t xml:space="preserve"> tvorb</w:t>
      </w:r>
      <w:r>
        <w:rPr>
          <w:rStyle w:val="NORMLNChar"/>
        </w:rPr>
        <w:t>ou prostředků na obnovu, popř.</w:t>
      </w:r>
      <w:r w:rsidRPr="002D50EE">
        <w:rPr>
          <w:rStyle w:val="NORMLNChar"/>
        </w:rPr>
        <w:t xml:space="preserve"> </w:t>
      </w:r>
      <w:r>
        <w:rPr>
          <w:rStyle w:val="NORMLNChar"/>
        </w:rPr>
        <w:t>signalizujících</w:t>
      </w:r>
      <w:r w:rsidRPr="002D50EE">
        <w:rPr>
          <w:rStyle w:val="NORMLNChar"/>
        </w:rPr>
        <w:t xml:space="preserve"> </w:t>
      </w:r>
      <w:r>
        <w:rPr>
          <w:rStyle w:val="NORMLNChar"/>
        </w:rPr>
        <w:t xml:space="preserve">nevyvážené </w:t>
      </w:r>
      <w:r w:rsidRPr="002D50EE">
        <w:rPr>
          <w:rStyle w:val="NORMLNChar"/>
        </w:rPr>
        <w:t>nastavení obchodních vztahů mezi vlastníky a provozovatel</w:t>
      </w:r>
      <w:r>
        <w:rPr>
          <w:rStyle w:val="NORMLNChar"/>
        </w:rPr>
        <w:t>i, byly identifikovány</w:t>
      </w:r>
      <w:r w:rsidRPr="002D50EE">
        <w:rPr>
          <w:rStyle w:val="NORMLNChar"/>
        </w:rPr>
        <w:t xml:space="preserve"> anomálie </w:t>
      </w:r>
      <w:r>
        <w:rPr>
          <w:rStyle w:val="NORMLNChar"/>
        </w:rPr>
        <w:t xml:space="preserve">poukazující na špatný </w:t>
      </w:r>
      <w:r w:rsidRPr="002D50EE">
        <w:rPr>
          <w:rStyle w:val="NORMLNChar"/>
        </w:rPr>
        <w:t xml:space="preserve">stav </w:t>
      </w:r>
      <w:r>
        <w:rPr>
          <w:rStyle w:val="NORMLNChar"/>
        </w:rPr>
        <w:t>VIM</w:t>
      </w:r>
      <w:r w:rsidR="00D55797">
        <w:rPr>
          <w:rStyle w:val="NORMLNChar"/>
        </w:rPr>
        <w:t>.</w:t>
      </w:r>
      <w:r w:rsidRPr="002D50EE">
        <w:rPr>
          <w:rStyle w:val="NORMLNChar"/>
        </w:rPr>
        <w:t xml:space="preserve"> </w:t>
      </w:r>
      <w:r w:rsidR="006B5D19">
        <w:rPr>
          <w:rFonts w:cs="Calibri"/>
          <w:noProof/>
        </w:rPr>
        <w:t>Nově byl zkoum</w:t>
      </w:r>
      <w:r w:rsidR="00F706FE">
        <w:rPr>
          <w:rFonts w:cs="Calibri"/>
          <w:noProof/>
        </w:rPr>
        <w:t>án i podíl kalkulačního zisku k</w:t>
      </w:r>
      <w:r w:rsidR="006B5D19">
        <w:rPr>
          <w:rFonts w:cs="Calibri"/>
          <w:noProof/>
        </w:rPr>
        <w:t xml:space="preserve"> rozdělení na </w:t>
      </w:r>
      <w:r w:rsidR="00F706FE">
        <w:rPr>
          <w:rFonts w:cs="Calibri"/>
          <w:noProof/>
        </w:rPr>
        <w:t>ÚVN</w:t>
      </w:r>
      <w:r w:rsidR="006B5D19">
        <w:rPr>
          <w:rFonts w:cs="Calibri"/>
          <w:noProof/>
        </w:rPr>
        <w:t xml:space="preserve">, tj. jakou část z tržeb </w:t>
      </w:r>
      <w:r w:rsidR="006B5D19" w:rsidRPr="00F706FE">
        <w:t>bude</w:t>
      </w:r>
      <w:r w:rsidR="006B5D19">
        <w:rPr>
          <w:rFonts w:cs="Calibri"/>
          <w:noProof/>
        </w:rPr>
        <w:t xml:space="preserve"> moci </w:t>
      </w:r>
      <w:r w:rsidR="00A3111F">
        <w:rPr>
          <w:rFonts w:cs="Calibri"/>
          <w:noProof/>
        </w:rPr>
        <w:t>příjemce vodného</w:t>
      </w:r>
      <w:r w:rsidR="00BC03D3">
        <w:rPr>
          <w:rFonts w:cs="Calibri"/>
          <w:noProof/>
        </w:rPr>
        <w:t xml:space="preserve"> </w:t>
      </w:r>
      <w:r w:rsidR="006B5D19">
        <w:rPr>
          <w:rFonts w:cs="Calibri"/>
          <w:noProof/>
        </w:rPr>
        <w:t xml:space="preserve">použít </w:t>
      </w:r>
      <w:r w:rsidR="00A3111F">
        <w:rPr>
          <w:rFonts w:cs="Calibri"/>
          <w:noProof/>
        </w:rPr>
        <w:t>j</w:t>
      </w:r>
      <w:r w:rsidR="00F706FE">
        <w:rPr>
          <w:rFonts w:cs="Calibri"/>
          <w:noProof/>
        </w:rPr>
        <w:t>ako odměnu za podnikání, popř. k úhradě ekonomicky neoprávněných nákladů.</w:t>
      </w:r>
      <w:r w:rsidR="006B5D19">
        <w:rPr>
          <w:rFonts w:cs="Calibri"/>
          <w:noProof/>
        </w:rPr>
        <w:t xml:space="preserve"> </w:t>
      </w:r>
      <w:r w:rsidR="006B5D19" w:rsidRPr="00BB6E99">
        <w:rPr>
          <w:rFonts w:cs="Calibri"/>
          <w:noProof/>
        </w:rPr>
        <w:t xml:space="preserve">Prozatím </w:t>
      </w:r>
      <w:r w:rsidR="001159F2" w:rsidRPr="00BB6E99">
        <w:rPr>
          <w:rFonts w:cs="Calibri"/>
          <w:noProof/>
        </w:rPr>
        <w:t>byla výše uvedeného ukazatele posuzována</w:t>
      </w:r>
      <w:r w:rsidR="006B5D19" w:rsidRPr="00BB6E99">
        <w:rPr>
          <w:rFonts w:cs="Calibri"/>
          <w:noProof/>
        </w:rPr>
        <w:t xml:space="preserve"> ve vztahu k</w:t>
      </w:r>
      <w:r w:rsidR="001159F2" w:rsidRPr="00BB6E99">
        <w:rPr>
          <w:rFonts w:cs="Calibri"/>
          <w:noProof/>
        </w:rPr>
        <w:t> 1,5</w:t>
      </w:r>
      <w:r w:rsidR="006B5D19" w:rsidRPr="00BB6E99">
        <w:rPr>
          <w:rFonts w:cs="Calibri"/>
          <w:noProof/>
        </w:rPr>
        <w:t>násobku hodnoty mediánu ukazatele ve skupině</w:t>
      </w:r>
      <w:r w:rsidR="001159F2" w:rsidRPr="00BB6E99">
        <w:rPr>
          <w:rFonts w:cs="Calibri"/>
          <w:noProof/>
        </w:rPr>
        <w:t xml:space="preserve"> z Porovnání s kladným kalkulačním ziskem</w:t>
      </w:r>
      <w:r w:rsidR="006B5D19" w:rsidRPr="00BB6E99">
        <w:rPr>
          <w:rFonts w:cs="Calibri"/>
          <w:noProof/>
        </w:rPr>
        <w:t>.</w:t>
      </w:r>
      <w:r w:rsidR="006B5D19">
        <w:rPr>
          <w:rFonts w:cs="Calibri"/>
          <w:noProof/>
        </w:rPr>
        <w:t xml:space="preserve"> Dále </w:t>
      </w:r>
      <w:r w:rsidR="001159F2">
        <w:rPr>
          <w:rFonts w:cs="Calibri"/>
          <w:noProof/>
        </w:rPr>
        <w:t>byl</w:t>
      </w:r>
      <w:r w:rsidR="006B5D19">
        <w:rPr>
          <w:rFonts w:cs="Calibri"/>
          <w:noProof/>
        </w:rPr>
        <w:t xml:space="preserve"> zkoum</w:t>
      </w:r>
      <w:r w:rsidR="001159F2">
        <w:rPr>
          <w:rFonts w:cs="Calibri"/>
          <w:noProof/>
        </w:rPr>
        <w:t>án</w:t>
      </w:r>
      <w:r w:rsidR="006B5D19">
        <w:rPr>
          <w:rFonts w:cs="Calibri"/>
          <w:noProof/>
        </w:rPr>
        <w:t xml:space="preserve"> počet Porovnání, u kterých vlastník </w:t>
      </w:r>
      <w:r w:rsidR="00D05061">
        <w:rPr>
          <w:rFonts w:cs="Calibri"/>
          <w:noProof/>
        </w:rPr>
        <w:t>již při sestavování</w:t>
      </w:r>
      <w:r w:rsidR="00BC03D3">
        <w:rPr>
          <w:rFonts w:cs="Calibri"/>
          <w:noProof/>
        </w:rPr>
        <w:t xml:space="preserve"> </w:t>
      </w:r>
      <w:r w:rsidR="006B5D19">
        <w:rPr>
          <w:rFonts w:cs="Calibri"/>
          <w:noProof/>
        </w:rPr>
        <w:t>kalkulac</w:t>
      </w:r>
      <w:r w:rsidR="00D05061">
        <w:rPr>
          <w:rFonts w:cs="Calibri"/>
          <w:noProof/>
        </w:rPr>
        <w:t>e</w:t>
      </w:r>
      <w:r w:rsidR="006B5D19">
        <w:rPr>
          <w:rFonts w:cs="Calibri"/>
          <w:noProof/>
        </w:rPr>
        <w:t xml:space="preserve"> ceny pro vodné </w:t>
      </w:r>
      <w:r w:rsidR="00D05061">
        <w:rPr>
          <w:rFonts w:cs="Calibri"/>
          <w:noProof/>
        </w:rPr>
        <w:t>počítal</w:t>
      </w:r>
      <w:r w:rsidR="006B5D19">
        <w:rPr>
          <w:rFonts w:cs="Calibri"/>
          <w:noProof/>
        </w:rPr>
        <w:t xml:space="preserve"> s dotovaním provozu</w:t>
      </w:r>
      <w:r w:rsidR="00D05061">
        <w:rPr>
          <w:rFonts w:cs="Calibri"/>
          <w:noProof/>
        </w:rPr>
        <w:t xml:space="preserve">, popř. </w:t>
      </w:r>
      <w:r w:rsidR="006B5D19">
        <w:rPr>
          <w:rFonts w:cs="Calibri"/>
          <w:noProof/>
        </w:rPr>
        <w:t xml:space="preserve">obnovy VIM, </w:t>
      </w:r>
      <w:r w:rsidR="001159F2">
        <w:rPr>
          <w:rFonts w:cs="Calibri"/>
          <w:noProof/>
        </w:rPr>
        <w:t>tzn. zda plánoval</w:t>
      </w:r>
      <w:r w:rsidR="006B5D19">
        <w:rPr>
          <w:rFonts w:cs="Calibri"/>
          <w:noProof/>
        </w:rPr>
        <w:t xml:space="preserve"> záporný kalkulační zisk</w:t>
      </w:r>
      <w:r w:rsidR="00D05061">
        <w:rPr>
          <w:rFonts w:cs="Calibri"/>
          <w:noProof/>
        </w:rPr>
        <w:t>.</w:t>
      </w:r>
      <w:r w:rsidR="006B5D19">
        <w:rPr>
          <w:rFonts w:cs="Calibri"/>
          <w:noProof/>
        </w:rPr>
        <w:t xml:space="preserve"> </w:t>
      </w:r>
      <w:r w:rsidR="001159F2">
        <w:rPr>
          <w:rFonts w:cs="Calibri"/>
          <w:noProof/>
        </w:rPr>
        <w:t>V této souvislosti byla také identifikována Porovnání, která se záporným kalkulačním ziskem neplánovala, ale ve</w:t>
      </w:r>
      <w:r w:rsidR="003778BB">
        <w:rPr>
          <w:rFonts w:cs="Calibri"/>
          <w:noProof/>
        </w:rPr>
        <w:t xml:space="preserve"> s</w:t>
      </w:r>
      <w:r w:rsidR="001159F2">
        <w:rPr>
          <w:rFonts w:cs="Calibri"/>
          <w:noProof/>
        </w:rPr>
        <w:t>kutečnosti jej vykázala</w:t>
      </w:r>
      <w:r w:rsidR="003778BB">
        <w:rPr>
          <w:rFonts w:cs="Calibri"/>
          <w:noProof/>
        </w:rPr>
        <w:t>, tj. výsledek hospodaření při poskytování služby dodávky pitné vody byl ztráta</w:t>
      </w:r>
      <w:r w:rsidR="00D55797">
        <w:rPr>
          <w:rFonts w:cs="Calibri"/>
          <w:noProof/>
        </w:rPr>
        <w:t xml:space="preserve"> zapříčiněná nepředvídanými okolnostmi.</w:t>
      </w:r>
      <w:r w:rsidR="006B5D19">
        <w:rPr>
          <w:rFonts w:cs="Calibri"/>
          <w:noProof/>
        </w:rPr>
        <w:t xml:space="preserve"> </w:t>
      </w:r>
    </w:p>
    <w:p w14:paraId="5815442A" w14:textId="7384866A" w:rsidR="009F36D5" w:rsidRDefault="00DB6A83" w:rsidP="003778BB">
      <w:pPr>
        <w:pStyle w:val="NORMLN0"/>
        <w:rPr>
          <w:noProof/>
        </w:rPr>
      </w:pPr>
      <w:r w:rsidRPr="00DB6A83">
        <w:rPr>
          <w:noProof/>
          <w:lang w:eastAsia="cs-CZ"/>
        </w:rPr>
        <w:lastRenderedPageBreak/>
        <w:drawing>
          <wp:anchor distT="0" distB="0" distL="114300" distR="114300" simplePos="0" relativeHeight="251671552" behindDoc="0" locked="0" layoutInCell="1" allowOverlap="1" wp14:anchorId="4EC82624" wp14:editId="6F6C1CF3">
            <wp:simplePos x="0" y="0"/>
            <wp:positionH relativeFrom="margin">
              <wp:align>right</wp:align>
            </wp:positionH>
            <wp:positionV relativeFrom="paragraph">
              <wp:posOffset>610</wp:posOffset>
            </wp:positionV>
            <wp:extent cx="5759450" cy="5922386"/>
            <wp:effectExtent l="0" t="0" r="0" b="2540"/>
            <wp:wrapTopAndBottom/>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5922386"/>
                    </a:xfrm>
                    <a:prstGeom prst="rect">
                      <a:avLst/>
                    </a:prstGeom>
                    <a:noFill/>
                    <a:ln>
                      <a:noFill/>
                    </a:ln>
                  </pic:spPr>
                </pic:pic>
              </a:graphicData>
            </a:graphic>
          </wp:anchor>
        </w:drawing>
      </w:r>
      <w:r w:rsidR="009E6821">
        <w:rPr>
          <w:noProof/>
        </w:rPr>
        <w:t>Z </w:t>
      </w:r>
      <w:r w:rsidR="009E6821" w:rsidRPr="00C400CC">
        <w:rPr>
          <w:noProof/>
        </w:rPr>
        <w:t>tabulky</w:t>
      </w:r>
      <w:r w:rsidR="009E6821">
        <w:rPr>
          <w:noProof/>
        </w:rPr>
        <w:t xml:space="preserve"> </w:t>
      </w:r>
      <w:r w:rsidR="002E0CE1">
        <w:rPr>
          <w:noProof/>
        </w:rPr>
        <w:t xml:space="preserve">dále </w:t>
      </w:r>
      <w:r w:rsidR="009E6821">
        <w:rPr>
          <w:noProof/>
        </w:rPr>
        <w:t>plyne, že</w:t>
      </w:r>
      <w:r w:rsidR="009E6821" w:rsidRPr="00C400CC">
        <w:rPr>
          <w:noProof/>
        </w:rPr>
        <w:t xml:space="preserve"> </w:t>
      </w:r>
      <w:r w:rsidR="000937F8">
        <w:rPr>
          <w:noProof/>
        </w:rPr>
        <w:t>nejvýznamn</w:t>
      </w:r>
      <w:r w:rsidR="009E6821">
        <w:rPr>
          <w:noProof/>
        </w:rPr>
        <w:t xml:space="preserve">ější anomálií podle objemu fakturované vody je </w:t>
      </w:r>
      <w:r w:rsidR="009E6821" w:rsidRPr="00C400CC">
        <w:rPr>
          <w:b/>
          <w:noProof/>
        </w:rPr>
        <w:t>vysoký počet poruch na 1 km rozvodné sítě</w:t>
      </w:r>
      <w:r w:rsidR="009E6821" w:rsidRPr="00C400CC">
        <w:rPr>
          <w:noProof/>
        </w:rPr>
        <w:t xml:space="preserve">. </w:t>
      </w:r>
      <w:r w:rsidR="00F16C98">
        <w:rPr>
          <w:noProof/>
        </w:rPr>
        <w:t>Tato a</w:t>
      </w:r>
      <w:r w:rsidR="009E6821" w:rsidRPr="00C400CC">
        <w:rPr>
          <w:noProof/>
        </w:rPr>
        <w:t xml:space="preserve">nomálie se týká </w:t>
      </w:r>
      <w:r w:rsidR="00411100">
        <w:rPr>
          <w:noProof/>
        </w:rPr>
        <w:t>201,54</w:t>
      </w:r>
      <w:r w:rsidR="00F16C98">
        <w:rPr>
          <w:noProof/>
        </w:rPr>
        <w:t> </w:t>
      </w:r>
      <w:r w:rsidR="00E27252">
        <w:rPr>
          <w:noProof/>
        </w:rPr>
        <w:t>mil. m</w:t>
      </w:r>
      <w:r w:rsidR="00E27252" w:rsidRPr="00E27252">
        <w:rPr>
          <w:noProof/>
          <w:vertAlign w:val="superscript"/>
        </w:rPr>
        <w:t>3</w:t>
      </w:r>
      <w:r w:rsidR="009E6821" w:rsidRPr="00C400CC">
        <w:rPr>
          <w:b/>
          <w:noProof/>
        </w:rPr>
        <w:t xml:space="preserve"> </w:t>
      </w:r>
      <w:r w:rsidR="009E6821" w:rsidRPr="00585ED7">
        <w:rPr>
          <w:noProof/>
        </w:rPr>
        <w:t>fakturované vody</w:t>
      </w:r>
      <w:r w:rsidR="003778BB">
        <w:rPr>
          <w:noProof/>
        </w:rPr>
        <w:t>,</w:t>
      </w:r>
      <w:r w:rsidR="009E6821" w:rsidRPr="00C400CC">
        <w:rPr>
          <w:noProof/>
        </w:rPr>
        <w:t xml:space="preserve"> v</w:t>
      </w:r>
      <w:r w:rsidR="009E6821">
        <w:rPr>
          <w:noProof/>
        </w:rPr>
        <w:t xml:space="preserve">yskytovala se na </w:t>
      </w:r>
      <w:r w:rsidR="00411100">
        <w:rPr>
          <w:noProof/>
        </w:rPr>
        <w:t>324</w:t>
      </w:r>
      <w:r w:rsidR="009E6821" w:rsidRPr="00C400CC">
        <w:rPr>
          <w:noProof/>
        </w:rPr>
        <w:t xml:space="preserve"> Porovnáních</w:t>
      </w:r>
      <w:r w:rsidR="00F16C98">
        <w:rPr>
          <w:noProof/>
        </w:rPr>
        <w:t xml:space="preserve"> a vypovídá</w:t>
      </w:r>
      <w:r w:rsidR="009E6821" w:rsidRPr="00C400CC">
        <w:rPr>
          <w:noProof/>
        </w:rPr>
        <w:t xml:space="preserve"> o technickém stavu rozvodné sítě. </w:t>
      </w:r>
      <w:r w:rsidR="009E6821" w:rsidRPr="00322BCB">
        <w:rPr>
          <w:rStyle w:val="NORMLNChar"/>
        </w:rPr>
        <w:t>Vypovídací schopnost ukazatele</w:t>
      </w:r>
      <w:r w:rsidR="009E6821">
        <w:rPr>
          <w:rStyle w:val="NORMLNChar"/>
        </w:rPr>
        <w:t xml:space="preserve"> počtu poruch na km rozvodné sítě </w:t>
      </w:r>
      <w:r w:rsidR="009E6821" w:rsidRPr="00322BCB">
        <w:rPr>
          <w:rStyle w:val="NORMLNChar"/>
        </w:rPr>
        <w:t xml:space="preserve">je </w:t>
      </w:r>
      <w:r w:rsidR="003778BB">
        <w:rPr>
          <w:rStyle w:val="NORMLNChar"/>
        </w:rPr>
        <w:t xml:space="preserve">snížena </w:t>
      </w:r>
      <w:r w:rsidR="00F16C98">
        <w:rPr>
          <w:rStyle w:val="NORMLNChar"/>
        </w:rPr>
        <w:t>nedostatky ve</w:t>
      </w:r>
      <w:r w:rsidR="004352B9">
        <w:rPr>
          <w:rStyle w:val="NORMLNChar"/>
        </w:rPr>
        <w:t> </w:t>
      </w:r>
      <w:r w:rsidR="00F16C98">
        <w:rPr>
          <w:rStyle w:val="NORMLNChar"/>
        </w:rPr>
        <w:t>vykazování. Nulový počet poruch byl uveden ve VÚPE souvisejí</w:t>
      </w:r>
      <w:r w:rsidR="00EB647C">
        <w:rPr>
          <w:rStyle w:val="NORMLNChar"/>
        </w:rPr>
        <w:t>cí</w:t>
      </w:r>
      <w:r w:rsidR="00F16C98">
        <w:rPr>
          <w:rStyle w:val="NORMLNChar"/>
        </w:rPr>
        <w:t>mi s</w:t>
      </w:r>
      <w:r w:rsidR="00EB647C">
        <w:rPr>
          <w:rStyle w:val="NORMLNChar"/>
        </w:rPr>
        <w:t> </w:t>
      </w:r>
      <w:r w:rsidR="00411100">
        <w:rPr>
          <w:noProof/>
          <w:lang w:val="sk-SK"/>
        </w:rPr>
        <w:t>657</w:t>
      </w:r>
      <w:r w:rsidR="00F16C98">
        <w:rPr>
          <w:noProof/>
          <w:lang w:val="sk-SK"/>
        </w:rPr>
        <w:t> </w:t>
      </w:r>
      <w:r w:rsidR="009E6821" w:rsidRPr="00C400CC">
        <w:rPr>
          <w:noProof/>
          <w:lang w:val="sk-SK"/>
        </w:rPr>
        <w:t>Porovnání</w:t>
      </w:r>
      <w:r w:rsidR="00F16C98">
        <w:rPr>
          <w:noProof/>
          <w:lang w:val="sk-SK"/>
        </w:rPr>
        <w:t>mi</w:t>
      </w:r>
      <w:r w:rsidR="009E6821">
        <w:rPr>
          <w:noProof/>
          <w:lang w:val="sk-SK"/>
        </w:rPr>
        <w:t xml:space="preserve"> (</w:t>
      </w:r>
      <w:r w:rsidR="009E6821" w:rsidRPr="00C400CC">
        <w:rPr>
          <w:noProof/>
          <w:lang w:val="sk-SK"/>
        </w:rPr>
        <w:t>tj.</w:t>
      </w:r>
      <w:r w:rsidR="00411100">
        <w:rPr>
          <w:noProof/>
          <w:lang w:val="sk-SK"/>
        </w:rPr>
        <w:t xml:space="preserve"> </w:t>
      </w:r>
      <w:r w:rsidR="009E6821" w:rsidRPr="00411100">
        <w:rPr>
          <w:noProof/>
          <w:lang w:val="sk-SK"/>
        </w:rPr>
        <w:t>38,</w:t>
      </w:r>
      <w:r w:rsidR="00411100" w:rsidRPr="00411100">
        <w:rPr>
          <w:noProof/>
          <w:lang w:val="sk-SK"/>
        </w:rPr>
        <w:t>72</w:t>
      </w:r>
      <w:r w:rsidR="00F16C98">
        <w:rPr>
          <w:noProof/>
          <w:lang w:val="sk-SK"/>
        </w:rPr>
        <w:t xml:space="preserve"> </w:t>
      </w:r>
      <w:r w:rsidR="009E6821" w:rsidRPr="00411100">
        <w:rPr>
          <w:noProof/>
          <w:lang w:val="sk-SK"/>
        </w:rPr>
        <w:t>%</w:t>
      </w:r>
      <w:r w:rsidR="00F16C98">
        <w:rPr>
          <w:noProof/>
          <w:lang w:val="sk-SK"/>
        </w:rPr>
        <w:t xml:space="preserve"> analyzovaných Po</w:t>
      </w:r>
      <w:r w:rsidR="009E6821" w:rsidRPr="00C400CC">
        <w:rPr>
          <w:noProof/>
          <w:lang w:val="sk-SK"/>
        </w:rPr>
        <w:t>rovnání</w:t>
      </w:r>
      <w:r w:rsidR="009E6821">
        <w:rPr>
          <w:noProof/>
          <w:lang w:val="sk-SK"/>
        </w:rPr>
        <w:t>)</w:t>
      </w:r>
      <w:r w:rsidR="009E6821" w:rsidRPr="00C400CC">
        <w:rPr>
          <w:noProof/>
          <w:lang w:val="sk-SK"/>
        </w:rPr>
        <w:t>.</w:t>
      </w:r>
      <w:r w:rsidR="00277DD3" w:rsidRPr="00277DD3">
        <w:rPr>
          <w:noProof/>
        </w:rPr>
        <w:t xml:space="preserve"> </w:t>
      </w:r>
      <w:r w:rsidR="00F16C98">
        <w:rPr>
          <w:noProof/>
        </w:rPr>
        <w:t>Dále je třeba</w:t>
      </w:r>
      <w:r w:rsidR="00A35C09">
        <w:rPr>
          <w:noProof/>
        </w:rPr>
        <w:t xml:space="preserve"> zdůraznit možnost vlivu rozdílného chápání pojmu porucha a skutečnost</w:t>
      </w:r>
      <w:r w:rsidR="00F16C98">
        <w:rPr>
          <w:noProof/>
        </w:rPr>
        <w:t>i</w:t>
      </w:r>
      <w:r w:rsidR="00EB647C">
        <w:rPr>
          <w:noProof/>
        </w:rPr>
        <w:t>,</w:t>
      </w:r>
      <w:r w:rsidR="00A35C09">
        <w:rPr>
          <w:noProof/>
        </w:rPr>
        <w:t xml:space="preserve"> že s moderními technologiemi </w:t>
      </w:r>
      <w:r w:rsidR="00097D32">
        <w:rPr>
          <w:noProof/>
        </w:rPr>
        <w:t>detekování</w:t>
      </w:r>
      <w:r w:rsidR="00EB647C">
        <w:rPr>
          <w:noProof/>
        </w:rPr>
        <w:t xml:space="preserve"> poruch</w:t>
      </w:r>
      <w:r w:rsidR="00097D32">
        <w:rPr>
          <w:noProof/>
        </w:rPr>
        <w:t>, které využívají zejména velcí provozovatelé, přibývá</w:t>
      </w:r>
      <w:r w:rsidR="00A35C09">
        <w:rPr>
          <w:noProof/>
        </w:rPr>
        <w:t xml:space="preserve"> množství</w:t>
      </w:r>
      <w:r w:rsidR="00097D32">
        <w:rPr>
          <w:noProof/>
        </w:rPr>
        <w:t xml:space="preserve"> vykázaných poruch</w:t>
      </w:r>
      <w:r w:rsidR="003778BB">
        <w:rPr>
          <w:noProof/>
        </w:rPr>
        <w:t>, a</w:t>
      </w:r>
      <w:r w:rsidR="00EB647C">
        <w:rPr>
          <w:noProof/>
        </w:rPr>
        <w:t>le</w:t>
      </w:r>
      <w:r w:rsidR="00A35C09">
        <w:rPr>
          <w:noProof/>
        </w:rPr>
        <w:t xml:space="preserve"> kvalita péče o</w:t>
      </w:r>
      <w:r w:rsidR="004352B9">
        <w:rPr>
          <w:noProof/>
        </w:rPr>
        <w:t> </w:t>
      </w:r>
      <w:r w:rsidR="00A35C09">
        <w:rPr>
          <w:noProof/>
        </w:rPr>
        <w:t xml:space="preserve">VIM se zlepšuje. Interpretace vysokého počtu poruch není tedy tak jednoznačná. </w:t>
      </w:r>
      <w:r w:rsidR="00277DD3">
        <w:rPr>
          <w:noProof/>
        </w:rPr>
        <w:t>Uvedená anomálie byla nejvýznamnější i v</w:t>
      </w:r>
      <w:r w:rsidR="00EB647C">
        <w:rPr>
          <w:noProof/>
        </w:rPr>
        <w:t xml:space="preserve"> předcházející</w:t>
      </w:r>
      <w:r w:rsidR="00F16C98">
        <w:rPr>
          <w:noProof/>
        </w:rPr>
        <w:t>m</w:t>
      </w:r>
      <w:r w:rsidR="00277DD3">
        <w:rPr>
          <w:noProof/>
        </w:rPr>
        <w:t xml:space="preserve"> roce</w:t>
      </w:r>
      <w:r w:rsidR="00F16C98">
        <w:rPr>
          <w:noProof/>
        </w:rPr>
        <w:t>.</w:t>
      </w:r>
    </w:p>
    <w:p w14:paraId="42E4DE4E" w14:textId="0FD12C2F" w:rsidR="00075DD0" w:rsidRDefault="00075DD0" w:rsidP="00075DD0">
      <w:pPr>
        <w:pStyle w:val="NORMLN0"/>
      </w:pPr>
      <w:r>
        <w:t xml:space="preserve">Zajímavou skutečností je zjištění, že podle objemu fakturované vody jsou významné anomálie ve </w:t>
      </w:r>
      <w:r w:rsidRPr="005D619C">
        <w:rPr>
          <w:b/>
        </w:rPr>
        <w:t xml:space="preserve">výši podílu zisku na </w:t>
      </w:r>
      <w:r>
        <w:rPr>
          <w:b/>
        </w:rPr>
        <w:t>ÚVN</w:t>
      </w:r>
      <w:r>
        <w:t xml:space="preserve"> a </w:t>
      </w:r>
      <w:r w:rsidRPr="005D619C">
        <w:rPr>
          <w:b/>
        </w:rPr>
        <w:t xml:space="preserve">výši podílu zisku </w:t>
      </w:r>
      <w:r>
        <w:rPr>
          <w:b/>
        </w:rPr>
        <w:t>k</w:t>
      </w:r>
      <w:r w:rsidRPr="005D619C">
        <w:rPr>
          <w:b/>
        </w:rPr>
        <w:t xml:space="preserve"> rozdělení na </w:t>
      </w:r>
      <w:r>
        <w:rPr>
          <w:b/>
        </w:rPr>
        <w:t>ÚVN (tzn. zisku k použití jako odměny za podnikání, popř. k úhradě ekonomicky neoprávněných nákladů).</w:t>
      </w:r>
      <w:r>
        <w:t xml:space="preserve"> Mezní hodnota ukazatele podílu kalkulačního zisku k rozdělení na ÚVN použit</w:t>
      </w:r>
      <w:r w:rsidR="0012437D">
        <w:t>á</w:t>
      </w:r>
      <w:r>
        <w:t xml:space="preserve"> k identifikaci anomálie byla stanovena jako hodnota vyšší než 1,5násobek hodnoty mediánu z Porovnání </w:t>
      </w:r>
      <w:r>
        <w:lastRenderedPageBreak/>
        <w:t>obsahujících kladný kalkulační zisk a kladný podíl kalkulačního zisku na ÚVN. Anomálie vysoký podíl kalkulačního zisku k rozdělení na ÚVN byla nalezena 644</w:t>
      </w:r>
      <w:r w:rsidR="00BC03D3">
        <w:t xml:space="preserve"> </w:t>
      </w:r>
      <w:r>
        <w:t>Porovnáních, kter</w:t>
      </w:r>
      <w:r w:rsidR="0012437D">
        <w:t>á</w:t>
      </w:r>
      <w:r>
        <w:t xml:space="preserve"> představují 26,46% podíl z analyzovaného trhu (tj. 122,068 mil. m</w:t>
      </w:r>
      <w:r w:rsidRPr="00D23589">
        <w:rPr>
          <w:vertAlign w:val="superscript"/>
        </w:rPr>
        <w:t>3</w:t>
      </w:r>
      <w:r>
        <w:t xml:space="preserve"> fakturované vody). Jinak řečeno na více než čtvrtině trhu lze zisk příjemce (určený na jiné účely než obnova a rozvoj VIM) z vodného považovat za nadprůměrně vysoký v porovnání s ostatními ve skupině. </w:t>
      </w:r>
      <w:r w:rsidR="007F7A7B">
        <w:t>V</w:t>
      </w:r>
      <w:r>
        <w:t> mnoha případech jsou provozovatel, vlastník VIM a příjemce vodného totožní</w:t>
      </w:r>
      <w:r w:rsidR="007F7A7B">
        <w:t xml:space="preserve"> nebo majetkově propojení. Rozhodnutí </w:t>
      </w:r>
      <w:r>
        <w:t>o použití zisku</w:t>
      </w:r>
      <w:r w:rsidR="007F7A7B">
        <w:t xml:space="preserve"> tak</w:t>
      </w:r>
      <w:r>
        <w:t xml:space="preserve"> </w:t>
      </w:r>
      <w:r w:rsidR="007F7A7B">
        <w:t xml:space="preserve">podléhá </w:t>
      </w:r>
      <w:r>
        <w:t>zejména vlastníku VIM</w:t>
      </w:r>
      <w:r w:rsidR="007F7A7B">
        <w:t>, který j</w:t>
      </w:r>
      <w:r>
        <w:t xml:space="preserve">ej může použít </w:t>
      </w:r>
      <w:r w:rsidR="007F7A7B">
        <w:t xml:space="preserve">nejen </w:t>
      </w:r>
      <w:r>
        <w:t xml:space="preserve">na pokrytí </w:t>
      </w:r>
      <w:r w:rsidR="007F7A7B">
        <w:t xml:space="preserve">obnovy a rozvoje VIM, ale také na úhradu </w:t>
      </w:r>
      <w:r>
        <w:t xml:space="preserve">ekonomicky neoprávněných nákladů nebo na financování jiných potřeb. </w:t>
      </w:r>
    </w:p>
    <w:p w14:paraId="61312CCD" w14:textId="350DBA1B" w:rsidR="009F36D5" w:rsidRDefault="00A35C09" w:rsidP="004D10BD">
      <w:pPr>
        <w:pStyle w:val="NORMLN0"/>
        <w:rPr>
          <w:noProof/>
        </w:rPr>
      </w:pPr>
      <w:r w:rsidRPr="00801755">
        <w:rPr>
          <w:noProof/>
        </w:rPr>
        <w:t>D</w:t>
      </w:r>
      <w:r w:rsidR="00277DD3" w:rsidRPr="00801755">
        <w:rPr>
          <w:noProof/>
        </w:rPr>
        <w:t>alší dvě významnější</w:t>
      </w:r>
      <w:r w:rsidR="00277DD3" w:rsidRPr="00801755">
        <w:rPr>
          <w:b/>
          <w:noProof/>
        </w:rPr>
        <w:t xml:space="preserve"> </w:t>
      </w:r>
      <w:r w:rsidR="00277DD3" w:rsidRPr="00801755">
        <w:rPr>
          <w:noProof/>
        </w:rPr>
        <w:t>anomálie poskytují d</w:t>
      </w:r>
      <w:r w:rsidR="009E6821" w:rsidRPr="00801755">
        <w:rPr>
          <w:noProof/>
        </w:rPr>
        <w:t>oplňující informaci o stavu majetku a</w:t>
      </w:r>
      <w:r w:rsidR="009E6821">
        <w:rPr>
          <w:noProof/>
        </w:rPr>
        <w:t xml:space="preserve"> o</w:t>
      </w:r>
      <w:r w:rsidR="00EB647C">
        <w:rPr>
          <w:noProof/>
        </w:rPr>
        <w:t> </w:t>
      </w:r>
      <w:r w:rsidR="009E6821" w:rsidRPr="00C400CC">
        <w:rPr>
          <w:noProof/>
        </w:rPr>
        <w:t xml:space="preserve">systematické </w:t>
      </w:r>
      <w:r w:rsidR="009E6821">
        <w:rPr>
          <w:noProof/>
        </w:rPr>
        <w:t xml:space="preserve">péči </w:t>
      </w:r>
      <w:r w:rsidR="009E6821" w:rsidRPr="00C400CC">
        <w:rPr>
          <w:noProof/>
        </w:rPr>
        <w:t xml:space="preserve">vlastníka o </w:t>
      </w:r>
      <w:r w:rsidR="009E6821">
        <w:rPr>
          <w:noProof/>
        </w:rPr>
        <w:t>něj</w:t>
      </w:r>
      <w:r w:rsidR="004E5689">
        <w:rPr>
          <w:noProof/>
        </w:rPr>
        <w:t xml:space="preserve">. </w:t>
      </w:r>
      <w:r>
        <w:rPr>
          <w:noProof/>
        </w:rPr>
        <w:t>První z nich jsou</w:t>
      </w:r>
      <w:r w:rsidR="009E6821" w:rsidRPr="00C400CC">
        <w:rPr>
          <w:b/>
          <w:noProof/>
        </w:rPr>
        <w:t xml:space="preserve"> </w:t>
      </w:r>
      <w:r w:rsidR="004E5689">
        <w:rPr>
          <w:b/>
          <w:noProof/>
        </w:rPr>
        <w:t xml:space="preserve">vysoké </w:t>
      </w:r>
      <w:r w:rsidR="009E6821" w:rsidRPr="00C400CC">
        <w:rPr>
          <w:b/>
          <w:noProof/>
        </w:rPr>
        <w:t>ztráty vody na 1 km přepočtené délky vodovodního řadu na den</w:t>
      </w:r>
      <w:r w:rsidR="009E6821" w:rsidRPr="00C400CC">
        <w:rPr>
          <w:noProof/>
        </w:rPr>
        <w:t>. V analyzovaném souboru d</w:t>
      </w:r>
      <w:r w:rsidR="009E6821">
        <w:rPr>
          <w:noProof/>
        </w:rPr>
        <w:t>a</w:t>
      </w:r>
      <w:r w:rsidR="009E6821" w:rsidRPr="00C400CC">
        <w:rPr>
          <w:noProof/>
        </w:rPr>
        <w:t xml:space="preserve">t byla tato anomálie nalezena </w:t>
      </w:r>
      <w:r w:rsidR="00075DD0">
        <w:rPr>
          <w:noProof/>
        </w:rPr>
        <w:t>74</w:t>
      </w:r>
      <w:r w:rsidR="009E6821">
        <w:rPr>
          <w:noProof/>
        </w:rPr>
        <w:t>krát a zasahuje</w:t>
      </w:r>
      <w:r w:rsidR="009E6821" w:rsidRPr="00C400CC">
        <w:rPr>
          <w:noProof/>
        </w:rPr>
        <w:t xml:space="preserve"> </w:t>
      </w:r>
      <w:r w:rsidR="00075DD0">
        <w:rPr>
          <w:noProof/>
        </w:rPr>
        <w:t>22,11</w:t>
      </w:r>
      <w:r w:rsidR="004E5689">
        <w:rPr>
          <w:noProof/>
        </w:rPr>
        <w:t>%</w:t>
      </w:r>
      <w:r w:rsidR="009E6821" w:rsidRPr="00C400CC">
        <w:rPr>
          <w:noProof/>
        </w:rPr>
        <w:t xml:space="preserve"> podíl analyzovaného trhu (</w:t>
      </w:r>
      <w:r w:rsidR="009E6821">
        <w:rPr>
          <w:noProof/>
        </w:rPr>
        <w:t xml:space="preserve">tj. </w:t>
      </w:r>
      <w:r w:rsidR="00075DD0">
        <w:rPr>
          <w:noProof/>
        </w:rPr>
        <w:t>102,00</w:t>
      </w:r>
      <w:r w:rsidR="009E6821" w:rsidRPr="00C400CC">
        <w:rPr>
          <w:noProof/>
        </w:rPr>
        <w:t xml:space="preserve"> </w:t>
      </w:r>
      <w:r w:rsidR="00E27252">
        <w:rPr>
          <w:noProof/>
        </w:rPr>
        <w:t>mil. m</w:t>
      </w:r>
      <w:r w:rsidR="00E27252" w:rsidRPr="00E27252">
        <w:rPr>
          <w:noProof/>
          <w:vertAlign w:val="superscript"/>
        </w:rPr>
        <w:t>3</w:t>
      </w:r>
      <w:r w:rsidR="004E5689">
        <w:rPr>
          <w:noProof/>
          <w:vertAlign w:val="superscript"/>
        </w:rPr>
        <w:t xml:space="preserve"> </w:t>
      </w:r>
      <w:r w:rsidR="004E5689" w:rsidRPr="004E5689">
        <w:rPr>
          <w:noProof/>
        </w:rPr>
        <w:t>fakturované vody</w:t>
      </w:r>
      <w:r w:rsidR="009E6821" w:rsidRPr="00C400CC">
        <w:rPr>
          <w:noProof/>
        </w:rPr>
        <w:t>)</w:t>
      </w:r>
      <w:r w:rsidR="009E6821">
        <w:rPr>
          <w:noProof/>
        </w:rPr>
        <w:t>.</w:t>
      </w:r>
      <w:r w:rsidR="009E6821" w:rsidRPr="00C400CC">
        <w:rPr>
          <w:noProof/>
        </w:rPr>
        <w:t xml:space="preserve"> </w:t>
      </w:r>
      <w:r w:rsidR="009E6821">
        <w:rPr>
          <w:noProof/>
        </w:rPr>
        <w:t>D</w:t>
      </w:r>
      <w:r>
        <w:rPr>
          <w:noProof/>
        </w:rPr>
        <w:t>ruhou</w:t>
      </w:r>
      <w:r w:rsidR="009E6821">
        <w:rPr>
          <w:noProof/>
        </w:rPr>
        <w:t xml:space="preserve"> </w:t>
      </w:r>
      <w:r w:rsidR="004E5689">
        <w:rPr>
          <w:noProof/>
        </w:rPr>
        <w:t xml:space="preserve">je </w:t>
      </w:r>
      <w:r w:rsidR="004E5689">
        <w:rPr>
          <w:b/>
          <w:noProof/>
        </w:rPr>
        <w:t>vysoká hodnota nefakturované vody na 1 km přepočtené délky vodovodního řadu na den</w:t>
      </w:r>
      <w:r>
        <w:rPr>
          <w:b/>
          <w:noProof/>
        </w:rPr>
        <w:t xml:space="preserve">, která zasáhla </w:t>
      </w:r>
      <w:r w:rsidR="00075DD0">
        <w:rPr>
          <w:noProof/>
        </w:rPr>
        <w:t>6,30</w:t>
      </w:r>
      <w:r w:rsidR="00F16C98">
        <w:rPr>
          <w:noProof/>
        </w:rPr>
        <w:t>%</w:t>
      </w:r>
      <w:r>
        <w:rPr>
          <w:noProof/>
        </w:rPr>
        <w:t xml:space="preserve"> </w:t>
      </w:r>
      <w:r w:rsidR="00801755">
        <w:rPr>
          <w:noProof/>
        </w:rPr>
        <w:t>podíl analyzovaného trhu.</w:t>
      </w:r>
      <w:r w:rsidR="004E5689">
        <w:rPr>
          <w:noProof/>
        </w:rPr>
        <w:t xml:space="preserve"> </w:t>
      </w:r>
      <w:r>
        <w:rPr>
          <w:noProof/>
        </w:rPr>
        <w:t>U</w:t>
      </w:r>
      <w:r w:rsidR="004E5689">
        <w:rPr>
          <w:noProof/>
        </w:rPr>
        <w:t xml:space="preserve"> 260 Porovnání </w:t>
      </w:r>
      <w:r>
        <w:rPr>
          <w:noProof/>
        </w:rPr>
        <w:t xml:space="preserve">(tj. 1,03% podíl analyzovaného trhu) bylo </w:t>
      </w:r>
      <w:r w:rsidR="004E5689">
        <w:rPr>
          <w:noProof/>
        </w:rPr>
        <w:t xml:space="preserve">zjištěno, že </w:t>
      </w:r>
      <w:r w:rsidR="009E6821">
        <w:rPr>
          <w:noProof/>
        </w:rPr>
        <w:t xml:space="preserve">v souvisejících VÚPE </w:t>
      </w:r>
      <w:r w:rsidR="004E5689">
        <w:rPr>
          <w:noProof/>
        </w:rPr>
        <w:t xml:space="preserve">byly </w:t>
      </w:r>
      <w:r w:rsidR="009E6821">
        <w:rPr>
          <w:noProof/>
        </w:rPr>
        <w:t xml:space="preserve">vykázány </w:t>
      </w:r>
      <w:r w:rsidR="009E6821">
        <w:rPr>
          <w:b/>
          <w:noProof/>
        </w:rPr>
        <w:t>nulové ztráty vody</w:t>
      </w:r>
      <w:r w:rsidR="004E5689">
        <w:rPr>
          <w:noProof/>
        </w:rPr>
        <w:t>. Opět lze</w:t>
      </w:r>
      <w:r w:rsidR="009E6821">
        <w:rPr>
          <w:noProof/>
        </w:rPr>
        <w:t xml:space="preserve"> konstatovat, že mnoho </w:t>
      </w:r>
      <w:r>
        <w:rPr>
          <w:noProof/>
        </w:rPr>
        <w:t xml:space="preserve">zejména </w:t>
      </w:r>
      <w:r w:rsidR="009E6821">
        <w:rPr>
          <w:noProof/>
        </w:rPr>
        <w:t xml:space="preserve">menších vlastníků nevěnuje dostatečnou pozornost systematické péči o technický stav VIM, popř. zanedbává sledování a měření údajů zasílaných ve VÚPE. Nejvyšší četnost výskytu </w:t>
      </w:r>
      <w:r>
        <w:rPr>
          <w:noProof/>
        </w:rPr>
        <w:t>této</w:t>
      </w:r>
      <w:r w:rsidR="00041531">
        <w:rPr>
          <w:noProof/>
        </w:rPr>
        <w:t xml:space="preserve"> </w:t>
      </w:r>
      <w:r w:rsidR="009E6821">
        <w:rPr>
          <w:noProof/>
        </w:rPr>
        <w:t>anomálie je v V. skup</w:t>
      </w:r>
      <w:r w:rsidR="000937F8">
        <w:rPr>
          <w:noProof/>
        </w:rPr>
        <w:t>ině</w:t>
      </w:r>
      <w:r w:rsidR="004E5689">
        <w:rPr>
          <w:noProof/>
        </w:rPr>
        <w:t>, kde se údaj o</w:t>
      </w:r>
      <w:r w:rsidR="00EB647C">
        <w:rPr>
          <w:noProof/>
        </w:rPr>
        <w:t> </w:t>
      </w:r>
      <w:r w:rsidR="004E5689">
        <w:rPr>
          <w:noProof/>
        </w:rPr>
        <w:t>nulových ztrátách vody vyskytuje u 159</w:t>
      </w:r>
      <w:r w:rsidR="00041531">
        <w:rPr>
          <w:noProof/>
        </w:rPr>
        <w:t> </w:t>
      </w:r>
      <w:r w:rsidR="004E5689">
        <w:rPr>
          <w:noProof/>
        </w:rPr>
        <w:t xml:space="preserve">Porovnání. </w:t>
      </w:r>
    </w:p>
    <w:p w14:paraId="3690A5D7" w14:textId="0B259150" w:rsidR="009F36D5" w:rsidRDefault="009E6821" w:rsidP="000C0870">
      <w:pPr>
        <w:pStyle w:val="NORMLN0"/>
      </w:pPr>
      <w:r w:rsidRPr="000937F8">
        <w:t xml:space="preserve">Podle četnosti výskytu anomálie je nejpočetnější </w:t>
      </w:r>
      <w:r w:rsidR="00C17B67">
        <w:t>a</w:t>
      </w:r>
      <w:r w:rsidR="004C7C21">
        <w:t>n</w:t>
      </w:r>
      <w:r w:rsidR="00C17B67">
        <w:t xml:space="preserve">omálií </w:t>
      </w:r>
      <w:r w:rsidRPr="000937F8">
        <w:rPr>
          <w:b/>
        </w:rPr>
        <w:t>nedostatečná tvorba prostředků na obnovu</w:t>
      </w:r>
      <w:r w:rsidRPr="000937F8">
        <w:t xml:space="preserve"> (</w:t>
      </w:r>
      <w:r w:rsidR="00394127">
        <w:t>1</w:t>
      </w:r>
      <w:r w:rsidR="00C17B67">
        <w:t xml:space="preserve"> </w:t>
      </w:r>
      <w:r w:rsidR="00394127">
        <w:t>313</w:t>
      </w:r>
      <w:r w:rsidRPr="000937F8">
        <w:t xml:space="preserve"> Porovnání,</w:t>
      </w:r>
      <w:r w:rsidR="000937F8">
        <w:t xml:space="preserve"> </w:t>
      </w:r>
      <w:r w:rsidRPr="000937F8">
        <w:t xml:space="preserve">tj. </w:t>
      </w:r>
      <w:r w:rsidR="00394127">
        <w:t>11,48</w:t>
      </w:r>
      <w:r w:rsidRPr="000937F8">
        <w:t xml:space="preserve">% podíl analyzovaného trhu; </w:t>
      </w:r>
      <w:r w:rsidR="00394127">
        <w:t>52,983</w:t>
      </w:r>
      <w:r w:rsidRPr="000937F8">
        <w:t xml:space="preserve"> </w:t>
      </w:r>
      <w:r w:rsidR="00E27252">
        <w:t>mil. m</w:t>
      </w:r>
      <w:r w:rsidR="00E27252" w:rsidRPr="00E27252">
        <w:rPr>
          <w:vertAlign w:val="superscript"/>
        </w:rPr>
        <w:t>3</w:t>
      </w:r>
      <w:r w:rsidR="00AB6FC6">
        <w:t xml:space="preserve"> fakturované vody</w:t>
      </w:r>
      <w:r w:rsidRPr="000937F8">
        <w:t>). Uvedená anomálie přímo souvisí s vysokým výskytem dalších dvo</w:t>
      </w:r>
      <w:r w:rsidR="00D55797">
        <w:t xml:space="preserve">u, a </w:t>
      </w:r>
      <w:r w:rsidR="00075DD0">
        <w:t xml:space="preserve">to </w:t>
      </w:r>
      <w:r w:rsidR="00075DD0" w:rsidRPr="000937F8">
        <w:t>nulového</w:t>
      </w:r>
      <w:r w:rsidRPr="000937F8">
        <w:rPr>
          <w:b/>
        </w:rPr>
        <w:t xml:space="preserve"> řádku 20</w:t>
      </w:r>
      <w:r w:rsidRPr="000937F8">
        <w:t xml:space="preserve"> (</w:t>
      </w:r>
      <w:r w:rsidR="00394127">
        <w:t>476</w:t>
      </w:r>
      <w:r w:rsidRPr="000937F8">
        <w:t xml:space="preserve"> Porovnání,</w:t>
      </w:r>
      <w:r w:rsidR="000937F8">
        <w:t xml:space="preserve"> </w:t>
      </w:r>
      <w:r w:rsidRPr="000937F8">
        <w:t xml:space="preserve">tj. </w:t>
      </w:r>
      <w:r w:rsidR="00394127">
        <w:t>6,24</w:t>
      </w:r>
      <w:r w:rsidRPr="000937F8">
        <w:t xml:space="preserve">% podíl analyzovaného trhu; </w:t>
      </w:r>
      <w:r w:rsidR="00706AC6">
        <w:t>2</w:t>
      </w:r>
      <w:r w:rsidR="00394127">
        <w:t>8,</w:t>
      </w:r>
      <w:r w:rsidR="00706AC6">
        <w:t>8</w:t>
      </w:r>
      <w:r w:rsidR="00394127">
        <w:t>08</w:t>
      </w:r>
      <w:r w:rsidRPr="000937F8">
        <w:t xml:space="preserve"> </w:t>
      </w:r>
      <w:r w:rsidR="00E27252">
        <w:t>mil. m</w:t>
      </w:r>
      <w:r w:rsidR="00E27252" w:rsidRPr="00E27252">
        <w:rPr>
          <w:vertAlign w:val="superscript"/>
        </w:rPr>
        <w:t>3</w:t>
      </w:r>
      <w:r w:rsidR="00394127">
        <w:t xml:space="preserve"> fakturované vody</w:t>
      </w:r>
      <w:r w:rsidRPr="000937F8">
        <w:t>), která může svědčit o tom, že vlastníci VIM nesledují tvorbu a čerpání prostředků na obnovu</w:t>
      </w:r>
      <w:r w:rsidR="00C17B67">
        <w:t>,</w:t>
      </w:r>
      <w:r w:rsidRPr="000937F8">
        <w:t xml:space="preserve"> a </w:t>
      </w:r>
      <w:r w:rsidRPr="000937F8">
        <w:rPr>
          <w:b/>
        </w:rPr>
        <w:t>záporného kalkulačního zisku</w:t>
      </w:r>
      <w:r w:rsidRPr="000937F8">
        <w:t xml:space="preserve"> (</w:t>
      </w:r>
      <w:r w:rsidR="00394127">
        <w:t>817</w:t>
      </w:r>
      <w:r w:rsidRPr="000937F8">
        <w:t xml:space="preserve"> Porovnání, </w:t>
      </w:r>
      <w:r w:rsidR="00394127">
        <w:t>6,23</w:t>
      </w:r>
      <w:r w:rsidRPr="000937F8">
        <w:t xml:space="preserve">% podíl analyzovaného trhu; </w:t>
      </w:r>
      <w:r w:rsidR="00394127">
        <w:t>28,73</w:t>
      </w:r>
      <w:r w:rsidRPr="000937F8">
        <w:t xml:space="preserve"> </w:t>
      </w:r>
      <w:r w:rsidR="00E27252">
        <w:t>mil. m</w:t>
      </w:r>
      <w:r w:rsidR="00E27252" w:rsidRPr="00E27252">
        <w:rPr>
          <w:vertAlign w:val="superscript"/>
        </w:rPr>
        <w:t>3</w:t>
      </w:r>
      <w:r w:rsidR="00AB6FC6">
        <w:rPr>
          <w:vertAlign w:val="superscript"/>
        </w:rPr>
        <w:t xml:space="preserve"> </w:t>
      </w:r>
      <w:r w:rsidR="00AB6FC6">
        <w:t>fakturované vody</w:t>
      </w:r>
      <w:r w:rsidRPr="000937F8">
        <w:t>). Vl</w:t>
      </w:r>
      <w:r w:rsidR="000937F8">
        <w:t>astníci využívají záporný kalku</w:t>
      </w:r>
      <w:r w:rsidRPr="000937F8">
        <w:t>lační zisk ke snížení ceny pro vodné</w:t>
      </w:r>
      <w:r w:rsidR="00801755">
        <w:t>. Z</w:t>
      </w:r>
      <w:r w:rsidRPr="000937F8">
        <w:t>bavují</w:t>
      </w:r>
      <w:r w:rsidR="009C15EE">
        <w:t xml:space="preserve"> se</w:t>
      </w:r>
      <w:r w:rsidRPr="000937F8">
        <w:t xml:space="preserve"> </w:t>
      </w:r>
      <w:r w:rsidR="00801755">
        <w:t xml:space="preserve">tak </w:t>
      </w:r>
      <w:r w:rsidRPr="000937F8">
        <w:t>jedné z možností</w:t>
      </w:r>
      <w:r w:rsidR="00B26631" w:rsidRPr="000937F8">
        <w:t xml:space="preserve"> </w:t>
      </w:r>
      <w:r w:rsidRPr="000937F8">
        <w:t xml:space="preserve">generování prostředků na obnovu VIM ve vodném. </w:t>
      </w:r>
      <w:r w:rsidR="00394127">
        <w:t xml:space="preserve">Kromě používání záporného kalkulačního zisku je důvodem nedostatečné tvorby prostředků na obnovu i </w:t>
      </w:r>
      <w:r w:rsidR="00E37B1A">
        <w:t xml:space="preserve">chybné </w:t>
      </w:r>
      <w:r w:rsidR="00394127">
        <w:t>nastavení obchodního vztahu mezi vlastníkem VIM a provozovatelem. Tento problém lze předpokládat u</w:t>
      </w:r>
      <w:r w:rsidR="009C15EE">
        <w:t xml:space="preserve"> 147 Porovnání (tj. </w:t>
      </w:r>
      <w:r w:rsidR="00E21B7F">
        <w:t>6,67 % analyzovaného trhu; 30,756 mil. m</w:t>
      </w:r>
      <w:r w:rsidR="004A7829" w:rsidRPr="000C0870">
        <w:rPr>
          <w:vertAlign w:val="superscript"/>
        </w:rPr>
        <w:t>3</w:t>
      </w:r>
      <w:r w:rsidR="00E21B7F">
        <w:rPr>
          <w:vertAlign w:val="superscript"/>
        </w:rPr>
        <w:t xml:space="preserve"> </w:t>
      </w:r>
      <w:r w:rsidR="00E21B7F">
        <w:t>fakturované</w:t>
      </w:r>
      <w:r w:rsidR="000C0870">
        <w:t xml:space="preserve"> </w:t>
      </w:r>
      <w:r w:rsidR="00E21B7F">
        <w:t xml:space="preserve">vody) s </w:t>
      </w:r>
      <w:r w:rsidR="009C15EE" w:rsidRPr="000C0870">
        <w:rPr>
          <w:b/>
        </w:rPr>
        <w:t>nájemným menším nebo rovným nule u oddílného nebo kombinovaného modelu</w:t>
      </w:r>
      <w:r w:rsidR="009C15EE">
        <w:t xml:space="preserve"> a u</w:t>
      </w:r>
      <w:r w:rsidR="00394127">
        <w:t xml:space="preserve"> 113 Porovnání</w:t>
      </w:r>
      <w:r w:rsidR="00BE3D37">
        <w:t xml:space="preserve"> (1,76% podíl </w:t>
      </w:r>
      <w:r w:rsidR="009C15EE">
        <w:t xml:space="preserve">analyzovaného </w:t>
      </w:r>
      <w:r w:rsidR="00BE3D37">
        <w:t>trhu; 8,098 mil. m</w:t>
      </w:r>
      <w:r w:rsidR="00BE3D37">
        <w:rPr>
          <w:vertAlign w:val="superscript"/>
        </w:rPr>
        <w:t>3</w:t>
      </w:r>
      <w:r w:rsidR="009C15EE">
        <w:t xml:space="preserve"> fakturované vody</w:t>
      </w:r>
      <w:r w:rsidR="00BE3D37">
        <w:t>)</w:t>
      </w:r>
      <w:r w:rsidR="00394127">
        <w:t>, kter</w:t>
      </w:r>
      <w:r w:rsidR="00E37B1A">
        <w:t>á</w:t>
      </w:r>
      <w:r w:rsidR="00394127">
        <w:t xml:space="preserve"> vykazují hodnotu </w:t>
      </w:r>
      <w:r w:rsidR="00E37B1A" w:rsidRPr="000C0870">
        <w:rPr>
          <w:b/>
        </w:rPr>
        <w:t>OKF</w:t>
      </w:r>
      <w:r w:rsidR="00394127" w:rsidRPr="000C0870">
        <w:rPr>
          <w:b/>
        </w:rPr>
        <w:t xml:space="preserve"> vyšší než 1</w:t>
      </w:r>
      <w:r w:rsidR="00394127">
        <w:t xml:space="preserve"> (tj.</w:t>
      </w:r>
      <w:r w:rsidR="00BC03D3">
        <w:t xml:space="preserve"> </w:t>
      </w:r>
      <w:r w:rsidR="00394127">
        <w:t>vodné u pokr</w:t>
      </w:r>
      <w:r w:rsidR="00E37B1A">
        <w:t>ývá</w:t>
      </w:r>
      <w:r w:rsidR="00394127">
        <w:t xml:space="preserve"> </w:t>
      </w:r>
      <w:r w:rsidR="00E37B1A">
        <w:t>ÚVN i chybějící prostředky na obnovu</w:t>
      </w:r>
      <w:r w:rsidR="00394127">
        <w:t xml:space="preserve">), </w:t>
      </w:r>
      <w:r w:rsidR="00394127" w:rsidRPr="000C0870">
        <w:rPr>
          <w:b/>
        </w:rPr>
        <w:t>ale nevykazují dostatečnou tvorbu prostředků na obnovu</w:t>
      </w:r>
      <w:r w:rsidR="00394127">
        <w:t xml:space="preserve">. </w:t>
      </w:r>
      <w:r w:rsidRPr="000937F8">
        <w:t>Problematika souvislosti mezi nedostatečnou tvor</w:t>
      </w:r>
      <w:r w:rsidR="000937F8">
        <w:t>b</w:t>
      </w:r>
      <w:r w:rsidRPr="000937F8">
        <w:t>ou prostředků na obnovu a záporným kalkulačním ziskem je specifikována dále.</w:t>
      </w:r>
    </w:p>
    <w:p w14:paraId="6636FC20" w14:textId="77777777" w:rsidR="009F36D5" w:rsidRDefault="009E6821" w:rsidP="000C0870">
      <w:pPr>
        <w:pStyle w:val="NORMLN0"/>
      </w:pPr>
      <w:r w:rsidRPr="000937F8">
        <w:t>Ostatní sledované anomálie ovlivňují menší podíl trhu a poukazují</w:t>
      </w:r>
      <w:r w:rsidR="00B26631" w:rsidRPr="000937F8">
        <w:t xml:space="preserve"> </w:t>
      </w:r>
      <w:r w:rsidR="00E21B7F">
        <w:t>zejména</w:t>
      </w:r>
      <w:r w:rsidRPr="000937F8">
        <w:t xml:space="preserve"> na nedostatky v odevzdaných datech</w:t>
      </w:r>
      <w:r w:rsidR="00E21B7F">
        <w:t>.</w:t>
      </w:r>
      <w:r w:rsidRPr="000937F8">
        <w:t xml:space="preserve"> </w:t>
      </w:r>
    </w:p>
    <w:p w14:paraId="66733B5A" w14:textId="32595D36" w:rsidR="009F36D5" w:rsidRDefault="009E6821" w:rsidP="000C0870">
      <w:pPr>
        <w:pStyle w:val="NORMLN0"/>
      </w:pPr>
      <w:r w:rsidRPr="00F837BF">
        <w:t>Vzhledem k uvedeným skutečnostem je možné konstatovat, že vlastníci VIM při stanovování ceny pro vodné a sjednávání výše náj</w:t>
      </w:r>
      <w:r w:rsidR="000937F8" w:rsidRPr="00F837BF">
        <w:t>e</w:t>
      </w:r>
      <w:r w:rsidRPr="00F837BF">
        <w:t xml:space="preserve">mného nesledují cíl dosažení samofinancování infrastruktury, často nevykazují informace o tvorbě prostředků na obnovu a jejich čerpání a při </w:t>
      </w:r>
      <w:r w:rsidR="00C17B67">
        <w:t>stanovování</w:t>
      </w:r>
      <w:r w:rsidRPr="00F837BF">
        <w:t xml:space="preserve"> konečné spotřebitelské </w:t>
      </w:r>
      <w:r w:rsidR="000C0870" w:rsidRPr="00F837BF">
        <w:t xml:space="preserve">ceny </w:t>
      </w:r>
      <w:r w:rsidR="000C0870">
        <w:t>běžně</w:t>
      </w:r>
      <w:r w:rsidRPr="00F837BF">
        <w:t xml:space="preserve"> používají záporný kalkulační zisk.</w:t>
      </w:r>
    </w:p>
    <w:p w14:paraId="6DB8E2D4" w14:textId="77777777" w:rsidR="000D074A" w:rsidRPr="00430622" w:rsidRDefault="00430622" w:rsidP="00430622">
      <w:pPr>
        <w:pStyle w:val="NORMLN0"/>
        <w:rPr>
          <w:noProof/>
        </w:rPr>
      </w:pPr>
      <w:r>
        <w:rPr>
          <w:noProof/>
          <w:lang w:eastAsia="cs-CZ"/>
        </w:rPr>
        <w:lastRenderedPageBreak/>
        <w:drawing>
          <wp:anchor distT="0" distB="0" distL="114300" distR="114300" simplePos="0" relativeHeight="251672576" behindDoc="0" locked="0" layoutInCell="1" allowOverlap="1" wp14:anchorId="219F895F" wp14:editId="4377F50F">
            <wp:simplePos x="0" y="0"/>
            <wp:positionH relativeFrom="margin">
              <wp:align>left</wp:align>
            </wp:positionH>
            <wp:positionV relativeFrom="paragraph">
              <wp:posOffset>294640</wp:posOffset>
            </wp:positionV>
            <wp:extent cx="6000750" cy="8343900"/>
            <wp:effectExtent l="0" t="0" r="0" b="0"/>
            <wp:wrapTopAndBottom/>
            <wp:docPr id="23" name="Graf 2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5B5141FE-6A3D-48B6-8849-4628BE9B7A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9E6821" w:rsidRPr="0054741E">
        <w:rPr>
          <w:noProof/>
        </w:rPr>
        <w:t>V následujícím grafu j</w:t>
      </w:r>
      <w:r w:rsidR="009E6821">
        <w:rPr>
          <w:noProof/>
        </w:rPr>
        <w:t>sou uvedeny jednotlivé anomálie</w:t>
      </w:r>
      <w:r w:rsidR="00F837BF">
        <w:rPr>
          <w:noProof/>
        </w:rPr>
        <w:t>.</w:t>
      </w:r>
    </w:p>
    <w:p w14:paraId="34047FF5" w14:textId="77777777" w:rsidR="00801755" w:rsidRDefault="00801755" w:rsidP="00BC03D3">
      <w:pPr>
        <w:pStyle w:val="NORMLN0"/>
        <w:rPr>
          <w:noProof/>
        </w:rPr>
      </w:pPr>
    </w:p>
    <w:p w14:paraId="68E2D7DF" w14:textId="77777777" w:rsidR="00A0147D" w:rsidRPr="00C62639" w:rsidRDefault="00A0147D" w:rsidP="00A0147D">
      <w:pPr>
        <w:pStyle w:val="Nadpis3"/>
        <w:rPr>
          <w:noProof/>
        </w:rPr>
      </w:pPr>
      <w:bookmarkStart w:id="36" w:name="_Toc3291997"/>
      <w:r w:rsidRPr="00C62639">
        <w:rPr>
          <w:noProof/>
        </w:rPr>
        <w:lastRenderedPageBreak/>
        <w:t>Nedostatečná tvorba prostředků na obnovu</w:t>
      </w:r>
      <w:bookmarkEnd w:id="36"/>
      <w:r w:rsidR="00A528B6">
        <w:rPr>
          <w:noProof/>
        </w:rPr>
        <w:t xml:space="preserve"> </w:t>
      </w:r>
    </w:p>
    <w:p w14:paraId="618085C3" w14:textId="4AA9926A" w:rsidR="009F36D5" w:rsidRDefault="0007624E" w:rsidP="000C0870">
      <w:pPr>
        <w:pStyle w:val="NORMLN0"/>
      </w:pPr>
      <w:r>
        <w:t>Nejpočet</w:t>
      </w:r>
      <w:r w:rsidR="00E21B7F">
        <w:t>nější</w:t>
      </w:r>
      <w:r>
        <w:t xml:space="preserve"> anomálii v případě pitné vody je </w:t>
      </w:r>
      <w:r w:rsidR="00E21B7F">
        <w:t xml:space="preserve">obdobně </w:t>
      </w:r>
      <w:r w:rsidR="00A71E3B">
        <w:t>jako v minulých letech</w:t>
      </w:r>
      <w:r>
        <w:t xml:space="preserve"> </w:t>
      </w:r>
      <w:r w:rsidR="00A0147D" w:rsidRPr="0007624E">
        <w:rPr>
          <w:b/>
        </w:rPr>
        <w:t>nedostatečn</w:t>
      </w:r>
      <w:r w:rsidRPr="0007624E">
        <w:rPr>
          <w:b/>
        </w:rPr>
        <w:t>á</w:t>
      </w:r>
      <w:r w:rsidR="00A0147D" w:rsidRPr="0007624E">
        <w:rPr>
          <w:b/>
        </w:rPr>
        <w:t xml:space="preserve"> tvorb</w:t>
      </w:r>
      <w:r w:rsidR="00A71E3B">
        <w:rPr>
          <w:b/>
        </w:rPr>
        <w:t>a</w:t>
      </w:r>
      <w:r w:rsidR="00A0147D" w:rsidRPr="0007624E">
        <w:rPr>
          <w:b/>
        </w:rPr>
        <w:t xml:space="preserve"> prostředků na obnovu</w:t>
      </w:r>
      <w:r w:rsidR="00A0147D" w:rsidRPr="004E369D">
        <w:t xml:space="preserve">. Celková výše chybějících prostředků na obnovu VIM činí </w:t>
      </w:r>
      <w:r>
        <w:t>460,21</w:t>
      </w:r>
      <w:r w:rsidR="00A0147D" w:rsidRPr="004E369D">
        <w:t xml:space="preserve"> mil. Kč. Celkové </w:t>
      </w:r>
      <w:r w:rsidR="000C0870">
        <w:t>tržby za</w:t>
      </w:r>
      <w:r w:rsidR="00A0147D">
        <w:t xml:space="preserve"> vodné v roce 201</w:t>
      </w:r>
      <w:r>
        <w:t>7</w:t>
      </w:r>
      <w:r w:rsidR="00A0147D">
        <w:t xml:space="preserve"> činil</w:t>
      </w:r>
      <w:r w:rsidR="00A71E3B">
        <w:t>y</w:t>
      </w:r>
      <w:r w:rsidR="00A0147D" w:rsidRPr="004E369D">
        <w:t xml:space="preserve"> </w:t>
      </w:r>
      <w:r>
        <w:t>17,8</w:t>
      </w:r>
      <w:r w:rsidR="00A0147D" w:rsidRPr="004E369D">
        <w:t xml:space="preserve"> mld. Kč</w:t>
      </w:r>
      <w:r w:rsidR="00A0147D">
        <w:t xml:space="preserve">. Pro zabezpečení minimální teoretické výše prostředků na obnovu </w:t>
      </w:r>
      <w:r w:rsidR="00801755">
        <w:t xml:space="preserve">by </w:t>
      </w:r>
      <w:r w:rsidR="00A0147D">
        <w:t>měl</w:t>
      </w:r>
      <w:r w:rsidR="00A71E3B">
        <w:t>y</w:t>
      </w:r>
      <w:r w:rsidR="00A0147D">
        <w:t xml:space="preserve"> </w:t>
      </w:r>
      <w:r w:rsidR="00801755">
        <w:t xml:space="preserve">být </w:t>
      </w:r>
      <w:r w:rsidR="00A66B28">
        <w:t xml:space="preserve">tržby za vodné </w:t>
      </w:r>
      <w:r w:rsidR="00A0147D" w:rsidRPr="004E369D">
        <w:t>o chybějící prostředky obnovy (tj. o 2,</w:t>
      </w:r>
      <w:r w:rsidR="0063090E">
        <w:t>5</w:t>
      </w:r>
      <w:r w:rsidR="00A0147D" w:rsidRPr="004E369D">
        <w:t xml:space="preserve"> %) vyšší. </w:t>
      </w:r>
      <w:r w:rsidR="00E21B7F">
        <w:t>Na 1 m</w:t>
      </w:r>
      <w:r w:rsidR="004A7829" w:rsidRPr="000C0870">
        <w:rPr>
          <w:vertAlign w:val="superscript"/>
        </w:rPr>
        <w:t>3</w:t>
      </w:r>
      <w:r w:rsidR="00E21B7F">
        <w:rPr>
          <w:vertAlign w:val="superscript"/>
        </w:rPr>
        <w:t xml:space="preserve"> </w:t>
      </w:r>
      <w:r w:rsidR="00E21B7F">
        <w:t>fakturované vody podle analyzovaných Porovnání připadá</w:t>
      </w:r>
      <w:r w:rsidR="00D55797">
        <w:t xml:space="preserve"> zjednodušeným výpočtem</w:t>
      </w:r>
      <w:r w:rsidR="00E21B7F">
        <w:t xml:space="preserve"> 1 Kč chybějících prostředků na obnovu.</w:t>
      </w:r>
    </w:p>
    <w:p w14:paraId="11A0C45A" w14:textId="77777777" w:rsidR="00801755" w:rsidRDefault="00801755" w:rsidP="000C0870">
      <w:pPr>
        <w:pStyle w:val="NORMLN0"/>
      </w:pPr>
    </w:p>
    <w:p w14:paraId="67370DB6" w14:textId="77777777" w:rsidR="009F36D5" w:rsidRDefault="00CE1DF2" w:rsidP="000C0870">
      <w:pPr>
        <w:pStyle w:val="NORMLN0"/>
      </w:pPr>
      <w:r>
        <w:rPr>
          <w:noProof/>
          <w:lang w:eastAsia="cs-CZ"/>
        </w:rPr>
        <w:drawing>
          <wp:anchor distT="0" distB="0" distL="114300" distR="114300" simplePos="0" relativeHeight="251645952" behindDoc="0" locked="0" layoutInCell="1" allowOverlap="1" wp14:anchorId="58DD1F95" wp14:editId="36117085">
            <wp:simplePos x="0" y="0"/>
            <wp:positionH relativeFrom="margin">
              <wp:posOffset>38100</wp:posOffset>
            </wp:positionH>
            <wp:positionV relativeFrom="paragraph">
              <wp:posOffset>633730</wp:posOffset>
            </wp:positionV>
            <wp:extent cx="5759450" cy="2132895"/>
            <wp:effectExtent l="0" t="0" r="0" b="1270"/>
            <wp:wrapTopAndBottom/>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2132895"/>
                    </a:xfrm>
                    <a:prstGeom prst="rect">
                      <a:avLst/>
                    </a:prstGeom>
                    <a:noFill/>
                  </pic:spPr>
                </pic:pic>
              </a:graphicData>
            </a:graphic>
          </wp:anchor>
        </w:drawing>
      </w:r>
      <w:r w:rsidR="00516FC3">
        <w:t>Přehled výše chybějících prostředků na obnovu</w:t>
      </w:r>
      <w:r w:rsidR="00D55797">
        <w:t xml:space="preserve"> v mil. Kč</w:t>
      </w:r>
      <w:r w:rsidR="000C0870">
        <w:t xml:space="preserve"> </w:t>
      </w:r>
      <w:r w:rsidR="00516FC3">
        <w:t xml:space="preserve">v členění podle modelu provozování a jednotlivých skupin vlastníků je uveden v následující tabulce. </w:t>
      </w:r>
    </w:p>
    <w:p w14:paraId="4615F175" w14:textId="77777777" w:rsidR="00516FC3" w:rsidRDefault="00516FC3" w:rsidP="00A0147D">
      <w:pPr>
        <w:pStyle w:val="Normlnzprva"/>
      </w:pPr>
    </w:p>
    <w:p w14:paraId="52DCF663" w14:textId="714ABAF3" w:rsidR="009F36D5" w:rsidRDefault="00A528B6" w:rsidP="000C0870">
      <w:pPr>
        <w:pStyle w:val="NORMLN0"/>
      </w:pPr>
      <w:r>
        <w:t xml:space="preserve">Problém nedostatečné tvorby prostředků na obnovu není nutné řešit u vlastnických subjektů, které jsou zařazené do </w:t>
      </w:r>
      <w:r w:rsidRPr="00641C60">
        <w:t>první</w:t>
      </w:r>
      <w:r>
        <w:t xml:space="preserve"> vlastnické skupiny. Jak z tabulky vyplývá, nejvíce prostředků na </w:t>
      </w:r>
      <w:r w:rsidRPr="00641C60">
        <w:t>obnovu</w:t>
      </w:r>
      <w:r>
        <w:t xml:space="preserve"> v </w:t>
      </w:r>
      <w:r w:rsidRPr="00641C60">
        <w:t>roce</w:t>
      </w:r>
      <w:r>
        <w:t xml:space="preserve"> 2017 </w:t>
      </w:r>
      <w:r w:rsidR="00251F6D">
        <w:t xml:space="preserve">chybělo </w:t>
      </w:r>
      <w:r>
        <w:t>v</w:t>
      </w:r>
      <w:r w:rsidR="00D55797">
        <w:t>e</w:t>
      </w:r>
      <w:r>
        <w:t> IV. vlastnické skupině</w:t>
      </w:r>
      <w:r w:rsidR="00251F6D">
        <w:t xml:space="preserve"> (u </w:t>
      </w:r>
      <w:r w:rsidR="00D55797">
        <w:t>769 Porovnání</w:t>
      </w:r>
      <w:r w:rsidR="00251F6D">
        <w:t xml:space="preserve">, tj. </w:t>
      </w:r>
      <w:r w:rsidR="00E93AB0">
        <w:t>82,7</w:t>
      </w:r>
      <w:r w:rsidR="001A5DAA">
        <w:t xml:space="preserve"> </w:t>
      </w:r>
      <w:r w:rsidR="00E93AB0">
        <w:t xml:space="preserve">% </w:t>
      </w:r>
      <w:r w:rsidR="00D55797">
        <w:t>Porovnání</w:t>
      </w:r>
      <w:r w:rsidR="00251F6D">
        <w:t xml:space="preserve"> </w:t>
      </w:r>
      <w:r w:rsidR="00D55797">
        <w:t>skupiny</w:t>
      </w:r>
      <w:r w:rsidR="00E93AB0">
        <w:t>)</w:t>
      </w:r>
      <w:r>
        <w:t xml:space="preserve">. Z hlediska modelu provozování </w:t>
      </w:r>
      <w:r w:rsidR="00251F6D">
        <w:t xml:space="preserve">chybí největší objem prostředků obnovy u Porovnání zastupující </w:t>
      </w:r>
      <w:r w:rsidR="00E93AB0">
        <w:t>oddíln</w:t>
      </w:r>
      <w:r w:rsidR="00251F6D">
        <w:t>ý</w:t>
      </w:r>
      <w:r w:rsidR="00E93AB0">
        <w:t xml:space="preserve"> model provozování.</w:t>
      </w:r>
    </w:p>
    <w:p w14:paraId="01E5087D" w14:textId="77777777" w:rsidR="000C0870" w:rsidRDefault="000C0870" w:rsidP="000C0870">
      <w:pPr>
        <w:pStyle w:val="NORMLN0"/>
      </w:pPr>
    </w:p>
    <w:p w14:paraId="0F9537D7" w14:textId="4A7FF4E3" w:rsidR="004C7C21" w:rsidRDefault="00AD6863" w:rsidP="000C0870">
      <w:pPr>
        <w:pStyle w:val="NORMLN0"/>
      </w:pPr>
      <w:r>
        <w:t>Následující tabulky</w:t>
      </w:r>
      <w:r w:rsidR="009F2AB8">
        <w:t xml:space="preserve"> </w:t>
      </w:r>
      <w:r w:rsidR="001A5DAA">
        <w:t>porovnáv</w:t>
      </w:r>
      <w:r w:rsidR="00251F6D">
        <w:t>ají</w:t>
      </w:r>
      <w:r w:rsidR="001A5DAA">
        <w:t xml:space="preserve"> v jednotlivých vlastnických skupinách </w:t>
      </w:r>
      <w:r w:rsidR="009F2AB8">
        <w:t xml:space="preserve">průměrné hodnoty ukazatelů OKF, ceny pro vodné a jednotkových </w:t>
      </w:r>
      <w:r w:rsidR="001A5DAA">
        <w:t xml:space="preserve">ÚVN </w:t>
      </w:r>
      <w:r w:rsidR="009F2AB8">
        <w:t xml:space="preserve">u </w:t>
      </w:r>
      <w:r w:rsidR="001A5DAA">
        <w:t>Porovnání</w:t>
      </w:r>
      <w:r w:rsidR="009F2AB8">
        <w:t xml:space="preserve"> s dostatečnou tvorbou prostředků na obnovu a </w:t>
      </w:r>
      <w:r w:rsidR="001900D1">
        <w:t xml:space="preserve">u </w:t>
      </w:r>
      <w:r w:rsidR="009F2AB8">
        <w:t>subjektů s nedostatečnou tvorbou prostředků na obnovu</w:t>
      </w:r>
      <w:r w:rsidR="001A5DAA">
        <w:t>.</w:t>
      </w:r>
      <w:r w:rsidR="009F2AB8">
        <w:t xml:space="preserve"> Průměrná hodnota </w:t>
      </w:r>
      <w:r w:rsidR="001A5DAA">
        <w:t>OKF</w:t>
      </w:r>
      <w:r w:rsidR="009F2AB8">
        <w:t xml:space="preserve"> u subjektů s nedostatečnou tvorbou prostředků na obnovu je pod 1 (od 0,</w:t>
      </w:r>
      <w:r w:rsidR="00EC211F">
        <w:t>63</w:t>
      </w:r>
      <w:r w:rsidR="009F2AB8">
        <w:t xml:space="preserve"> po 0,75)</w:t>
      </w:r>
      <w:r w:rsidR="001A5DAA">
        <w:t>,</w:t>
      </w:r>
      <w:r w:rsidR="009F2AB8">
        <w:t xml:space="preserve"> co</w:t>
      </w:r>
      <w:r w:rsidR="001A5DAA">
        <w:t>ž</w:t>
      </w:r>
      <w:r w:rsidR="009F2AB8">
        <w:t xml:space="preserve"> upozorňuje na </w:t>
      </w:r>
      <w:r w:rsidR="000C0870">
        <w:t>nesprávné</w:t>
      </w:r>
      <w:r w:rsidR="001A5DAA">
        <w:t xml:space="preserve"> </w:t>
      </w:r>
      <w:r w:rsidR="009F2AB8">
        <w:t>nastavení ceny pro vodné</w:t>
      </w:r>
      <w:r w:rsidR="001A5DAA">
        <w:t>.</w:t>
      </w:r>
      <w:r w:rsidR="009F2AB8">
        <w:t xml:space="preserve"> </w:t>
      </w:r>
      <w:r w:rsidR="001A5DAA">
        <w:t>Tato cena</w:t>
      </w:r>
      <w:r w:rsidR="009F2AB8">
        <w:t xml:space="preserve"> neodpovídá výši </w:t>
      </w:r>
      <w:r w:rsidR="001900D1">
        <w:t xml:space="preserve">jednotkových </w:t>
      </w:r>
      <w:r w:rsidR="001A5DAA">
        <w:t>ÚVN</w:t>
      </w:r>
      <w:r w:rsidR="009F2AB8">
        <w:t xml:space="preserve"> spojených s poskytováním služby. Uvedenou skutečnost potvrzuje také fakt, že </w:t>
      </w:r>
      <w:r w:rsidR="001A5DAA">
        <w:t>s výjimkou</w:t>
      </w:r>
      <w:r w:rsidR="009F2AB8">
        <w:t xml:space="preserve"> </w:t>
      </w:r>
      <w:r w:rsidR="00EC211F">
        <w:t xml:space="preserve">II. a </w:t>
      </w:r>
      <w:r w:rsidR="009F2AB8">
        <w:t>III. skupin</w:t>
      </w:r>
      <w:r w:rsidR="001A5DAA">
        <w:t>y</w:t>
      </w:r>
      <w:r w:rsidR="009F2AB8">
        <w:t xml:space="preserve"> je průměrná </w:t>
      </w:r>
      <w:r w:rsidR="001A5DAA">
        <w:t xml:space="preserve">výše </w:t>
      </w:r>
      <w:r w:rsidR="009F2AB8">
        <w:t xml:space="preserve">ceny pro vodné nižší než průměrná </w:t>
      </w:r>
      <w:r w:rsidR="001A5DAA">
        <w:t>výše</w:t>
      </w:r>
      <w:r w:rsidR="009F2AB8">
        <w:t xml:space="preserve"> jednotkových nákladů. Naproti tomu</w:t>
      </w:r>
      <w:r w:rsidR="00BC03D3">
        <w:t xml:space="preserve"> </w:t>
      </w:r>
      <w:r w:rsidR="001A5DAA">
        <w:t>u Porovnání</w:t>
      </w:r>
      <w:r w:rsidR="009F2AB8">
        <w:t xml:space="preserve"> </w:t>
      </w:r>
      <w:r w:rsidR="00245A3E">
        <w:t xml:space="preserve">s dostatečnou tvorbou prostředků na obnovu je průměrná hodnota OKF v jednotlivých skupinách vyšší než 1, tj. tržby z vodného v roce 2017 pokrývaly </w:t>
      </w:r>
      <w:r w:rsidR="001A5DAA">
        <w:t>ÚVN</w:t>
      </w:r>
      <w:r w:rsidR="00245A3E">
        <w:t xml:space="preserve"> a potřebnou výši prostředků na obnovu.</w:t>
      </w:r>
    </w:p>
    <w:p w14:paraId="1444D1DD" w14:textId="77777777" w:rsidR="004C7C21" w:rsidRDefault="004C7C21" w:rsidP="000C0870">
      <w:pPr>
        <w:pStyle w:val="NORMLN0"/>
      </w:pPr>
    </w:p>
    <w:p w14:paraId="2F33CD39" w14:textId="77777777" w:rsidR="004C7C21" w:rsidRDefault="004C7C21" w:rsidP="000C0870">
      <w:pPr>
        <w:pStyle w:val="NORMLN0"/>
      </w:pPr>
    </w:p>
    <w:p w14:paraId="4A8352B1" w14:textId="6A8BE7B4" w:rsidR="009F36D5" w:rsidRDefault="00245A3E" w:rsidP="000C0870">
      <w:pPr>
        <w:pStyle w:val="NORMLN0"/>
      </w:pPr>
      <w:r>
        <w:t xml:space="preserve"> </w:t>
      </w:r>
    </w:p>
    <w:p w14:paraId="2B081B62" w14:textId="77777777" w:rsidR="00AD6863" w:rsidRDefault="00AD6863" w:rsidP="000C0870">
      <w:pPr>
        <w:pStyle w:val="NORMLN0"/>
      </w:pPr>
    </w:p>
    <w:p w14:paraId="710F493A" w14:textId="77777777" w:rsidR="000C0870" w:rsidRDefault="000C0870" w:rsidP="000C0870">
      <w:pPr>
        <w:pStyle w:val="NORMLN0"/>
      </w:pPr>
    </w:p>
    <w:tbl>
      <w:tblPr>
        <w:tblW w:w="5000" w:type="pct"/>
        <w:jc w:val="center"/>
        <w:tblLayout w:type="fixed"/>
        <w:tblCellMar>
          <w:left w:w="70" w:type="dxa"/>
          <w:right w:w="70" w:type="dxa"/>
        </w:tblCellMar>
        <w:tblLook w:val="04A0" w:firstRow="1" w:lastRow="0" w:firstColumn="1" w:lastColumn="0" w:noHBand="0" w:noVBand="1"/>
      </w:tblPr>
      <w:tblGrid>
        <w:gridCol w:w="2775"/>
        <w:gridCol w:w="678"/>
        <w:gridCol w:w="976"/>
        <w:gridCol w:w="1299"/>
        <w:gridCol w:w="1718"/>
        <w:gridCol w:w="1624"/>
      </w:tblGrid>
      <w:tr w:rsidR="000A02AF" w:rsidRPr="00245A3E" w14:paraId="2EA572DE" w14:textId="77777777" w:rsidTr="000A02AF">
        <w:trPr>
          <w:trHeight w:val="385"/>
          <w:jc w:val="center"/>
        </w:trPr>
        <w:tc>
          <w:tcPr>
            <w:tcW w:w="5000" w:type="pct"/>
            <w:gridSpan w:val="6"/>
            <w:tcBorders>
              <w:top w:val="nil"/>
              <w:left w:val="nil"/>
              <w:bottom w:val="nil"/>
              <w:right w:val="nil"/>
            </w:tcBorders>
            <w:shd w:val="clear" w:color="auto" w:fill="BDD6EE" w:themeFill="accent1" w:themeFillTint="66"/>
            <w:noWrap/>
            <w:vAlign w:val="center"/>
            <w:hideMark/>
          </w:tcPr>
          <w:p w14:paraId="727932F9" w14:textId="77777777" w:rsidR="000A02AF" w:rsidRPr="00245A3E" w:rsidRDefault="000A02AF" w:rsidP="000A02AF">
            <w:pPr>
              <w:spacing w:before="0" w:after="0"/>
              <w:contextualSpacing w:val="0"/>
              <w:jc w:val="center"/>
              <w:rPr>
                <w:rFonts w:asciiTheme="majorHAnsi" w:eastAsia="Times New Roman" w:hAnsiTheme="majorHAnsi"/>
                <w:b/>
                <w:bCs/>
                <w:sz w:val="20"/>
                <w:szCs w:val="20"/>
                <w:lang w:eastAsia="cs-CZ"/>
              </w:rPr>
            </w:pPr>
            <w:r w:rsidRPr="000A02AF">
              <w:rPr>
                <w:rFonts w:asciiTheme="majorHAnsi" w:eastAsia="Times New Roman" w:hAnsiTheme="majorHAnsi"/>
                <w:b/>
                <w:bCs/>
                <w:color w:val="FFFFFF" w:themeColor="background1"/>
                <w:sz w:val="20"/>
                <w:szCs w:val="20"/>
                <w:lang w:eastAsia="cs-CZ"/>
              </w:rPr>
              <w:t>DOSTATEČNÁ MINIMÁLNÍ TVORBA</w:t>
            </w:r>
          </w:p>
        </w:tc>
      </w:tr>
      <w:tr w:rsidR="00E651DB" w:rsidRPr="005A7CB1" w14:paraId="64B49266" w14:textId="77777777" w:rsidTr="000A02AF">
        <w:trPr>
          <w:cantSplit/>
          <w:trHeight w:val="1996"/>
          <w:jc w:val="center"/>
        </w:trPr>
        <w:tc>
          <w:tcPr>
            <w:tcW w:w="1530" w:type="pct"/>
            <w:tcBorders>
              <w:top w:val="nil"/>
              <w:left w:val="nil"/>
              <w:bottom w:val="single" w:sz="4" w:space="0" w:color="8EA9DB"/>
              <w:right w:val="single" w:sz="4" w:space="0" w:color="FFFFFF"/>
            </w:tcBorders>
            <w:shd w:val="clear" w:color="4472C4" w:fill="4472C4"/>
            <w:vAlign w:val="center"/>
            <w:hideMark/>
          </w:tcPr>
          <w:p w14:paraId="1C348498" w14:textId="77777777" w:rsidR="00B9129E" w:rsidRPr="000A02AF" w:rsidRDefault="00B9129E" w:rsidP="000A02AF">
            <w:pPr>
              <w:spacing w:before="0" w:after="0"/>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SKUPINA VLASTNÍKŮ</w:t>
            </w:r>
          </w:p>
        </w:tc>
        <w:tc>
          <w:tcPr>
            <w:tcW w:w="374" w:type="pct"/>
            <w:tcBorders>
              <w:top w:val="nil"/>
              <w:left w:val="single" w:sz="4" w:space="0" w:color="FFFFFF"/>
              <w:bottom w:val="single" w:sz="4" w:space="0" w:color="8EA9DB"/>
              <w:right w:val="single" w:sz="4" w:space="0" w:color="FFFFFF"/>
            </w:tcBorders>
            <w:shd w:val="clear" w:color="4472C4" w:fill="4472C4"/>
            <w:textDirection w:val="btLr"/>
            <w:vAlign w:val="center"/>
            <w:hideMark/>
          </w:tcPr>
          <w:p w14:paraId="25CF7BCF" w14:textId="77777777" w:rsidR="00B9129E" w:rsidRPr="000A02AF" w:rsidRDefault="00B9129E"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POČET POROVNÁNI</w:t>
            </w:r>
          </w:p>
        </w:tc>
        <w:tc>
          <w:tcPr>
            <w:tcW w:w="538" w:type="pct"/>
            <w:tcBorders>
              <w:top w:val="nil"/>
              <w:left w:val="single" w:sz="4" w:space="0" w:color="FFFFFF"/>
              <w:bottom w:val="single" w:sz="4" w:space="0" w:color="8EA9DB"/>
              <w:right w:val="single" w:sz="4" w:space="0" w:color="FFFFFF"/>
            </w:tcBorders>
            <w:shd w:val="clear" w:color="4472C4" w:fill="4472C4"/>
            <w:textDirection w:val="btLr"/>
            <w:vAlign w:val="center"/>
            <w:hideMark/>
          </w:tcPr>
          <w:p w14:paraId="23CD7DB5" w14:textId="77777777" w:rsidR="00B9129E" w:rsidRPr="000A02AF" w:rsidRDefault="00B9129E"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HODNOTA OKF</w:t>
            </w:r>
          </w:p>
        </w:tc>
        <w:tc>
          <w:tcPr>
            <w:tcW w:w="716" w:type="pct"/>
            <w:tcBorders>
              <w:top w:val="nil"/>
              <w:left w:val="single" w:sz="4" w:space="0" w:color="FFFFFF"/>
              <w:bottom w:val="single" w:sz="4" w:space="0" w:color="8EA9DB"/>
              <w:right w:val="single" w:sz="4" w:space="0" w:color="FFFFFF"/>
            </w:tcBorders>
            <w:shd w:val="clear" w:color="4472C4" w:fill="4472C4"/>
            <w:textDirection w:val="btLr"/>
            <w:vAlign w:val="center"/>
            <w:hideMark/>
          </w:tcPr>
          <w:p w14:paraId="1D5C4380" w14:textId="77777777" w:rsidR="00B9129E" w:rsidRPr="000A02AF" w:rsidRDefault="00B9129E"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CENA PRO VODNÉ (KČ/M3)</w:t>
            </w:r>
          </w:p>
        </w:tc>
        <w:tc>
          <w:tcPr>
            <w:tcW w:w="947" w:type="pct"/>
            <w:tcBorders>
              <w:top w:val="nil"/>
              <w:left w:val="single" w:sz="4" w:space="0" w:color="FFFFFF"/>
              <w:bottom w:val="single" w:sz="4" w:space="0" w:color="8EA9DB"/>
              <w:right w:val="single" w:sz="4" w:space="0" w:color="FFFFFF"/>
            </w:tcBorders>
            <w:shd w:val="clear" w:color="4472C4" w:fill="4472C4"/>
            <w:textDirection w:val="btLr"/>
            <w:vAlign w:val="center"/>
            <w:hideMark/>
          </w:tcPr>
          <w:p w14:paraId="7796488F" w14:textId="77777777" w:rsidR="00B9129E" w:rsidRPr="000A02AF" w:rsidRDefault="00B9129E"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HODNOTA JEDNOTKOVÝCH NÁKLADŮ (KČ/M3)</w:t>
            </w:r>
          </w:p>
        </w:tc>
        <w:tc>
          <w:tcPr>
            <w:tcW w:w="894" w:type="pct"/>
            <w:tcBorders>
              <w:top w:val="nil"/>
              <w:left w:val="single" w:sz="4" w:space="0" w:color="FFFFFF"/>
              <w:bottom w:val="single" w:sz="4" w:space="0" w:color="8EA9DB"/>
              <w:right w:val="single" w:sz="4" w:space="0" w:color="FFFFFF"/>
            </w:tcBorders>
            <w:shd w:val="clear" w:color="4472C4" w:fill="4472C4"/>
            <w:textDirection w:val="btLr"/>
            <w:vAlign w:val="center"/>
          </w:tcPr>
          <w:p w14:paraId="5B6A8597" w14:textId="77777777" w:rsidR="00E651DB" w:rsidRPr="000A02AF" w:rsidRDefault="00E651DB"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VÝŠE TEORETICKÉ CENY PRO PLNĚNÍ OBNOVY</w:t>
            </w:r>
            <w:r w:rsidR="00214DA2" w:rsidRPr="000A02AF">
              <w:rPr>
                <w:rFonts w:asciiTheme="majorHAnsi" w:eastAsia="Times New Roman" w:hAnsiTheme="majorHAnsi"/>
                <w:b/>
                <w:bCs/>
                <w:color w:val="FFFFFF" w:themeColor="background1"/>
                <w:sz w:val="20"/>
                <w:szCs w:val="20"/>
                <w:lang w:eastAsia="cs-CZ"/>
              </w:rPr>
              <w:t xml:space="preserve"> </w:t>
            </w:r>
            <w:r w:rsidR="000A02AF" w:rsidRPr="000A02AF">
              <w:rPr>
                <w:rFonts w:asciiTheme="majorHAnsi" w:eastAsia="Times New Roman" w:hAnsiTheme="majorHAnsi"/>
                <w:b/>
                <w:bCs/>
                <w:color w:val="FFFFFF" w:themeColor="background1"/>
                <w:sz w:val="20"/>
                <w:szCs w:val="20"/>
                <w:lang w:eastAsia="cs-CZ"/>
              </w:rPr>
              <w:t xml:space="preserve">PŘI NULOVÉM ZISKU </w:t>
            </w:r>
            <w:r w:rsidRPr="000A02AF">
              <w:rPr>
                <w:rFonts w:asciiTheme="majorHAnsi" w:eastAsia="Times New Roman" w:hAnsiTheme="majorHAnsi"/>
                <w:b/>
                <w:bCs/>
                <w:color w:val="FFFFFF" w:themeColor="background1"/>
                <w:sz w:val="20"/>
                <w:szCs w:val="20"/>
                <w:lang w:eastAsia="cs-CZ"/>
              </w:rPr>
              <w:t>(KČ/M3)</w:t>
            </w:r>
          </w:p>
          <w:p w14:paraId="2093E493" w14:textId="77777777" w:rsidR="00B9129E" w:rsidRPr="000A02AF" w:rsidRDefault="00B9129E"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p>
        </w:tc>
      </w:tr>
      <w:tr w:rsidR="00E651DB" w:rsidRPr="005A7CB1" w14:paraId="19846474" w14:textId="77777777" w:rsidTr="000A02AF">
        <w:trPr>
          <w:trHeight w:val="261"/>
          <w:jc w:val="center"/>
        </w:trPr>
        <w:tc>
          <w:tcPr>
            <w:tcW w:w="1530" w:type="pct"/>
            <w:tcBorders>
              <w:top w:val="single" w:sz="4" w:space="0" w:color="FFFFFF"/>
              <w:left w:val="nil"/>
              <w:bottom w:val="single" w:sz="4" w:space="0" w:color="FFFFFF"/>
              <w:right w:val="single" w:sz="4" w:space="0" w:color="FFFFFF"/>
            </w:tcBorders>
            <w:shd w:val="clear" w:color="B4C6E7" w:fill="B4C6E7"/>
            <w:vAlign w:val="center"/>
            <w:hideMark/>
          </w:tcPr>
          <w:p w14:paraId="7E613954"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I.SKUPINA(&gt;10 000MIL.KČ)</w:t>
            </w:r>
          </w:p>
        </w:tc>
        <w:tc>
          <w:tcPr>
            <w:tcW w:w="374"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72E14964"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w:t>
            </w:r>
          </w:p>
        </w:tc>
        <w:tc>
          <w:tcPr>
            <w:tcW w:w="538"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47C98786"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1,17</w:t>
            </w:r>
          </w:p>
        </w:tc>
        <w:tc>
          <w:tcPr>
            <w:tcW w:w="716"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196105CF"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39,95</w:t>
            </w:r>
          </w:p>
        </w:tc>
        <w:tc>
          <w:tcPr>
            <w:tcW w:w="947"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3A289FC8"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34,47</w:t>
            </w:r>
          </w:p>
        </w:tc>
        <w:tc>
          <w:tcPr>
            <w:tcW w:w="894" w:type="pct"/>
            <w:tcBorders>
              <w:top w:val="single" w:sz="4" w:space="0" w:color="FFFFFF"/>
              <w:left w:val="single" w:sz="4" w:space="0" w:color="FFFFFF"/>
              <w:bottom w:val="single" w:sz="4" w:space="0" w:color="FFFFFF"/>
              <w:right w:val="single" w:sz="4" w:space="0" w:color="FFFFFF"/>
            </w:tcBorders>
            <w:shd w:val="clear" w:color="B4C6E7" w:fill="B4C6E7"/>
          </w:tcPr>
          <w:p w14:paraId="43867D5E"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34,47</w:t>
            </w:r>
          </w:p>
        </w:tc>
      </w:tr>
      <w:tr w:rsidR="00E651DB" w:rsidRPr="005A7CB1" w14:paraId="291FF1E6" w14:textId="77777777" w:rsidTr="000A02AF">
        <w:trPr>
          <w:trHeight w:val="261"/>
          <w:jc w:val="center"/>
        </w:trPr>
        <w:tc>
          <w:tcPr>
            <w:tcW w:w="1530" w:type="pct"/>
            <w:tcBorders>
              <w:top w:val="single" w:sz="4" w:space="0" w:color="FFFFFF"/>
              <w:left w:val="nil"/>
              <w:bottom w:val="single" w:sz="4" w:space="0" w:color="FFFFFF"/>
              <w:right w:val="single" w:sz="4" w:space="0" w:color="FFFFFF"/>
            </w:tcBorders>
            <w:shd w:val="clear" w:color="D9E1F2" w:fill="D9E1F2"/>
            <w:vAlign w:val="center"/>
            <w:hideMark/>
          </w:tcPr>
          <w:p w14:paraId="070E7FCD"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II.SKUPINA(&gt;1 000MIL.KČ)</w:t>
            </w:r>
          </w:p>
        </w:tc>
        <w:tc>
          <w:tcPr>
            <w:tcW w:w="374"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52497DCA"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38</w:t>
            </w:r>
          </w:p>
        </w:tc>
        <w:tc>
          <w:tcPr>
            <w:tcW w:w="538"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686B8F90"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1,08</w:t>
            </w:r>
          </w:p>
        </w:tc>
        <w:tc>
          <w:tcPr>
            <w:tcW w:w="716"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016F77B6"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38,95</w:t>
            </w:r>
          </w:p>
        </w:tc>
        <w:tc>
          <w:tcPr>
            <w:tcW w:w="947"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2C501FEA"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36,23</w:t>
            </w:r>
          </w:p>
        </w:tc>
        <w:tc>
          <w:tcPr>
            <w:tcW w:w="894" w:type="pct"/>
            <w:tcBorders>
              <w:top w:val="single" w:sz="4" w:space="0" w:color="FFFFFF"/>
              <w:left w:val="single" w:sz="4" w:space="0" w:color="FFFFFF"/>
              <w:bottom w:val="single" w:sz="4" w:space="0" w:color="FFFFFF"/>
              <w:right w:val="single" w:sz="4" w:space="0" w:color="FFFFFF"/>
            </w:tcBorders>
            <w:shd w:val="clear" w:color="D9E1F2" w:fill="D9E1F2"/>
          </w:tcPr>
          <w:p w14:paraId="18E52097"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36,30</w:t>
            </w:r>
          </w:p>
        </w:tc>
      </w:tr>
      <w:tr w:rsidR="00E651DB" w:rsidRPr="005A7CB1" w14:paraId="19486B11" w14:textId="77777777" w:rsidTr="000A02AF">
        <w:trPr>
          <w:trHeight w:val="261"/>
          <w:jc w:val="center"/>
        </w:trPr>
        <w:tc>
          <w:tcPr>
            <w:tcW w:w="1530" w:type="pct"/>
            <w:tcBorders>
              <w:top w:val="single" w:sz="4" w:space="0" w:color="FFFFFF"/>
              <w:left w:val="nil"/>
              <w:bottom w:val="single" w:sz="4" w:space="0" w:color="FFFFFF"/>
              <w:right w:val="single" w:sz="4" w:space="0" w:color="FFFFFF"/>
            </w:tcBorders>
            <w:shd w:val="clear" w:color="B4C6E7" w:fill="B4C6E7"/>
            <w:vAlign w:val="center"/>
            <w:hideMark/>
          </w:tcPr>
          <w:p w14:paraId="498FC6C1"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III.SKUPINA(&gt;100MIL.KČ)</w:t>
            </w:r>
          </w:p>
        </w:tc>
        <w:tc>
          <w:tcPr>
            <w:tcW w:w="374"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2BC8B32B"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60</w:t>
            </w:r>
          </w:p>
        </w:tc>
        <w:tc>
          <w:tcPr>
            <w:tcW w:w="538"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4D8E3AB5"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1,05</w:t>
            </w:r>
          </w:p>
        </w:tc>
        <w:tc>
          <w:tcPr>
            <w:tcW w:w="716"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646F1389"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36,97</w:t>
            </w:r>
          </w:p>
        </w:tc>
        <w:tc>
          <w:tcPr>
            <w:tcW w:w="947"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144D4A2F"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35,67</w:t>
            </w:r>
          </w:p>
        </w:tc>
        <w:tc>
          <w:tcPr>
            <w:tcW w:w="894" w:type="pct"/>
            <w:tcBorders>
              <w:top w:val="single" w:sz="4" w:space="0" w:color="FFFFFF"/>
              <w:left w:val="single" w:sz="4" w:space="0" w:color="FFFFFF"/>
              <w:bottom w:val="single" w:sz="4" w:space="0" w:color="FFFFFF"/>
              <w:right w:val="single" w:sz="4" w:space="0" w:color="FFFFFF"/>
            </w:tcBorders>
            <w:shd w:val="clear" w:color="B4C6E7" w:fill="B4C6E7"/>
          </w:tcPr>
          <w:p w14:paraId="7423B7A0"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35,67</w:t>
            </w:r>
          </w:p>
        </w:tc>
      </w:tr>
      <w:tr w:rsidR="00E651DB" w:rsidRPr="005A7CB1" w14:paraId="31DCAF24" w14:textId="77777777" w:rsidTr="000A02AF">
        <w:trPr>
          <w:trHeight w:val="261"/>
          <w:jc w:val="center"/>
        </w:trPr>
        <w:tc>
          <w:tcPr>
            <w:tcW w:w="1530" w:type="pct"/>
            <w:tcBorders>
              <w:top w:val="single" w:sz="4" w:space="0" w:color="FFFFFF"/>
              <w:left w:val="nil"/>
              <w:bottom w:val="single" w:sz="4" w:space="0" w:color="FFFFFF"/>
              <w:right w:val="single" w:sz="4" w:space="0" w:color="FFFFFF"/>
            </w:tcBorders>
            <w:shd w:val="clear" w:color="D9E1F2" w:fill="D9E1F2"/>
            <w:vAlign w:val="center"/>
            <w:hideMark/>
          </w:tcPr>
          <w:p w14:paraId="0A401B0F"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IV.SKUPINA(&gt;10MIL.KČ)</w:t>
            </w:r>
          </w:p>
        </w:tc>
        <w:tc>
          <w:tcPr>
            <w:tcW w:w="374"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585AC48C"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160</w:t>
            </w:r>
          </w:p>
        </w:tc>
        <w:tc>
          <w:tcPr>
            <w:tcW w:w="538"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2D330E3F"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1,02</w:t>
            </w:r>
          </w:p>
        </w:tc>
        <w:tc>
          <w:tcPr>
            <w:tcW w:w="716"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1AB64322"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36,42</w:t>
            </w:r>
          </w:p>
        </w:tc>
        <w:tc>
          <w:tcPr>
            <w:tcW w:w="947"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5D3A2453"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38,07</w:t>
            </w:r>
          </w:p>
        </w:tc>
        <w:tc>
          <w:tcPr>
            <w:tcW w:w="894" w:type="pct"/>
            <w:tcBorders>
              <w:top w:val="single" w:sz="4" w:space="0" w:color="FFFFFF"/>
              <w:left w:val="single" w:sz="4" w:space="0" w:color="FFFFFF"/>
              <w:bottom w:val="single" w:sz="4" w:space="0" w:color="FFFFFF"/>
              <w:right w:val="single" w:sz="4" w:space="0" w:color="FFFFFF"/>
            </w:tcBorders>
            <w:shd w:val="clear" w:color="D9E1F2" w:fill="D9E1F2"/>
          </w:tcPr>
          <w:p w14:paraId="1A906E1B"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38,15</w:t>
            </w:r>
          </w:p>
        </w:tc>
      </w:tr>
      <w:tr w:rsidR="00E651DB" w:rsidRPr="005A7CB1" w14:paraId="5E180711" w14:textId="77777777" w:rsidTr="000A02AF">
        <w:trPr>
          <w:trHeight w:val="261"/>
          <w:jc w:val="center"/>
        </w:trPr>
        <w:tc>
          <w:tcPr>
            <w:tcW w:w="1530" w:type="pct"/>
            <w:tcBorders>
              <w:top w:val="single" w:sz="4" w:space="0" w:color="FFFFFF"/>
              <w:left w:val="nil"/>
              <w:bottom w:val="single" w:sz="4" w:space="0" w:color="FFFFFF"/>
              <w:right w:val="single" w:sz="4" w:space="0" w:color="FFFFFF"/>
            </w:tcBorders>
            <w:shd w:val="clear" w:color="B4C6E7" w:fill="B4C6E7"/>
            <w:vAlign w:val="center"/>
            <w:hideMark/>
          </w:tcPr>
          <w:p w14:paraId="7A37CDCB"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V.SKUPINA(&gt;1MIL.KČ)</w:t>
            </w:r>
          </w:p>
        </w:tc>
        <w:tc>
          <w:tcPr>
            <w:tcW w:w="374"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49DEDD28"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114</w:t>
            </w:r>
          </w:p>
        </w:tc>
        <w:tc>
          <w:tcPr>
            <w:tcW w:w="538"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05D71D7A"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1,00</w:t>
            </w:r>
          </w:p>
        </w:tc>
        <w:tc>
          <w:tcPr>
            <w:tcW w:w="716"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289291E9"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36,53</w:t>
            </w:r>
          </w:p>
        </w:tc>
        <w:tc>
          <w:tcPr>
            <w:tcW w:w="947"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19F46127"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38,63</w:t>
            </w:r>
          </w:p>
        </w:tc>
        <w:tc>
          <w:tcPr>
            <w:tcW w:w="894" w:type="pct"/>
            <w:tcBorders>
              <w:top w:val="single" w:sz="4" w:space="0" w:color="FFFFFF"/>
              <w:left w:val="single" w:sz="4" w:space="0" w:color="FFFFFF"/>
              <w:bottom w:val="single" w:sz="4" w:space="0" w:color="FFFFFF"/>
              <w:right w:val="single" w:sz="4" w:space="0" w:color="FFFFFF"/>
            </w:tcBorders>
            <w:shd w:val="clear" w:color="B4C6E7" w:fill="B4C6E7"/>
          </w:tcPr>
          <w:p w14:paraId="4F3FCFE9"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38,79</w:t>
            </w:r>
          </w:p>
        </w:tc>
      </w:tr>
      <w:tr w:rsidR="00E651DB" w:rsidRPr="005A7CB1" w14:paraId="0E033E96" w14:textId="77777777" w:rsidTr="000A02AF">
        <w:trPr>
          <w:trHeight w:val="308"/>
          <w:jc w:val="center"/>
        </w:trPr>
        <w:tc>
          <w:tcPr>
            <w:tcW w:w="1530" w:type="pct"/>
            <w:tcBorders>
              <w:top w:val="single" w:sz="4" w:space="0" w:color="FFFFFF"/>
              <w:left w:val="nil"/>
              <w:bottom w:val="single" w:sz="4" w:space="0" w:color="FFFFFF"/>
              <w:right w:val="single" w:sz="4" w:space="0" w:color="FFFFFF"/>
            </w:tcBorders>
            <w:shd w:val="clear" w:color="D9E1F2" w:fill="D9E1F2"/>
            <w:vAlign w:val="center"/>
            <w:hideMark/>
          </w:tcPr>
          <w:p w14:paraId="5AD406D1"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VI.SKUPINA(&lt;1MIL.KČ)</w:t>
            </w:r>
          </w:p>
        </w:tc>
        <w:tc>
          <w:tcPr>
            <w:tcW w:w="374"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1316727F"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9</w:t>
            </w:r>
          </w:p>
        </w:tc>
        <w:tc>
          <w:tcPr>
            <w:tcW w:w="538"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5F331B32"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1,11</w:t>
            </w:r>
          </w:p>
        </w:tc>
        <w:tc>
          <w:tcPr>
            <w:tcW w:w="716"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46A73BAF"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43,13</w:t>
            </w:r>
          </w:p>
        </w:tc>
        <w:tc>
          <w:tcPr>
            <w:tcW w:w="947"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18A97F58"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41,92</w:t>
            </w:r>
          </w:p>
        </w:tc>
        <w:tc>
          <w:tcPr>
            <w:tcW w:w="894" w:type="pct"/>
            <w:tcBorders>
              <w:top w:val="single" w:sz="4" w:space="0" w:color="FFFFFF"/>
              <w:left w:val="single" w:sz="4" w:space="0" w:color="FFFFFF"/>
              <w:bottom w:val="single" w:sz="4" w:space="0" w:color="FFFFFF"/>
              <w:right w:val="single" w:sz="4" w:space="0" w:color="FFFFFF"/>
            </w:tcBorders>
            <w:shd w:val="clear" w:color="D9E1F2" w:fill="D9E1F2"/>
          </w:tcPr>
          <w:p w14:paraId="3987137C"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41,92</w:t>
            </w:r>
          </w:p>
        </w:tc>
      </w:tr>
      <w:tr w:rsidR="00E651DB" w:rsidRPr="005A7CB1" w14:paraId="242C32F2" w14:textId="77777777" w:rsidTr="000A02AF">
        <w:trPr>
          <w:trHeight w:val="261"/>
          <w:jc w:val="center"/>
        </w:trPr>
        <w:tc>
          <w:tcPr>
            <w:tcW w:w="1530" w:type="pct"/>
            <w:tcBorders>
              <w:top w:val="single" w:sz="4" w:space="0" w:color="8EA9DB"/>
              <w:left w:val="nil"/>
              <w:bottom w:val="nil"/>
              <w:right w:val="single" w:sz="4" w:space="0" w:color="FFFFFF"/>
            </w:tcBorders>
            <w:shd w:val="clear" w:color="B4C6E7" w:fill="B4C6E7"/>
            <w:vAlign w:val="center"/>
            <w:hideMark/>
          </w:tcPr>
          <w:p w14:paraId="2D84BF5C" w14:textId="77777777" w:rsidR="00E651DB" w:rsidRPr="00245A3E" w:rsidRDefault="000A02AF" w:rsidP="00E651DB">
            <w:pPr>
              <w:spacing w:before="0" w:after="0"/>
              <w:contextualSpacing w:val="0"/>
              <w:jc w:val="left"/>
              <w:rPr>
                <w:rFonts w:asciiTheme="majorHAnsi" w:eastAsia="Times New Roman" w:hAnsiTheme="majorHAnsi"/>
                <w:b/>
                <w:bCs/>
                <w:sz w:val="20"/>
                <w:szCs w:val="20"/>
                <w:lang w:eastAsia="cs-CZ"/>
              </w:rPr>
            </w:pPr>
            <w:r>
              <w:rPr>
                <w:rFonts w:asciiTheme="majorHAnsi" w:eastAsia="Times New Roman" w:hAnsiTheme="majorHAnsi"/>
                <w:b/>
                <w:bCs/>
                <w:sz w:val="20"/>
                <w:szCs w:val="20"/>
                <w:lang w:eastAsia="cs-CZ"/>
              </w:rPr>
              <w:t>CELKEM</w:t>
            </w:r>
          </w:p>
        </w:tc>
        <w:tc>
          <w:tcPr>
            <w:tcW w:w="374" w:type="pct"/>
            <w:tcBorders>
              <w:top w:val="single" w:sz="4" w:space="0" w:color="8EA9DB"/>
              <w:left w:val="single" w:sz="4" w:space="0" w:color="FFFFFF"/>
              <w:bottom w:val="nil"/>
              <w:right w:val="single" w:sz="4" w:space="0" w:color="FFFFFF"/>
            </w:tcBorders>
            <w:shd w:val="clear" w:color="B4C6E7" w:fill="B4C6E7"/>
            <w:vAlign w:val="center"/>
            <w:hideMark/>
          </w:tcPr>
          <w:p w14:paraId="58ADEF1B" w14:textId="77777777" w:rsidR="00E651DB" w:rsidRPr="00245A3E" w:rsidRDefault="000A02AF" w:rsidP="00E651DB">
            <w:pPr>
              <w:spacing w:before="0" w:after="0"/>
              <w:contextualSpacing w:val="0"/>
              <w:jc w:val="center"/>
              <w:rPr>
                <w:rFonts w:asciiTheme="majorHAnsi" w:eastAsia="Times New Roman" w:hAnsiTheme="majorHAnsi"/>
                <w:b/>
                <w:bCs/>
                <w:sz w:val="20"/>
                <w:szCs w:val="20"/>
                <w:lang w:eastAsia="cs-CZ"/>
              </w:rPr>
            </w:pPr>
            <w:r w:rsidRPr="00245A3E">
              <w:rPr>
                <w:rFonts w:asciiTheme="majorHAnsi" w:eastAsia="Times New Roman" w:hAnsiTheme="majorHAnsi"/>
                <w:b/>
                <w:bCs/>
                <w:sz w:val="20"/>
                <w:szCs w:val="20"/>
                <w:lang w:eastAsia="cs-CZ"/>
              </w:rPr>
              <w:t>384</w:t>
            </w:r>
          </w:p>
        </w:tc>
        <w:tc>
          <w:tcPr>
            <w:tcW w:w="538" w:type="pct"/>
            <w:tcBorders>
              <w:top w:val="single" w:sz="4" w:space="0" w:color="8EA9DB"/>
              <w:left w:val="single" w:sz="4" w:space="0" w:color="FFFFFF"/>
              <w:bottom w:val="nil"/>
              <w:right w:val="single" w:sz="4" w:space="0" w:color="FFFFFF"/>
            </w:tcBorders>
            <w:shd w:val="clear" w:color="B4C6E7" w:fill="B4C6E7"/>
            <w:vAlign w:val="center"/>
            <w:hideMark/>
          </w:tcPr>
          <w:p w14:paraId="23BAD1FA" w14:textId="77777777" w:rsidR="00E651DB" w:rsidRPr="00245A3E" w:rsidRDefault="000A02AF" w:rsidP="00E651DB">
            <w:pPr>
              <w:spacing w:before="0" w:after="0"/>
              <w:contextualSpacing w:val="0"/>
              <w:jc w:val="center"/>
              <w:rPr>
                <w:rFonts w:asciiTheme="majorHAnsi" w:eastAsia="Times New Roman" w:hAnsiTheme="majorHAnsi"/>
                <w:b/>
                <w:bCs/>
                <w:sz w:val="20"/>
                <w:szCs w:val="20"/>
                <w:lang w:eastAsia="cs-CZ"/>
              </w:rPr>
            </w:pPr>
            <w:r w:rsidRPr="00245A3E">
              <w:rPr>
                <w:rFonts w:asciiTheme="majorHAnsi" w:eastAsia="Times New Roman" w:hAnsiTheme="majorHAnsi"/>
                <w:b/>
                <w:bCs/>
                <w:sz w:val="20"/>
                <w:szCs w:val="20"/>
                <w:lang w:eastAsia="cs-CZ"/>
              </w:rPr>
              <w:t>1,03</w:t>
            </w:r>
          </w:p>
        </w:tc>
        <w:tc>
          <w:tcPr>
            <w:tcW w:w="716" w:type="pct"/>
            <w:tcBorders>
              <w:top w:val="single" w:sz="4" w:space="0" w:color="8EA9DB"/>
              <w:left w:val="single" w:sz="4" w:space="0" w:color="FFFFFF"/>
              <w:bottom w:val="nil"/>
              <w:right w:val="single" w:sz="4" w:space="0" w:color="FFFFFF"/>
            </w:tcBorders>
            <w:shd w:val="clear" w:color="B4C6E7" w:fill="B4C6E7"/>
            <w:vAlign w:val="center"/>
            <w:hideMark/>
          </w:tcPr>
          <w:p w14:paraId="51161E43" w14:textId="77777777" w:rsidR="00E651DB" w:rsidRPr="00245A3E" w:rsidRDefault="000A02AF" w:rsidP="00E651DB">
            <w:pPr>
              <w:spacing w:before="0" w:after="0"/>
              <w:contextualSpacing w:val="0"/>
              <w:jc w:val="center"/>
              <w:rPr>
                <w:rFonts w:asciiTheme="majorHAnsi" w:eastAsia="Times New Roman" w:hAnsiTheme="majorHAnsi"/>
                <w:b/>
                <w:bCs/>
                <w:sz w:val="20"/>
                <w:szCs w:val="20"/>
                <w:lang w:eastAsia="cs-CZ"/>
              </w:rPr>
            </w:pPr>
            <w:r w:rsidRPr="00245A3E">
              <w:rPr>
                <w:rFonts w:asciiTheme="majorHAnsi" w:eastAsia="Times New Roman" w:hAnsiTheme="majorHAnsi"/>
                <w:b/>
                <w:bCs/>
                <w:sz w:val="20"/>
                <w:szCs w:val="20"/>
                <w:lang w:eastAsia="cs-CZ"/>
              </w:rPr>
              <w:t>36,97</w:t>
            </w:r>
          </w:p>
        </w:tc>
        <w:tc>
          <w:tcPr>
            <w:tcW w:w="947" w:type="pct"/>
            <w:tcBorders>
              <w:top w:val="single" w:sz="4" w:space="0" w:color="8EA9DB"/>
              <w:left w:val="single" w:sz="4" w:space="0" w:color="FFFFFF"/>
              <w:bottom w:val="nil"/>
              <w:right w:val="single" w:sz="4" w:space="0" w:color="FFFFFF"/>
            </w:tcBorders>
            <w:shd w:val="clear" w:color="B4C6E7" w:fill="B4C6E7"/>
            <w:vAlign w:val="center"/>
            <w:hideMark/>
          </w:tcPr>
          <w:p w14:paraId="5893E441" w14:textId="77777777" w:rsidR="00E651DB" w:rsidRPr="00245A3E" w:rsidRDefault="000A02AF" w:rsidP="00E651DB">
            <w:pPr>
              <w:spacing w:before="0" w:after="0"/>
              <w:contextualSpacing w:val="0"/>
              <w:jc w:val="center"/>
              <w:rPr>
                <w:rFonts w:asciiTheme="majorHAnsi" w:eastAsia="Times New Roman" w:hAnsiTheme="majorHAnsi"/>
                <w:b/>
                <w:bCs/>
                <w:sz w:val="20"/>
                <w:szCs w:val="20"/>
                <w:lang w:eastAsia="cs-CZ"/>
              </w:rPr>
            </w:pPr>
            <w:r w:rsidRPr="00245A3E">
              <w:rPr>
                <w:rFonts w:asciiTheme="majorHAnsi" w:eastAsia="Times New Roman" w:hAnsiTheme="majorHAnsi"/>
                <w:b/>
                <w:bCs/>
                <w:sz w:val="20"/>
                <w:szCs w:val="20"/>
                <w:lang w:eastAsia="cs-CZ"/>
              </w:rPr>
              <w:t>37,74</w:t>
            </w:r>
          </w:p>
        </w:tc>
        <w:tc>
          <w:tcPr>
            <w:tcW w:w="894" w:type="pct"/>
            <w:tcBorders>
              <w:top w:val="single" w:sz="4" w:space="0" w:color="8EA9DB"/>
              <w:left w:val="single" w:sz="4" w:space="0" w:color="FFFFFF"/>
              <w:bottom w:val="nil"/>
              <w:right w:val="single" w:sz="4" w:space="0" w:color="FFFFFF"/>
            </w:tcBorders>
            <w:shd w:val="clear" w:color="B4C6E7" w:fill="B4C6E7"/>
          </w:tcPr>
          <w:p w14:paraId="3CA86B61" w14:textId="77777777" w:rsidR="00E651DB" w:rsidRPr="00E651DB" w:rsidRDefault="000A02AF" w:rsidP="00E651DB">
            <w:pPr>
              <w:spacing w:before="0" w:after="0"/>
              <w:contextualSpacing w:val="0"/>
              <w:jc w:val="center"/>
              <w:rPr>
                <w:rFonts w:asciiTheme="majorHAnsi" w:eastAsia="Times New Roman" w:hAnsiTheme="majorHAnsi"/>
                <w:b/>
                <w:sz w:val="20"/>
                <w:szCs w:val="20"/>
                <w:lang w:eastAsia="cs-CZ"/>
              </w:rPr>
            </w:pPr>
            <w:r w:rsidRPr="00E651DB">
              <w:rPr>
                <w:rFonts w:asciiTheme="majorHAnsi" w:eastAsia="Times New Roman" w:hAnsiTheme="majorHAnsi"/>
                <w:b/>
                <w:sz w:val="20"/>
                <w:szCs w:val="20"/>
                <w:lang w:eastAsia="cs-CZ"/>
              </w:rPr>
              <w:t>37,83</w:t>
            </w:r>
          </w:p>
        </w:tc>
      </w:tr>
    </w:tbl>
    <w:p w14:paraId="4EAB2510" w14:textId="77777777" w:rsidR="00245A3E" w:rsidRDefault="00245A3E" w:rsidP="00A0147D">
      <w:pPr>
        <w:pStyle w:val="Normlnzprva"/>
      </w:pPr>
    </w:p>
    <w:tbl>
      <w:tblPr>
        <w:tblStyle w:val="Tmavtabulkasmkou5zvraznn41"/>
        <w:tblW w:w="5055" w:type="pct"/>
        <w:tblLayout w:type="fixed"/>
        <w:tblLook w:val="0420" w:firstRow="1" w:lastRow="0" w:firstColumn="0" w:lastColumn="0" w:noHBand="0" w:noVBand="1"/>
      </w:tblPr>
      <w:tblGrid>
        <w:gridCol w:w="2855"/>
        <w:gridCol w:w="819"/>
        <w:gridCol w:w="769"/>
        <w:gridCol w:w="769"/>
        <w:gridCol w:w="1072"/>
        <w:gridCol w:w="1409"/>
        <w:gridCol w:w="1467"/>
      </w:tblGrid>
      <w:tr w:rsidR="000A02AF" w:rsidRPr="00245A3E" w14:paraId="6AEEDD08" w14:textId="77777777" w:rsidTr="000A02AF">
        <w:trPr>
          <w:cnfStyle w:val="100000000000" w:firstRow="1" w:lastRow="0" w:firstColumn="0" w:lastColumn="0" w:oddVBand="0" w:evenVBand="0" w:oddHBand="0" w:evenHBand="0" w:firstRowFirstColumn="0" w:firstRowLastColumn="0" w:lastRowFirstColumn="0" w:lastRowLastColumn="0"/>
          <w:trHeight w:val="313"/>
        </w:trPr>
        <w:tc>
          <w:tcPr>
            <w:tcW w:w="5000" w:type="pct"/>
            <w:gridSpan w:val="7"/>
            <w:noWrap/>
            <w:vAlign w:val="center"/>
            <w:hideMark/>
          </w:tcPr>
          <w:p w14:paraId="16B9A4AA" w14:textId="77777777" w:rsidR="000A02AF" w:rsidRPr="000A02AF" w:rsidRDefault="000A02AF" w:rsidP="000A02AF">
            <w:pPr>
              <w:spacing w:before="0" w:after="0"/>
              <w:contextualSpacing w:val="0"/>
              <w:jc w:val="center"/>
              <w:rPr>
                <w:rFonts w:asciiTheme="majorHAnsi" w:eastAsia="Times New Roman" w:hAnsiTheme="majorHAnsi"/>
                <w:bCs w:val="0"/>
                <w:sz w:val="20"/>
                <w:szCs w:val="20"/>
                <w:lang w:eastAsia="cs-CZ"/>
              </w:rPr>
            </w:pPr>
            <w:r w:rsidRPr="000A02AF">
              <w:rPr>
                <w:rFonts w:asciiTheme="majorHAnsi" w:eastAsia="Times New Roman" w:hAnsiTheme="majorHAnsi"/>
                <w:bCs w:val="0"/>
                <w:color w:val="FFFFFF" w:themeColor="background1"/>
                <w:sz w:val="20"/>
                <w:szCs w:val="20"/>
                <w:lang w:eastAsia="cs-CZ"/>
              </w:rPr>
              <w:t>NEDOSTATEČNÁ MINIMÁLNÍ TVORBA</w:t>
            </w:r>
          </w:p>
        </w:tc>
      </w:tr>
      <w:tr w:rsidR="000A02AF" w:rsidRPr="005A7CB1" w14:paraId="395B8617" w14:textId="77777777" w:rsidTr="000A02AF">
        <w:trPr>
          <w:cnfStyle w:val="000000100000" w:firstRow="0" w:lastRow="0" w:firstColumn="0" w:lastColumn="0" w:oddVBand="0" w:evenVBand="0" w:oddHBand="1" w:evenHBand="0" w:firstRowFirstColumn="0" w:firstRowLastColumn="0" w:lastRowFirstColumn="0" w:lastRowLastColumn="0"/>
          <w:trHeight w:val="2395"/>
        </w:trPr>
        <w:tc>
          <w:tcPr>
            <w:tcW w:w="1558" w:type="pct"/>
            <w:shd w:val="clear" w:color="auto" w:fill="A691BD"/>
            <w:vAlign w:val="center"/>
            <w:hideMark/>
          </w:tcPr>
          <w:p w14:paraId="68A25C7D" w14:textId="77777777" w:rsidR="00E651DB" w:rsidRPr="000A02AF" w:rsidRDefault="00E651DB" w:rsidP="000A02AF">
            <w:pPr>
              <w:spacing w:before="0" w:after="0"/>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SKUPINA VLASTNÍKŮ</w:t>
            </w:r>
          </w:p>
        </w:tc>
        <w:tc>
          <w:tcPr>
            <w:tcW w:w="447" w:type="pct"/>
            <w:shd w:val="clear" w:color="auto" w:fill="A691BD"/>
            <w:textDirection w:val="btLr"/>
            <w:vAlign w:val="center"/>
            <w:hideMark/>
          </w:tcPr>
          <w:p w14:paraId="37C3067F" w14:textId="77777777" w:rsidR="00E651DB" w:rsidRPr="000A02AF" w:rsidRDefault="00E651DB"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POČET POROVNÁNI</w:t>
            </w:r>
          </w:p>
        </w:tc>
        <w:tc>
          <w:tcPr>
            <w:tcW w:w="420" w:type="pct"/>
            <w:shd w:val="clear" w:color="auto" w:fill="A691BD"/>
            <w:textDirection w:val="btLr"/>
            <w:vAlign w:val="center"/>
            <w:hideMark/>
          </w:tcPr>
          <w:p w14:paraId="4FDCFCDE" w14:textId="77777777" w:rsidR="00E651DB" w:rsidRPr="000A02AF" w:rsidRDefault="00E651DB"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HODNOTA OKF</w:t>
            </w:r>
          </w:p>
        </w:tc>
        <w:tc>
          <w:tcPr>
            <w:tcW w:w="420" w:type="pct"/>
            <w:shd w:val="clear" w:color="auto" w:fill="A691BD"/>
            <w:textDirection w:val="btLr"/>
            <w:vAlign w:val="center"/>
            <w:hideMark/>
          </w:tcPr>
          <w:p w14:paraId="6BDDBC78" w14:textId="77777777" w:rsidR="00E651DB" w:rsidRPr="000A02AF" w:rsidRDefault="00E651DB"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CENA PRO VODNÉ (KČ/M3)</w:t>
            </w:r>
          </w:p>
        </w:tc>
        <w:tc>
          <w:tcPr>
            <w:tcW w:w="585" w:type="pct"/>
            <w:shd w:val="clear" w:color="auto" w:fill="A691BD"/>
            <w:textDirection w:val="btLr"/>
            <w:vAlign w:val="center"/>
            <w:hideMark/>
          </w:tcPr>
          <w:p w14:paraId="3494300B" w14:textId="77777777" w:rsidR="00E651DB" w:rsidRPr="000A02AF" w:rsidRDefault="00E651DB"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HODNOTA JEDNOTKOVÝCH NÁKLADŮ (KČ/M3)</w:t>
            </w:r>
          </w:p>
        </w:tc>
        <w:tc>
          <w:tcPr>
            <w:tcW w:w="769" w:type="pct"/>
            <w:shd w:val="clear" w:color="auto" w:fill="A691BD"/>
            <w:textDirection w:val="btLr"/>
            <w:vAlign w:val="center"/>
          </w:tcPr>
          <w:p w14:paraId="3403F7EE" w14:textId="77777777" w:rsidR="00E651DB" w:rsidRPr="000A02AF" w:rsidRDefault="00E651DB"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 xml:space="preserve">PRŮMĚRNÁ VÝŠE TEORETICKÉ CENY PRO PLNĚNÍ </w:t>
            </w:r>
            <w:r w:rsidR="000A02AF" w:rsidRPr="000A02AF">
              <w:rPr>
                <w:rFonts w:asciiTheme="majorHAnsi" w:eastAsia="Times New Roman" w:hAnsiTheme="majorHAnsi"/>
                <w:b/>
                <w:bCs/>
                <w:color w:val="FFFFFF" w:themeColor="background1"/>
                <w:sz w:val="20"/>
                <w:szCs w:val="20"/>
                <w:lang w:eastAsia="cs-CZ"/>
              </w:rPr>
              <w:t>OBNOVY PŘI NULOVÉM ZISKU (KČ/M3</w:t>
            </w:r>
            <w:r w:rsidRPr="000A02AF">
              <w:rPr>
                <w:rFonts w:asciiTheme="majorHAnsi" w:eastAsia="Times New Roman" w:hAnsiTheme="majorHAnsi"/>
                <w:b/>
                <w:bCs/>
                <w:color w:val="FFFFFF" w:themeColor="background1"/>
                <w:sz w:val="20"/>
                <w:szCs w:val="20"/>
                <w:lang w:eastAsia="cs-CZ"/>
              </w:rPr>
              <w:t>)</w:t>
            </w:r>
          </w:p>
        </w:tc>
        <w:tc>
          <w:tcPr>
            <w:tcW w:w="801" w:type="pct"/>
            <w:shd w:val="clear" w:color="auto" w:fill="A691BD"/>
            <w:textDirection w:val="btLr"/>
            <w:vAlign w:val="center"/>
          </w:tcPr>
          <w:p w14:paraId="174B2873" w14:textId="77777777" w:rsidR="00E651DB" w:rsidRPr="000A02AF" w:rsidRDefault="00E651DB" w:rsidP="000A02AF">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VÝŠE CHYBĚJÍCÍCH PROSTŘEDKŮ OBNOVY VIM NA 1M3 PITNÉ FAKTUROVANÉ VODY (KČ/M3)</w:t>
            </w:r>
          </w:p>
        </w:tc>
      </w:tr>
      <w:tr w:rsidR="000A02AF" w:rsidRPr="005A7CB1" w14:paraId="6A567F4E" w14:textId="77777777" w:rsidTr="000A02AF">
        <w:trPr>
          <w:trHeight w:val="212"/>
        </w:trPr>
        <w:tc>
          <w:tcPr>
            <w:tcW w:w="1558" w:type="pct"/>
            <w:hideMark/>
          </w:tcPr>
          <w:p w14:paraId="0733F0AF"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I.SKUPINA(&gt;10 000MIL.KČ)</w:t>
            </w:r>
          </w:p>
        </w:tc>
        <w:tc>
          <w:tcPr>
            <w:tcW w:w="447" w:type="pct"/>
            <w:hideMark/>
          </w:tcPr>
          <w:p w14:paraId="6EA51242" w14:textId="77777777" w:rsidR="00E651DB" w:rsidRPr="00245A3E" w:rsidRDefault="00E651DB" w:rsidP="00E651DB">
            <w:pPr>
              <w:spacing w:before="0" w:after="0"/>
              <w:contextualSpacing w:val="0"/>
              <w:jc w:val="center"/>
              <w:rPr>
                <w:rFonts w:asciiTheme="majorHAnsi" w:eastAsia="Times New Roman" w:hAnsiTheme="majorHAnsi"/>
                <w:sz w:val="20"/>
                <w:szCs w:val="20"/>
                <w:lang w:eastAsia="cs-CZ"/>
              </w:rPr>
            </w:pPr>
          </w:p>
        </w:tc>
        <w:tc>
          <w:tcPr>
            <w:tcW w:w="420" w:type="pct"/>
            <w:hideMark/>
          </w:tcPr>
          <w:p w14:paraId="4DBA6004" w14:textId="77777777" w:rsidR="00E651DB" w:rsidRPr="00245A3E" w:rsidRDefault="00E651DB" w:rsidP="00E651DB">
            <w:pPr>
              <w:spacing w:before="0" w:after="0"/>
              <w:contextualSpacing w:val="0"/>
              <w:jc w:val="center"/>
              <w:rPr>
                <w:rFonts w:asciiTheme="majorHAnsi" w:eastAsia="Times New Roman" w:hAnsiTheme="majorHAnsi"/>
                <w:sz w:val="20"/>
                <w:szCs w:val="20"/>
                <w:lang w:eastAsia="cs-CZ"/>
              </w:rPr>
            </w:pPr>
          </w:p>
        </w:tc>
        <w:tc>
          <w:tcPr>
            <w:tcW w:w="420" w:type="pct"/>
            <w:hideMark/>
          </w:tcPr>
          <w:p w14:paraId="020264FB" w14:textId="77777777" w:rsidR="00E651DB" w:rsidRPr="00245A3E" w:rsidRDefault="00E651DB" w:rsidP="00E651DB">
            <w:pPr>
              <w:spacing w:before="0" w:after="0"/>
              <w:contextualSpacing w:val="0"/>
              <w:jc w:val="center"/>
              <w:rPr>
                <w:rFonts w:asciiTheme="majorHAnsi" w:eastAsia="Times New Roman" w:hAnsiTheme="majorHAnsi"/>
                <w:sz w:val="20"/>
                <w:szCs w:val="20"/>
                <w:lang w:eastAsia="cs-CZ"/>
              </w:rPr>
            </w:pPr>
          </w:p>
        </w:tc>
        <w:tc>
          <w:tcPr>
            <w:tcW w:w="585" w:type="pct"/>
            <w:hideMark/>
          </w:tcPr>
          <w:p w14:paraId="30E89766" w14:textId="77777777" w:rsidR="00E651DB" w:rsidRPr="00245A3E" w:rsidRDefault="00E651DB" w:rsidP="00E651DB">
            <w:pPr>
              <w:spacing w:before="0" w:after="0"/>
              <w:contextualSpacing w:val="0"/>
              <w:jc w:val="center"/>
              <w:rPr>
                <w:rFonts w:asciiTheme="majorHAnsi" w:eastAsia="Times New Roman" w:hAnsiTheme="majorHAnsi"/>
                <w:sz w:val="20"/>
                <w:szCs w:val="20"/>
                <w:lang w:eastAsia="cs-CZ"/>
              </w:rPr>
            </w:pPr>
          </w:p>
        </w:tc>
        <w:tc>
          <w:tcPr>
            <w:tcW w:w="769" w:type="pct"/>
          </w:tcPr>
          <w:p w14:paraId="6604EFF5" w14:textId="77777777" w:rsidR="00E651DB" w:rsidRPr="00245A3E" w:rsidRDefault="00E651DB" w:rsidP="00E651DB">
            <w:pPr>
              <w:spacing w:before="0" w:after="0"/>
              <w:contextualSpacing w:val="0"/>
              <w:jc w:val="center"/>
              <w:rPr>
                <w:rFonts w:asciiTheme="majorHAnsi" w:eastAsia="Times New Roman" w:hAnsiTheme="majorHAnsi"/>
                <w:sz w:val="20"/>
                <w:szCs w:val="20"/>
                <w:lang w:eastAsia="cs-CZ"/>
              </w:rPr>
            </w:pPr>
          </w:p>
        </w:tc>
        <w:tc>
          <w:tcPr>
            <w:tcW w:w="801" w:type="pct"/>
          </w:tcPr>
          <w:p w14:paraId="66767AEB" w14:textId="77777777" w:rsidR="00E651DB" w:rsidRPr="00245A3E" w:rsidRDefault="00E651DB" w:rsidP="00E651DB">
            <w:pPr>
              <w:spacing w:before="0" w:after="0"/>
              <w:contextualSpacing w:val="0"/>
              <w:jc w:val="center"/>
              <w:rPr>
                <w:rFonts w:asciiTheme="majorHAnsi" w:eastAsia="Times New Roman" w:hAnsiTheme="majorHAnsi"/>
                <w:sz w:val="20"/>
                <w:szCs w:val="20"/>
                <w:lang w:eastAsia="cs-CZ"/>
              </w:rPr>
            </w:pPr>
          </w:p>
        </w:tc>
      </w:tr>
      <w:tr w:rsidR="000A02AF" w:rsidRPr="005A7CB1" w14:paraId="5838A155" w14:textId="77777777" w:rsidTr="000A02AF">
        <w:trPr>
          <w:cnfStyle w:val="000000100000" w:firstRow="0" w:lastRow="0" w:firstColumn="0" w:lastColumn="0" w:oddVBand="0" w:evenVBand="0" w:oddHBand="1" w:evenHBand="0" w:firstRowFirstColumn="0" w:firstRowLastColumn="0" w:lastRowFirstColumn="0" w:lastRowLastColumn="0"/>
          <w:trHeight w:val="212"/>
        </w:trPr>
        <w:tc>
          <w:tcPr>
            <w:tcW w:w="1558" w:type="pct"/>
            <w:hideMark/>
          </w:tcPr>
          <w:p w14:paraId="135ECFCB"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II.SKUPINA(&gt;1 000MIL.KČ)</w:t>
            </w:r>
          </w:p>
        </w:tc>
        <w:tc>
          <w:tcPr>
            <w:tcW w:w="447" w:type="pct"/>
            <w:hideMark/>
          </w:tcPr>
          <w:p w14:paraId="37566D46"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4</w:t>
            </w:r>
          </w:p>
        </w:tc>
        <w:tc>
          <w:tcPr>
            <w:tcW w:w="420" w:type="pct"/>
            <w:hideMark/>
          </w:tcPr>
          <w:p w14:paraId="09AAD7B2" w14:textId="2506C959"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0,</w:t>
            </w:r>
            <w:r w:rsidR="00D60CD5">
              <w:rPr>
                <w:rFonts w:asciiTheme="majorHAnsi" w:eastAsia="Times New Roman" w:hAnsiTheme="majorHAnsi"/>
                <w:sz w:val="20"/>
                <w:szCs w:val="20"/>
                <w:lang w:eastAsia="cs-CZ"/>
              </w:rPr>
              <w:t>63</w:t>
            </w:r>
          </w:p>
        </w:tc>
        <w:tc>
          <w:tcPr>
            <w:tcW w:w="420" w:type="pct"/>
            <w:hideMark/>
          </w:tcPr>
          <w:p w14:paraId="7A218327" w14:textId="106715B4"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w:t>
            </w:r>
            <w:r w:rsidR="00D60CD5">
              <w:rPr>
                <w:rFonts w:asciiTheme="majorHAnsi" w:eastAsia="Times New Roman" w:hAnsiTheme="majorHAnsi"/>
                <w:sz w:val="20"/>
                <w:szCs w:val="20"/>
                <w:lang w:eastAsia="cs-CZ"/>
              </w:rPr>
              <w:t>5,60</w:t>
            </w:r>
          </w:p>
        </w:tc>
        <w:tc>
          <w:tcPr>
            <w:tcW w:w="585" w:type="pct"/>
            <w:hideMark/>
          </w:tcPr>
          <w:p w14:paraId="72B177E9" w14:textId="5DB860F9" w:rsidR="00E651DB" w:rsidRPr="00245A3E" w:rsidRDefault="00D60CD5" w:rsidP="00E651DB">
            <w:pPr>
              <w:spacing w:before="0" w:after="0"/>
              <w:contextualSpacing w:val="0"/>
              <w:jc w:val="center"/>
              <w:rPr>
                <w:rFonts w:asciiTheme="majorHAnsi" w:eastAsia="Times New Roman" w:hAnsiTheme="majorHAnsi"/>
                <w:sz w:val="20"/>
                <w:szCs w:val="20"/>
                <w:lang w:eastAsia="cs-CZ"/>
              </w:rPr>
            </w:pPr>
            <w:r>
              <w:rPr>
                <w:rFonts w:asciiTheme="majorHAnsi" w:eastAsia="Times New Roman" w:hAnsiTheme="majorHAnsi"/>
                <w:sz w:val="20"/>
                <w:szCs w:val="20"/>
                <w:lang w:eastAsia="cs-CZ"/>
              </w:rPr>
              <w:t>31,93</w:t>
            </w:r>
          </w:p>
        </w:tc>
        <w:tc>
          <w:tcPr>
            <w:tcW w:w="769" w:type="pct"/>
          </w:tcPr>
          <w:p w14:paraId="1D521285"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139,27</w:t>
            </w:r>
          </w:p>
        </w:tc>
        <w:tc>
          <w:tcPr>
            <w:tcW w:w="801" w:type="pct"/>
          </w:tcPr>
          <w:p w14:paraId="709D28F1"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106,89</w:t>
            </w:r>
          </w:p>
        </w:tc>
      </w:tr>
      <w:tr w:rsidR="000A02AF" w:rsidRPr="005A7CB1" w14:paraId="1DD6BC1A" w14:textId="77777777" w:rsidTr="000A02AF">
        <w:trPr>
          <w:trHeight w:val="212"/>
        </w:trPr>
        <w:tc>
          <w:tcPr>
            <w:tcW w:w="1558" w:type="pct"/>
            <w:hideMark/>
          </w:tcPr>
          <w:p w14:paraId="0F92166B"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III.SKUPINA(&gt;100MIL.KČ)</w:t>
            </w:r>
          </w:p>
        </w:tc>
        <w:tc>
          <w:tcPr>
            <w:tcW w:w="447" w:type="pct"/>
            <w:hideMark/>
          </w:tcPr>
          <w:p w14:paraId="7272C6DB"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78</w:t>
            </w:r>
          </w:p>
        </w:tc>
        <w:tc>
          <w:tcPr>
            <w:tcW w:w="420" w:type="pct"/>
            <w:hideMark/>
          </w:tcPr>
          <w:p w14:paraId="3843C468"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0,75</w:t>
            </w:r>
          </w:p>
        </w:tc>
        <w:tc>
          <w:tcPr>
            <w:tcW w:w="420" w:type="pct"/>
            <w:hideMark/>
          </w:tcPr>
          <w:p w14:paraId="1AD2A592"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33,66</w:t>
            </w:r>
          </w:p>
        </w:tc>
        <w:tc>
          <w:tcPr>
            <w:tcW w:w="585" w:type="pct"/>
            <w:hideMark/>
          </w:tcPr>
          <w:p w14:paraId="1E269913"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32,96</w:t>
            </w:r>
          </w:p>
        </w:tc>
        <w:tc>
          <w:tcPr>
            <w:tcW w:w="769" w:type="pct"/>
          </w:tcPr>
          <w:p w14:paraId="49CB28DF"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153,47</w:t>
            </w:r>
          </w:p>
        </w:tc>
        <w:tc>
          <w:tcPr>
            <w:tcW w:w="801" w:type="pct"/>
          </w:tcPr>
          <w:p w14:paraId="11EBCAFB"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121,44</w:t>
            </w:r>
          </w:p>
        </w:tc>
      </w:tr>
      <w:tr w:rsidR="000A02AF" w:rsidRPr="005A7CB1" w14:paraId="6D962370" w14:textId="77777777" w:rsidTr="000A02AF">
        <w:trPr>
          <w:cnfStyle w:val="000000100000" w:firstRow="0" w:lastRow="0" w:firstColumn="0" w:lastColumn="0" w:oddVBand="0" w:evenVBand="0" w:oddHBand="1" w:evenHBand="0" w:firstRowFirstColumn="0" w:firstRowLastColumn="0" w:lastRowFirstColumn="0" w:lastRowLastColumn="0"/>
          <w:trHeight w:val="212"/>
        </w:trPr>
        <w:tc>
          <w:tcPr>
            <w:tcW w:w="1558" w:type="pct"/>
            <w:hideMark/>
          </w:tcPr>
          <w:p w14:paraId="51FAFEC5"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IV.SKUPINA(&gt;10MIL.KČ)</w:t>
            </w:r>
          </w:p>
        </w:tc>
        <w:tc>
          <w:tcPr>
            <w:tcW w:w="447" w:type="pct"/>
            <w:hideMark/>
          </w:tcPr>
          <w:p w14:paraId="250CB6CA"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769</w:t>
            </w:r>
          </w:p>
        </w:tc>
        <w:tc>
          <w:tcPr>
            <w:tcW w:w="420" w:type="pct"/>
            <w:hideMark/>
          </w:tcPr>
          <w:p w14:paraId="73CD3A72"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0,68</w:t>
            </w:r>
          </w:p>
        </w:tc>
        <w:tc>
          <w:tcPr>
            <w:tcW w:w="420" w:type="pct"/>
            <w:hideMark/>
          </w:tcPr>
          <w:p w14:paraId="23482A2A"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29,15</w:t>
            </w:r>
          </w:p>
        </w:tc>
        <w:tc>
          <w:tcPr>
            <w:tcW w:w="585" w:type="pct"/>
            <w:hideMark/>
          </w:tcPr>
          <w:p w14:paraId="228665C0"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35,03</w:t>
            </w:r>
          </w:p>
        </w:tc>
        <w:tc>
          <w:tcPr>
            <w:tcW w:w="769" w:type="pct"/>
          </w:tcPr>
          <w:p w14:paraId="18FA3E16"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50,00</w:t>
            </w:r>
          </w:p>
        </w:tc>
        <w:tc>
          <w:tcPr>
            <w:tcW w:w="801" w:type="pct"/>
          </w:tcPr>
          <w:p w14:paraId="532C8278"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18,21</w:t>
            </w:r>
          </w:p>
        </w:tc>
      </w:tr>
      <w:tr w:rsidR="000A02AF" w:rsidRPr="005A7CB1" w14:paraId="28FF8D69" w14:textId="77777777" w:rsidTr="000A02AF">
        <w:trPr>
          <w:trHeight w:val="212"/>
        </w:trPr>
        <w:tc>
          <w:tcPr>
            <w:tcW w:w="1558" w:type="pct"/>
            <w:hideMark/>
          </w:tcPr>
          <w:p w14:paraId="33DA6478"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V.SKUPINA(&gt;1MIL.KČ)</w:t>
            </w:r>
          </w:p>
        </w:tc>
        <w:tc>
          <w:tcPr>
            <w:tcW w:w="447" w:type="pct"/>
            <w:hideMark/>
          </w:tcPr>
          <w:p w14:paraId="5C4D0EE8"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446</w:t>
            </w:r>
          </w:p>
        </w:tc>
        <w:tc>
          <w:tcPr>
            <w:tcW w:w="420" w:type="pct"/>
            <w:hideMark/>
          </w:tcPr>
          <w:p w14:paraId="1341C6C8"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0,63</w:t>
            </w:r>
          </w:p>
        </w:tc>
        <w:tc>
          <w:tcPr>
            <w:tcW w:w="420" w:type="pct"/>
            <w:hideMark/>
          </w:tcPr>
          <w:p w14:paraId="5D739ABB"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26,08</w:t>
            </w:r>
          </w:p>
        </w:tc>
        <w:tc>
          <w:tcPr>
            <w:tcW w:w="585" w:type="pct"/>
            <w:hideMark/>
          </w:tcPr>
          <w:p w14:paraId="3703DAFD"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41,58</w:t>
            </w:r>
          </w:p>
        </w:tc>
        <w:tc>
          <w:tcPr>
            <w:tcW w:w="769" w:type="pct"/>
          </w:tcPr>
          <w:p w14:paraId="29F4FAB2"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81,54</w:t>
            </w:r>
          </w:p>
        </w:tc>
        <w:tc>
          <w:tcPr>
            <w:tcW w:w="801" w:type="pct"/>
          </w:tcPr>
          <w:p w14:paraId="36424FE3"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42,70</w:t>
            </w:r>
          </w:p>
        </w:tc>
      </w:tr>
      <w:tr w:rsidR="000A02AF" w:rsidRPr="005A7CB1" w14:paraId="25048BFA" w14:textId="77777777" w:rsidTr="000A02AF">
        <w:trPr>
          <w:cnfStyle w:val="000000100000" w:firstRow="0" w:lastRow="0" w:firstColumn="0" w:lastColumn="0" w:oddVBand="0" w:evenVBand="0" w:oddHBand="1" w:evenHBand="0" w:firstRowFirstColumn="0" w:firstRowLastColumn="0" w:lastRowFirstColumn="0" w:lastRowLastColumn="0"/>
          <w:trHeight w:val="250"/>
        </w:trPr>
        <w:tc>
          <w:tcPr>
            <w:tcW w:w="1558" w:type="pct"/>
            <w:hideMark/>
          </w:tcPr>
          <w:p w14:paraId="6EE0B5BB" w14:textId="77777777" w:rsidR="00E651DB" w:rsidRPr="00245A3E" w:rsidRDefault="000A02AF" w:rsidP="00E651DB">
            <w:pPr>
              <w:spacing w:before="0" w:after="0"/>
              <w:contextualSpacing w:val="0"/>
              <w:jc w:val="left"/>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VI.SKUPINA(&lt;1MIL.KČ)</w:t>
            </w:r>
          </w:p>
        </w:tc>
        <w:tc>
          <w:tcPr>
            <w:tcW w:w="447" w:type="pct"/>
            <w:hideMark/>
          </w:tcPr>
          <w:p w14:paraId="3DA8B6CD"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16</w:t>
            </w:r>
          </w:p>
        </w:tc>
        <w:tc>
          <w:tcPr>
            <w:tcW w:w="420" w:type="pct"/>
            <w:hideMark/>
          </w:tcPr>
          <w:p w14:paraId="0C79B7A8"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0,74</w:t>
            </w:r>
          </w:p>
        </w:tc>
        <w:tc>
          <w:tcPr>
            <w:tcW w:w="420" w:type="pct"/>
            <w:hideMark/>
          </w:tcPr>
          <w:p w14:paraId="34877210"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24,92</w:t>
            </w:r>
          </w:p>
        </w:tc>
        <w:tc>
          <w:tcPr>
            <w:tcW w:w="585" w:type="pct"/>
            <w:hideMark/>
          </w:tcPr>
          <w:p w14:paraId="4B2F94F9"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245A3E">
              <w:rPr>
                <w:rFonts w:asciiTheme="majorHAnsi" w:eastAsia="Times New Roman" w:hAnsiTheme="majorHAnsi"/>
                <w:sz w:val="20"/>
                <w:szCs w:val="20"/>
                <w:lang w:eastAsia="cs-CZ"/>
              </w:rPr>
              <w:t>89,69</w:t>
            </w:r>
          </w:p>
        </w:tc>
        <w:tc>
          <w:tcPr>
            <w:tcW w:w="769" w:type="pct"/>
          </w:tcPr>
          <w:p w14:paraId="7B72E108"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132,95</w:t>
            </w:r>
          </w:p>
        </w:tc>
        <w:tc>
          <w:tcPr>
            <w:tcW w:w="801" w:type="pct"/>
          </w:tcPr>
          <w:p w14:paraId="012FE22D" w14:textId="77777777" w:rsidR="00E651DB" w:rsidRPr="00245A3E" w:rsidRDefault="000A02AF" w:rsidP="00E651DB">
            <w:pPr>
              <w:spacing w:before="0" w:after="0"/>
              <w:contextualSpacing w:val="0"/>
              <w:jc w:val="center"/>
              <w:rPr>
                <w:rFonts w:asciiTheme="majorHAnsi" w:eastAsia="Times New Roman" w:hAnsiTheme="majorHAnsi"/>
                <w:sz w:val="20"/>
                <w:szCs w:val="20"/>
                <w:lang w:eastAsia="cs-CZ"/>
              </w:rPr>
            </w:pPr>
            <w:r w:rsidRPr="00E651DB">
              <w:rPr>
                <w:rFonts w:asciiTheme="majorHAnsi" w:eastAsia="Times New Roman" w:hAnsiTheme="majorHAnsi"/>
                <w:sz w:val="20"/>
                <w:szCs w:val="20"/>
                <w:lang w:eastAsia="cs-CZ"/>
              </w:rPr>
              <w:t>43,95</w:t>
            </w:r>
          </w:p>
        </w:tc>
      </w:tr>
      <w:tr w:rsidR="000A02AF" w:rsidRPr="005A7CB1" w14:paraId="5719E108" w14:textId="77777777" w:rsidTr="000A02AF">
        <w:trPr>
          <w:trHeight w:val="212"/>
        </w:trPr>
        <w:tc>
          <w:tcPr>
            <w:tcW w:w="1558" w:type="pct"/>
            <w:hideMark/>
          </w:tcPr>
          <w:p w14:paraId="3A7AAF11" w14:textId="77777777" w:rsidR="00E651DB" w:rsidRPr="00245A3E" w:rsidRDefault="000A02AF" w:rsidP="00E651DB">
            <w:pPr>
              <w:spacing w:before="0" w:after="0"/>
              <w:contextualSpacing w:val="0"/>
              <w:jc w:val="left"/>
              <w:rPr>
                <w:rFonts w:asciiTheme="majorHAnsi" w:eastAsia="Times New Roman" w:hAnsiTheme="majorHAnsi"/>
                <w:b/>
                <w:bCs/>
                <w:sz w:val="20"/>
                <w:szCs w:val="20"/>
                <w:lang w:eastAsia="cs-CZ"/>
              </w:rPr>
            </w:pPr>
            <w:r>
              <w:rPr>
                <w:rFonts w:asciiTheme="majorHAnsi" w:eastAsia="Times New Roman" w:hAnsiTheme="majorHAnsi"/>
                <w:b/>
                <w:bCs/>
                <w:sz w:val="20"/>
                <w:szCs w:val="20"/>
                <w:lang w:eastAsia="cs-CZ"/>
              </w:rPr>
              <w:t>CELKEM</w:t>
            </w:r>
          </w:p>
        </w:tc>
        <w:tc>
          <w:tcPr>
            <w:tcW w:w="447" w:type="pct"/>
            <w:hideMark/>
          </w:tcPr>
          <w:p w14:paraId="0F9AFBD4" w14:textId="77777777" w:rsidR="00E651DB" w:rsidRPr="00245A3E" w:rsidRDefault="000A02AF" w:rsidP="00E651DB">
            <w:pPr>
              <w:spacing w:before="0" w:after="0"/>
              <w:contextualSpacing w:val="0"/>
              <w:jc w:val="center"/>
              <w:rPr>
                <w:rFonts w:asciiTheme="majorHAnsi" w:eastAsia="Times New Roman" w:hAnsiTheme="majorHAnsi"/>
                <w:b/>
                <w:bCs/>
                <w:sz w:val="20"/>
                <w:szCs w:val="20"/>
                <w:lang w:eastAsia="cs-CZ"/>
              </w:rPr>
            </w:pPr>
            <w:r w:rsidRPr="00245A3E">
              <w:rPr>
                <w:rFonts w:asciiTheme="majorHAnsi" w:eastAsia="Times New Roman" w:hAnsiTheme="majorHAnsi"/>
                <w:b/>
                <w:bCs/>
                <w:sz w:val="20"/>
                <w:szCs w:val="20"/>
                <w:lang w:eastAsia="cs-CZ"/>
              </w:rPr>
              <w:t>1 313</w:t>
            </w:r>
          </w:p>
        </w:tc>
        <w:tc>
          <w:tcPr>
            <w:tcW w:w="420" w:type="pct"/>
            <w:hideMark/>
          </w:tcPr>
          <w:p w14:paraId="47BBAB50" w14:textId="77777777" w:rsidR="00E651DB" w:rsidRPr="00245A3E" w:rsidRDefault="000A02AF" w:rsidP="00E651DB">
            <w:pPr>
              <w:spacing w:before="0" w:after="0"/>
              <w:contextualSpacing w:val="0"/>
              <w:jc w:val="center"/>
              <w:rPr>
                <w:rFonts w:asciiTheme="majorHAnsi" w:eastAsia="Times New Roman" w:hAnsiTheme="majorHAnsi"/>
                <w:b/>
                <w:bCs/>
                <w:sz w:val="20"/>
                <w:szCs w:val="20"/>
                <w:lang w:eastAsia="cs-CZ"/>
              </w:rPr>
            </w:pPr>
            <w:r w:rsidRPr="00245A3E">
              <w:rPr>
                <w:rFonts w:asciiTheme="majorHAnsi" w:eastAsia="Times New Roman" w:hAnsiTheme="majorHAnsi"/>
                <w:b/>
                <w:bCs/>
                <w:sz w:val="20"/>
                <w:szCs w:val="20"/>
                <w:lang w:eastAsia="cs-CZ"/>
              </w:rPr>
              <w:t>0,67</w:t>
            </w:r>
          </w:p>
        </w:tc>
        <w:tc>
          <w:tcPr>
            <w:tcW w:w="420" w:type="pct"/>
            <w:hideMark/>
          </w:tcPr>
          <w:p w14:paraId="05A7F7DB" w14:textId="77777777" w:rsidR="00E651DB" w:rsidRPr="00245A3E" w:rsidRDefault="000A02AF" w:rsidP="00E651DB">
            <w:pPr>
              <w:spacing w:before="0" w:after="0"/>
              <w:contextualSpacing w:val="0"/>
              <w:jc w:val="center"/>
              <w:rPr>
                <w:rFonts w:asciiTheme="majorHAnsi" w:eastAsia="Times New Roman" w:hAnsiTheme="majorHAnsi"/>
                <w:b/>
                <w:bCs/>
                <w:sz w:val="20"/>
                <w:szCs w:val="20"/>
                <w:lang w:eastAsia="cs-CZ"/>
              </w:rPr>
            </w:pPr>
            <w:r w:rsidRPr="00245A3E">
              <w:rPr>
                <w:rFonts w:asciiTheme="majorHAnsi" w:eastAsia="Times New Roman" w:hAnsiTheme="majorHAnsi"/>
                <w:b/>
                <w:bCs/>
                <w:sz w:val="20"/>
                <w:szCs w:val="20"/>
                <w:lang w:eastAsia="cs-CZ"/>
              </w:rPr>
              <w:t>28,34</w:t>
            </w:r>
          </w:p>
        </w:tc>
        <w:tc>
          <w:tcPr>
            <w:tcW w:w="585" w:type="pct"/>
            <w:hideMark/>
          </w:tcPr>
          <w:p w14:paraId="17DC2D3B" w14:textId="77777777" w:rsidR="00E651DB" w:rsidRPr="00245A3E" w:rsidRDefault="000A02AF" w:rsidP="00E651DB">
            <w:pPr>
              <w:spacing w:before="0" w:after="0"/>
              <w:contextualSpacing w:val="0"/>
              <w:jc w:val="center"/>
              <w:rPr>
                <w:rFonts w:asciiTheme="majorHAnsi" w:eastAsia="Times New Roman" w:hAnsiTheme="majorHAnsi"/>
                <w:b/>
                <w:bCs/>
                <w:sz w:val="20"/>
                <w:szCs w:val="20"/>
                <w:lang w:eastAsia="cs-CZ"/>
              </w:rPr>
            </w:pPr>
            <w:r w:rsidRPr="00245A3E">
              <w:rPr>
                <w:rFonts w:asciiTheme="majorHAnsi" w:eastAsia="Times New Roman" w:hAnsiTheme="majorHAnsi"/>
                <w:b/>
                <w:bCs/>
                <w:sz w:val="20"/>
                <w:szCs w:val="20"/>
                <w:lang w:eastAsia="cs-CZ"/>
              </w:rPr>
              <w:t>38,22</w:t>
            </w:r>
          </w:p>
        </w:tc>
        <w:tc>
          <w:tcPr>
            <w:tcW w:w="769" w:type="pct"/>
          </w:tcPr>
          <w:p w14:paraId="74BFEB66" w14:textId="77777777" w:rsidR="00E651DB" w:rsidRPr="00E651DB" w:rsidRDefault="000A02AF" w:rsidP="00E651DB">
            <w:pPr>
              <w:spacing w:before="0" w:after="0"/>
              <w:contextualSpacing w:val="0"/>
              <w:jc w:val="center"/>
              <w:rPr>
                <w:rFonts w:asciiTheme="majorHAnsi" w:eastAsia="Times New Roman" w:hAnsiTheme="majorHAnsi"/>
                <w:b/>
                <w:sz w:val="20"/>
                <w:szCs w:val="20"/>
                <w:lang w:eastAsia="cs-CZ"/>
              </w:rPr>
            </w:pPr>
            <w:r w:rsidRPr="00E651DB">
              <w:rPr>
                <w:rFonts w:asciiTheme="majorHAnsi" w:eastAsia="Times New Roman" w:hAnsiTheme="majorHAnsi"/>
                <w:b/>
                <w:sz w:val="20"/>
                <w:szCs w:val="20"/>
                <w:lang w:eastAsia="cs-CZ"/>
              </w:rPr>
              <w:t>117,98</w:t>
            </w:r>
          </w:p>
        </w:tc>
        <w:tc>
          <w:tcPr>
            <w:tcW w:w="801" w:type="pct"/>
          </w:tcPr>
          <w:p w14:paraId="01B6A663" w14:textId="77777777" w:rsidR="00E651DB" w:rsidRPr="00E651DB" w:rsidRDefault="000A02AF" w:rsidP="00E651DB">
            <w:pPr>
              <w:spacing w:before="0" w:after="0"/>
              <w:contextualSpacing w:val="0"/>
              <w:jc w:val="center"/>
              <w:rPr>
                <w:rFonts w:asciiTheme="majorHAnsi" w:eastAsia="Times New Roman" w:hAnsiTheme="majorHAnsi"/>
                <w:b/>
                <w:sz w:val="20"/>
                <w:szCs w:val="20"/>
                <w:lang w:eastAsia="cs-CZ"/>
              </w:rPr>
            </w:pPr>
            <w:r w:rsidRPr="00E651DB">
              <w:rPr>
                <w:rFonts w:asciiTheme="majorHAnsi" w:eastAsia="Times New Roman" w:hAnsiTheme="majorHAnsi"/>
                <w:b/>
                <w:sz w:val="20"/>
                <w:szCs w:val="20"/>
                <w:lang w:eastAsia="cs-CZ"/>
              </w:rPr>
              <w:t>82,71</w:t>
            </w:r>
          </w:p>
        </w:tc>
      </w:tr>
    </w:tbl>
    <w:p w14:paraId="16DACB2D" w14:textId="77777777" w:rsidR="00B9129E" w:rsidRDefault="00B9129E" w:rsidP="00A0147D">
      <w:pPr>
        <w:pStyle w:val="Normlnzprva"/>
      </w:pPr>
    </w:p>
    <w:p w14:paraId="62B12A9A" w14:textId="71E9F52B" w:rsidR="009F36D5" w:rsidRDefault="00A0147D" w:rsidP="000A02AF">
      <w:pPr>
        <w:pStyle w:val="NORMLN0"/>
      </w:pPr>
      <w:r w:rsidRPr="004E369D">
        <w:t>Problém nedostatečné tvorby prostředků na obnovu může vlastník řešit využitím řádku 4.4 v Porovnání v návaznosti na pečlivě zpracovaný PFO</w:t>
      </w:r>
      <w:r>
        <w:t xml:space="preserve"> (</w:t>
      </w:r>
      <w:r w:rsidR="00EA29C3">
        <w:t>za předpokladu, že</w:t>
      </w:r>
      <w:r>
        <w:t xml:space="preserve"> koresponduje s plánem oprav a investic s obnovujícím charakterem</w:t>
      </w:r>
      <w:r w:rsidR="006D070B">
        <w:t xml:space="preserve"> a nedojde k porušení cenových předpisů</w:t>
      </w:r>
      <w:r>
        <w:t>)</w:t>
      </w:r>
      <w:r w:rsidRPr="004E369D">
        <w:t>, úpravou výše kalkulačního zisku stanovené v rámci kalkulace ceny pro vodné, zvýšenými náklady na opravy a jejich započtení</w:t>
      </w:r>
      <w:r w:rsidR="00EC211F">
        <w:t>m</w:t>
      </w:r>
      <w:r w:rsidRPr="004E369D">
        <w:t xml:space="preserve"> do ceny pro vodné (což by zejména u menších vlastníků znamenalo zlepšení </w:t>
      </w:r>
      <w:r w:rsidR="00A66B28">
        <w:t xml:space="preserve">kvality </w:t>
      </w:r>
      <w:r w:rsidRPr="004E369D">
        <w:t>péče o VIM</w:t>
      </w:r>
      <w:r w:rsidR="00B25BDC">
        <w:t>)</w:t>
      </w:r>
      <w:r w:rsidRPr="004E369D">
        <w:t xml:space="preserve">. V případě oddílného a kombinovaného modelu provozování by se tvorba prostředků na obnovu VIM zvýšila </w:t>
      </w:r>
      <w:r w:rsidR="00B25BDC">
        <w:t>zejména</w:t>
      </w:r>
      <w:r w:rsidRPr="004E369D">
        <w:t xml:space="preserve"> odpovídajícím navýšením nájemného VIM. Vlastníci VIM si musejí uvědomit, že pokud nevytváří dostatek prostředků na obnovu VIM, budou v budoucnu nuceni chybějící prostředky </w:t>
      </w:r>
      <w:r w:rsidR="00B25BDC">
        <w:t>čerpat</w:t>
      </w:r>
      <w:r w:rsidR="00B25BDC" w:rsidRPr="004E369D">
        <w:t xml:space="preserve"> </w:t>
      </w:r>
      <w:r w:rsidRPr="004E369D">
        <w:t xml:space="preserve">z jiných zdrojů nebo přenesou tuto povinnost na příští generace. </w:t>
      </w:r>
    </w:p>
    <w:p w14:paraId="41BC4B0F" w14:textId="743D1E85" w:rsidR="009F36D5" w:rsidRDefault="00A0147D" w:rsidP="00403BAF">
      <w:pPr>
        <w:pStyle w:val="NORMLN0"/>
      </w:pPr>
      <w:r w:rsidRPr="004E369D">
        <w:lastRenderedPageBreak/>
        <w:t xml:space="preserve">Významnou součástí cenové politiky vlastníků je kalkulační položka ceny pro vodné – </w:t>
      </w:r>
      <w:r w:rsidRPr="004E369D">
        <w:rPr>
          <w:b/>
        </w:rPr>
        <w:t>kalkulační zisk</w:t>
      </w:r>
      <w:r w:rsidRPr="004E369D">
        <w:t>. Bylo zjištěno, že u Porovnání, kter</w:t>
      </w:r>
      <w:r w:rsidR="00B25BDC">
        <w:t>á</w:t>
      </w:r>
      <w:r w:rsidRPr="004E369D">
        <w:t xml:space="preserve"> </w:t>
      </w:r>
      <w:r w:rsidRPr="000A02AF">
        <w:rPr>
          <w:i/>
        </w:rPr>
        <w:t>negenerují do</w:t>
      </w:r>
      <w:r w:rsidR="00B25BDC" w:rsidRPr="000A02AF">
        <w:rPr>
          <w:i/>
        </w:rPr>
        <w:t>sta</w:t>
      </w:r>
      <w:r w:rsidRPr="000A02AF">
        <w:rPr>
          <w:i/>
        </w:rPr>
        <w:t>tečnou minimální výši prostředků na obnovu</w:t>
      </w:r>
      <w:r w:rsidR="00B25BDC">
        <w:t>,</w:t>
      </w:r>
      <w:r w:rsidRPr="004E369D">
        <w:t xml:space="preserve"> se často vyskytuje </w:t>
      </w:r>
      <w:r w:rsidRPr="000A02AF">
        <w:rPr>
          <w:i/>
        </w:rPr>
        <w:t>nulová nebo záporná hodnota kalkulačního zisku</w:t>
      </w:r>
      <w:r w:rsidRPr="004E369D">
        <w:t xml:space="preserve">. </w:t>
      </w:r>
      <w:r w:rsidR="000A02AF">
        <w:br/>
      </w:r>
      <w:r w:rsidRPr="004E369D">
        <w:t>Z</w:t>
      </w:r>
      <w:r w:rsidR="00B25BDC">
        <w:t> </w:t>
      </w:r>
      <w:r w:rsidR="00263D39">
        <w:t>1</w:t>
      </w:r>
      <w:r w:rsidR="00B25BDC">
        <w:t xml:space="preserve"> </w:t>
      </w:r>
      <w:r w:rsidR="00263D39">
        <w:t>697</w:t>
      </w:r>
      <w:r w:rsidRPr="004E369D">
        <w:t xml:space="preserve"> analyzovaných Porovnání se v </w:t>
      </w:r>
      <w:r w:rsidR="008867C8">
        <w:t>8</w:t>
      </w:r>
      <w:r w:rsidR="001A4065">
        <w:t>17</w:t>
      </w:r>
      <w:r w:rsidRPr="004E369D">
        <w:t xml:space="preserve"> případech (tj. </w:t>
      </w:r>
      <w:r w:rsidR="001A4065">
        <w:t>48,14</w:t>
      </w:r>
      <w:r w:rsidR="006D070B">
        <w:t xml:space="preserve"> </w:t>
      </w:r>
      <w:r w:rsidRPr="004E369D">
        <w:t>%</w:t>
      </w:r>
      <w:r w:rsidR="006D070B">
        <w:t xml:space="preserve"> Porovnání</w:t>
      </w:r>
      <w:r w:rsidRPr="004E369D">
        <w:t xml:space="preserve">) vyskytuje záporná hodnota kalkulačního zisku. Z hlediska objemu pitné vody fakturované se jedná o </w:t>
      </w:r>
      <w:r w:rsidR="001A4065">
        <w:t>28,73</w:t>
      </w:r>
      <w:r w:rsidR="006D070B">
        <w:t> </w:t>
      </w:r>
      <w:r>
        <w:t>mil. m</w:t>
      </w:r>
      <w:r w:rsidRPr="00E27252">
        <w:rPr>
          <w:vertAlign w:val="superscript"/>
        </w:rPr>
        <w:t>3</w:t>
      </w:r>
      <w:r w:rsidRPr="004E369D">
        <w:t>. V</w:t>
      </w:r>
      <w:r w:rsidR="00BC03D3">
        <w:t xml:space="preserve"> </w:t>
      </w:r>
      <w:r w:rsidRPr="004E369D">
        <w:t>případě 1</w:t>
      </w:r>
      <w:r w:rsidR="001A4065">
        <w:t>39</w:t>
      </w:r>
      <w:r w:rsidRPr="004E369D">
        <w:t xml:space="preserve"> Porovnání</w:t>
      </w:r>
      <w:r w:rsidR="008867C8">
        <w:t xml:space="preserve"> (14,</w:t>
      </w:r>
      <w:r w:rsidR="001A4065">
        <w:t>08</w:t>
      </w:r>
      <w:r w:rsidR="008867C8">
        <w:t xml:space="preserve"> mil. m</w:t>
      </w:r>
      <w:r w:rsidR="008867C8">
        <w:rPr>
          <w:vertAlign w:val="superscript"/>
        </w:rPr>
        <w:t>3</w:t>
      </w:r>
      <w:r w:rsidR="006D070B">
        <w:t xml:space="preserve"> fakturované vody</w:t>
      </w:r>
      <w:r w:rsidR="008867C8">
        <w:t>)</w:t>
      </w:r>
      <w:r w:rsidRPr="004E369D">
        <w:t xml:space="preserve">, byla stanovená výše ceny pro vodné postačující na generování dostatečného množství prostředků na obnovu za předpokladu, že Porovnání obsahovala veškeré ekonomicky oprávněné náklady související s výrobou a distribucí pitné vody odběratelům v plné výši. </w:t>
      </w:r>
    </w:p>
    <w:p w14:paraId="6F98549D" w14:textId="195DF37E" w:rsidR="001A4065" w:rsidRDefault="008867C8" w:rsidP="00B25BDC">
      <w:pPr>
        <w:pStyle w:val="NORMLN0"/>
      </w:pPr>
      <w:r>
        <w:t>Uvedené hodnoty se týkal</w:t>
      </w:r>
      <w:r w:rsidR="00B25BDC">
        <w:t>y</w:t>
      </w:r>
      <w:r>
        <w:t xml:space="preserve"> </w:t>
      </w:r>
      <w:r w:rsidR="00B25BDC">
        <w:t xml:space="preserve">skutečně </w:t>
      </w:r>
      <w:r>
        <w:t xml:space="preserve">dosaženého </w:t>
      </w:r>
      <w:r w:rsidR="00B25BDC">
        <w:t>kalkulačního zisku.</w:t>
      </w:r>
      <w:r>
        <w:t xml:space="preserve"> Zajímavým údajem je </w:t>
      </w:r>
      <w:r w:rsidR="00B25BDC" w:rsidRPr="000A02AF">
        <w:rPr>
          <w:i/>
        </w:rPr>
        <w:t>plánovaný kalkulační zisk</w:t>
      </w:r>
      <w:r w:rsidR="00B25BDC">
        <w:t xml:space="preserve"> </w:t>
      </w:r>
      <w:r>
        <w:t>vyjadřující</w:t>
      </w:r>
      <w:r w:rsidR="00B25BDC">
        <w:t xml:space="preserve"> skutečnost</w:t>
      </w:r>
      <w:r>
        <w:t xml:space="preserve">, </w:t>
      </w:r>
      <w:r w:rsidR="00B25BDC">
        <w:t>zda</w:t>
      </w:r>
      <w:r>
        <w:t xml:space="preserve"> vlastníci při sestavování kalkulace ceny pro vodné </w:t>
      </w:r>
      <w:r w:rsidR="00EC211F">
        <w:t>již</w:t>
      </w:r>
      <w:r>
        <w:t xml:space="preserve"> se záporným kalkulačním ziskem uvažovali. Jedná se o případy, kdy vlastníci </w:t>
      </w:r>
      <w:r w:rsidR="00EC211F">
        <w:t>s</w:t>
      </w:r>
      <w:r>
        <w:t xml:space="preserve"> </w:t>
      </w:r>
      <w:r w:rsidRPr="000A02AF">
        <w:rPr>
          <w:i/>
        </w:rPr>
        <w:t>dotac</w:t>
      </w:r>
      <w:r w:rsidR="00EC211F">
        <w:rPr>
          <w:i/>
        </w:rPr>
        <w:t>í</w:t>
      </w:r>
      <w:r w:rsidR="000A02AF">
        <w:rPr>
          <w:i/>
        </w:rPr>
        <w:t xml:space="preserve"> nákladů na</w:t>
      </w:r>
      <w:r w:rsidRPr="000A02AF">
        <w:rPr>
          <w:i/>
        </w:rPr>
        <w:t xml:space="preserve"> poskytované služby</w:t>
      </w:r>
      <w:r w:rsidR="00EC211F">
        <w:rPr>
          <w:i/>
        </w:rPr>
        <w:t xml:space="preserve"> počítají předem</w:t>
      </w:r>
      <w:r>
        <w:t>.</w:t>
      </w:r>
      <w:r w:rsidR="00AF3A86">
        <w:t xml:space="preserve"> </w:t>
      </w:r>
      <w:r w:rsidR="00B25BDC">
        <w:t xml:space="preserve">Tato </w:t>
      </w:r>
      <w:r w:rsidR="00AF3A86">
        <w:t xml:space="preserve">skutečnost byla zjištěna u </w:t>
      </w:r>
      <w:r w:rsidR="00AF3A86" w:rsidRPr="00403BAF">
        <w:rPr>
          <w:i/>
        </w:rPr>
        <w:t>318 Porovnání</w:t>
      </w:r>
      <w:r w:rsidR="00DD6C5F" w:rsidRPr="00403BAF">
        <w:rPr>
          <w:i/>
        </w:rPr>
        <w:t xml:space="preserve"> (6,02 mil. m</w:t>
      </w:r>
      <w:r w:rsidR="00DD6C5F" w:rsidRPr="00403BAF">
        <w:rPr>
          <w:i/>
          <w:vertAlign w:val="superscript"/>
        </w:rPr>
        <w:t>3</w:t>
      </w:r>
      <w:r w:rsidR="00DD6C5F" w:rsidRPr="00403BAF">
        <w:rPr>
          <w:i/>
        </w:rPr>
        <w:t xml:space="preserve"> fakturované vody</w:t>
      </w:r>
      <w:r w:rsidR="000A02AF" w:rsidRPr="00403BAF">
        <w:rPr>
          <w:i/>
        </w:rPr>
        <w:t>; 1,31% podíl trhu</w:t>
      </w:r>
      <w:r w:rsidR="00DD6C5F" w:rsidRPr="00403BAF">
        <w:rPr>
          <w:i/>
        </w:rPr>
        <w:t>)</w:t>
      </w:r>
      <w:r w:rsidR="00D60CD5">
        <w:t>, n</w:t>
      </w:r>
      <w:r w:rsidR="0035737C">
        <w:t>ejčastěji ve IV. a V. vlastnické skupině.</w:t>
      </w:r>
      <w:r w:rsidR="009F5496">
        <w:t xml:space="preserve"> </w:t>
      </w:r>
      <w:r w:rsidR="001A4065">
        <w:t>Následující tabulka obsahuje rozložení používání záporného kalkulačního zisku podle jednotlivých skupin</w:t>
      </w:r>
      <w:r w:rsidR="00B25BDC">
        <w:t>.</w:t>
      </w:r>
    </w:p>
    <w:p w14:paraId="41F306E4" w14:textId="77777777" w:rsidR="009F36D5" w:rsidRDefault="009F36D5" w:rsidP="00403BAF">
      <w:pPr>
        <w:pStyle w:val="Normlnzprva"/>
        <w:ind w:firstLine="0"/>
      </w:pPr>
    </w:p>
    <w:tbl>
      <w:tblPr>
        <w:tblW w:w="5584" w:type="pct"/>
        <w:jc w:val="center"/>
        <w:tblCellMar>
          <w:left w:w="70" w:type="dxa"/>
          <w:right w:w="70" w:type="dxa"/>
        </w:tblCellMar>
        <w:tblLook w:val="04A0" w:firstRow="1" w:lastRow="0" w:firstColumn="1" w:lastColumn="0" w:noHBand="0" w:noVBand="1"/>
      </w:tblPr>
      <w:tblGrid>
        <w:gridCol w:w="2317"/>
        <w:gridCol w:w="946"/>
        <w:gridCol w:w="1387"/>
        <w:gridCol w:w="1272"/>
        <w:gridCol w:w="1413"/>
        <w:gridCol w:w="1276"/>
        <w:gridCol w:w="1513"/>
      </w:tblGrid>
      <w:tr w:rsidR="00AF3A86" w:rsidRPr="000A02AF" w14:paraId="2789D746" w14:textId="77777777" w:rsidTr="000A02AF">
        <w:trPr>
          <w:trHeight w:val="136"/>
          <w:jc w:val="center"/>
        </w:trPr>
        <w:tc>
          <w:tcPr>
            <w:tcW w:w="1147" w:type="pct"/>
            <w:tcBorders>
              <w:top w:val="nil"/>
              <w:left w:val="nil"/>
              <w:bottom w:val="single" w:sz="12" w:space="0" w:color="FFFFFF"/>
              <w:right w:val="single" w:sz="4" w:space="0" w:color="FFFFFF"/>
            </w:tcBorders>
            <w:shd w:val="clear" w:color="auto" w:fill="5B9BD5" w:themeFill="accent1"/>
            <w:vAlign w:val="center"/>
          </w:tcPr>
          <w:p w14:paraId="235C3C69" w14:textId="77777777" w:rsidR="00AF3A86" w:rsidRPr="000A02AF" w:rsidRDefault="00AF3A86" w:rsidP="00AF3A86">
            <w:pPr>
              <w:spacing w:before="0" w:after="0"/>
              <w:contextualSpacing w:val="0"/>
              <w:jc w:val="center"/>
              <w:rPr>
                <w:rFonts w:asciiTheme="majorHAnsi" w:eastAsia="Times New Roman" w:hAnsiTheme="majorHAnsi"/>
                <w:b/>
                <w:bCs/>
                <w:color w:val="FFFFFF"/>
                <w:sz w:val="20"/>
                <w:szCs w:val="20"/>
                <w:lang w:eastAsia="cs-CZ"/>
              </w:rPr>
            </w:pPr>
          </w:p>
        </w:tc>
        <w:tc>
          <w:tcPr>
            <w:tcW w:w="1142" w:type="pct"/>
            <w:gridSpan w:val="2"/>
            <w:tcBorders>
              <w:top w:val="nil"/>
              <w:left w:val="single" w:sz="4" w:space="0" w:color="FFFFFF"/>
              <w:bottom w:val="single" w:sz="12" w:space="0" w:color="FFFFFF"/>
              <w:right w:val="single" w:sz="4" w:space="0" w:color="FFFFFF"/>
            </w:tcBorders>
            <w:shd w:val="clear" w:color="auto" w:fill="5B9BD5" w:themeFill="accent1"/>
            <w:vAlign w:val="center"/>
          </w:tcPr>
          <w:p w14:paraId="24864AFC" w14:textId="77777777" w:rsidR="00AF3A86" w:rsidRPr="000A02AF" w:rsidRDefault="00AF3A86" w:rsidP="000A02AF">
            <w:pPr>
              <w:jc w:val="center"/>
              <w:rPr>
                <w:rFonts w:asciiTheme="majorHAnsi" w:hAnsiTheme="majorHAnsi"/>
                <w:b/>
                <w:bCs/>
                <w:iCs/>
                <w:smallCaps/>
                <w:color w:val="FFFFFF" w:themeColor="background1"/>
                <w:sz w:val="20"/>
                <w:szCs w:val="20"/>
              </w:rPr>
            </w:pPr>
            <w:r w:rsidRPr="000A02AF">
              <w:rPr>
                <w:rFonts w:asciiTheme="majorHAnsi" w:hAnsiTheme="majorHAnsi"/>
                <w:b/>
                <w:bCs/>
                <w:iCs/>
                <w:smallCaps/>
                <w:color w:val="FFFFFF" w:themeColor="background1"/>
                <w:sz w:val="20"/>
                <w:szCs w:val="20"/>
              </w:rPr>
              <w:t>Záporný kalkulační zisk na Porovnání</w:t>
            </w:r>
          </w:p>
        </w:tc>
        <w:tc>
          <w:tcPr>
            <w:tcW w:w="1330" w:type="pct"/>
            <w:gridSpan w:val="2"/>
            <w:tcBorders>
              <w:top w:val="nil"/>
              <w:left w:val="nil"/>
              <w:bottom w:val="single" w:sz="12" w:space="0" w:color="FFFFFF"/>
              <w:right w:val="single" w:sz="4" w:space="0" w:color="FFFFFF"/>
            </w:tcBorders>
            <w:shd w:val="clear" w:color="auto" w:fill="BFBFBF" w:themeFill="background1" w:themeFillShade="BF"/>
            <w:vAlign w:val="center"/>
          </w:tcPr>
          <w:p w14:paraId="4EF759EC" w14:textId="77777777" w:rsidR="00AF3A86" w:rsidRPr="000A02AF" w:rsidRDefault="00AF3A86" w:rsidP="000A02AF">
            <w:pPr>
              <w:jc w:val="center"/>
              <w:rPr>
                <w:rFonts w:asciiTheme="majorHAnsi" w:hAnsiTheme="majorHAnsi"/>
                <w:b/>
                <w:bCs/>
                <w:iCs/>
                <w:smallCaps/>
                <w:color w:val="FFFFFF" w:themeColor="background1"/>
                <w:sz w:val="20"/>
                <w:szCs w:val="20"/>
              </w:rPr>
            </w:pPr>
            <w:r w:rsidRPr="000A02AF">
              <w:rPr>
                <w:rFonts w:asciiTheme="majorHAnsi" w:hAnsiTheme="majorHAnsi"/>
                <w:b/>
                <w:bCs/>
                <w:iCs/>
                <w:smallCaps/>
                <w:color w:val="FFFFFF" w:themeColor="background1"/>
                <w:sz w:val="20"/>
                <w:szCs w:val="20"/>
              </w:rPr>
              <w:t>Cílená dotace ceny pro vodné</w:t>
            </w:r>
          </w:p>
        </w:tc>
        <w:tc>
          <w:tcPr>
            <w:tcW w:w="1381" w:type="pct"/>
            <w:gridSpan w:val="2"/>
            <w:tcBorders>
              <w:top w:val="nil"/>
              <w:left w:val="nil"/>
              <w:bottom w:val="single" w:sz="12" w:space="0" w:color="FFFFFF"/>
              <w:right w:val="single" w:sz="4" w:space="0" w:color="FFFFFF"/>
            </w:tcBorders>
            <w:shd w:val="clear" w:color="auto" w:fill="C7A1E3"/>
            <w:vAlign w:val="center"/>
          </w:tcPr>
          <w:p w14:paraId="02418B4E" w14:textId="77777777" w:rsidR="00AF3A86" w:rsidRPr="000A02AF" w:rsidRDefault="00AF3A86" w:rsidP="000A02AF">
            <w:pPr>
              <w:jc w:val="center"/>
              <w:rPr>
                <w:rFonts w:asciiTheme="majorHAnsi" w:hAnsiTheme="majorHAnsi"/>
                <w:b/>
                <w:bCs/>
                <w:iCs/>
                <w:smallCaps/>
                <w:color w:val="FFFFFF" w:themeColor="background1"/>
                <w:sz w:val="20"/>
                <w:szCs w:val="20"/>
              </w:rPr>
            </w:pPr>
            <w:r w:rsidRPr="000A02AF">
              <w:rPr>
                <w:rFonts w:asciiTheme="majorHAnsi" w:hAnsiTheme="majorHAnsi"/>
                <w:b/>
                <w:bCs/>
                <w:iCs/>
                <w:smallCaps/>
                <w:color w:val="FFFFFF" w:themeColor="background1"/>
                <w:sz w:val="20"/>
                <w:szCs w:val="20"/>
              </w:rPr>
              <w:t>Ztrátové hospodaření</w:t>
            </w:r>
          </w:p>
        </w:tc>
      </w:tr>
      <w:tr w:rsidR="00AF3A86" w:rsidRPr="000A02AF" w14:paraId="303EA19B" w14:textId="77777777" w:rsidTr="00AF3A86">
        <w:trPr>
          <w:trHeight w:val="136"/>
          <w:jc w:val="center"/>
        </w:trPr>
        <w:tc>
          <w:tcPr>
            <w:tcW w:w="1147" w:type="pct"/>
            <w:tcBorders>
              <w:top w:val="nil"/>
              <w:left w:val="nil"/>
              <w:bottom w:val="single" w:sz="12" w:space="0" w:color="FFFFFF"/>
              <w:right w:val="single" w:sz="4" w:space="0" w:color="FFFFFF"/>
            </w:tcBorders>
            <w:shd w:val="clear" w:color="auto" w:fill="5B9BD5" w:themeFill="accent1"/>
            <w:vAlign w:val="center"/>
            <w:hideMark/>
          </w:tcPr>
          <w:p w14:paraId="6E146B26" w14:textId="77777777" w:rsidR="001A4065" w:rsidRPr="00403BAF" w:rsidRDefault="001A4065" w:rsidP="001A4065">
            <w:pPr>
              <w:spacing w:before="0" w:after="0"/>
              <w:contextualSpacing w:val="0"/>
              <w:jc w:val="left"/>
              <w:rPr>
                <w:rFonts w:asciiTheme="majorHAnsi" w:eastAsia="Times New Roman" w:hAnsiTheme="majorHAnsi"/>
                <w:b/>
                <w:bCs/>
                <w:color w:val="FFFFFF" w:themeColor="background1"/>
                <w:sz w:val="20"/>
                <w:szCs w:val="20"/>
                <w:lang w:eastAsia="cs-CZ"/>
              </w:rPr>
            </w:pPr>
            <w:r w:rsidRPr="00403BAF">
              <w:rPr>
                <w:rFonts w:asciiTheme="majorHAnsi" w:eastAsia="Times New Roman" w:hAnsiTheme="majorHAnsi"/>
                <w:b/>
                <w:bCs/>
                <w:color w:val="FFFFFF" w:themeColor="background1"/>
                <w:sz w:val="20"/>
                <w:szCs w:val="20"/>
                <w:lang w:eastAsia="cs-CZ"/>
              </w:rPr>
              <w:t>VLASTNICKÁ SKUPINA</w:t>
            </w:r>
          </w:p>
        </w:tc>
        <w:tc>
          <w:tcPr>
            <w:tcW w:w="455" w:type="pct"/>
            <w:tcBorders>
              <w:top w:val="nil"/>
              <w:left w:val="single" w:sz="4" w:space="0" w:color="FFFFFF"/>
              <w:bottom w:val="single" w:sz="12" w:space="0" w:color="FFFFFF"/>
              <w:right w:val="single" w:sz="4" w:space="0" w:color="FFFFFF"/>
            </w:tcBorders>
            <w:shd w:val="clear" w:color="auto" w:fill="5B9BD5" w:themeFill="accent1"/>
            <w:vAlign w:val="center"/>
            <w:hideMark/>
          </w:tcPr>
          <w:p w14:paraId="205F9608" w14:textId="77777777" w:rsidR="001A4065" w:rsidRPr="00403BAF" w:rsidRDefault="00AF3A86" w:rsidP="001A4065">
            <w:pPr>
              <w:spacing w:before="0" w:after="0"/>
              <w:contextualSpacing w:val="0"/>
              <w:jc w:val="left"/>
              <w:rPr>
                <w:rFonts w:asciiTheme="majorHAnsi" w:hAnsiTheme="majorHAnsi"/>
                <w:b/>
                <w:bCs/>
                <w:iCs/>
                <w:smallCaps/>
                <w:color w:val="FFFFFF" w:themeColor="background1"/>
                <w:sz w:val="20"/>
                <w:szCs w:val="20"/>
                <w:lang w:eastAsia="cs-CZ"/>
              </w:rPr>
            </w:pPr>
            <w:r w:rsidRPr="00403BAF">
              <w:rPr>
                <w:rFonts w:asciiTheme="majorHAnsi" w:hAnsiTheme="majorHAnsi"/>
                <w:b/>
                <w:bCs/>
                <w:iCs/>
                <w:smallCaps/>
                <w:color w:val="FFFFFF" w:themeColor="background1"/>
                <w:sz w:val="20"/>
                <w:szCs w:val="20"/>
              </w:rPr>
              <w:t xml:space="preserve">Počet porovnání - </w:t>
            </w:r>
            <w:r w:rsidR="001A4065" w:rsidRPr="00403BAF">
              <w:rPr>
                <w:rFonts w:asciiTheme="majorHAnsi" w:hAnsiTheme="majorHAnsi"/>
                <w:b/>
                <w:bCs/>
                <w:iCs/>
                <w:smallCaps/>
                <w:color w:val="FFFFFF" w:themeColor="background1"/>
                <w:sz w:val="20"/>
                <w:szCs w:val="20"/>
              </w:rPr>
              <w:t>záporný kalkulační zisk</w:t>
            </w:r>
          </w:p>
        </w:tc>
        <w:tc>
          <w:tcPr>
            <w:tcW w:w="686" w:type="pct"/>
            <w:tcBorders>
              <w:top w:val="nil"/>
              <w:left w:val="nil"/>
              <w:bottom w:val="single" w:sz="12" w:space="0" w:color="FFFFFF"/>
              <w:right w:val="single" w:sz="4" w:space="0" w:color="FFFFFF"/>
            </w:tcBorders>
            <w:shd w:val="clear" w:color="auto" w:fill="5B9BD5" w:themeFill="accent1"/>
            <w:vAlign w:val="center"/>
            <w:hideMark/>
          </w:tcPr>
          <w:p w14:paraId="0E0B62E3" w14:textId="77777777" w:rsidR="001A4065" w:rsidRPr="00403BAF" w:rsidRDefault="001A4065" w:rsidP="001A4065">
            <w:pPr>
              <w:jc w:val="left"/>
              <w:rPr>
                <w:rFonts w:asciiTheme="majorHAnsi" w:hAnsiTheme="majorHAnsi"/>
                <w:b/>
                <w:bCs/>
                <w:iCs/>
                <w:smallCaps/>
                <w:color w:val="FFFFFF" w:themeColor="background1"/>
                <w:sz w:val="20"/>
                <w:szCs w:val="20"/>
              </w:rPr>
            </w:pPr>
            <w:r w:rsidRPr="00403BAF">
              <w:rPr>
                <w:rFonts w:asciiTheme="majorHAnsi" w:hAnsiTheme="majorHAnsi"/>
                <w:b/>
                <w:bCs/>
                <w:iCs/>
                <w:smallCaps/>
                <w:color w:val="FFFFFF" w:themeColor="background1"/>
                <w:sz w:val="20"/>
                <w:szCs w:val="20"/>
              </w:rPr>
              <w:t>objem fakturované vody v mil. m</w:t>
            </w:r>
            <w:r w:rsidRPr="00403BAF">
              <w:rPr>
                <w:rFonts w:asciiTheme="majorHAnsi" w:hAnsiTheme="majorHAnsi"/>
                <w:b/>
                <w:bCs/>
                <w:iCs/>
                <w:smallCaps/>
                <w:color w:val="FFFFFF" w:themeColor="background1"/>
                <w:sz w:val="20"/>
                <w:szCs w:val="20"/>
                <w:vertAlign w:val="superscript"/>
              </w:rPr>
              <w:t>3</w:t>
            </w:r>
            <w:r w:rsidRPr="00403BAF">
              <w:rPr>
                <w:rFonts w:asciiTheme="majorHAnsi" w:hAnsiTheme="majorHAnsi"/>
                <w:b/>
                <w:bCs/>
                <w:iCs/>
                <w:smallCaps/>
                <w:color w:val="FFFFFF" w:themeColor="background1"/>
                <w:sz w:val="20"/>
                <w:szCs w:val="20"/>
              </w:rPr>
              <w:t>_záporný kalkulační zisk</w:t>
            </w:r>
          </w:p>
        </w:tc>
        <w:tc>
          <w:tcPr>
            <w:tcW w:w="630" w:type="pct"/>
            <w:tcBorders>
              <w:top w:val="nil"/>
              <w:left w:val="nil"/>
              <w:bottom w:val="single" w:sz="12" w:space="0" w:color="FFFFFF"/>
              <w:right w:val="single" w:sz="4" w:space="0" w:color="FFFFFF"/>
            </w:tcBorders>
            <w:shd w:val="clear" w:color="auto" w:fill="BFBFBF" w:themeFill="background1" w:themeFillShade="BF"/>
            <w:vAlign w:val="center"/>
            <w:hideMark/>
          </w:tcPr>
          <w:p w14:paraId="65DD57DC" w14:textId="77777777" w:rsidR="001A4065" w:rsidRPr="00403BAF" w:rsidRDefault="00AF3A86" w:rsidP="001A4065">
            <w:pPr>
              <w:jc w:val="left"/>
              <w:rPr>
                <w:rFonts w:asciiTheme="majorHAnsi" w:hAnsiTheme="majorHAnsi"/>
                <w:b/>
                <w:bCs/>
                <w:iCs/>
                <w:smallCaps/>
                <w:color w:val="FFFFFF" w:themeColor="background1"/>
                <w:sz w:val="20"/>
                <w:szCs w:val="20"/>
              </w:rPr>
            </w:pPr>
            <w:r w:rsidRPr="00403BAF">
              <w:rPr>
                <w:rFonts w:asciiTheme="majorHAnsi" w:hAnsiTheme="majorHAnsi"/>
                <w:b/>
                <w:bCs/>
                <w:iCs/>
                <w:smallCaps/>
                <w:color w:val="FFFFFF" w:themeColor="background1"/>
                <w:sz w:val="20"/>
                <w:szCs w:val="20"/>
              </w:rPr>
              <w:t xml:space="preserve">Počet porovnání - </w:t>
            </w:r>
            <w:r w:rsidR="001A4065" w:rsidRPr="00403BAF">
              <w:rPr>
                <w:rFonts w:asciiTheme="majorHAnsi" w:hAnsiTheme="majorHAnsi"/>
                <w:b/>
                <w:bCs/>
                <w:iCs/>
                <w:smallCaps/>
                <w:color w:val="FFFFFF" w:themeColor="background1"/>
                <w:sz w:val="20"/>
                <w:szCs w:val="20"/>
              </w:rPr>
              <w:t>záporný zisk kalkulován a záporný zisk dosažen</w:t>
            </w:r>
          </w:p>
        </w:tc>
        <w:tc>
          <w:tcPr>
            <w:tcW w:w="700" w:type="pct"/>
            <w:tcBorders>
              <w:top w:val="nil"/>
              <w:left w:val="nil"/>
              <w:bottom w:val="single" w:sz="12" w:space="0" w:color="FFFFFF"/>
              <w:right w:val="single" w:sz="4" w:space="0" w:color="FFFFFF"/>
            </w:tcBorders>
            <w:shd w:val="clear" w:color="auto" w:fill="BFBFBF" w:themeFill="background1" w:themeFillShade="BF"/>
            <w:vAlign w:val="center"/>
            <w:hideMark/>
          </w:tcPr>
          <w:p w14:paraId="77807201" w14:textId="77777777" w:rsidR="001A4065" w:rsidRPr="00403BAF" w:rsidRDefault="001A4065" w:rsidP="001A4065">
            <w:pPr>
              <w:jc w:val="left"/>
              <w:rPr>
                <w:rFonts w:asciiTheme="majorHAnsi" w:hAnsiTheme="majorHAnsi"/>
                <w:b/>
                <w:bCs/>
                <w:iCs/>
                <w:smallCaps/>
                <w:color w:val="FFFFFF" w:themeColor="background1"/>
                <w:sz w:val="20"/>
                <w:szCs w:val="20"/>
              </w:rPr>
            </w:pPr>
            <w:r w:rsidRPr="00403BAF">
              <w:rPr>
                <w:rFonts w:asciiTheme="majorHAnsi" w:hAnsiTheme="majorHAnsi"/>
                <w:b/>
                <w:bCs/>
                <w:iCs/>
                <w:smallCaps/>
                <w:color w:val="FFFFFF" w:themeColor="background1"/>
                <w:sz w:val="20"/>
                <w:szCs w:val="20"/>
              </w:rPr>
              <w:t>objem fakturované vody v mil. m</w:t>
            </w:r>
            <w:r w:rsidRPr="00403BAF">
              <w:rPr>
                <w:rFonts w:asciiTheme="majorHAnsi" w:hAnsiTheme="majorHAnsi"/>
                <w:b/>
                <w:bCs/>
                <w:iCs/>
                <w:smallCaps/>
                <w:color w:val="FFFFFF" w:themeColor="background1"/>
                <w:sz w:val="20"/>
                <w:szCs w:val="20"/>
                <w:vertAlign w:val="superscript"/>
              </w:rPr>
              <w:t>3</w:t>
            </w:r>
            <w:r w:rsidRPr="00403BAF">
              <w:rPr>
                <w:rFonts w:asciiTheme="majorHAnsi" w:hAnsiTheme="majorHAnsi"/>
                <w:b/>
                <w:bCs/>
                <w:iCs/>
                <w:smallCaps/>
                <w:color w:val="FFFFFF" w:themeColor="background1"/>
                <w:sz w:val="20"/>
                <w:szCs w:val="20"/>
              </w:rPr>
              <w:t>_záporný zisk kalkulován a záporný zisk dosažen</w:t>
            </w:r>
          </w:p>
        </w:tc>
        <w:tc>
          <w:tcPr>
            <w:tcW w:w="632" w:type="pct"/>
            <w:tcBorders>
              <w:top w:val="nil"/>
              <w:left w:val="nil"/>
              <w:bottom w:val="single" w:sz="12" w:space="0" w:color="FFFFFF"/>
              <w:right w:val="single" w:sz="4" w:space="0" w:color="FFFFFF"/>
            </w:tcBorders>
            <w:shd w:val="clear" w:color="auto" w:fill="C7A1E3"/>
            <w:vAlign w:val="center"/>
            <w:hideMark/>
          </w:tcPr>
          <w:p w14:paraId="15A27D76" w14:textId="77777777" w:rsidR="001A4065" w:rsidRPr="00403BAF" w:rsidRDefault="00AF3A86" w:rsidP="001A4065">
            <w:pPr>
              <w:jc w:val="left"/>
              <w:rPr>
                <w:rFonts w:asciiTheme="majorHAnsi" w:hAnsiTheme="majorHAnsi"/>
                <w:b/>
                <w:bCs/>
                <w:iCs/>
                <w:smallCaps/>
                <w:color w:val="FFFFFF" w:themeColor="background1"/>
                <w:sz w:val="20"/>
                <w:szCs w:val="20"/>
              </w:rPr>
            </w:pPr>
            <w:r w:rsidRPr="00403BAF">
              <w:rPr>
                <w:rFonts w:asciiTheme="majorHAnsi" w:hAnsiTheme="majorHAnsi"/>
                <w:b/>
                <w:bCs/>
                <w:iCs/>
                <w:smallCaps/>
                <w:color w:val="FFFFFF" w:themeColor="background1"/>
                <w:sz w:val="20"/>
                <w:szCs w:val="20"/>
              </w:rPr>
              <w:t xml:space="preserve">Počet Porovnání - </w:t>
            </w:r>
            <w:r w:rsidR="001A4065" w:rsidRPr="00403BAF">
              <w:rPr>
                <w:rFonts w:asciiTheme="majorHAnsi" w:hAnsiTheme="majorHAnsi"/>
                <w:b/>
                <w:bCs/>
                <w:iCs/>
                <w:smallCaps/>
                <w:color w:val="FFFFFF" w:themeColor="background1"/>
                <w:sz w:val="20"/>
                <w:szCs w:val="20"/>
              </w:rPr>
              <w:t>kalkulován kladný nebo nulový zisk a dosažen záporný</w:t>
            </w:r>
          </w:p>
        </w:tc>
        <w:tc>
          <w:tcPr>
            <w:tcW w:w="749" w:type="pct"/>
            <w:tcBorders>
              <w:top w:val="nil"/>
              <w:left w:val="nil"/>
              <w:bottom w:val="single" w:sz="12" w:space="0" w:color="FFFFFF"/>
              <w:right w:val="single" w:sz="4" w:space="0" w:color="FFFFFF"/>
            </w:tcBorders>
            <w:shd w:val="clear" w:color="auto" w:fill="C7A1E3"/>
            <w:vAlign w:val="center"/>
            <w:hideMark/>
          </w:tcPr>
          <w:p w14:paraId="15B3DD54" w14:textId="77777777" w:rsidR="001A4065" w:rsidRPr="00403BAF" w:rsidRDefault="001A4065" w:rsidP="001A4065">
            <w:pPr>
              <w:jc w:val="left"/>
              <w:rPr>
                <w:rFonts w:asciiTheme="majorHAnsi" w:hAnsiTheme="majorHAnsi"/>
                <w:b/>
                <w:bCs/>
                <w:iCs/>
                <w:smallCaps/>
                <w:color w:val="FFFFFF" w:themeColor="background1"/>
                <w:sz w:val="20"/>
                <w:szCs w:val="20"/>
              </w:rPr>
            </w:pPr>
            <w:r w:rsidRPr="00403BAF">
              <w:rPr>
                <w:rFonts w:asciiTheme="majorHAnsi" w:hAnsiTheme="majorHAnsi"/>
                <w:b/>
                <w:bCs/>
                <w:iCs/>
                <w:smallCaps/>
                <w:color w:val="FFFFFF" w:themeColor="background1"/>
                <w:sz w:val="20"/>
                <w:szCs w:val="20"/>
              </w:rPr>
              <w:t>objem fakturované vody v mil. m</w:t>
            </w:r>
            <w:r w:rsidRPr="00403BAF">
              <w:rPr>
                <w:rFonts w:asciiTheme="majorHAnsi" w:hAnsiTheme="majorHAnsi"/>
                <w:b/>
                <w:bCs/>
                <w:iCs/>
                <w:smallCaps/>
                <w:color w:val="FFFFFF" w:themeColor="background1"/>
                <w:sz w:val="20"/>
                <w:szCs w:val="20"/>
                <w:vertAlign w:val="superscript"/>
              </w:rPr>
              <w:t>3</w:t>
            </w:r>
            <w:r w:rsidRPr="00403BAF">
              <w:rPr>
                <w:rFonts w:asciiTheme="majorHAnsi" w:hAnsiTheme="majorHAnsi"/>
                <w:b/>
                <w:bCs/>
                <w:iCs/>
                <w:smallCaps/>
                <w:color w:val="FFFFFF" w:themeColor="background1"/>
                <w:sz w:val="20"/>
                <w:szCs w:val="20"/>
              </w:rPr>
              <w:t>_kalkulován kladný nebo nulový zisk a dosažen záporný</w:t>
            </w:r>
          </w:p>
        </w:tc>
      </w:tr>
      <w:tr w:rsidR="00AF3A86" w:rsidRPr="000A02AF" w14:paraId="6AC2FAA2" w14:textId="77777777" w:rsidTr="00AF3A86">
        <w:trPr>
          <w:trHeight w:val="269"/>
          <w:jc w:val="center"/>
        </w:trPr>
        <w:tc>
          <w:tcPr>
            <w:tcW w:w="1147" w:type="pct"/>
            <w:tcBorders>
              <w:top w:val="single" w:sz="4" w:space="0" w:color="FFFFFF"/>
              <w:left w:val="nil"/>
              <w:bottom w:val="single" w:sz="4" w:space="0" w:color="FFFFFF"/>
              <w:right w:val="single" w:sz="4" w:space="0" w:color="FFFFFF"/>
            </w:tcBorders>
            <w:shd w:val="clear" w:color="B4C6E7" w:fill="B4C6E7"/>
            <w:vAlign w:val="center"/>
            <w:hideMark/>
          </w:tcPr>
          <w:p w14:paraId="6DCA72B9" w14:textId="77777777" w:rsidR="001A4065" w:rsidRPr="000A02AF" w:rsidRDefault="001A4065" w:rsidP="001A4065">
            <w:pPr>
              <w:spacing w:before="0" w:after="0"/>
              <w:contextualSpacing w:val="0"/>
              <w:jc w:val="left"/>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I.skupina(&gt;10 000mil.Kč)</w:t>
            </w:r>
          </w:p>
        </w:tc>
        <w:tc>
          <w:tcPr>
            <w:tcW w:w="455"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0AA024FD"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w:t>
            </w:r>
          </w:p>
        </w:tc>
        <w:tc>
          <w:tcPr>
            <w:tcW w:w="686"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3CB7A21A"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0,00</w:t>
            </w:r>
          </w:p>
        </w:tc>
        <w:tc>
          <w:tcPr>
            <w:tcW w:w="630" w:type="pct"/>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hideMark/>
          </w:tcPr>
          <w:p w14:paraId="6BD28F04"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w:t>
            </w:r>
          </w:p>
        </w:tc>
        <w:tc>
          <w:tcPr>
            <w:tcW w:w="700" w:type="pct"/>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hideMark/>
          </w:tcPr>
          <w:p w14:paraId="07C588EA"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0,00</w:t>
            </w:r>
          </w:p>
        </w:tc>
        <w:tc>
          <w:tcPr>
            <w:tcW w:w="632" w:type="pct"/>
            <w:tcBorders>
              <w:top w:val="single" w:sz="4" w:space="0" w:color="FFFFFF"/>
              <w:left w:val="single" w:sz="4" w:space="0" w:color="FFFFFF"/>
              <w:bottom w:val="single" w:sz="4" w:space="0" w:color="FFFFFF"/>
              <w:right w:val="single" w:sz="4" w:space="0" w:color="FFFFFF"/>
            </w:tcBorders>
            <w:shd w:val="clear" w:color="auto" w:fill="C7A1E3"/>
            <w:vAlign w:val="center"/>
            <w:hideMark/>
          </w:tcPr>
          <w:p w14:paraId="4022213F"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w:t>
            </w:r>
          </w:p>
        </w:tc>
        <w:tc>
          <w:tcPr>
            <w:tcW w:w="749" w:type="pct"/>
            <w:tcBorders>
              <w:top w:val="single" w:sz="4" w:space="0" w:color="FFFFFF"/>
              <w:left w:val="single" w:sz="4" w:space="0" w:color="FFFFFF"/>
              <w:bottom w:val="single" w:sz="4" w:space="0" w:color="FFFFFF"/>
              <w:right w:val="nil"/>
            </w:tcBorders>
            <w:shd w:val="clear" w:color="auto" w:fill="C7A1E3"/>
            <w:vAlign w:val="center"/>
            <w:hideMark/>
          </w:tcPr>
          <w:p w14:paraId="7862361D"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0,00</w:t>
            </w:r>
          </w:p>
        </w:tc>
      </w:tr>
      <w:tr w:rsidR="00AF3A86" w:rsidRPr="000A02AF" w14:paraId="7B7AC3B2" w14:textId="77777777" w:rsidTr="00AF3A86">
        <w:trPr>
          <w:trHeight w:val="300"/>
          <w:jc w:val="center"/>
        </w:trPr>
        <w:tc>
          <w:tcPr>
            <w:tcW w:w="1147" w:type="pct"/>
            <w:tcBorders>
              <w:top w:val="single" w:sz="4" w:space="0" w:color="FFFFFF"/>
              <w:left w:val="nil"/>
              <w:bottom w:val="single" w:sz="4" w:space="0" w:color="FFFFFF"/>
              <w:right w:val="single" w:sz="4" w:space="0" w:color="FFFFFF"/>
            </w:tcBorders>
            <w:shd w:val="clear" w:color="D9E1F2" w:fill="D9E1F2"/>
            <w:vAlign w:val="center"/>
            <w:hideMark/>
          </w:tcPr>
          <w:p w14:paraId="5515FBAE" w14:textId="77777777" w:rsidR="001A4065" w:rsidRPr="000A02AF" w:rsidRDefault="001A4065" w:rsidP="001A4065">
            <w:pPr>
              <w:spacing w:before="0" w:after="0"/>
              <w:contextualSpacing w:val="0"/>
              <w:jc w:val="left"/>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II.skupina(&gt;1 000mil.Kč)</w:t>
            </w:r>
          </w:p>
        </w:tc>
        <w:tc>
          <w:tcPr>
            <w:tcW w:w="455"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47653274"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3</w:t>
            </w:r>
          </w:p>
        </w:tc>
        <w:tc>
          <w:tcPr>
            <w:tcW w:w="686"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104D69BB"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4,27</w:t>
            </w:r>
          </w:p>
        </w:tc>
        <w:tc>
          <w:tcPr>
            <w:tcW w:w="630" w:type="pct"/>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hideMark/>
          </w:tcPr>
          <w:p w14:paraId="04DDD965"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w:t>
            </w:r>
          </w:p>
        </w:tc>
        <w:tc>
          <w:tcPr>
            <w:tcW w:w="700" w:type="pct"/>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hideMark/>
          </w:tcPr>
          <w:p w14:paraId="4DE99C7B"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0,00</w:t>
            </w:r>
          </w:p>
        </w:tc>
        <w:tc>
          <w:tcPr>
            <w:tcW w:w="632" w:type="pct"/>
            <w:tcBorders>
              <w:top w:val="single" w:sz="4" w:space="0" w:color="FFFFFF"/>
              <w:left w:val="single" w:sz="4" w:space="0" w:color="FFFFFF"/>
              <w:bottom w:val="single" w:sz="4" w:space="0" w:color="FFFFFF"/>
              <w:right w:val="single" w:sz="4" w:space="0" w:color="FFFFFF"/>
            </w:tcBorders>
            <w:shd w:val="clear" w:color="auto" w:fill="EADCF4"/>
            <w:vAlign w:val="center"/>
            <w:hideMark/>
          </w:tcPr>
          <w:p w14:paraId="1624FBA5"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2</w:t>
            </w:r>
          </w:p>
        </w:tc>
        <w:tc>
          <w:tcPr>
            <w:tcW w:w="749" w:type="pct"/>
            <w:tcBorders>
              <w:top w:val="single" w:sz="4" w:space="0" w:color="FFFFFF"/>
              <w:left w:val="single" w:sz="4" w:space="0" w:color="FFFFFF"/>
              <w:bottom w:val="single" w:sz="4" w:space="0" w:color="FFFFFF"/>
              <w:right w:val="nil"/>
            </w:tcBorders>
            <w:shd w:val="clear" w:color="auto" w:fill="EADCF4"/>
            <w:vAlign w:val="center"/>
            <w:hideMark/>
          </w:tcPr>
          <w:p w14:paraId="23D69E11"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4,27</w:t>
            </w:r>
          </w:p>
        </w:tc>
      </w:tr>
      <w:tr w:rsidR="00AF3A86" w:rsidRPr="000A02AF" w14:paraId="13DB3E47" w14:textId="77777777" w:rsidTr="00AF3A86">
        <w:trPr>
          <w:trHeight w:val="300"/>
          <w:jc w:val="center"/>
        </w:trPr>
        <w:tc>
          <w:tcPr>
            <w:tcW w:w="1147" w:type="pct"/>
            <w:tcBorders>
              <w:top w:val="single" w:sz="4" w:space="0" w:color="FFFFFF"/>
              <w:left w:val="nil"/>
              <w:bottom w:val="single" w:sz="4" w:space="0" w:color="FFFFFF"/>
              <w:right w:val="single" w:sz="4" w:space="0" w:color="FFFFFF"/>
            </w:tcBorders>
            <w:shd w:val="clear" w:color="B4C6E7" w:fill="B4C6E7"/>
            <w:vAlign w:val="center"/>
            <w:hideMark/>
          </w:tcPr>
          <w:p w14:paraId="2FB2757B" w14:textId="77777777" w:rsidR="001A4065" w:rsidRPr="000A02AF" w:rsidRDefault="001A4065" w:rsidP="001A4065">
            <w:pPr>
              <w:spacing w:before="0" w:after="0"/>
              <w:contextualSpacing w:val="0"/>
              <w:jc w:val="left"/>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III.skupina(&gt;100mil.Kč)</w:t>
            </w:r>
          </w:p>
        </w:tc>
        <w:tc>
          <w:tcPr>
            <w:tcW w:w="455"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6C51C639"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33</w:t>
            </w:r>
          </w:p>
        </w:tc>
        <w:tc>
          <w:tcPr>
            <w:tcW w:w="686"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182E710B"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8,94</w:t>
            </w:r>
          </w:p>
        </w:tc>
        <w:tc>
          <w:tcPr>
            <w:tcW w:w="630" w:type="pct"/>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hideMark/>
          </w:tcPr>
          <w:p w14:paraId="48B3820C"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4</w:t>
            </w:r>
          </w:p>
        </w:tc>
        <w:tc>
          <w:tcPr>
            <w:tcW w:w="700" w:type="pct"/>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hideMark/>
          </w:tcPr>
          <w:p w14:paraId="2990D20A"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1,40</w:t>
            </w:r>
          </w:p>
        </w:tc>
        <w:tc>
          <w:tcPr>
            <w:tcW w:w="632" w:type="pct"/>
            <w:tcBorders>
              <w:top w:val="single" w:sz="4" w:space="0" w:color="FFFFFF"/>
              <w:left w:val="single" w:sz="4" w:space="0" w:color="FFFFFF"/>
              <w:bottom w:val="single" w:sz="4" w:space="0" w:color="FFFFFF"/>
              <w:right w:val="single" w:sz="4" w:space="0" w:color="FFFFFF"/>
            </w:tcBorders>
            <w:shd w:val="clear" w:color="auto" w:fill="C7A1E3"/>
            <w:vAlign w:val="center"/>
            <w:hideMark/>
          </w:tcPr>
          <w:p w14:paraId="33D68EA5"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29</w:t>
            </w:r>
          </w:p>
        </w:tc>
        <w:tc>
          <w:tcPr>
            <w:tcW w:w="749" w:type="pct"/>
            <w:tcBorders>
              <w:top w:val="single" w:sz="4" w:space="0" w:color="FFFFFF"/>
              <w:left w:val="single" w:sz="4" w:space="0" w:color="FFFFFF"/>
              <w:bottom w:val="single" w:sz="4" w:space="0" w:color="FFFFFF"/>
              <w:right w:val="nil"/>
            </w:tcBorders>
            <w:shd w:val="clear" w:color="auto" w:fill="C7A1E3"/>
            <w:vAlign w:val="center"/>
            <w:hideMark/>
          </w:tcPr>
          <w:p w14:paraId="492B0E95"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7,54</w:t>
            </w:r>
          </w:p>
        </w:tc>
      </w:tr>
      <w:tr w:rsidR="00AF3A86" w:rsidRPr="000A02AF" w14:paraId="59F06AA1" w14:textId="77777777" w:rsidTr="00AF3A86">
        <w:trPr>
          <w:trHeight w:val="300"/>
          <w:jc w:val="center"/>
        </w:trPr>
        <w:tc>
          <w:tcPr>
            <w:tcW w:w="1147" w:type="pct"/>
            <w:tcBorders>
              <w:top w:val="single" w:sz="4" w:space="0" w:color="FFFFFF"/>
              <w:left w:val="nil"/>
              <w:bottom w:val="single" w:sz="4" w:space="0" w:color="FFFFFF"/>
              <w:right w:val="single" w:sz="4" w:space="0" w:color="FFFFFF"/>
            </w:tcBorders>
            <w:shd w:val="clear" w:color="D9E1F2" w:fill="D9E1F2"/>
            <w:vAlign w:val="center"/>
            <w:hideMark/>
          </w:tcPr>
          <w:p w14:paraId="5CF0DC98" w14:textId="77777777" w:rsidR="001A4065" w:rsidRPr="000A02AF" w:rsidRDefault="001A4065" w:rsidP="001A4065">
            <w:pPr>
              <w:spacing w:before="0" w:after="0"/>
              <w:contextualSpacing w:val="0"/>
              <w:jc w:val="left"/>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IV.skupina(&gt;10mil.Kč)</w:t>
            </w:r>
          </w:p>
        </w:tc>
        <w:tc>
          <w:tcPr>
            <w:tcW w:w="455"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1F4B92E8"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447</w:t>
            </w:r>
          </w:p>
        </w:tc>
        <w:tc>
          <w:tcPr>
            <w:tcW w:w="686"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314F8009"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12,78</w:t>
            </w:r>
          </w:p>
        </w:tc>
        <w:tc>
          <w:tcPr>
            <w:tcW w:w="630" w:type="pct"/>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hideMark/>
          </w:tcPr>
          <w:p w14:paraId="51EFA41F"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169</w:t>
            </w:r>
          </w:p>
        </w:tc>
        <w:tc>
          <w:tcPr>
            <w:tcW w:w="700" w:type="pct"/>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hideMark/>
          </w:tcPr>
          <w:p w14:paraId="717824B5"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3,53</w:t>
            </w:r>
          </w:p>
        </w:tc>
        <w:tc>
          <w:tcPr>
            <w:tcW w:w="632" w:type="pct"/>
            <w:tcBorders>
              <w:top w:val="single" w:sz="4" w:space="0" w:color="FFFFFF"/>
              <w:left w:val="single" w:sz="4" w:space="0" w:color="FFFFFF"/>
              <w:bottom w:val="single" w:sz="4" w:space="0" w:color="FFFFFF"/>
              <w:right w:val="single" w:sz="4" w:space="0" w:color="FFFFFF"/>
            </w:tcBorders>
            <w:shd w:val="clear" w:color="auto" w:fill="EADCF4"/>
            <w:vAlign w:val="center"/>
            <w:hideMark/>
          </w:tcPr>
          <w:p w14:paraId="29251FBA"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278</w:t>
            </w:r>
          </w:p>
        </w:tc>
        <w:tc>
          <w:tcPr>
            <w:tcW w:w="749" w:type="pct"/>
            <w:tcBorders>
              <w:top w:val="single" w:sz="4" w:space="0" w:color="FFFFFF"/>
              <w:left w:val="single" w:sz="4" w:space="0" w:color="FFFFFF"/>
              <w:bottom w:val="single" w:sz="4" w:space="0" w:color="FFFFFF"/>
              <w:right w:val="nil"/>
            </w:tcBorders>
            <w:shd w:val="clear" w:color="auto" w:fill="EADCF4"/>
            <w:vAlign w:val="center"/>
            <w:hideMark/>
          </w:tcPr>
          <w:p w14:paraId="103EF2AC"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9,25</w:t>
            </w:r>
          </w:p>
        </w:tc>
      </w:tr>
      <w:tr w:rsidR="00AF3A86" w:rsidRPr="000A02AF" w14:paraId="6CC83C5C" w14:textId="77777777" w:rsidTr="00AF3A86">
        <w:trPr>
          <w:trHeight w:val="300"/>
          <w:jc w:val="center"/>
        </w:trPr>
        <w:tc>
          <w:tcPr>
            <w:tcW w:w="1147" w:type="pct"/>
            <w:tcBorders>
              <w:top w:val="single" w:sz="4" w:space="0" w:color="FFFFFF"/>
              <w:left w:val="nil"/>
              <w:bottom w:val="single" w:sz="4" w:space="0" w:color="FFFFFF"/>
              <w:right w:val="single" w:sz="4" w:space="0" w:color="FFFFFF"/>
            </w:tcBorders>
            <w:shd w:val="clear" w:color="B4C6E7" w:fill="B4C6E7"/>
            <w:vAlign w:val="center"/>
            <w:hideMark/>
          </w:tcPr>
          <w:p w14:paraId="77377A87" w14:textId="77777777" w:rsidR="001A4065" w:rsidRPr="000A02AF" w:rsidRDefault="001A4065" w:rsidP="001A4065">
            <w:pPr>
              <w:spacing w:before="0" w:after="0"/>
              <w:contextualSpacing w:val="0"/>
              <w:jc w:val="left"/>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V.skupina(&gt;1mil.Kč)</w:t>
            </w:r>
          </w:p>
        </w:tc>
        <w:tc>
          <w:tcPr>
            <w:tcW w:w="455"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2664774B"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319</w:t>
            </w:r>
          </w:p>
        </w:tc>
        <w:tc>
          <w:tcPr>
            <w:tcW w:w="686" w:type="pct"/>
            <w:tcBorders>
              <w:top w:val="single" w:sz="4" w:space="0" w:color="FFFFFF"/>
              <w:left w:val="single" w:sz="4" w:space="0" w:color="FFFFFF"/>
              <w:bottom w:val="single" w:sz="4" w:space="0" w:color="FFFFFF"/>
              <w:right w:val="single" w:sz="4" w:space="0" w:color="FFFFFF"/>
            </w:tcBorders>
            <w:shd w:val="clear" w:color="B4C6E7" w:fill="B4C6E7"/>
            <w:vAlign w:val="center"/>
            <w:hideMark/>
          </w:tcPr>
          <w:p w14:paraId="77414199"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2,66</w:t>
            </w:r>
          </w:p>
        </w:tc>
        <w:tc>
          <w:tcPr>
            <w:tcW w:w="630" w:type="pct"/>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hideMark/>
          </w:tcPr>
          <w:p w14:paraId="1D7E841E"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140</w:t>
            </w:r>
          </w:p>
        </w:tc>
        <w:tc>
          <w:tcPr>
            <w:tcW w:w="700" w:type="pct"/>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hideMark/>
          </w:tcPr>
          <w:p w14:paraId="199F3E5B"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1,09</w:t>
            </w:r>
          </w:p>
        </w:tc>
        <w:tc>
          <w:tcPr>
            <w:tcW w:w="632" w:type="pct"/>
            <w:tcBorders>
              <w:top w:val="single" w:sz="4" w:space="0" w:color="FFFFFF"/>
              <w:left w:val="single" w:sz="4" w:space="0" w:color="FFFFFF"/>
              <w:bottom w:val="single" w:sz="4" w:space="0" w:color="FFFFFF"/>
              <w:right w:val="single" w:sz="4" w:space="0" w:color="FFFFFF"/>
            </w:tcBorders>
            <w:shd w:val="clear" w:color="auto" w:fill="C7A1E3"/>
            <w:vAlign w:val="center"/>
            <w:hideMark/>
          </w:tcPr>
          <w:p w14:paraId="0D27D92A"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179</w:t>
            </w:r>
          </w:p>
        </w:tc>
        <w:tc>
          <w:tcPr>
            <w:tcW w:w="749" w:type="pct"/>
            <w:tcBorders>
              <w:top w:val="single" w:sz="4" w:space="0" w:color="FFFFFF"/>
              <w:left w:val="single" w:sz="4" w:space="0" w:color="FFFFFF"/>
              <w:bottom w:val="single" w:sz="4" w:space="0" w:color="FFFFFF"/>
              <w:right w:val="nil"/>
            </w:tcBorders>
            <w:shd w:val="clear" w:color="auto" w:fill="C7A1E3"/>
            <w:vAlign w:val="center"/>
            <w:hideMark/>
          </w:tcPr>
          <w:p w14:paraId="4CC2EB43"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1,58</w:t>
            </w:r>
          </w:p>
        </w:tc>
      </w:tr>
      <w:tr w:rsidR="00AF3A86" w:rsidRPr="000A02AF" w14:paraId="1CFA93A5" w14:textId="77777777" w:rsidTr="00AF3A86">
        <w:trPr>
          <w:trHeight w:val="300"/>
          <w:jc w:val="center"/>
        </w:trPr>
        <w:tc>
          <w:tcPr>
            <w:tcW w:w="1147" w:type="pct"/>
            <w:tcBorders>
              <w:top w:val="single" w:sz="4" w:space="0" w:color="FFFFFF"/>
              <w:left w:val="nil"/>
              <w:bottom w:val="single" w:sz="4" w:space="0" w:color="FFFFFF"/>
              <w:right w:val="single" w:sz="4" w:space="0" w:color="FFFFFF"/>
            </w:tcBorders>
            <w:shd w:val="clear" w:color="D9E1F2" w:fill="D9E1F2"/>
            <w:vAlign w:val="center"/>
            <w:hideMark/>
          </w:tcPr>
          <w:p w14:paraId="58C07926" w14:textId="77777777" w:rsidR="001A4065" w:rsidRPr="000A02AF" w:rsidRDefault="001A4065" w:rsidP="001A4065">
            <w:pPr>
              <w:spacing w:before="0" w:after="0"/>
              <w:contextualSpacing w:val="0"/>
              <w:jc w:val="left"/>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VI.skupina(&lt;1mil.Kč)</w:t>
            </w:r>
          </w:p>
        </w:tc>
        <w:tc>
          <w:tcPr>
            <w:tcW w:w="455"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6AF49E03"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15</w:t>
            </w:r>
          </w:p>
        </w:tc>
        <w:tc>
          <w:tcPr>
            <w:tcW w:w="686" w:type="pct"/>
            <w:tcBorders>
              <w:top w:val="single" w:sz="4" w:space="0" w:color="FFFFFF"/>
              <w:left w:val="single" w:sz="4" w:space="0" w:color="FFFFFF"/>
              <w:bottom w:val="single" w:sz="4" w:space="0" w:color="FFFFFF"/>
              <w:right w:val="single" w:sz="4" w:space="0" w:color="FFFFFF"/>
            </w:tcBorders>
            <w:shd w:val="clear" w:color="D9E1F2" w:fill="D9E1F2"/>
            <w:vAlign w:val="center"/>
            <w:hideMark/>
          </w:tcPr>
          <w:p w14:paraId="455ED8EB"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0,08</w:t>
            </w:r>
          </w:p>
        </w:tc>
        <w:tc>
          <w:tcPr>
            <w:tcW w:w="630" w:type="pct"/>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hideMark/>
          </w:tcPr>
          <w:p w14:paraId="62B484B6"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4</w:t>
            </w:r>
          </w:p>
        </w:tc>
        <w:tc>
          <w:tcPr>
            <w:tcW w:w="700" w:type="pct"/>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hideMark/>
          </w:tcPr>
          <w:p w14:paraId="4254360C"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0,01</w:t>
            </w:r>
          </w:p>
        </w:tc>
        <w:tc>
          <w:tcPr>
            <w:tcW w:w="632" w:type="pct"/>
            <w:tcBorders>
              <w:top w:val="single" w:sz="4" w:space="0" w:color="FFFFFF"/>
              <w:left w:val="single" w:sz="4" w:space="0" w:color="FFFFFF"/>
              <w:bottom w:val="single" w:sz="4" w:space="0" w:color="FFFFFF"/>
              <w:right w:val="single" w:sz="4" w:space="0" w:color="FFFFFF"/>
            </w:tcBorders>
            <w:shd w:val="clear" w:color="auto" w:fill="EADCF4"/>
            <w:vAlign w:val="center"/>
            <w:hideMark/>
          </w:tcPr>
          <w:p w14:paraId="33AA54D5"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11</w:t>
            </w:r>
          </w:p>
        </w:tc>
        <w:tc>
          <w:tcPr>
            <w:tcW w:w="749" w:type="pct"/>
            <w:tcBorders>
              <w:top w:val="single" w:sz="4" w:space="0" w:color="FFFFFF"/>
              <w:left w:val="single" w:sz="4" w:space="0" w:color="FFFFFF"/>
              <w:bottom w:val="single" w:sz="4" w:space="0" w:color="FFFFFF"/>
              <w:right w:val="nil"/>
            </w:tcBorders>
            <w:shd w:val="clear" w:color="auto" w:fill="EADCF4"/>
            <w:vAlign w:val="center"/>
            <w:hideMark/>
          </w:tcPr>
          <w:p w14:paraId="28854D7E" w14:textId="77777777" w:rsidR="001A4065" w:rsidRPr="000A02AF" w:rsidRDefault="001A4065" w:rsidP="001A4065">
            <w:pPr>
              <w:spacing w:before="0" w:after="0"/>
              <w:contextualSpacing w:val="0"/>
              <w:jc w:val="center"/>
              <w:rPr>
                <w:rFonts w:asciiTheme="majorHAnsi" w:eastAsia="Times New Roman" w:hAnsiTheme="majorHAnsi"/>
                <w:color w:val="000000"/>
                <w:sz w:val="20"/>
                <w:szCs w:val="20"/>
                <w:lang w:eastAsia="cs-CZ"/>
              </w:rPr>
            </w:pPr>
            <w:r w:rsidRPr="000A02AF">
              <w:rPr>
                <w:rFonts w:asciiTheme="majorHAnsi" w:eastAsia="Times New Roman" w:hAnsiTheme="majorHAnsi"/>
                <w:color w:val="000000"/>
                <w:sz w:val="20"/>
                <w:szCs w:val="20"/>
                <w:lang w:eastAsia="cs-CZ"/>
              </w:rPr>
              <w:t>0,07</w:t>
            </w:r>
          </w:p>
        </w:tc>
      </w:tr>
      <w:tr w:rsidR="00AF3A86" w:rsidRPr="000A02AF" w14:paraId="1E07BBFE" w14:textId="77777777" w:rsidTr="00AF3A86">
        <w:trPr>
          <w:trHeight w:val="300"/>
          <w:jc w:val="center"/>
        </w:trPr>
        <w:tc>
          <w:tcPr>
            <w:tcW w:w="1147" w:type="pct"/>
            <w:tcBorders>
              <w:top w:val="single" w:sz="4" w:space="0" w:color="FFFFFF"/>
              <w:left w:val="nil"/>
              <w:bottom w:val="nil"/>
              <w:right w:val="single" w:sz="4" w:space="0" w:color="FFFFFF"/>
            </w:tcBorders>
            <w:shd w:val="clear" w:color="B4C6E7" w:fill="B4C6E7"/>
            <w:vAlign w:val="center"/>
            <w:hideMark/>
          </w:tcPr>
          <w:p w14:paraId="53FEF59C" w14:textId="77777777" w:rsidR="001A4065" w:rsidRPr="000A02AF" w:rsidRDefault="001A4065" w:rsidP="001A4065">
            <w:pPr>
              <w:spacing w:before="0" w:after="0"/>
              <w:contextualSpacing w:val="0"/>
              <w:jc w:val="left"/>
              <w:rPr>
                <w:rFonts w:asciiTheme="majorHAnsi" w:eastAsia="Times New Roman" w:hAnsiTheme="majorHAnsi"/>
                <w:b/>
                <w:color w:val="000000"/>
                <w:sz w:val="20"/>
                <w:szCs w:val="20"/>
                <w:lang w:eastAsia="cs-CZ"/>
              </w:rPr>
            </w:pPr>
            <w:r w:rsidRPr="000A02AF">
              <w:rPr>
                <w:rFonts w:asciiTheme="majorHAnsi" w:eastAsia="Times New Roman" w:hAnsiTheme="majorHAnsi"/>
                <w:b/>
                <w:color w:val="000000"/>
                <w:sz w:val="20"/>
                <w:szCs w:val="20"/>
                <w:lang w:eastAsia="cs-CZ"/>
              </w:rPr>
              <w:t>CELKEM</w:t>
            </w:r>
          </w:p>
        </w:tc>
        <w:tc>
          <w:tcPr>
            <w:tcW w:w="455" w:type="pct"/>
            <w:tcBorders>
              <w:top w:val="single" w:sz="4" w:space="0" w:color="FFFFFF"/>
              <w:left w:val="single" w:sz="4" w:space="0" w:color="FFFFFF"/>
              <w:bottom w:val="nil"/>
              <w:right w:val="single" w:sz="4" w:space="0" w:color="FFFFFF"/>
            </w:tcBorders>
            <w:shd w:val="clear" w:color="B4C6E7" w:fill="B4C6E7"/>
            <w:vAlign w:val="center"/>
            <w:hideMark/>
          </w:tcPr>
          <w:p w14:paraId="77214540" w14:textId="77777777" w:rsidR="001A4065" w:rsidRPr="000A02AF" w:rsidRDefault="001A4065" w:rsidP="001A4065">
            <w:pPr>
              <w:spacing w:before="0" w:after="0"/>
              <w:contextualSpacing w:val="0"/>
              <w:jc w:val="center"/>
              <w:rPr>
                <w:rFonts w:asciiTheme="majorHAnsi" w:eastAsia="Times New Roman" w:hAnsiTheme="majorHAnsi"/>
                <w:b/>
                <w:color w:val="000000"/>
                <w:sz w:val="20"/>
                <w:szCs w:val="20"/>
                <w:lang w:eastAsia="cs-CZ"/>
              </w:rPr>
            </w:pPr>
            <w:r w:rsidRPr="000A02AF">
              <w:rPr>
                <w:rFonts w:asciiTheme="majorHAnsi" w:eastAsia="Times New Roman" w:hAnsiTheme="majorHAnsi"/>
                <w:b/>
                <w:color w:val="000000"/>
                <w:sz w:val="20"/>
                <w:szCs w:val="20"/>
                <w:lang w:eastAsia="cs-CZ"/>
              </w:rPr>
              <w:t>817</w:t>
            </w:r>
          </w:p>
        </w:tc>
        <w:tc>
          <w:tcPr>
            <w:tcW w:w="686" w:type="pct"/>
            <w:tcBorders>
              <w:top w:val="single" w:sz="4" w:space="0" w:color="FFFFFF"/>
              <w:left w:val="single" w:sz="4" w:space="0" w:color="FFFFFF"/>
              <w:bottom w:val="nil"/>
              <w:right w:val="single" w:sz="4" w:space="0" w:color="FFFFFF"/>
            </w:tcBorders>
            <w:shd w:val="clear" w:color="B4C6E7" w:fill="B4C6E7"/>
            <w:vAlign w:val="center"/>
            <w:hideMark/>
          </w:tcPr>
          <w:p w14:paraId="526A9173" w14:textId="77777777" w:rsidR="001A4065" w:rsidRPr="000A02AF" w:rsidRDefault="001A4065" w:rsidP="001A4065">
            <w:pPr>
              <w:spacing w:before="0" w:after="0"/>
              <w:contextualSpacing w:val="0"/>
              <w:jc w:val="center"/>
              <w:rPr>
                <w:rFonts w:asciiTheme="majorHAnsi" w:eastAsia="Times New Roman" w:hAnsiTheme="majorHAnsi"/>
                <w:b/>
                <w:color w:val="000000"/>
                <w:sz w:val="20"/>
                <w:szCs w:val="20"/>
                <w:lang w:eastAsia="cs-CZ"/>
              </w:rPr>
            </w:pPr>
            <w:r w:rsidRPr="000A02AF">
              <w:rPr>
                <w:rFonts w:asciiTheme="majorHAnsi" w:eastAsia="Times New Roman" w:hAnsiTheme="majorHAnsi"/>
                <w:b/>
                <w:color w:val="000000"/>
                <w:sz w:val="20"/>
                <w:szCs w:val="20"/>
                <w:lang w:eastAsia="cs-CZ"/>
              </w:rPr>
              <w:t>28,73</w:t>
            </w:r>
          </w:p>
        </w:tc>
        <w:tc>
          <w:tcPr>
            <w:tcW w:w="630" w:type="pct"/>
            <w:tcBorders>
              <w:top w:val="single" w:sz="4" w:space="0" w:color="FFFFFF"/>
              <w:left w:val="single" w:sz="4" w:space="0" w:color="FFFFFF"/>
              <w:bottom w:val="nil"/>
              <w:right w:val="single" w:sz="4" w:space="0" w:color="FFFFFF"/>
            </w:tcBorders>
            <w:shd w:val="clear" w:color="auto" w:fill="BFBFBF" w:themeFill="background1" w:themeFillShade="BF"/>
            <w:vAlign w:val="center"/>
            <w:hideMark/>
          </w:tcPr>
          <w:p w14:paraId="5D5AC384" w14:textId="77777777" w:rsidR="001A4065" w:rsidRPr="000A02AF" w:rsidRDefault="001A4065" w:rsidP="001A4065">
            <w:pPr>
              <w:spacing w:before="0" w:after="0"/>
              <w:contextualSpacing w:val="0"/>
              <w:jc w:val="center"/>
              <w:rPr>
                <w:rFonts w:asciiTheme="majorHAnsi" w:eastAsia="Times New Roman" w:hAnsiTheme="majorHAnsi"/>
                <w:b/>
                <w:color w:val="000000"/>
                <w:sz w:val="20"/>
                <w:szCs w:val="20"/>
                <w:lang w:eastAsia="cs-CZ"/>
              </w:rPr>
            </w:pPr>
            <w:r w:rsidRPr="000A02AF">
              <w:rPr>
                <w:rFonts w:asciiTheme="majorHAnsi" w:eastAsia="Times New Roman" w:hAnsiTheme="majorHAnsi"/>
                <w:b/>
                <w:color w:val="000000"/>
                <w:sz w:val="20"/>
                <w:szCs w:val="20"/>
                <w:lang w:eastAsia="cs-CZ"/>
              </w:rPr>
              <w:t>318</w:t>
            </w:r>
          </w:p>
        </w:tc>
        <w:tc>
          <w:tcPr>
            <w:tcW w:w="700" w:type="pct"/>
            <w:tcBorders>
              <w:top w:val="single" w:sz="4" w:space="0" w:color="FFFFFF"/>
              <w:left w:val="single" w:sz="4" w:space="0" w:color="FFFFFF"/>
              <w:bottom w:val="nil"/>
              <w:right w:val="single" w:sz="4" w:space="0" w:color="FFFFFF"/>
            </w:tcBorders>
            <w:shd w:val="clear" w:color="auto" w:fill="BFBFBF" w:themeFill="background1" w:themeFillShade="BF"/>
            <w:vAlign w:val="center"/>
            <w:hideMark/>
          </w:tcPr>
          <w:p w14:paraId="7E0B7784" w14:textId="77777777" w:rsidR="001A4065" w:rsidRPr="000A02AF" w:rsidRDefault="001A4065" w:rsidP="001A4065">
            <w:pPr>
              <w:spacing w:before="0" w:after="0"/>
              <w:contextualSpacing w:val="0"/>
              <w:jc w:val="center"/>
              <w:rPr>
                <w:rFonts w:asciiTheme="majorHAnsi" w:eastAsia="Times New Roman" w:hAnsiTheme="majorHAnsi"/>
                <w:b/>
                <w:color w:val="000000"/>
                <w:sz w:val="20"/>
                <w:szCs w:val="20"/>
                <w:lang w:eastAsia="cs-CZ"/>
              </w:rPr>
            </w:pPr>
            <w:r w:rsidRPr="000A02AF">
              <w:rPr>
                <w:rFonts w:asciiTheme="majorHAnsi" w:eastAsia="Times New Roman" w:hAnsiTheme="majorHAnsi"/>
                <w:b/>
                <w:color w:val="000000"/>
                <w:sz w:val="20"/>
                <w:szCs w:val="20"/>
                <w:lang w:eastAsia="cs-CZ"/>
              </w:rPr>
              <w:t>6,02</w:t>
            </w:r>
          </w:p>
        </w:tc>
        <w:tc>
          <w:tcPr>
            <w:tcW w:w="632" w:type="pct"/>
            <w:tcBorders>
              <w:top w:val="single" w:sz="4" w:space="0" w:color="FFFFFF"/>
              <w:left w:val="single" w:sz="4" w:space="0" w:color="FFFFFF"/>
              <w:bottom w:val="nil"/>
              <w:right w:val="single" w:sz="4" w:space="0" w:color="FFFFFF"/>
            </w:tcBorders>
            <w:shd w:val="clear" w:color="auto" w:fill="C7A1E3"/>
            <w:vAlign w:val="center"/>
            <w:hideMark/>
          </w:tcPr>
          <w:p w14:paraId="18F4F79F" w14:textId="77777777" w:rsidR="001A4065" w:rsidRPr="000A02AF" w:rsidRDefault="001A4065" w:rsidP="001A4065">
            <w:pPr>
              <w:spacing w:before="0" w:after="0"/>
              <w:contextualSpacing w:val="0"/>
              <w:jc w:val="center"/>
              <w:rPr>
                <w:rFonts w:asciiTheme="majorHAnsi" w:eastAsia="Times New Roman" w:hAnsiTheme="majorHAnsi"/>
                <w:b/>
                <w:color w:val="000000"/>
                <w:sz w:val="20"/>
                <w:szCs w:val="20"/>
                <w:lang w:eastAsia="cs-CZ"/>
              </w:rPr>
            </w:pPr>
            <w:r w:rsidRPr="000A02AF">
              <w:rPr>
                <w:rFonts w:asciiTheme="majorHAnsi" w:eastAsia="Times New Roman" w:hAnsiTheme="majorHAnsi"/>
                <w:b/>
                <w:color w:val="000000"/>
                <w:sz w:val="20"/>
                <w:szCs w:val="20"/>
                <w:lang w:eastAsia="cs-CZ"/>
              </w:rPr>
              <w:t>499</w:t>
            </w:r>
          </w:p>
        </w:tc>
        <w:tc>
          <w:tcPr>
            <w:tcW w:w="749" w:type="pct"/>
            <w:tcBorders>
              <w:top w:val="single" w:sz="4" w:space="0" w:color="FFFFFF"/>
              <w:left w:val="single" w:sz="4" w:space="0" w:color="FFFFFF"/>
              <w:bottom w:val="nil"/>
              <w:right w:val="nil"/>
            </w:tcBorders>
            <w:shd w:val="clear" w:color="auto" w:fill="C7A1E3"/>
            <w:vAlign w:val="center"/>
            <w:hideMark/>
          </w:tcPr>
          <w:p w14:paraId="08CC3B33" w14:textId="77777777" w:rsidR="001A4065" w:rsidRPr="000A02AF" w:rsidRDefault="001A4065" w:rsidP="001A4065">
            <w:pPr>
              <w:spacing w:before="0" w:after="0"/>
              <w:contextualSpacing w:val="0"/>
              <w:jc w:val="center"/>
              <w:rPr>
                <w:rFonts w:asciiTheme="majorHAnsi" w:eastAsia="Times New Roman" w:hAnsiTheme="majorHAnsi"/>
                <w:b/>
                <w:color w:val="000000"/>
                <w:sz w:val="20"/>
                <w:szCs w:val="20"/>
                <w:lang w:eastAsia="cs-CZ"/>
              </w:rPr>
            </w:pPr>
            <w:r w:rsidRPr="000A02AF">
              <w:rPr>
                <w:rFonts w:asciiTheme="majorHAnsi" w:eastAsia="Times New Roman" w:hAnsiTheme="majorHAnsi"/>
                <w:b/>
                <w:color w:val="000000"/>
                <w:sz w:val="20"/>
                <w:szCs w:val="20"/>
                <w:lang w:eastAsia="cs-CZ"/>
              </w:rPr>
              <w:t>22,70</w:t>
            </w:r>
          </w:p>
        </w:tc>
      </w:tr>
    </w:tbl>
    <w:p w14:paraId="29C3B60C" w14:textId="77777777" w:rsidR="001A4065" w:rsidRDefault="001A4065" w:rsidP="00A0147D">
      <w:pPr>
        <w:pStyle w:val="Normlnzprva"/>
      </w:pPr>
    </w:p>
    <w:p w14:paraId="542BBBBB" w14:textId="4452D74E" w:rsidR="008867C8" w:rsidRDefault="008867C8" w:rsidP="005307A2">
      <w:pPr>
        <w:pStyle w:val="NORMLN0"/>
      </w:pPr>
      <w:r>
        <w:t>Důvod</w:t>
      </w:r>
      <w:r w:rsidR="0062111D">
        <w:t>em</w:t>
      </w:r>
      <w:r>
        <w:t>, kter</w:t>
      </w:r>
      <w:r w:rsidR="0062111D">
        <w:t>ý</w:t>
      </w:r>
      <w:r>
        <w:t xml:space="preserve"> m</w:t>
      </w:r>
      <w:r w:rsidR="0062111D">
        <w:t>ůže</w:t>
      </w:r>
      <w:r>
        <w:t xml:space="preserve"> </w:t>
      </w:r>
      <w:r w:rsidR="00DD6C5F">
        <w:t xml:space="preserve">vlastníky k cílené dotaci ceny </w:t>
      </w:r>
      <w:r>
        <w:t>vést, j</w:t>
      </w:r>
      <w:r w:rsidR="0062111D">
        <w:t>e</w:t>
      </w:r>
      <w:r>
        <w:t xml:space="preserve"> zejména udržení ceny pro vodné na určité úrovni.</w:t>
      </w:r>
      <w:r w:rsidR="00DD6C5F">
        <w:t xml:space="preserve"> Pokud je vlastník nucen přistoupit k dotaci ceny z důvodu </w:t>
      </w:r>
      <w:r w:rsidR="0062111D">
        <w:t xml:space="preserve">její </w:t>
      </w:r>
      <w:r w:rsidR="00DD6C5F">
        <w:t xml:space="preserve">sociální únosnosti, lze konstatovat, že </w:t>
      </w:r>
      <w:r w:rsidR="0062111D">
        <w:t>se tak děje v</w:t>
      </w:r>
      <w:r w:rsidR="00DD6C5F">
        <w:t xml:space="preserve"> důsledk</w:t>
      </w:r>
      <w:r w:rsidR="0062111D">
        <w:t>u</w:t>
      </w:r>
      <w:r w:rsidR="00DD6C5F">
        <w:t xml:space="preserve"> vysoké atomizace trhu (</w:t>
      </w:r>
      <w:r w:rsidR="005307A2">
        <w:t>tzn.</w:t>
      </w:r>
      <w:r w:rsidR="004C7C21">
        <w:t>,</w:t>
      </w:r>
      <w:r w:rsidR="005307A2">
        <w:t xml:space="preserve"> vlastník fakturuje příliš nízké množství vody, než aby mohl využívat úspory z rozsahu)</w:t>
      </w:r>
      <w:r w:rsidR="0062111D">
        <w:t>.</w:t>
      </w:r>
      <w:r w:rsidR="00DD6C5F">
        <w:t xml:space="preserve"> </w:t>
      </w:r>
      <w:r>
        <w:t xml:space="preserve">Z dlouhodobého hlediska </w:t>
      </w:r>
      <w:r w:rsidR="0062111D">
        <w:t xml:space="preserve">však </w:t>
      </w:r>
      <w:r>
        <w:t>tento přístup zabraňuje plnění záměru dosažení samofinancovatelnosti</w:t>
      </w:r>
      <w:r w:rsidR="009F5496">
        <w:t xml:space="preserve"> VIM a zvyšuje riziko </w:t>
      </w:r>
      <w:r w:rsidR="00B41916" w:rsidRPr="000937F8">
        <w:t>zatížení budoucích generací</w:t>
      </w:r>
      <w:r w:rsidR="00B41916">
        <w:t xml:space="preserve"> </w:t>
      </w:r>
      <w:r w:rsidR="00B41916" w:rsidRPr="000937F8">
        <w:t>výdaji na obnovu VIM buď formou státních dotací</w:t>
      </w:r>
      <w:r w:rsidR="00B41916">
        <w:t>,</w:t>
      </w:r>
      <w:r w:rsidR="00B41916" w:rsidRPr="000937F8">
        <w:t xml:space="preserve"> nebo skokově zvýšenou cenou pro vodné</w:t>
      </w:r>
      <w:r w:rsidR="009F5496">
        <w:t xml:space="preserve">, pokud vlastník o VIM </w:t>
      </w:r>
      <w:r w:rsidR="00DD6C5F">
        <w:t xml:space="preserve">dostatečně </w:t>
      </w:r>
      <w:r w:rsidR="009F5496">
        <w:t>systematicky nepečuje</w:t>
      </w:r>
      <w:r w:rsidR="005307A2">
        <w:t xml:space="preserve"> a nefinancuje</w:t>
      </w:r>
      <w:r w:rsidR="00403BAF">
        <w:t xml:space="preserve"> VIM</w:t>
      </w:r>
      <w:r w:rsidR="005307A2">
        <w:t xml:space="preserve"> z jiných příjmů</w:t>
      </w:r>
      <w:r w:rsidR="009F5496">
        <w:t xml:space="preserve">. </w:t>
      </w:r>
    </w:p>
    <w:p w14:paraId="2CCDD8D1" w14:textId="77777777" w:rsidR="00027F8A" w:rsidRPr="00C62639" w:rsidRDefault="00027F8A" w:rsidP="00027F8A">
      <w:pPr>
        <w:pStyle w:val="Nadpis3"/>
        <w:rPr>
          <w:rFonts w:asciiTheme="minorHAnsi" w:hAnsiTheme="minorHAnsi"/>
          <w:noProof/>
        </w:rPr>
      </w:pPr>
      <w:bookmarkStart w:id="37" w:name="_Toc3291998"/>
      <w:r w:rsidRPr="00C62639">
        <w:rPr>
          <w:rFonts w:asciiTheme="minorHAnsi" w:hAnsiTheme="minorHAnsi"/>
          <w:noProof/>
        </w:rPr>
        <w:lastRenderedPageBreak/>
        <w:t>Výskyt anomálii v jednotlivých skupinách vlastníků</w:t>
      </w:r>
      <w:bookmarkEnd w:id="37"/>
    </w:p>
    <w:p w14:paraId="70038245" w14:textId="3B61A5E8" w:rsidR="009F36D5" w:rsidRDefault="000963DD" w:rsidP="00922681">
      <w:pPr>
        <w:pStyle w:val="NORMLN0"/>
      </w:pPr>
      <w:r>
        <w:tab/>
      </w:r>
      <w:r w:rsidR="009E7E1B" w:rsidRPr="009E7E1B">
        <w:t xml:space="preserve"> </w:t>
      </w:r>
      <w:r w:rsidR="009E7E1B">
        <w:t xml:space="preserve">Podle počtu výskytů anomálií v jednotlivých skupinách se jako nejvíce problematickou jeví </w:t>
      </w:r>
      <w:r w:rsidR="00922681">
        <w:t>I</w:t>
      </w:r>
      <w:r w:rsidR="009E7E1B">
        <w:t xml:space="preserve">V. </w:t>
      </w:r>
      <w:r w:rsidR="00922681">
        <w:t>skupina. V této</w:t>
      </w:r>
      <w:r w:rsidR="000937F8">
        <w:t xml:space="preserve"> skupině byla </w:t>
      </w:r>
      <w:r w:rsidR="00602456">
        <w:t>v 96,</w:t>
      </w:r>
      <w:r w:rsidR="00922681">
        <w:t>45</w:t>
      </w:r>
      <w:r w:rsidR="005307A2">
        <w:t xml:space="preserve"> </w:t>
      </w:r>
      <w:r w:rsidR="00602456">
        <w:t>%</w:t>
      </w:r>
      <w:r w:rsidR="005307A2">
        <w:t xml:space="preserve"> </w:t>
      </w:r>
      <w:r w:rsidR="000937F8">
        <w:t>Porovn</w:t>
      </w:r>
      <w:r w:rsidR="009E7E1B">
        <w:t>ání nalezena alespoň jedna anomálie</w:t>
      </w:r>
      <w:r w:rsidR="00922681">
        <w:t xml:space="preserve"> (u</w:t>
      </w:r>
      <w:r w:rsidR="0062111D">
        <w:t> </w:t>
      </w:r>
      <w:r w:rsidR="00922681">
        <w:t>896 z 929 Porovnání ve skupině)</w:t>
      </w:r>
      <w:r w:rsidR="009E7E1B">
        <w:t>.</w:t>
      </w:r>
      <w:r w:rsidR="005307A2">
        <w:t xml:space="preserve"> </w:t>
      </w:r>
      <w:r w:rsidR="009E7E1B">
        <w:t xml:space="preserve">Podle objemu fakturované pitné vody </w:t>
      </w:r>
      <w:r w:rsidR="005307A2">
        <w:t xml:space="preserve">bylo ve všech skupinách nejméně jednou </w:t>
      </w:r>
      <w:r w:rsidR="00922681">
        <w:t>anomálií zasaženo</w:t>
      </w:r>
      <w:r w:rsidR="005307A2">
        <w:t xml:space="preserve"> </w:t>
      </w:r>
      <w:r w:rsidR="009E7E1B">
        <w:t xml:space="preserve">více než </w:t>
      </w:r>
      <w:r w:rsidR="00922681">
        <w:t>6</w:t>
      </w:r>
      <w:r w:rsidR="009E7E1B">
        <w:t>0</w:t>
      </w:r>
      <w:r w:rsidR="005307A2">
        <w:t xml:space="preserve"> </w:t>
      </w:r>
      <w:r w:rsidR="009E7E1B">
        <w:t>% objemu pitné vody fakturované</w:t>
      </w:r>
      <w:r w:rsidR="005307A2">
        <w:t>.</w:t>
      </w:r>
      <w:r w:rsidR="00602456">
        <w:t xml:space="preserve"> Dokonce v případě V. a VI. skupiny je </w:t>
      </w:r>
      <w:r w:rsidR="005307A2">
        <w:t>alespoň jednou</w:t>
      </w:r>
      <w:r w:rsidR="00602456">
        <w:t> anomálií ovlivněn cel</w:t>
      </w:r>
      <w:r w:rsidR="005307A2">
        <w:t>ý</w:t>
      </w:r>
      <w:r w:rsidR="00602456">
        <w:t xml:space="preserve"> objem vody fakturované.</w:t>
      </w:r>
    </w:p>
    <w:p w14:paraId="51A981AF" w14:textId="77777777" w:rsidR="00EA00B3" w:rsidRDefault="00EA00B3" w:rsidP="00EA00B3">
      <w:pPr>
        <w:pStyle w:val="Normlnzprva"/>
        <w:rPr>
          <w:noProof/>
        </w:rPr>
      </w:pPr>
      <w:r w:rsidRPr="00EA00B3">
        <w:rPr>
          <w:noProof/>
          <w:lang w:eastAsia="cs-CZ"/>
        </w:rPr>
        <w:drawing>
          <wp:anchor distT="0" distB="0" distL="114300" distR="114300" simplePos="0" relativeHeight="251673600" behindDoc="0" locked="0" layoutInCell="1" allowOverlap="1" wp14:anchorId="56167AED" wp14:editId="36FB86C1">
            <wp:simplePos x="0" y="0"/>
            <wp:positionH relativeFrom="margin">
              <wp:align>left</wp:align>
            </wp:positionH>
            <wp:positionV relativeFrom="paragraph">
              <wp:posOffset>-2743</wp:posOffset>
            </wp:positionV>
            <wp:extent cx="5759450" cy="2094597"/>
            <wp:effectExtent l="0" t="0" r="0" b="1270"/>
            <wp:wrapTopAndBottom/>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2094597"/>
                    </a:xfrm>
                    <a:prstGeom prst="rect">
                      <a:avLst/>
                    </a:prstGeom>
                    <a:noFill/>
                    <a:ln>
                      <a:noFill/>
                    </a:ln>
                  </pic:spPr>
                </pic:pic>
              </a:graphicData>
            </a:graphic>
          </wp:anchor>
        </w:drawing>
      </w:r>
    </w:p>
    <w:p w14:paraId="6EE0F0B6" w14:textId="1BA8256F" w:rsidR="009F36D5" w:rsidRDefault="00891968" w:rsidP="00EA00B3">
      <w:pPr>
        <w:pStyle w:val="NORMLN0"/>
      </w:pPr>
      <w:r w:rsidRPr="00C62639">
        <w:rPr>
          <w:noProof/>
        </w:rPr>
        <w:t xml:space="preserve">V následující tabulce jsou blíže specifikovány anomálie a jejich rozložení </w:t>
      </w:r>
      <w:r w:rsidR="005307A2">
        <w:rPr>
          <w:noProof/>
        </w:rPr>
        <w:t>ve skupinách</w:t>
      </w:r>
      <w:r w:rsidRPr="00C62639">
        <w:rPr>
          <w:noProof/>
        </w:rPr>
        <w:t xml:space="preserve">, </w:t>
      </w:r>
      <w:r w:rsidR="0079579D">
        <w:rPr>
          <w:noProof/>
        </w:rPr>
        <w:t>u</w:t>
      </w:r>
      <w:r w:rsidR="00BC03D3">
        <w:rPr>
          <w:noProof/>
        </w:rPr>
        <w:t xml:space="preserve"> </w:t>
      </w:r>
      <w:r w:rsidRPr="00C62639">
        <w:rPr>
          <w:noProof/>
        </w:rPr>
        <w:t>kterých četnost výskytu anomálií přesáhla</w:t>
      </w:r>
      <w:r w:rsidR="0075759F" w:rsidRPr="00C62639">
        <w:rPr>
          <w:noProof/>
        </w:rPr>
        <w:t xml:space="preserve"> celkový počet</w:t>
      </w:r>
      <w:r w:rsidRPr="00C62639">
        <w:rPr>
          <w:noProof/>
        </w:rPr>
        <w:t xml:space="preserve"> sto. Jedná se o III., IV. </w:t>
      </w:r>
      <w:r w:rsidR="005723B9">
        <w:rPr>
          <w:noProof/>
        </w:rPr>
        <w:t>,</w:t>
      </w:r>
      <w:r w:rsidRPr="00C62639">
        <w:rPr>
          <w:noProof/>
        </w:rPr>
        <w:t xml:space="preserve"> V.</w:t>
      </w:r>
      <w:r w:rsidR="005723B9">
        <w:rPr>
          <w:noProof/>
        </w:rPr>
        <w:t xml:space="preserve"> a V</w:t>
      </w:r>
      <w:r w:rsidR="0079579D">
        <w:rPr>
          <w:noProof/>
        </w:rPr>
        <w:t>I</w:t>
      </w:r>
      <w:r w:rsidR="005723B9">
        <w:rPr>
          <w:noProof/>
        </w:rPr>
        <w:t>.</w:t>
      </w:r>
      <w:r w:rsidRPr="00C62639">
        <w:rPr>
          <w:noProof/>
        </w:rPr>
        <w:t xml:space="preserve"> skupinu vlastníků.</w:t>
      </w:r>
      <w:r w:rsidR="00B26631">
        <w:rPr>
          <w:noProof/>
        </w:rPr>
        <w:t xml:space="preserve"> </w:t>
      </w:r>
      <w:r w:rsidR="00BA092E" w:rsidRPr="00C62639">
        <w:rPr>
          <w:noProof/>
        </w:rPr>
        <w:t xml:space="preserve">V rámci těchto </w:t>
      </w:r>
      <w:r w:rsidR="005723B9">
        <w:rPr>
          <w:noProof/>
        </w:rPr>
        <w:t>čtyř</w:t>
      </w:r>
      <w:r w:rsidR="00BA092E" w:rsidRPr="00C62639">
        <w:rPr>
          <w:noProof/>
        </w:rPr>
        <w:t xml:space="preserve"> skupin je pitnou vodou zásobeno více než </w:t>
      </w:r>
      <w:r w:rsidR="005723B9">
        <w:rPr>
          <w:noProof/>
        </w:rPr>
        <w:t>2,14</w:t>
      </w:r>
      <w:r w:rsidR="00BA092E" w:rsidRPr="00C62639">
        <w:rPr>
          <w:noProof/>
        </w:rPr>
        <w:t xml:space="preserve"> mil. obyvatel.</w:t>
      </w:r>
      <w:r w:rsidR="00987F7F" w:rsidRPr="00C62639">
        <w:rPr>
          <w:noProof/>
        </w:rPr>
        <w:t xml:space="preserve"> Pro jejich zásobování se využív</w:t>
      </w:r>
      <w:r w:rsidR="0079579D">
        <w:rPr>
          <w:noProof/>
        </w:rPr>
        <w:t>ají vodovodní řady</w:t>
      </w:r>
      <w:r w:rsidR="00987F7F" w:rsidRPr="00C62639">
        <w:rPr>
          <w:noProof/>
        </w:rPr>
        <w:t xml:space="preserve"> o celkové </w:t>
      </w:r>
      <w:r w:rsidR="005723B9">
        <w:rPr>
          <w:noProof/>
        </w:rPr>
        <w:t xml:space="preserve">přepočtené </w:t>
      </w:r>
      <w:r w:rsidR="00987F7F" w:rsidRPr="00C62639">
        <w:rPr>
          <w:noProof/>
        </w:rPr>
        <w:t xml:space="preserve">délce </w:t>
      </w:r>
      <w:r w:rsidR="005723B9">
        <w:rPr>
          <w:noProof/>
        </w:rPr>
        <w:t>14,9</w:t>
      </w:r>
      <w:r w:rsidR="00987F7F" w:rsidRPr="00C62639">
        <w:rPr>
          <w:noProof/>
        </w:rPr>
        <w:t xml:space="preserve"> tis. km a hodnota VIM podle VÚME dosahuje 69,4 </w:t>
      </w:r>
      <w:r w:rsidR="00987F7F" w:rsidRPr="000937F8">
        <w:t>mld. Kč.</w:t>
      </w:r>
      <w:r w:rsidR="00B26631" w:rsidRPr="000937F8">
        <w:t xml:space="preserve"> </w:t>
      </w:r>
    </w:p>
    <w:p w14:paraId="467F63AA" w14:textId="77777777" w:rsidR="0075759F" w:rsidRPr="00C62639" w:rsidRDefault="0075759F" w:rsidP="0075759F">
      <w:pPr>
        <w:spacing w:before="0" w:after="0"/>
        <w:ind w:firstLine="709"/>
        <w:contextualSpacing w:val="0"/>
        <w:jc w:val="left"/>
        <w:rPr>
          <w:rFonts w:asciiTheme="minorHAnsi" w:hAnsiTheme="minorHAnsi"/>
          <w:noProof/>
        </w:rPr>
      </w:pPr>
    </w:p>
    <w:p w14:paraId="201F39D1" w14:textId="77777777" w:rsidR="0052613E" w:rsidRDefault="0052613E">
      <w:pPr>
        <w:spacing w:before="0" w:after="0"/>
        <w:contextualSpacing w:val="0"/>
        <w:jc w:val="left"/>
        <w:rPr>
          <w:rFonts w:asciiTheme="minorHAnsi" w:hAnsiTheme="minorHAnsi"/>
          <w:noProof/>
        </w:rPr>
        <w:sectPr w:rsidR="0052613E" w:rsidSect="00210122">
          <w:footerReference w:type="default" r:id="rId19"/>
          <w:pgSz w:w="11906" w:h="16838"/>
          <w:pgMar w:top="1418" w:right="1418" w:bottom="1418" w:left="1418" w:header="709" w:footer="709" w:gutter="0"/>
          <w:cols w:space="708"/>
          <w:docGrid w:linePitch="360"/>
        </w:sectPr>
      </w:pPr>
    </w:p>
    <w:p w14:paraId="68F9BE38" w14:textId="77777777" w:rsidR="0052613E" w:rsidRDefault="007B7365">
      <w:pPr>
        <w:spacing w:before="0" w:after="0"/>
        <w:contextualSpacing w:val="0"/>
        <w:jc w:val="left"/>
      </w:pPr>
      <w:r w:rsidRPr="007B7365">
        <w:rPr>
          <w:noProof/>
          <w:lang w:eastAsia="cs-CZ"/>
        </w:rPr>
        <w:lastRenderedPageBreak/>
        <w:drawing>
          <wp:anchor distT="0" distB="0" distL="114300" distR="114300" simplePos="0" relativeHeight="251674624" behindDoc="0" locked="0" layoutInCell="1" allowOverlap="1" wp14:anchorId="6233BA3C" wp14:editId="757C6BE1">
            <wp:simplePos x="0" y="0"/>
            <wp:positionH relativeFrom="margin">
              <wp:align>center</wp:align>
            </wp:positionH>
            <wp:positionV relativeFrom="paragraph">
              <wp:posOffset>444</wp:posOffset>
            </wp:positionV>
            <wp:extent cx="9531985" cy="5379720"/>
            <wp:effectExtent l="0" t="0" r="0" b="0"/>
            <wp:wrapTopAndBottom/>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31985" cy="5379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036C7E" w14:textId="77777777" w:rsidR="00BC73C5" w:rsidRDefault="00BC73C5">
      <w:pPr>
        <w:spacing w:before="0" w:after="0"/>
        <w:contextualSpacing w:val="0"/>
        <w:jc w:val="left"/>
        <w:rPr>
          <w:rFonts w:asciiTheme="minorHAnsi" w:hAnsiTheme="minorHAnsi"/>
          <w:noProof/>
        </w:rPr>
        <w:sectPr w:rsidR="00BC73C5" w:rsidSect="00210122">
          <w:footerReference w:type="default" r:id="rId21"/>
          <w:pgSz w:w="16838" w:h="11906" w:orient="landscape"/>
          <w:pgMar w:top="1418" w:right="1418" w:bottom="1418" w:left="1418" w:header="709" w:footer="709" w:gutter="0"/>
          <w:cols w:space="708"/>
          <w:docGrid w:linePitch="360"/>
        </w:sectPr>
      </w:pPr>
    </w:p>
    <w:p w14:paraId="2E660B2C" w14:textId="18639512" w:rsidR="00C4178D" w:rsidRPr="00C4178D" w:rsidRDefault="0079579D" w:rsidP="008A1427">
      <w:pPr>
        <w:pStyle w:val="NORMLN0"/>
      </w:pPr>
      <w:r>
        <w:lastRenderedPageBreak/>
        <w:t>P</w:t>
      </w:r>
      <w:r w:rsidR="000963DD" w:rsidRPr="000937F8">
        <w:t xml:space="preserve">roblémem ve všech </w:t>
      </w:r>
      <w:r w:rsidR="007A52F7">
        <w:t xml:space="preserve">čtyřech </w:t>
      </w:r>
      <w:r w:rsidR="000963DD" w:rsidRPr="000937F8">
        <w:t xml:space="preserve">skupinách je </w:t>
      </w:r>
      <w:r w:rsidR="000963DD" w:rsidRPr="004E369D">
        <w:rPr>
          <w:b/>
        </w:rPr>
        <w:t>nedostatečná tvorba prostředků na obnovu VIM</w:t>
      </w:r>
      <w:r w:rsidR="000963DD" w:rsidRPr="000937F8">
        <w:t xml:space="preserve">. Ve IV. </w:t>
      </w:r>
      <w:r w:rsidR="007A52F7">
        <w:t xml:space="preserve">a V. </w:t>
      </w:r>
      <w:r w:rsidR="000963DD" w:rsidRPr="000937F8">
        <w:t xml:space="preserve">skupině vykazují tuto anomálii Porovnání, která tvoří </w:t>
      </w:r>
      <w:r w:rsidR="007A52F7">
        <w:t>více než 60</w:t>
      </w:r>
      <w:r w:rsidR="000963DD" w:rsidRPr="000937F8">
        <w:t xml:space="preserve">% podíl </w:t>
      </w:r>
      <w:r w:rsidR="007A52F7">
        <w:t>z vody fakturované</w:t>
      </w:r>
      <w:r w:rsidR="000963DD" w:rsidRPr="000937F8">
        <w:t xml:space="preserve"> </w:t>
      </w:r>
      <w:r w:rsidR="007A52F7">
        <w:t xml:space="preserve">ve skupině </w:t>
      </w:r>
      <w:r w:rsidR="000963DD" w:rsidRPr="000937F8">
        <w:t xml:space="preserve">(tj. </w:t>
      </w:r>
      <w:r w:rsidR="007A52F7">
        <w:t>IV. skupina 21,48</w:t>
      </w:r>
      <w:r w:rsidR="000963DD" w:rsidRPr="000937F8">
        <w:t xml:space="preserve"> </w:t>
      </w:r>
      <w:r w:rsidR="00E27252">
        <w:t>mil. m</w:t>
      </w:r>
      <w:r w:rsidR="00E27252" w:rsidRPr="00E27252">
        <w:rPr>
          <w:vertAlign w:val="superscript"/>
        </w:rPr>
        <w:t>3</w:t>
      </w:r>
      <w:r w:rsidR="000963DD" w:rsidRPr="000937F8">
        <w:t xml:space="preserve"> z</w:t>
      </w:r>
      <w:r w:rsidR="007A52F7">
        <w:t> 31,9</w:t>
      </w:r>
      <w:r w:rsidR="000963DD" w:rsidRPr="000937F8">
        <w:t xml:space="preserve"> </w:t>
      </w:r>
      <w:r w:rsidR="00E27252">
        <w:t>mil. m</w:t>
      </w:r>
      <w:r w:rsidR="00E27252" w:rsidRPr="00E27252">
        <w:rPr>
          <w:vertAlign w:val="superscript"/>
        </w:rPr>
        <w:t>3</w:t>
      </w:r>
      <w:r w:rsidR="007A52F7">
        <w:t xml:space="preserve"> a V. skupina 3,38</w:t>
      </w:r>
      <w:r w:rsidR="007A52F7" w:rsidRPr="000937F8">
        <w:t xml:space="preserve"> </w:t>
      </w:r>
      <w:r w:rsidR="007A52F7">
        <w:t>mil. m</w:t>
      </w:r>
      <w:r w:rsidR="007A52F7" w:rsidRPr="00E27252">
        <w:rPr>
          <w:vertAlign w:val="superscript"/>
        </w:rPr>
        <w:t>3</w:t>
      </w:r>
      <w:r w:rsidR="007A52F7" w:rsidRPr="000937F8">
        <w:t xml:space="preserve"> z</w:t>
      </w:r>
      <w:r w:rsidR="007A52F7">
        <w:t> 5,47</w:t>
      </w:r>
      <w:r w:rsidR="007A52F7" w:rsidRPr="000937F8">
        <w:t xml:space="preserve"> </w:t>
      </w:r>
      <w:r w:rsidR="007A52F7">
        <w:t>mil. m</w:t>
      </w:r>
      <w:r w:rsidR="007A52F7" w:rsidRPr="00E27252">
        <w:rPr>
          <w:vertAlign w:val="superscript"/>
        </w:rPr>
        <w:t>3</w:t>
      </w:r>
      <w:r w:rsidR="000963DD" w:rsidRPr="000937F8">
        <w:t>)</w:t>
      </w:r>
      <w:r w:rsidR="007A52F7">
        <w:t>. V</w:t>
      </w:r>
      <w:r w:rsidR="00A81253">
        <w:t>e</w:t>
      </w:r>
      <w:r w:rsidR="007A52F7">
        <w:t> VI. skupině je to méně než 45</w:t>
      </w:r>
      <w:r>
        <w:t xml:space="preserve"> </w:t>
      </w:r>
      <w:r w:rsidR="007A52F7">
        <w:t>% a podíl je nejmenší III</w:t>
      </w:r>
      <w:r w:rsidR="000963DD" w:rsidRPr="000937F8">
        <w:t xml:space="preserve">. skupině </w:t>
      </w:r>
      <w:r w:rsidR="007A52F7">
        <w:t>30,86</w:t>
      </w:r>
      <w:r>
        <w:t xml:space="preserve"> </w:t>
      </w:r>
      <w:r w:rsidR="007A52F7">
        <w:t xml:space="preserve">%. </w:t>
      </w:r>
      <w:r w:rsidR="000963DD" w:rsidRPr="000937F8">
        <w:t xml:space="preserve">V souvislosti s nedostatečnou tvorbou prostředků na obnovu se u všech skupin vyskytuje </w:t>
      </w:r>
      <w:r w:rsidR="000963DD" w:rsidRPr="004E369D">
        <w:rPr>
          <w:b/>
        </w:rPr>
        <w:t>nulový celý řádek 20</w:t>
      </w:r>
      <w:r w:rsidR="000963DD" w:rsidRPr="000937F8">
        <w:t xml:space="preserve">. Tato skutečnost signalizuje problémy s procesem obnovy </w:t>
      </w:r>
      <w:r w:rsidR="00F916E8">
        <w:t>(od</w:t>
      </w:r>
      <w:r w:rsidR="00A95649">
        <w:t> </w:t>
      </w:r>
      <w:r w:rsidR="00F916E8">
        <w:t>sestavování</w:t>
      </w:r>
      <w:r w:rsidR="000963DD" w:rsidRPr="000937F8">
        <w:t xml:space="preserve"> </w:t>
      </w:r>
      <w:r w:rsidR="00A81253">
        <w:t>PFO</w:t>
      </w:r>
      <w:r w:rsidR="000963DD" w:rsidRPr="000937F8">
        <w:t xml:space="preserve"> obnovy, investičních plánů a plánů oprav až po realizaci obnovy)</w:t>
      </w:r>
      <w:r>
        <w:t xml:space="preserve"> nebo se zjištěním hodnot, které se zde mají vyplňovat</w:t>
      </w:r>
      <w:r w:rsidR="00A95649">
        <w:t>.</w:t>
      </w:r>
      <w:r w:rsidR="000963DD" w:rsidRPr="000937F8">
        <w:t xml:space="preserve"> </w:t>
      </w:r>
    </w:p>
    <w:p w14:paraId="1BC751F5" w14:textId="25723A3C" w:rsidR="000963DD" w:rsidRPr="000937F8" w:rsidRDefault="00B41916" w:rsidP="008A1427">
      <w:pPr>
        <w:pStyle w:val="NORMLN0"/>
      </w:pPr>
      <w:r>
        <w:t>V</w:t>
      </w:r>
      <w:r w:rsidR="000963DD" w:rsidRPr="000937F8">
        <w:t xml:space="preserve">yužívání </w:t>
      </w:r>
      <w:r w:rsidR="000963DD" w:rsidRPr="004E369D">
        <w:rPr>
          <w:b/>
        </w:rPr>
        <w:t>záporného kalkulačního zisku</w:t>
      </w:r>
      <w:r>
        <w:rPr>
          <w:b/>
        </w:rPr>
        <w:t xml:space="preserve"> při sestavování kalkulace ceny pro vodné </w:t>
      </w:r>
      <w:r w:rsidR="000963DD" w:rsidRPr="000937F8">
        <w:t>vlastníky infrastruktury svědčí o snaze udržet nízkou cenu pro vodné</w:t>
      </w:r>
      <w:r>
        <w:t>, případně nepřekročit hladinu sociální únosnosti ceny</w:t>
      </w:r>
      <w:r w:rsidR="000963DD" w:rsidRPr="000937F8">
        <w:t>. Bohužel tento přístup si mohou dovolit jen vlastníci, kteří mohou dotovat provoz a obnovu z jiných zdrojů než z vodného. V případě, že vlastník VIM nastaví své obchodní vztahy s provozovatelem a odběrateli způsobem, který prokazatelně neumožňuje tvorbu dostatečné výše prostředků na obnovu VIM</w:t>
      </w:r>
      <w:r w:rsidR="001D5305">
        <w:t xml:space="preserve"> a nemá jiné zdroje</w:t>
      </w:r>
      <w:r w:rsidR="000963DD" w:rsidRPr="000937F8">
        <w:t>, dochází z dlouhodobého hlediska z nárůstu rizika zatížení budoucích generací</w:t>
      </w:r>
      <w:r w:rsidR="004E369D">
        <w:t xml:space="preserve"> </w:t>
      </w:r>
      <w:r w:rsidR="000963DD" w:rsidRPr="000937F8">
        <w:t>výdaji na obnovu VIM buď formou státních dotací</w:t>
      </w:r>
      <w:r w:rsidR="004E369D">
        <w:t>,</w:t>
      </w:r>
      <w:r w:rsidR="000963DD" w:rsidRPr="000937F8">
        <w:t xml:space="preserve"> nebo skokově zvýšenou cenou pro vodné.</w:t>
      </w:r>
      <w:r>
        <w:t xml:space="preserve"> Nejvíce je </w:t>
      </w:r>
      <w:r w:rsidR="0044159E">
        <w:t xml:space="preserve">kalkulovaný </w:t>
      </w:r>
      <w:r w:rsidR="001D5305">
        <w:t>záporný kalkulační zisk</w:t>
      </w:r>
      <w:r>
        <w:t xml:space="preserve"> využíván ve IV. skupině</w:t>
      </w:r>
      <w:r w:rsidR="00163184">
        <w:t xml:space="preserve"> (169 </w:t>
      </w:r>
      <w:r w:rsidR="008F05E2">
        <w:t>Porovnání), kde</w:t>
      </w:r>
      <w:r>
        <w:t xml:space="preserve"> </w:t>
      </w:r>
      <w:r w:rsidRPr="000937F8">
        <w:t xml:space="preserve">zasahuje </w:t>
      </w:r>
      <w:r>
        <w:t>11,08</w:t>
      </w:r>
      <w:r w:rsidRPr="000937F8">
        <w:t xml:space="preserve">% podílu objemu vody fakturované ve skupině (tj. </w:t>
      </w:r>
      <w:r>
        <w:t>3,53</w:t>
      </w:r>
      <w:r w:rsidRPr="000937F8">
        <w:t xml:space="preserve"> </w:t>
      </w:r>
      <w:r>
        <w:t>mil. m</w:t>
      </w:r>
      <w:r w:rsidRPr="00E27252">
        <w:rPr>
          <w:vertAlign w:val="superscript"/>
        </w:rPr>
        <w:t>3</w:t>
      </w:r>
      <w:r>
        <w:t xml:space="preserve"> z 31,9 mil. m</w:t>
      </w:r>
      <w:r>
        <w:rPr>
          <w:vertAlign w:val="superscript"/>
        </w:rPr>
        <w:t>3</w:t>
      </w:r>
      <w:r w:rsidR="006A6847">
        <w:rPr>
          <w:vertAlign w:val="superscript"/>
        </w:rPr>
        <w:t xml:space="preserve"> </w:t>
      </w:r>
      <w:r w:rsidR="00F916E8">
        <w:t>fakturované vody</w:t>
      </w:r>
      <w:r>
        <w:t>) a V. skupině</w:t>
      </w:r>
      <w:r w:rsidR="00163184">
        <w:t xml:space="preserve"> (140 Porovnání)</w:t>
      </w:r>
      <w:r w:rsidR="004C7C21">
        <w:t>,</w:t>
      </w:r>
      <w:r>
        <w:t xml:space="preserve"> kde ovlivňuje 19,84% podíl (</w:t>
      </w:r>
      <w:r w:rsidR="001D5305">
        <w:t xml:space="preserve">tj. </w:t>
      </w:r>
      <w:r>
        <w:t>1,09 mil.</w:t>
      </w:r>
      <w:r w:rsidR="001D5305">
        <w:t xml:space="preserve"> </w:t>
      </w:r>
      <w:r>
        <w:t>m</w:t>
      </w:r>
      <w:r>
        <w:rPr>
          <w:vertAlign w:val="superscript"/>
        </w:rPr>
        <w:t>3</w:t>
      </w:r>
      <w:r>
        <w:t xml:space="preserve"> z 5,47 mil. m</w:t>
      </w:r>
      <w:r>
        <w:rPr>
          <w:vertAlign w:val="superscript"/>
        </w:rPr>
        <w:t>3</w:t>
      </w:r>
      <w:r w:rsidR="00F916E8">
        <w:t xml:space="preserve"> fakturované vody</w:t>
      </w:r>
      <w:r>
        <w:t>)</w:t>
      </w:r>
      <w:r w:rsidR="000963DD" w:rsidRPr="000937F8">
        <w:t xml:space="preserve">. </w:t>
      </w:r>
    </w:p>
    <w:p w14:paraId="489FD59B" w14:textId="2D38B529" w:rsidR="000963DD" w:rsidRDefault="000963DD" w:rsidP="008A1427">
      <w:pPr>
        <w:pStyle w:val="NORMLN0"/>
        <w:rPr>
          <w:noProof/>
        </w:rPr>
      </w:pPr>
      <w:r w:rsidRPr="000937F8">
        <w:t>O nedostatečně fungujícím procesu obnovy VIM svědčí i hodnoty anomáli</w:t>
      </w:r>
      <w:r w:rsidR="00F916E8">
        <w:t>í</w:t>
      </w:r>
      <w:r w:rsidRPr="000937F8">
        <w:t xml:space="preserve"> </w:t>
      </w:r>
      <w:r w:rsidR="00905EE9" w:rsidRPr="00C4178D">
        <w:rPr>
          <w:b/>
        </w:rPr>
        <w:t>vysoká poruchovost</w:t>
      </w:r>
      <w:r w:rsidRPr="000937F8">
        <w:t xml:space="preserve">, </w:t>
      </w:r>
      <w:r w:rsidRPr="00C4178D">
        <w:rPr>
          <w:b/>
        </w:rPr>
        <w:t>vysoké ztráty vody</w:t>
      </w:r>
      <w:r w:rsidRPr="00C4178D">
        <w:rPr>
          <w:b/>
          <w:noProof/>
        </w:rPr>
        <w:t xml:space="preserve"> na 1 km přepočtené délky vodovodního řadu na den</w:t>
      </w:r>
      <w:r w:rsidRPr="00C4178D">
        <w:rPr>
          <w:noProof/>
        </w:rPr>
        <w:t xml:space="preserve">, </w:t>
      </w:r>
      <w:r w:rsidRPr="00C4178D">
        <w:rPr>
          <w:b/>
          <w:noProof/>
        </w:rPr>
        <w:t>nulové ztráty vody</w:t>
      </w:r>
      <w:r w:rsidR="000B785D">
        <w:rPr>
          <w:b/>
          <w:noProof/>
        </w:rPr>
        <w:t xml:space="preserve">, vysoká hodnota nefakturované vody na km přepočtené délky </w:t>
      </w:r>
      <w:r w:rsidR="00A95649">
        <w:rPr>
          <w:b/>
          <w:noProof/>
        </w:rPr>
        <w:t>na den</w:t>
      </w:r>
      <w:r w:rsidRPr="00C4178D">
        <w:rPr>
          <w:noProof/>
        </w:rPr>
        <w:t xml:space="preserve"> a v poslední řadě i </w:t>
      </w:r>
      <w:r w:rsidRPr="00C4178D">
        <w:rPr>
          <w:b/>
          <w:noProof/>
        </w:rPr>
        <w:t>nulového počtu poruch a</w:t>
      </w:r>
      <w:r w:rsidR="00F916E8">
        <w:rPr>
          <w:b/>
          <w:noProof/>
        </w:rPr>
        <w:t xml:space="preserve"> z</w:t>
      </w:r>
      <w:r w:rsidR="006A6847">
        <w:rPr>
          <w:b/>
          <w:noProof/>
        </w:rPr>
        <w:t>ároveň vykázaných</w:t>
      </w:r>
      <w:r w:rsidRPr="00C4178D">
        <w:rPr>
          <w:b/>
          <w:noProof/>
        </w:rPr>
        <w:t xml:space="preserve"> nákladů na opravy vyšších než průměrné náklady na odstranění jedné poruchy ve skupině</w:t>
      </w:r>
      <w:r w:rsidRPr="00C4178D">
        <w:rPr>
          <w:noProof/>
        </w:rPr>
        <w:t xml:space="preserve">, případně </w:t>
      </w:r>
      <w:r w:rsidRPr="00C4178D">
        <w:rPr>
          <w:b/>
          <w:noProof/>
        </w:rPr>
        <w:t>nenulový počet poruch a vykázané nulové náklady na opravy</w:t>
      </w:r>
      <w:r w:rsidRPr="00C4178D">
        <w:rPr>
          <w:noProof/>
        </w:rPr>
        <w:t>.</w:t>
      </w:r>
      <w:r w:rsidR="00C4178D">
        <w:rPr>
          <w:noProof/>
        </w:rPr>
        <w:t xml:space="preserve"> Podle výskytu anomálie nulové ztráty</w:t>
      </w:r>
      <w:r w:rsidR="006A6847">
        <w:rPr>
          <w:noProof/>
        </w:rPr>
        <w:t xml:space="preserve"> vody</w:t>
      </w:r>
      <w:r w:rsidR="00C4178D">
        <w:rPr>
          <w:noProof/>
        </w:rPr>
        <w:t>, lze konstatovat</w:t>
      </w:r>
      <w:r>
        <w:rPr>
          <w:noProof/>
        </w:rPr>
        <w:t xml:space="preserve">, že </w:t>
      </w:r>
      <w:r w:rsidR="00C4178D">
        <w:rPr>
          <w:noProof/>
        </w:rPr>
        <w:t xml:space="preserve">zejména </w:t>
      </w:r>
      <w:r>
        <w:rPr>
          <w:noProof/>
        </w:rPr>
        <w:t>vlastníci</w:t>
      </w:r>
      <w:r w:rsidR="00B26631">
        <w:rPr>
          <w:noProof/>
        </w:rPr>
        <w:t xml:space="preserve"> </w:t>
      </w:r>
      <w:r w:rsidR="004C7C21">
        <w:rPr>
          <w:noProof/>
        </w:rPr>
        <w:t>v V. (159 Porovnání), IV. (</w:t>
      </w:r>
      <w:r w:rsidR="00C4178D">
        <w:rPr>
          <w:noProof/>
        </w:rPr>
        <w:t xml:space="preserve">80 Porovnání) a VI. skupině (16 Porovnání) </w:t>
      </w:r>
      <w:r>
        <w:rPr>
          <w:noProof/>
        </w:rPr>
        <w:t xml:space="preserve">nevěnují pozornost sledování ztrát vody a případně se nezabývají sledováním stavu a obnovou VIM. Jedná se o vlastníky, kteří poskytují pitnou vodu více než </w:t>
      </w:r>
      <w:r w:rsidR="00C4178D">
        <w:rPr>
          <w:noProof/>
        </w:rPr>
        <w:t>921</w:t>
      </w:r>
      <w:r>
        <w:rPr>
          <w:noProof/>
        </w:rPr>
        <w:t xml:space="preserve"> tis. obyvatelům a hodnota VIM podle VÚME činí </w:t>
      </w:r>
      <w:r w:rsidR="00C4178D">
        <w:rPr>
          <w:noProof/>
        </w:rPr>
        <w:t>31,11</w:t>
      </w:r>
      <w:r>
        <w:rPr>
          <w:noProof/>
        </w:rPr>
        <w:t xml:space="preserve"> mld. Kč. </w:t>
      </w:r>
    </w:p>
    <w:p w14:paraId="36D27E97" w14:textId="0593AF0C" w:rsidR="000B785D" w:rsidRDefault="000B785D" w:rsidP="008A1427">
      <w:pPr>
        <w:pStyle w:val="NORMLN0"/>
        <w:rPr>
          <w:noProof/>
        </w:rPr>
      </w:pPr>
      <w:r>
        <w:rPr>
          <w:noProof/>
        </w:rPr>
        <w:t xml:space="preserve">Jak nasvědčuje četnost výskytu </w:t>
      </w:r>
      <w:r>
        <w:rPr>
          <w:i/>
          <w:noProof/>
        </w:rPr>
        <w:t xml:space="preserve">vysoký podíl kalkulačního zisku k rozdělení na </w:t>
      </w:r>
      <w:r w:rsidRPr="000B785D">
        <w:rPr>
          <w:noProof/>
        </w:rPr>
        <w:t>ÚVN</w:t>
      </w:r>
      <w:r>
        <w:rPr>
          <w:noProof/>
        </w:rPr>
        <w:t>, mohly by být takto získané zdroje alespoň u komunálních vlastníků reinvestovány do obnovy, zejména v V. (489 Porovn</w:t>
      </w:r>
      <w:r w:rsidR="00A95649">
        <w:rPr>
          <w:noProof/>
        </w:rPr>
        <w:t>á</w:t>
      </w:r>
      <w:r>
        <w:rPr>
          <w:noProof/>
        </w:rPr>
        <w:t xml:space="preserve">ní) a IV. skupině (115 Porovnání). </w:t>
      </w:r>
    </w:p>
    <w:p w14:paraId="444F342E" w14:textId="77777777" w:rsidR="000963DD" w:rsidRPr="00BF3B37" w:rsidRDefault="000963DD" w:rsidP="008A1427">
      <w:pPr>
        <w:pStyle w:val="NORMLN0"/>
        <w:rPr>
          <w:noProof/>
        </w:rPr>
      </w:pPr>
      <w:r>
        <w:rPr>
          <w:noProof/>
        </w:rPr>
        <w:t>Další anomálie souvisejí s nastavením obchodního vztahu mezi vlastníkem a provozovatelem, případně s chyb</w:t>
      </w:r>
      <w:r w:rsidR="004E369D">
        <w:rPr>
          <w:noProof/>
        </w:rPr>
        <w:t>am</w:t>
      </w:r>
      <w:r>
        <w:rPr>
          <w:noProof/>
        </w:rPr>
        <w:t xml:space="preserve">i vykazování. </w:t>
      </w:r>
    </w:p>
    <w:p w14:paraId="2D91B3EF" w14:textId="0DAF093F" w:rsidR="000A74FC" w:rsidRDefault="000963DD" w:rsidP="008A1427">
      <w:pPr>
        <w:pStyle w:val="NORMLN0"/>
        <w:rPr>
          <w:noProof/>
        </w:rPr>
      </w:pPr>
      <w:r w:rsidRPr="00934258">
        <w:rPr>
          <w:noProof/>
        </w:rPr>
        <w:t xml:space="preserve"> </w:t>
      </w:r>
      <w:r>
        <w:rPr>
          <w:noProof/>
        </w:rPr>
        <w:t xml:space="preserve">Pro ucelení přehledu dále uvádíme graf znázorňující </w:t>
      </w:r>
      <w:r w:rsidR="006A6847">
        <w:rPr>
          <w:noProof/>
        </w:rPr>
        <w:t xml:space="preserve">podíly fakturované vody zasažené </w:t>
      </w:r>
      <w:r w:rsidR="00925C30">
        <w:rPr>
          <w:noProof/>
        </w:rPr>
        <w:t xml:space="preserve">alespoň </w:t>
      </w:r>
      <w:r w:rsidR="006A6847">
        <w:rPr>
          <w:noProof/>
        </w:rPr>
        <w:t>jedním výskytem anomálie po jednotlivých skupinách.</w:t>
      </w:r>
      <w:r w:rsidR="00E27B82" w:rsidDel="00E27B82">
        <w:rPr>
          <w:noProof/>
        </w:rPr>
        <w:t xml:space="preserve"> </w:t>
      </w:r>
    </w:p>
    <w:p w14:paraId="49B0AEE4" w14:textId="77777777" w:rsidR="00BC73C5" w:rsidRDefault="008615FD" w:rsidP="007A054B">
      <w:pPr>
        <w:pStyle w:val="Normlnzprva"/>
        <w:rPr>
          <w:rFonts w:asciiTheme="minorHAnsi" w:hAnsiTheme="minorHAnsi"/>
          <w:noProof/>
        </w:rPr>
      </w:pPr>
      <w:r>
        <w:rPr>
          <w:noProof/>
          <w:lang w:eastAsia="cs-CZ"/>
        </w:rPr>
        <w:lastRenderedPageBreak/>
        <w:drawing>
          <wp:inline distT="0" distB="0" distL="0" distR="0" wp14:anchorId="4143A002" wp14:editId="5A5E3D93">
            <wp:extent cx="5759450" cy="8686165"/>
            <wp:effectExtent l="0" t="0" r="0" b="635"/>
            <wp:docPr id="27" name="Graf 2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A031458C-5B21-4E6C-8491-0094E91E7B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323D38" w14:textId="77777777" w:rsidR="009F36D5" w:rsidRDefault="00C1539B" w:rsidP="00F240D7">
      <w:pPr>
        <w:pStyle w:val="Nadpis3"/>
        <w:rPr>
          <w:rFonts w:asciiTheme="minorHAnsi" w:hAnsiTheme="minorHAnsi"/>
          <w:noProof/>
        </w:rPr>
      </w:pPr>
      <w:bookmarkStart w:id="38" w:name="_Toc3291999"/>
      <w:r w:rsidRPr="00C62639">
        <w:rPr>
          <w:rFonts w:asciiTheme="minorHAnsi" w:hAnsiTheme="minorHAnsi"/>
          <w:noProof/>
        </w:rPr>
        <w:lastRenderedPageBreak/>
        <w:t>Kanalizace</w:t>
      </w:r>
      <w:bookmarkEnd w:id="38"/>
    </w:p>
    <w:p w14:paraId="14633F66" w14:textId="5FFE9AEE" w:rsidR="009F36D5" w:rsidRDefault="00CE5B91" w:rsidP="00F240D7">
      <w:pPr>
        <w:pStyle w:val="Normlnzprva"/>
        <w:rPr>
          <w:rFonts w:asciiTheme="minorHAnsi" w:hAnsiTheme="minorHAnsi"/>
          <w:noProof/>
        </w:rPr>
      </w:pPr>
      <w:r w:rsidRPr="00CE5B91">
        <w:t xml:space="preserve">V rámci benchmarkingu vlastnických subjektů v části týkající se kanalizace bylo posuzováno </w:t>
      </w:r>
      <w:r w:rsidR="00582403">
        <w:t>2</w:t>
      </w:r>
      <w:r w:rsidR="00925C30">
        <w:t xml:space="preserve"> </w:t>
      </w:r>
      <w:r w:rsidR="00582403">
        <w:t>005</w:t>
      </w:r>
      <w:r w:rsidRPr="00CE5B91">
        <w:t xml:space="preserve"> Porovnání, která představovala </w:t>
      </w:r>
      <w:r w:rsidR="00582403">
        <w:t>97,79</w:t>
      </w:r>
      <w:r w:rsidRPr="00CE5B91">
        <w:t xml:space="preserve">% podíl trhu stanovený na základě fakturovaného množství odváděných odpadních vod a srážkových vod (tj. </w:t>
      </w:r>
      <w:r w:rsidR="00582403">
        <w:t>499,502</w:t>
      </w:r>
      <w:r w:rsidRPr="00CE5B91">
        <w:t xml:space="preserve"> </w:t>
      </w:r>
      <w:r w:rsidR="00E27252">
        <w:t>mil. m</w:t>
      </w:r>
      <w:r w:rsidR="00E27252" w:rsidRPr="00E27252">
        <w:rPr>
          <w:vertAlign w:val="superscript"/>
        </w:rPr>
        <w:t>3</w:t>
      </w:r>
      <w:r w:rsidR="006E1FA2">
        <w:t>)</w:t>
      </w:r>
      <w:r w:rsidRPr="00CE5B91">
        <w:t>. Celkem se vyskytuje alespoň jedna anomálie v</w:t>
      </w:r>
      <w:r w:rsidR="000B3942">
        <w:t> </w:t>
      </w:r>
      <w:r w:rsidR="001425E3">
        <w:t xml:space="preserve">97,81 % </w:t>
      </w:r>
      <w:r w:rsidR="001425E3" w:rsidRPr="00CE5B91">
        <w:t>celkového</w:t>
      </w:r>
      <w:r w:rsidRPr="00CE5B91">
        <w:t xml:space="preserve"> počtu analyzovaných Porovnání, tj. na </w:t>
      </w:r>
      <w:r w:rsidR="000B3942">
        <w:t>1</w:t>
      </w:r>
      <w:r w:rsidR="00925C30">
        <w:t xml:space="preserve"> </w:t>
      </w:r>
      <w:r w:rsidR="000B3942">
        <w:t>96</w:t>
      </w:r>
      <w:r w:rsidR="000211A7">
        <w:t>1</w:t>
      </w:r>
      <w:r w:rsidRPr="00CE5B91">
        <w:t xml:space="preserve"> Porovnáních.</w:t>
      </w:r>
    </w:p>
    <w:p w14:paraId="3E83EC6B" w14:textId="77777777" w:rsidR="008B1EDC" w:rsidRDefault="001425E3" w:rsidP="00595448">
      <w:pPr>
        <w:pStyle w:val="NORMLN0"/>
        <w:rPr>
          <w:rFonts w:asciiTheme="minorHAnsi" w:hAnsiTheme="minorHAnsi"/>
          <w:noProof/>
        </w:rPr>
      </w:pPr>
      <w:r>
        <w:rPr>
          <w:noProof/>
          <w:lang w:eastAsia="cs-CZ"/>
        </w:rPr>
        <w:drawing>
          <wp:anchor distT="0" distB="0" distL="114300" distR="114300" simplePos="0" relativeHeight="251675648" behindDoc="0" locked="0" layoutInCell="1" allowOverlap="1" wp14:anchorId="6C6D09DD" wp14:editId="1D07DF3B">
            <wp:simplePos x="0" y="0"/>
            <wp:positionH relativeFrom="margin">
              <wp:align>center</wp:align>
            </wp:positionH>
            <wp:positionV relativeFrom="paragraph">
              <wp:posOffset>633730</wp:posOffset>
            </wp:positionV>
            <wp:extent cx="5400040" cy="4053840"/>
            <wp:effectExtent l="0" t="0" r="0" b="3810"/>
            <wp:wrapTopAndBottom/>
            <wp:docPr id="30" name="Graf 3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EBC6DCC-3E44-4C1F-AB0F-EC12EC694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CE5B91" w:rsidRPr="00DD5A8B">
        <w:t xml:space="preserve">Níže uvedený graf znázorňuje výskyt alespoň jedné anomálie podle podílu na trhu. Z hlediska objemu </w:t>
      </w:r>
      <w:r w:rsidR="00CE5B91">
        <w:t>odpadní</w:t>
      </w:r>
      <w:r w:rsidR="00CE5B91" w:rsidRPr="00DD5A8B">
        <w:t xml:space="preserve"> a srážkové vody fakturované lze konstatovat, že jen </w:t>
      </w:r>
      <w:r w:rsidR="00582403">
        <w:t>24,57</w:t>
      </w:r>
      <w:r w:rsidR="00CE5B91" w:rsidRPr="00DD5A8B">
        <w:t xml:space="preserve"> % analyzovaného trhu není </w:t>
      </w:r>
      <w:r w:rsidR="00CE5B91">
        <w:t>ovlivněno</w:t>
      </w:r>
      <w:r w:rsidR="00CE5B91" w:rsidRPr="00DD5A8B">
        <w:t xml:space="preserve"> výskytem anomálie.</w:t>
      </w:r>
    </w:p>
    <w:p w14:paraId="66119FD5" w14:textId="77777777" w:rsidR="00A87BC2" w:rsidRPr="00C62639" w:rsidRDefault="00A87BC2" w:rsidP="007A0E71">
      <w:pPr>
        <w:ind w:firstLine="567"/>
        <w:rPr>
          <w:rFonts w:asciiTheme="minorHAnsi" w:hAnsiTheme="minorHAnsi"/>
          <w:noProof/>
        </w:rPr>
      </w:pPr>
    </w:p>
    <w:p w14:paraId="4D2D9BD9" w14:textId="3551C9A4" w:rsidR="009F36D5" w:rsidRDefault="00A87BC2" w:rsidP="000211A7">
      <w:pPr>
        <w:pStyle w:val="NORMLN0"/>
        <w:rPr>
          <w:noProof/>
        </w:rPr>
      </w:pPr>
      <w:r w:rsidRPr="004E369D">
        <w:rPr>
          <w:rStyle w:val="NormlnzprvaChar"/>
        </w:rPr>
        <w:t>V rámci benchmarkingu vlastnických subjektů byla analýza zaměřená především na</w:t>
      </w:r>
      <w:r w:rsidR="00B26631" w:rsidRPr="004E369D">
        <w:rPr>
          <w:rStyle w:val="NormlnzprvaChar"/>
        </w:rPr>
        <w:t xml:space="preserve"> </w:t>
      </w:r>
      <w:r w:rsidRPr="004E369D">
        <w:rPr>
          <w:rStyle w:val="NormlnzprvaChar"/>
        </w:rPr>
        <w:t>zjišťování skutečností, které mohou zamezovat plnění hlavního záměru</w:t>
      </w:r>
      <w:r w:rsidRPr="00C62639">
        <w:rPr>
          <w:noProof/>
        </w:rPr>
        <w:t xml:space="preserve"> regulace – dosažení samofinancovatelnosti VIM. Pro reálnejší posouzení </w:t>
      </w:r>
      <w:r w:rsidR="00C62499">
        <w:rPr>
          <w:noProof/>
        </w:rPr>
        <w:t xml:space="preserve">míry naplnění uvdeného záměru u jednotlivých </w:t>
      </w:r>
      <w:r w:rsidRPr="00C62639">
        <w:rPr>
          <w:noProof/>
        </w:rPr>
        <w:t>Porovnání (</w:t>
      </w:r>
      <w:r w:rsidR="00C62499">
        <w:rPr>
          <w:noProof/>
        </w:rPr>
        <w:t xml:space="preserve">posouzení </w:t>
      </w:r>
      <w:r w:rsidRPr="00C62639">
        <w:rPr>
          <w:noProof/>
        </w:rPr>
        <w:t>obchodních vztahů vlastníků, provozovatelů a odběratelů služeb), byla hodnocena především dostatečnost</w:t>
      </w:r>
      <w:r w:rsidR="00B26631">
        <w:rPr>
          <w:noProof/>
        </w:rPr>
        <w:t xml:space="preserve"> </w:t>
      </w:r>
      <w:r w:rsidRPr="00C62639">
        <w:rPr>
          <w:noProof/>
        </w:rPr>
        <w:t>tvorby prostředků na obnovu.</w:t>
      </w:r>
      <w:r w:rsidR="00B26631">
        <w:rPr>
          <w:noProof/>
        </w:rPr>
        <w:t xml:space="preserve"> </w:t>
      </w:r>
      <w:r w:rsidR="008B2A1B" w:rsidRPr="00C62639">
        <w:rPr>
          <w:noProof/>
        </w:rPr>
        <w:t xml:space="preserve">Aby vlastníci VIM zabezpečili </w:t>
      </w:r>
      <w:r w:rsidR="005D49E8">
        <w:rPr>
          <w:noProof/>
        </w:rPr>
        <w:t>finan</w:t>
      </w:r>
      <w:r w:rsidR="00C62499">
        <w:rPr>
          <w:noProof/>
        </w:rPr>
        <w:t>ční</w:t>
      </w:r>
      <w:r w:rsidR="005D49E8">
        <w:rPr>
          <w:noProof/>
        </w:rPr>
        <w:t xml:space="preserve"> prostředk</w:t>
      </w:r>
      <w:r w:rsidR="00C62499">
        <w:rPr>
          <w:noProof/>
        </w:rPr>
        <w:t xml:space="preserve">y na </w:t>
      </w:r>
      <w:r w:rsidR="008B2A1B" w:rsidRPr="00C62639">
        <w:rPr>
          <w:noProof/>
        </w:rPr>
        <w:t>obnovu, měli by se prioritně v závislo</w:t>
      </w:r>
      <w:r w:rsidR="00C62499">
        <w:rPr>
          <w:noProof/>
        </w:rPr>
        <w:t>s</w:t>
      </w:r>
      <w:r w:rsidR="008B2A1B" w:rsidRPr="00C62639">
        <w:rPr>
          <w:noProof/>
        </w:rPr>
        <w:t>ti na aplikovaném modelu provozování zaměřit na nastavení ceny pro stočné</w:t>
      </w:r>
      <w:r w:rsidR="005D49E8">
        <w:rPr>
          <w:noProof/>
        </w:rPr>
        <w:t>. Tato cena</w:t>
      </w:r>
      <w:r w:rsidR="008B2A1B" w:rsidRPr="00C62639">
        <w:rPr>
          <w:noProof/>
        </w:rPr>
        <w:t xml:space="preserve"> by měla </w:t>
      </w:r>
      <w:r w:rsidR="005D49E8">
        <w:rPr>
          <w:noProof/>
        </w:rPr>
        <w:t xml:space="preserve">pokrývat </w:t>
      </w:r>
      <w:r w:rsidR="00CE5B91">
        <w:rPr>
          <w:noProof/>
        </w:rPr>
        <w:t>plnou výši</w:t>
      </w:r>
      <w:r w:rsidR="00B26631">
        <w:rPr>
          <w:noProof/>
        </w:rPr>
        <w:t xml:space="preserve"> </w:t>
      </w:r>
      <w:r w:rsidR="008B2A1B" w:rsidRPr="00C62639">
        <w:rPr>
          <w:noProof/>
        </w:rPr>
        <w:t>všech související</w:t>
      </w:r>
      <w:r w:rsidR="00CE5B91">
        <w:rPr>
          <w:noProof/>
        </w:rPr>
        <w:t xml:space="preserve">ch ekonomicky oprávněných </w:t>
      </w:r>
      <w:r w:rsidR="008B2A1B" w:rsidRPr="00C62639">
        <w:rPr>
          <w:noProof/>
        </w:rPr>
        <w:t>náklad</w:t>
      </w:r>
      <w:r w:rsidR="004E369D">
        <w:rPr>
          <w:noProof/>
        </w:rPr>
        <w:t>ů</w:t>
      </w:r>
      <w:r w:rsidR="008B2A1B" w:rsidRPr="00C62639">
        <w:rPr>
          <w:noProof/>
        </w:rPr>
        <w:t>,</w:t>
      </w:r>
      <w:r w:rsidR="00B25883">
        <w:rPr>
          <w:noProof/>
        </w:rPr>
        <w:t xml:space="preserve"> zejména</w:t>
      </w:r>
      <w:r w:rsidR="005D49E8">
        <w:rPr>
          <w:noProof/>
        </w:rPr>
        <w:t xml:space="preserve"> pak</w:t>
      </w:r>
      <w:r w:rsidR="00BC03D3">
        <w:rPr>
          <w:noProof/>
        </w:rPr>
        <w:t xml:space="preserve"> </w:t>
      </w:r>
      <w:r w:rsidR="008B2A1B" w:rsidRPr="00C62639">
        <w:rPr>
          <w:noProof/>
        </w:rPr>
        <w:t>nájemného v odpovídající výši (v případě oddílného a kombinovaného modelu provozování), odpisů VIM, nákladů na opravy, prostředků na obnovu (</w:t>
      </w:r>
      <w:r w:rsidR="005D49E8">
        <w:rPr>
          <w:noProof/>
        </w:rPr>
        <w:t>dle PFO</w:t>
      </w:r>
      <w:r w:rsidR="008B2A1B" w:rsidRPr="00C62639">
        <w:rPr>
          <w:noProof/>
        </w:rPr>
        <w:t>) a kalkulačního zisku (výpočet</w:t>
      </w:r>
      <w:r w:rsidR="00BC03D3">
        <w:rPr>
          <w:noProof/>
        </w:rPr>
        <w:t xml:space="preserve"> </w:t>
      </w:r>
      <w:r w:rsidR="008B2A1B" w:rsidRPr="00C62639">
        <w:rPr>
          <w:noProof/>
        </w:rPr>
        <w:t>podle cenového výměru MF).</w:t>
      </w:r>
      <w:r w:rsidR="00B26631">
        <w:rPr>
          <w:noProof/>
        </w:rPr>
        <w:t xml:space="preserve"> </w:t>
      </w:r>
    </w:p>
    <w:p w14:paraId="69C0BC21" w14:textId="77777777" w:rsidR="009F36D5" w:rsidRDefault="00F60733" w:rsidP="000211A7">
      <w:pPr>
        <w:pStyle w:val="NORMLN0"/>
      </w:pPr>
      <w:r>
        <w:rPr>
          <w:noProof/>
          <w:lang w:eastAsia="cs-CZ"/>
        </w:rPr>
        <w:lastRenderedPageBreak/>
        <w:drawing>
          <wp:anchor distT="0" distB="0" distL="114300" distR="114300" simplePos="0" relativeHeight="251653120" behindDoc="0" locked="0" layoutInCell="1" allowOverlap="1" wp14:anchorId="2AE34C2D" wp14:editId="6CEE2DAA">
            <wp:simplePos x="0" y="0"/>
            <wp:positionH relativeFrom="margin">
              <wp:align>center</wp:align>
            </wp:positionH>
            <wp:positionV relativeFrom="paragraph">
              <wp:posOffset>1092200</wp:posOffset>
            </wp:positionV>
            <wp:extent cx="6728460" cy="4491355"/>
            <wp:effectExtent l="0" t="0" r="0" b="4445"/>
            <wp:wrapTopAndBottom/>
            <wp:docPr id="11"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6728460" cy="4491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5B91" w:rsidRPr="00CE5B91">
        <w:rPr>
          <w:rStyle w:val="NORMLNChar"/>
        </w:rPr>
        <w:t xml:space="preserve"> </w:t>
      </w:r>
      <w:r w:rsidR="00CE5B91" w:rsidRPr="002D50EE">
        <w:rPr>
          <w:rStyle w:val="NORMLNChar"/>
        </w:rPr>
        <w:t>Následující tabulka uv</w:t>
      </w:r>
      <w:r w:rsidR="00CE5B91">
        <w:rPr>
          <w:rStyle w:val="NORMLNChar"/>
        </w:rPr>
        <w:t xml:space="preserve">ádí četnost výskytu </w:t>
      </w:r>
      <w:r w:rsidR="000B3942">
        <w:rPr>
          <w:rStyle w:val="NORMLNChar"/>
        </w:rPr>
        <w:t xml:space="preserve">identifikovaných anomálií </w:t>
      </w:r>
      <w:r w:rsidR="00CE5B91" w:rsidRPr="002D50EE">
        <w:rPr>
          <w:rStyle w:val="NORMLNChar"/>
        </w:rPr>
        <w:t>v analyzovaných Porovnáních</w:t>
      </w:r>
      <w:r w:rsidR="00CE5B91">
        <w:rPr>
          <w:rStyle w:val="NORMLNChar"/>
        </w:rPr>
        <w:t xml:space="preserve">. Kromě anomálií souvisejících s </w:t>
      </w:r>
      <w:r w:rsidR="00CE5B91" w:rsidRPr="002D50EE">
        <w:rPr>
          <w:rStyle w:val="NORMLNChar"/>
        </w:rPr>
        <w:t>nedostatečn</w:t>
      </w:r>
      <w:r w:rsidR="00CE5B91">
        <w:rPr>
          <w:rStyle w:val="NORMLNChar"/>
        </w:rPr>
        <w:t>ou</w:t>
      </w:r>
      <w:r w:rsidR="00CE5B91" w:rsidRPr="002D50EE">
        <w:rPr>
          <w:rStyle w:val="NORMLNChar"/>
        </w:rPr>
        <w:t xml:space="preserve"> tvorb</w:t>
      </w:r>
      <w:r w:rsidR="00CE5B91">
        <w:rPr>
          <w:rStyle w:val="NORMLNChar"/>
        </w:rPr>
        <w:t>ou prostředků na obnovu, popř.</w:t>
      </w:r>
      <w:r w:rsidR="00CE5B91" w:rsidRPr="002D50EE">
        <w:rPr>
          <w:rStyle w:val="NORMLNChar"/>
        </w:rPr>
        <w:t xml:space="preserve"> </w:t>
      </w:r>
      <w:r w:rsidR="00CE5B91">
        <w:rPr>
          <w:rStyle w:val="NORMLNChar"/>
        </w:rPr>
        <w:t>signalizujících</w:t>
      </w:r>
      <w:r w:rsidR="00CE5B91" w:rsidRPr="002D50EE">
        <w:rPr>
          <w:rStyle w:val="NORMLNChar"/>
        </w:rPr>
        <w:t xml:space="preserve"> </w:t>
      </w:r>
      <w:r w:rsidR="00CE5B91">
        <w:rPr>
          <w:rStyle w:val="NORMLNChar"/>
        </w:rPr>
        <w:t xml:space="preserve">nevyvážené </w:t>
      </w:r>
      <w:r w:rsidR="00CE5B91" w:rsidRPr="002D50EE">
        <w:rPr>
          <w:rStyle w:val="NORMLNChar"/>
        </w:rPr>
        <w:t>nastavení obchodních vztahů mezi vlastníky a provozovatel</w:t>
      </w:r>
      <w:r w:rsidR="00CE5B91">
        <w:rPr>
          <w:rStyle w:val="NORMLNChar"/>
        </w:rPr>
        <w:t>i, byly identifikovány</w:t>
      </w:r>
      <w:r w:rsidR="00CE5B91" w:rsidRPr="002D50EE">
        <w:rPr>
          <w:rStyle w:val="NORMLNChar"/>
        </w:rPr>
        <w:t xml:space="preserve"> anomálie </w:t>
      </w:r>
      <w:r w:rsidR="00CE5B91">
        <w:rPr>
          <w:rStyle w:val="NORMLNChar"/>
        </w:rPr>
        <w:t xml:space="preserve">poukazující na </w:t>
      </w:r>
      <w:r w:rsidR="000B3942">
        <w:rPr>
          <w:rStyle w:val="NORMLNChar"/>
        </w:rPr>
        <w:t>horší</w:t>
      </w:r>
      <w:r w:rsidR="00CE5B91">
        <w:rPr>
          <w:rStyle w:val="NORMLNChar"/>
        </w:rPr>
        <w:t xml:space="preserve"> </w:t>
      </w:r>
      <w:r w:rsidR="00CE5B91" w:rsidRPr="002D50EE">
        <w:rPr>
          <w:rStyle w:val="NORMLNChar"/>
        </w:rPr>
        <w:t xml:space="preserve">stav </w:t>
      </w:r>
      <w:r w:rsidR="00CE5B91">
        <w:rPr>
          <w:rStyle w:val="NORMLNChar"/>
        </w:rPr>
        <w:t>VIM</w:t>
      </w:r>
      <w:r w:rsidR="00CE5B91" w:rsidRPr="002D50EE">
        <w:rPr>
          <w:rStyle w:val="NORMLNChar"/>
        </w:rPr>
        <w:t xml:space="preserve"> a </w:t>
      </w:r>
      <w:r w:rsidR="00CE5B91">
        <w:rPr>
          <w:rStyle w:val="NORMLNChar"/>
        </w:rPr>
        <w:t>na</w:t>
      </w:r>
      <w:r w:rsidR="00CE5B91" w:rsidRPr="002D50EE">
        <w:rPr>
          <w:rStyle w:val="NORMLNChar"/>
        </w:rPr>
        <w:t xml:space="preserve"> rozhodnutí vlastníka VIM nevybírat stočné</w:t>
      </w:r>
      <w:r w:rsidR="006A6847">
        <w:rPr>
          <w:rStyle w:val="NORMLNChar"/>
        </w:rPr>
        <w:t>.</w:t>
      </w:r>
      <w:r w:rsidR="00B3794D" w:rsidRPr="00C62639">
        <w:rPr>
          <w:rFonts w:cs="Calibri"/>
          <w:noProof/>
        </w:rPr>
        <w:t xml:space="preserve"> </w:t>
      </w:r>
    </w:p>
    <w:p w14:paraId="21FE3833" w14:textId="77777777" w:rsidR="007A0E71" w:rsidRPr="00C62639" w:rsidRDefault="007A0E71" w:rsidP="00672288">
      <w:pPr>
        <w:jc w:val="center"/>
        <w:rPr>
          <w:rFonts w:asciiTheme="minorHAnsi" w:hAnsiTheme="minorHAnsi"/>
          <w:noProof/>
        </w:rPr>
      </w:pPr>
    </w:p>
    <w:p w14:paraId="30BEB9D2" w14:textId="77777777" w:rsidR="009F36D5" w:rsidRDefault="00CC7C02" w:rsidP="000211A7">
      <w:pPr>
        <w:pStyle w:val="NORMLN0"/>
        <w:rPr>
          <w:noProof/>
        </w:rPr>
      </w:pPr>
      <w:r>
        <w:rPr>
          <w:noProof/>
        </w:rPr>
        <w:t xml:space="preserve">U </w:t>
      </w:r>
      <w:r w:rsidR="00844C21">
        <w:rPr>
          <w:noProof/>
        </w:rPr>
        <w:t xml:space="preserve">61 Porovnání bylo vykázáno </w:t>
      </w:r>
      <w:r w:rsidR="00844C21" w:rsidRPr="00DF360C">
        <w:rPr>
          <w:b/>
          <w:noProof/>
        </w:rPr>
        <w:t>nulové stočné</w:t>
      </w:r>
      <w:r w:rsidR="00F22837">
        <w:rPr>
          <w:b/>
          <w:noProof/>
        </w:rPr>
        <w:t xml:space="preserve"> způsobené</w:t>
      </w:r>
      <w:r w:rsidR="006A6847">
        <w:rPr>
          <w:b/>
          <w:noProof/>
        </w:rPr>
        <w:t xml:space="preserve"> nulovou cenou.</w:t>
      </w:r>
      <w:r w:rsidR="006A6847">
        <w:rPr>
          <w:noProof/>
        </w:rPr>
        <w:t xml:space="preserve"> V</w:t>
      </w:r>
      <w:r w:rsidR="00844C21">
        <w:rPr>
          <w:noProof/>
        </w:rPr>
        <w:t xml:space="preserve">lastníci zejména ve IV. </w:t>
      </w:r>
      <w:r w:rsidR="001E0C0E">
        <w:rPr>
          <w:noProof/>
        </w:rPr>
        <w:t xml:space="preserve">a V. skupině </w:t>
      </w:r>
      <w:r w:rsidR="006A6847">
        <w:rPr>
          <w:noProof/>
        </w:rPr>
        <w:t>se rozhodli nefakturovat stočné</w:t>
      </w:r>
      <w:r w:rsidR="0013324A">
        <w:rPr>
          <w:noProof/>
        </w:rPr>
        <w:t xml:space="preserve"> (</w:t>
      </w:r>
      <w:r>
        <w:rPr>
          <w:noProof/>
        </w:rPr>
        <w:t>např.</w:t>
      </w:r>
      <w:r w:rsidR="0013324A">
        <w:rPr>
          <w:noProof/>
        </w:rPr>
        <w:t xml:space="preserve"> </w:t>
      </w:r>
      <w:r w:rsidR="006A6847">
        <w:rPr>
          <w:noProof/>
        </w:rPr>
        <w:t xml:space="preserve">u </w:t>
      </w:r>
      <w:r w:rsidR="0013324A">
        <w:rPr>
          <w:noProof/>
        </w:rPr>
        <w:t xml:space="preserve">odvádění </w:t>
      </w:r>
      <w:r w:rsidR="00097D32">
        <w:rPr>
          <w:noProof/>
        </w:rPr>
        <w:t>v domovní</w:t>
      </w:r>
      <w:r>
        <w:rPr>
          <w:noProof/>
        </w:rPr>
        <w:t>ch čistírnách již</w:t>
      </w:r>
      <w:r w:rsidR="0013324A">
        <w:rPr>
          <w:noProof/>
        </w:rPr>
        <w:t xml:space="preserve"> vyčištěných odpadných vod </w:t>
      </w:r>
      <w:r>
        <w:rPr>
          <w:noProof/>
        </w:rPr>
        <w:t xml:space="preserve">přímo </w:t>
      </w:r>
      <w:r w:rsidR="0013324A">
        <w:rPr>
          <w:noProof/>
        </w:rPr>
        <w:t xml:space="preserve">do </w:t>
      </w:r>
      <w:r>
        <w:rPr>
          <w:noProof/>
        </w:rPr>
        <w:t xml:space="preserve">vodního </w:t>
      </w:r>
      <w:r w:rsidR="0013324A">
        <w:rPr>
          <w:noProof/>
        </w:rPr>
        <w:t>recipientu)</w:t>
      </w:r>
      <w:r w:rsidR="006A6847">
        <w:rPr>
          <w:noProof/>
        </w:rPr>
        <w:t xml:space="preserve"> a hradit veškeré náklady a prostředky obnovy z jiných zdrojů než ze stočného.</w:t>
      </w:r>
      <w:r w:rsidR="00844C21">
        <w:rPr>
          <w:noProof/>
        </w:rPr>
        <w:t xml:space="preserve"> </w:t>
      </w:r>
    </w:p>
    <w:p w14:paraId="1FEB7719" w14:textId="77777777" w:rsidR="009F36D5" w:rsidRDefault="00CE5B91" w:rsidP="000211A7">
      <w:pPr>
        <w:pStyle w:val="NORMLN0"/>
        <w:rPr>
          <w:rStyle w:val="NORMLNChar"/>
        </w:rPr>
      </w:pPr>
      <w:r>
        <w:rPr>
          <w:noProof/>
        </w:rPr>
        <w:t>Nejvýz</w:t>
      </w:r>
      <w:r w:rsidR="004E369D">
        <w:rPr>
          <w:noProof/>
        </w:rPr>
        <w:t>n</w:t>
      </w:r>
      <w:r>
        <w:rPr>
          <w:noProof/>
        </w:rPr>
        <w:t xml:space="preserve">amnější anomálií určenou podle objemu fakturované odpadní a srážkové vody na Porovnání je </w:t>
      </w:r>
      <w:r w:rsidRPr="00811798">
        <w:rPr>
          <w:b/>
          <w:noProof/>
        </w:rPr>
        <w:t>vysoký poč</w:t>
      </w:r>
      <w:r>
        <w:rPr>
          <w:b/>
          <w:noProof/>
        </w:rPr>
        <w:t>e</w:t>
      </w:r>
      <w:r w:rsidRPr="00811798">
        <w:rPr>
          <w:b/>
          <w:noProof/>
        </w:rPr>
        <w:t>t poruch na 1 km stokové sítě</w:t>
      </w:r>
      <w:r>
        <w:rPr>
          <w:noProof/>
        </w:rPr>
        <w:t>. Četnost výskytu činí jen</w:t>
      </w:r>
      <w:r w:rsidR="00B26631">
        <w:rPr>
          <w:noProof/>
        </w:rPr>
        <w:t xml:space="preserve"> </w:t>
      </w:r>
      <w:r w:rsidR="006E515B">
        <w:rPr>
          <w:noProof/>
        </w:rPr>
        <w:t>9</w:t>
      </w:r>
      <w:r>
        <w:rPr>
          <w:noProof/>
        </w:rPr>
        <w:t xml:space="preserve"> % analyzovaných Porovnání, tj. </w:t>
      </w:r>
      <w:r w:rsidR="006E515B">
        <w:rPr>
          <w:noProof/>
        </w:rPr>
        <w:t>181</w:t>
      </w:r>
      <w:r>
        <w:rPr>
          <w:noProof/>
        </w:rPr>
        <w:t xml:space="preserve"> Porovnání.</w:t>
      </w:r>
      <w:r w:rsidRPr="00322BCB">
        <w:rPr>
          <w:rStyle w:val="NORMLNChar"/>
        </w:rPr>
        <w:t xml:space="preserve"> </w:t>
      </w:r>
      <w:r w:rsidR="006E515B">
        <w:rPr>
          <w:rStyle w:val="NORMLNChar"/>
        </w:rPr>
        <w:t>Více než</w:t>
      </w:r>
      <w:r w:rsidRPr="00322BCB">
        <w:rPr>
          <w:rStyle w:val="NORMLNChar"/>
        </w:rPr>
        <w:t xml:space="preserve"> 90</w:t>
      </w:r>
      <w:r>
        <w:rPr>
          <w:rStyle w:val="NORMLNChar"/>
        </w:rPr>
        <w:t xml:space="preserve"> </w:t>
      </w:r>
      <w:r w:rsidRPr="00322BCB">
        <w:rPr>
          <w:rStyle w:val="NORMLNChar"/>
        </w:rPr>
        <w:t>%</w:t>
      </w:r>
      <w:r w:rsidR="00B26631">
        <w:rPr>
          <w:rStyle w:val="NORMLNChar"/>
        </w:rPr>
        <w:t xml:space="preserve"> </w:t>
      </w:r>
      <w:r w:rsidRPr="00322BCB">
        <w:rPr>
          <w:rStyle w:val="NORMLNChar"/>
        </w:rPr>
        <w:t>objemu</w:t>
      </w:r>
      <w:r>
        <w:rPr>
          <w:rStyle w:val="NORMLNChar"/>
        </w:rPr>
        <w:t xml:space="preserve"> fakturované </w:t>
      </w:r>
      <w:r w:rsidR="000211A7">
        <w:rPr>
          <w:rStyle w:val="NORMLNChar"/>
        </w:rPr>
        <w:t>vody s touto</w:t>
      </w:r>
      <w:r>
        <w:rPr>
          <w:rStyle w:val="NORMLNChar"/>
        </w:rPr>
        <w:t xml:space="preserve"> anomáli</w:t>
      </w:r>
      <w:r w:rsidR="00097D32">
        <w:rPr>
          <w:rStyle w:val="NORMLNChar"/>
        </w:rPr>
        <w:t>í</w:t>
      </w:r>
      <w:r>
        <w:rPr>
          <w:rStyle w:val="NORMLNChar"/>
        </w:rPr>
        <w:t xml:space="preserve"> je vykázáno na</w:t>
      </w:r>
      <w:r w:rsidRPr="00322BCB">
        <w:rPr>
          <w:rStyle w:val="NORMLNChar"/>
        </w:rPr>
        <w:t xml:space="preserve"> </w:t>
      </w:r>
      <w:r w:rsidR="006E515B">
        <w:rPr>
          <w:rStyle w:val="NORMLNChar"/>
        </w:rPr>
        <w:t>21</w:t>
      </w:r>
      <w:r>
        <w:rPr>
          <w:rStyle w:val="NORMLNChar"/>
        </w:rPr>
        <w:t xml:space="preserve"> Porovnání</w:t>
      </w:r>
      <w:r w:rsidR="006E515B">
        <w:rPr>
          <w:rStyle w:val="NORMLNChar"/>
        </w:rPr>
        <w:t>ch</w:t>
      </w:r>
      <w:r>
        <w:rPr>
          <w:rStyle w:val="NORMLNChar"/>
        </w:rPr>
        <w:t xml:space="preserve"> z I. a II. </w:t>
      </w:r>
      <w:r w:rsidR="006E1FA2">
        <w:rPr>
          <w:rStyle w:val="NORMLNChar"/>
        </w:rPr>
        <w:t>s</w:t>
      </w:r>
      <w:r>
        <w:rPr>
          <w:rStyle w:val="NORMLNChar"/>
        </w:rPr>
        <w:t>kupiny</w:t>
      </w:r>
      <w:r w:rsidR="006A6847">
        <w:rPr>
          <w:rStyle w:val="NORMLNChar"/>
        </w:rPr>
        <w:t>.</w:t>
      </w:r>
      <w:r w:rsidRPr="00322BCB">
        <w:rPr>
          <w:rStyle w:val="NORMLNChar"/>
        </w:rPr>
        <w:t xml:space="preserve"> </w:t>
      </w:r>
      <w:r>
        <w:rPr>
          <w:rStyle w:val="NORMLNChar"/>
        </w:rPr>
        <w:t>Nejvyšší počet Porovnání s touto anomálií je ve IV. vlastnické skupině</w:t>
      </w:r>
      <w:r w:rsidRPr="00322BCB">
        <w:rPr>
          <w:rStyle w:val="NORMLNChar"/>
        </w:rPr>
        <w:t xml:space="preserve">. Vypovídací schopnost uvedeného ukazatele je ovlivněná faktem, že údaj o počtu poruch </w:t>
      </w:r>
      <w:r>
        <w:rPr>
          <w:rStyle w:val="NORMLNChar"/>
        </w:rPr>
        <w:t>vykazoval</w:t>
      </w:r>
      <w:r w:rsidRPr="00322BCB">
        <w:rPr>
          <w:rStyle w:val="NORMLNChar"/>
        </w:rPr>
        <w:t xml:space="preserve"> nulovou hodnotu na </w:t>
      </w:r>
      <w:r w:rsidR="006E515B">
        <w:rPr>
          <w:rStyle w:val="NORMLNChar"/>
        </w:rPr>
        <w:t>1</w:t>
      </w:r>
      <w:r w:rsidR="00097D32">
        <w:rPr>
          <w:rStyle w:val="NORMLNChar"/>
        </w:rPr>
        <w:t xml:space="preserve"> </w:t>
      </w:r>
      <w:r w:rsidR="006E515B">
        <w:rPr>
          <w:rStyle w:val="NORMLNChar"/>
        </w:rPr>
        <w:t>4</w:t>
      </w:r>
      <w:r w:rsidR="001E0C0E">
        <w:rPr>
          <w:rStyle w:val="NORMLNChar"/>
        </w:rPr>
        <w:t>5</w:t>
      </w:r>
      <w:r w:rsidR="006E515B">
        <w:rPr>
          <w:rStyle w:val="NORMLNChar"/>
        </w:rPr>
        <w:t>2</w:t>
      </w:r>
      <w:r w:rsidRPr="00322BCB">
        <w:rPr>
          <w:rStyle w:val="NORMLNChar"/>
        </w:rPr>
        <w:t xml:space="preserve"> Porovnáních (</w:t>
      </w:r>
      <w:r w:rsidR="006E515B">
        <w:rPr>
          <w:rStyle w:val="NORMLNChar"/>
        </w:rPr>
        <w:t>72,</w:t>
      </w:r>
      <w:r w:rsidR="001E0C0E">
        <w:rPr>
          <w:rStyle w:val="NORMLNChar"/>
        </w:rPr>
        <w:t>42</w:t>
      </w:r>
      <w:r>
        <w:rPr>
          <w:rStyle w:val="NORMLNChar"/>
        </w:rPr>
        <w:t xml:space="preserve"> </w:t>
      </w:r>
      <w:r w:rsidRPr="00322BCB">
        <w:rPr>
          <w:rStyle w:val="NORMLNChar"/>
        </w:rPr>
        <w:t>%</w:t>
      </w:r>
      <w:r>
        <w:rPr>
          <w:rStyle w:val="NORMLNChar"/>
        </w:rPr>
        <w:t xml:space="preserve"> analyzovaných Porovnání</w:t>
      </w:r>
      <w:r w:rsidRPr="00322BCB">
        <w:rPr>
          <w:rStyle w:val="NORMLNChar"/>
        </w:rPr>
        <w:t>)</w:t>
      </w:r>
      <w:r>
        <w:rPr>
          <w:rStyle w:val="NORMLNChar"/>
        </w:rPr>
        <w:t>.</w:t>
      </w:r>
      <w:r w:rsidRPr="00322BCB">
        <w:rPr>
          <w:rStyle w:val="NORMLNChar"/>
        </w:rPr>
        <w:t xml:space="preserve"> </w:t>
      </w:r>
      <w:r w:rsidR="00097D32">
        <w:rPr>
          <w:noProof/>
        </w:rPr>
        <w:t>Zde je ale třeba zdůraznit možnost vlivu rozdílného chápání pojmu porucha a dále i skutečnosti, že s moderními technologiemi jejich detekování, které využívají zejména velcí provozovatelé, přibývá množství vykázaných poruch, ale kvalita péče o VIM se zlepšuje. Interpretace vysokého počtu poruch není tedy tak jednoznačná.</w:t>
      </w:r>
    </w:p>
    <w:p w14:paraId="2744AA56" w14:textId="1881F90D" w:rsidR="009F36D5" w:rsidRDefault="006E515B" w:rsidP="007F2549">
      <w:pPr>
        <w:pStyle w:val="NORMLN0"/>
        <w:rPr>
          <w:rStyle w:val="NORMLNChar"/>
        </w:rPr>
      </w:pPr>
      <w:r>
        <w:rPr>
          <w:rStyle w:val="NORMLNChar"/>
        </w:rPr>
        <w:lastRenderedPageBreak/>
        <w:t xml:space="preserve">Další významnou anomálií poskytující bližší informaci o tom, </w:t>
      </w:r>
      <w:r w:rsidR="00F22837">
        <w:rPr>
          <w:rStyle w:val="NORMLNChar"/>
        </w:rPr>
        <w:t>zda</w:t>
      </w:r>
      <w:r>
        <w:rPr>
          <w:rStyle w:val="NORMLNChar"/>
        </w:rPr>
        <w:t xml:space="preserve"> se kalkulovaný zisk </w:t>
      </w:r>
      <w:r w:rsidR="001E0C0E">
        <w:rPr>
          <w:rStyle w:val="NORMLNChar"/>
        </w:rPr>
        <w:t>vy</w:t>
      </w:r>
      <w:r>
        <w:rPr>
          <w:rStyle w:val="NORMLNChar"/>
        </w:rPr>
        <w:t xml:space="preserve">užívá </w:t>
      </w:r>
      <w:r w:rsidR="00844C21">
        <w:rPr>
          <w:rStyle w:val="NORMLNChar"/>
        </w:rPr>
        <w:t>na tvorbu prostředků na obnovu</w:t>
      </w:r>
      <w:r w:rsidR="00097D32">
        <w:rPr>
          <w:rStyle w:val="NORMLNChar"/>
        </w:rPr>
        <w:t xml:space="preserve"> VIM,</w:t>
      </w:r>
      <w:r w:rsidR="00844C21">
        <w:rPr>
          <w:rStyle w:val="NORMLNChar"/>
        </w:rPr>
        <w:t xml:space="preserve"> je </w:t>
      </w:r>
      <w:r w:rsidR="00844C21">
        <w:rPr>
          <w:rStyle w:val="NORMLNChar"/>
          <w:b/>
        </w:rPr>
        <w:t xml:space="preserve">vysoký podíl kalkulačního zisku k rozdělení na </w:t>
      </w:r>
      <w:r w:rsidR="00097D32">
        <w:rPr>
          <w:rStyle w:val="NORMLNChar"/>
          <w:b/>
        </w:rPr>
        <w:t>ÚVN</w:t>
      </w:r>
      <w:r w:rsidR="00844C21">
        <w:rPr>
          <w:rStyle w:val="NORMLNChar"/>
          <w:b/>
        </w:rPr>
        <w:t xml:space="preserve">. </w:t>
      </w:r>
      <w:r w:rsidR="00844C21" w:rsidRPr="00844C21">
        <w:rPr>
          <w:rStyle w:val="NORMLNChar"/>
        </w:rPr>
        <w:t>Lze</w:t>
      </w:r>
      <w:r w:rsidR="00844C21">
        <w:rPr>
          <w:rStyle w:val="NORMLNChar"/>
          <w:b/>
        </w:rPr>
        <w:t xml:space="preserve"> </w:t>
      </w:r>
      <w:r w:rsidR="00844C21" w:rsidRPr="00844C21">
        <w:rPr>
          <w:rStyle w:val="NORMLNChar"/>
        </w:rPr>
        <w:t>konstatovat, že</w:t>
      </w:r>
      <w:r w:rsidR="00844C21">
        <w:rPr>
          <w:rStyle w:val="NORMLNChar"/>
          <w:b/>
        </w:rPr>
        <w:t xml:space="preserve"> </w:t>
      </w:r>
      <w:r w:rsidR="00844C21" w:rsidRPr="00844C21">
        <w:rPr>
          <w:rStyle w:val="NORMLNChar"/>
        </w:rPr>
        <w:t>v případě 337 Porov</w:t>
      </w:r>
      <w:r w:rsidR="00844C21">
        <w:rPr>
          <w:rStyle w:val="NORMLNChar"/>
        </w:rPr>
        <w:t>nání</w:t>
      </w:r>
      <w:r w:rsidR="00F22837">
        <w:rPr>
          <w:rStyle w:val="NORMLNChar"/>
        </w:rPr>
        <w:t xml:space="preserve"> (</w:t>
      </w:r>
      <w:r w:rsidR="00844C21">
        <w:rPr>
          <w:rStyle w:val="NORMLNChar"/>
        </w:rPr>
        <w:t>175,76 mil. m</w:t>
      </w:r>
      <w:r w:rsidR="00844C21">
        <w:rPr>
          <w:rStyle w:val="NORMLNChar"/>
          <w:vertAlign w:val="superscript"/>
        </w:rPr>
        <w:t>3</w:t>
      </w:r>
      <w:r w:rsidR="00844C21">
        <w:rPr>
          <w:rStyle w:val="NORMLNChar"/>
        </w:rPr>
        <w:t xml:space="preserve"> </w:t>
      </w:r>
      <w:r w:rsidR="00F22837">
        <w:rPr>
          <w:rStyle w:val="NORMLNChar"/>
        </w:rPr>
        <w:t>fakturované vody)</w:t>
      </w:r>
      <w:r w:rsidR="00844C21">
        <w:rPr>
          <w:rStyle w:val="NORMLNChar"/>
        </w:rPr>
        <w:t xml:space="preserve"> se neuvažuje s použitím zisku na obnovu </w:t>
      </w:r>
      <w:r w:rsidR="00097D32">
        <w:rPr>
          <w:rStyle w:val="NORMLNChar"/>
        </w:rPr>
        <w:t>VIM</w:t>
      </w:r>
      <w:r w:rsidR="00844C21">
        <w:rPr>
          <w:rStyle w:val="NORMLNChar"/>
        </w:rPr>
        <w:t xml:space="preserve">. Nejvíce se </w:t>
      </w:r>
      <w:r w:rsidR="005D49E8">
        <w:rPr>
          <w:rStyle w:val="NORMLNChar"/>
        </w:rPr>
        <w:t xml:space="preserve">tato </w:t>
      </w:r>
      <w:r w:rsidR="00844C21">
        <w:rPr>
          <w:rStyle w:val="NORMLNChar"/>
        </w:rPr>
        <w:t>anomálie vyskytovala ve IV.</w:t>
      </w:r>
      <w:r w:rsidR="00097D32">
        <w:rPr>
          <w:rStyle w:val="NORMLNChar"/>
        </w:rPr>
        <w:t xml:space="preserve"> </w:t>
      </w:r>
      <w:r w:rsidR="00844C21">
        <w:rPr>
          <w:rStyle w:val="NORMLNChar"/>
        </w:rPr>
        <w:t>(161</w:t>
      </w:r>
      <w:r w:rsidR="00097D32">
        <w:rPr>
          <w:rStyle w:val="NORMLNChar"/>
        </w:rPr>
        <w:t> </w:t>
      </w:r>
      <w:r w:rsidR="00844C21">
        <w:rPr>
          <w:rStyle w:val="NORMLNChar"/>
        </w:rPr>
        <w:t xml:space="preserve">Porovnání) a III. vlastnické skupině (112 Porovnání). </w:t>
      </w:r>
    </w:p>
    <w:p w14:paraId="10477E2F" w14:textId="7B9948D9" w:rsidR="009F36D5" w:rsidRDefault="00CE5B91" w:rsidP="007F2549">
      <w:pPr>
        <w:pStyle w:val="NORMLN0"/>
      </w:pPr>
      <w:r w:rsidRPr="00322BCB">
        <w:rPr>
          <w:rStyle w:val="NORMLNChar"/>
        </w:rPr>
        <w:t>Na nesrovnalosti ve vykazování počtu poruch a nákladů na opravy upozorňuje</w:t>
      </w:r>
      <w:r>
        <w:rPr>
          <w:noProof/>
        </w:rPr>
        <w:t xml:space="preserve"> anomálie </w:t>
      </w:r>
      <w:r w:rsidRPr="00545B65">
        <w:rPr>
          <w:b/>
          <w:noProof/>
        </w:rPr>
        <w:t xml:space="preserve">nulový počet poruch </w:t>
      </w:r>
      <w:r w:rsidR="00CD73EA">
        <w:rPr>
          <w:b/>
          <w:noProof/>
        </w:rPr>
        <w:t xml:space="preserve">a zároveň </w:t>
      </w:r>
      <w:r w:rsidRPr="00545B65">
        <w:rPr>
          <w:b/>
          <w:noProof/>
        </w:rPr>
        <w:t xml:space="preserve">náklady na opravy </w:t>
      </w:r>
      <w:r w:rsidR="00CD73EA">
        <w:rPr>
          <w:b/>
          <w:noProof/>
        </w:rPr>
        <w:t>vyšší</w:t>
      </w:r>
      <w:r w:rsidRPr="00545B65">
        <w:rPr>
          <w:b/>
          <w:noProof/>
        </w:rPr>
        <w:t xml:space="preserve"> než průměrné náklady na odstranění poruch</w:t>
      </w:r>
      <w:r>
        <w:rPr>
          <w:b/>
          <w:noProof/>
        </w:rPr>
        <w:t>y</w:t>
      </w:r>
      <w:r w:rsidR="00F22837">
        <w:rPr>
          <w:noProof/>
        </w:rPr>
        <w:t xml:space="preserve"> (</w:t>
      </w:r>
      <w:r w:rsidR="00EC17BA">
        <w:rPr>
          <w:noProof/>
        </w:rPr>
        <w:t>526</w:t>
      </w:r>
      <w:r>
        <w:rPr>
          <w:noProof/>
        </w:rPr>
        <w:t xml:space="preserve"> Porovnání</w:t>
      </w:r>
      <w:r w:rsidR="00F22837">
        <w:rPr>
          <w:noProof/>
        </w:rPr>
        <w:t xml:space="preserve">; </w:t>
      </w:r>
      <w:r w:rsidR="00EC17BA">
        <w:rPr>
          <w:noProof/>
        </w:rPr>
        <w:t>40,2 mil. m</w:t>
      </w:r>
      <w:r w:rsidR="00EC17BA">
        <w:rPr>
          <w:noProof/>
          <w:vertAlign w:val="superscript"/>
        </w:rPr>
        <w:t>3</w:t>
      </w:r>
      <w:r w:rsidR="00EC17BA">
        <w:rPr>
          <w:noProof/>
        </w:rPr>
        <w:t xml:space="preserve"> fakturované </w:t>
      </w:r>
      <w:r w:rsidR="00F22837">
        <w:rPr>
          <w:noProof/>
        </w:rPr>
        <w:t>vody</w:t>
      </w:r>
      <w:r w:rsidR="00EC17BA">
        <w:rPr>
          <w:noProof/>
        </w:rPr>
        <w:t>)</w:t>
      </w:r>
      <w:r>
        <w:rPr>
          <w:noProof/>
        </w:rPr>
        <w:t xml:space="preserve"> a anomálie </w:t>
      </w:r>
      <w:r w:rsidRPr="00545B65">
        <w:rPr>
          <w:b/>
          <w:noProof/>
        </w:rPr>
        <w:t>nenulový počet poruch a nulové náklady na opravy</w:t>
      </w:r>
      <w:r>
        <w:rPr>
          <w:noProof/>
        </w:rPr>
        <w:t xml:space="preserve"> (6</w:t>
      </w:r>
      <w:r w:rsidR="00EC17BA">
        <w:rPr>
          <w:noProof/>
        </w:rPr>
        <w:t>1</w:t>
      </w:r>
      <w:r>
        <w:rPr>
          <w:noProof/>
        </w:rPr>
        <w:t xml:space="preserve"> Porovnání</w:t>
      </w:r>
      <w:r w:rsidR="00EC17BA">
        <w:rPr>
          <w:noProof/>
        </w:rPr>
        <w:t>;</w:t>
      </w:r>
      <w:r w:rsidR="00CD73EA">
        <w:rPr>
          <w:noProof/>
        </w:rPr>
        <w:t xml:space="preserve"> </w:t>
      </w:r>
      <w:r w:rsidR="00EC17BA">
        <w:rPr>
          <w:noProof/>
        </w:rPr>
        <w:t>1,64 mil. m</w:t>
      </w:r>
      <w:r w:rsidR="00EC17BA">
        <w:rPr>
          <w:noProof/>
          <w:vertAlign w:val="superscript"/>
        </w:rPr>
        <w:t>3</w:t>
      </w:r>
      <w:r w:rsidR="00F22837">
        <w:rPr>
          <w:noProof/>
        </w:rPr>
        <w:t xml:space="preserve"> fakturované vody</w:t>
      </w:r>
      <w:r>
        <w:rPr>
          <w:noProof/>
        </w:rPr>
        <w:t xml:space="preserve">). </w:t>
      </w:r>
      <w:r w:rsidRPr="004E369D">
        <w:t>Bohužel vzhledem k chybějícím i</w:t>
      </w:r>
      <w:r w:rsidR="004E369D" w:rsidRPr="004E369D">
        <w:t>nformacím o stáří a stavu majetk</w:t>
      </w:r>
      <w:r w:rsidRPr="004E369D">
        <w:t>u</w:t>
      </w:r>
      <w:r w:rsidR="005E1124">
        <w:t xml:space="preserve"> a nejednotnosti chápání pojmu porucha</w:t>
      </w:r>
      <w:r w:rsidRPr="004E369D">
        <w:t>, není mo</w:t>
      </w:r>
      <w:r w:rsidR="00A420E2">
        <w:t>ž</w:t>
      </w:r>
      <w:r w:rsidRPr="004E369D">
        <w:t>n</w:t>
      </w:r>
      <w:r w:rsidR="005E1124">
        <w:t>é</w:t>
      </w:r>
      <w:r w:rsidRPr="004E369D">
        <w:t xml:space="preserve"> zhodnotit, zda výše poruch na</w:t>
      </w:r>
      <w:r w:rsidR="004E369D">
        <w:t xml:space="preserve"> 1 km sítě odpovídá </w:t>
      </w:r>
      <w:r w:rsidR="00EC17BA">
        <w:t>stáří</w:t>
      </w:r>
      <w:r w:rsidR="004E369D">
        <w:t xml:space="preserve"> majetk</w:t>
      </w:r>
      <w:r w:rsidR="00EC17BA">
        <w:t>u.</w:t>
      </w:r>
      <w:r w:rsidR="007F2549">
        <w:t xml:space="preserve"> Z hlediska četnosti výskytu lze konstatovat, že nejvíce problémů se sledováním počtu poruch a vykazováním nákladů na jejich odstranění mají vlastníci ve IV. vlastnické skupině.</w:t>
      </w:r>
    </w:p>
    <w:p w14:paraId="21C09BDB" w14:textId="7E6F1246" w:rsidR="009F36D5" w:rsidRDefault="00A420E2" w:rsidP="007F2549">
      <w:pPr>
        <w:pStyle w:val="NORMLN0"/>
      </w:pPr>
      <w:r>
        <w:rPr>
          <w:noProof/>
        </w:rPr>
        <w:t>Podle</w:t>
      </w:r>
      <w:r w:rsidR="00EC17BA">
        <w:rPr>
          <w:noProof/>
        </w:rPr>
        <w:t xml:space="preserve"> počtu výskytů je n</w:t>
      </w:r>
      <w:r w:rsidR="00CE5B91">
        <w:rPr>
          <w:noProof/>
        </w:rPr>
        <w:t>ejčastěji</w:t>
      </w:r>
      <w:r w:rsidR="00CE5B91" w:rsidRPr="00934258">
        <w:rPr>
          <w:noProof/>
        </w:rPr>
        <w:t xml:space="preserve"> se vyskytující</w:t>
      </w:r>
      <w:r w:rsidR="00EC17BA">
        <w:rPr>
          <w:noProof/>
        </w:rPr>
        <w:t xml:space="preserve"> </w:t>
      </w:r>
      <w:r w:rsidR="00CE5B91" w:rsidRPr="00934258">
        <w:rPr>
          <w:noProof/>
        </w:rPr>
        <w:t>anomálií</w:t>
      </w:r>
      <w:r w:rsidR="00CE5B91">
        <w:rPr>
          <w:noProof/>
        </w:rPr>
        <w:t xml:space="preserve"> </w:t>
      </w:r>
      <w:r w:rsidR="00CE5B91" w:rsidRPr="00934258">
        <w:rPr>
          <w:b/>
          <w:noProof/>
        </w:rPr>
        <w:t>nedostatečná tvorba prostředků na obnovu VIM</w:t>
      </w:r>
      <w:r>
        <w:rPr>
          <w:b/>
          <w:noProof/>
        </w:rPr>
        <w:t>.</w:t>
      </w:r>
      <w:r w:rsidR="00CE5B91" w:rsidRPr="00934258">
        <w:rPr>
          <w:b/>
          <w:noProof/>
        </w:rPr>
        <w:t xml:space="preserve"> </w:t>
      </w:r>
      <w:r w:rsidRPr="00BC03D3">
        <w:rPr>
          <w:noProof/>
        </w:rPr>
        <w:t>Byla identifikována</w:t>
      </w:r>
      <w:r w:rsidR="00CE5B91" w:rsidRPr="00BC03D3">
        <w:rPr>
          <w:noProof/>
        </w:rPr>
        <w:t xml:space="preserve"> </w:t>
      </w:r>
      <w:r>
        <w:rPr>
          <w:noProof/>
        </w:rPr>
        <w:t>u</w:t>
      </w:r>
      <w:r w:rsidR="00CE5B91" w:rsidRPr="00BC03D3">
        <w:rPr>
          <w:noProof/>
        </w:rPr>
        <w:t xml:space="preserve"> </w:t>
      </w:r>
      <w:r w:rsidR="00EC17BA" w:rsidRPr="00BC03D3">
        <w:rPr>
          <w:noProof/>
        </w:rPr>
        <w:t>1 716</w:t>
      </w:r>
      <w:r w:rsidR="00CE5B91">
        <w:rPr>
          <w:b/>
          <w:noProof/>
        </w:rPr>
        <w:t xml:space="preserve"> </w:t>
      </w:r>
      <w:r w:rsidR="00CE5B91" w:rsidRPr="00DF360C">
        <w:rPr>
          <w:noProof/>
        </w:rPr>
        <w:t>analyzovaných Porovnání.</w:t>
      </w:r>
      <w:r w:rsidR="00CE5B91">
        <w:rPr>
          <w:noProof/>
        </w:rPr>
        <w:t xml:space="preserve"> Objem fakturované vody</w:t>
      </w:r>
      <w:r w:rsidR="00B26631">
        <w:rPr>
          <w:noProof/>
        </w:rPr>
        <w:t xml:space="preserve"> </w:t>
      </w:r>
      <w:r w:rsidR="00CE5B91">
        <w:rPr>
          <w:noProof/>
        </w:rPr>
        <w:t xml:space="preserve">těchto Porovnání činil </w:t>
      </w:r>
      <w:r w:rsidR="00EC17BA">
        <w:rPr>
          <w:noProof/>
        </w:rPr>
        <w:t>69,65</w:t>
      </w:r>
      <w:r w:rsidR="00CE5B91" w:rsidRPr="00934258">
        <w:rPr>
          <w:noProof/>
        </w:rPr>
        <w:t xml:space="preserve"> </w:t>
      </w:r>
      <w:r w:rsidR="00E27252">
        <w:rPr>
          <w:noProof/>
        </w:rPr>
        <w:t>mil. m</w:t>
      </w:r>
      <w:r w:rsidR="00E27252" w:rsidRPr="00E27252">
        <w:rPr>
          <w:noProof/>
          <w:vertAlign w:val="superscript"/>
        </w:rPr>
        <w:t>3</w:t>
      </w:r>
      <w:r w:rsidR="001E3B57">
        <w:rPr>
          <w:noProof/>
        </w:rPr>
        <w:t xml:space="preserve">, </w:t>
      </w:r>
      <w:r w:rsidR="005E1124">
        <w:rPr>
          <w:noProof/>
        </w:rPr>
        <w:t>tj.</w:t>
      </w:r>
      <w:r w:rsidR="001E3B57">
        <w:rPr>
          <w:noProof/>
        </w:rPr>
        <w:t xml:space="preserve"> 13,94</w:t>
      </w:r>
      <w:r w:rsidR="005E1124">
        <w:rPr>
          <w:noProof/>
        </w:rPr>
        <w:t xml:space="preserve"> </w:t>
      </w:r>
      <w:r w:rsidR="001E3B57">
        <w:rPr>
          <w:noProof/>
        </w:rPr>
        <w:t>% analyzovaného trhu</w:t>
      </w:r>
      <w:r w:rsidR="00CE5B91" w:rsidRPr="00934258">
        <w:rPr>
          <w:noProof/>
        </w:rPr>
        <w:t xml:space="preserve">. </w:t>
      </w:r>
      <w:r w:rsidR="001E0C0E">
        <w:rPr>
          <w:noProof/>
        </w:rPr>
        <w:t>U 1 124 Porovnání (</w:t>
      </w:r>
      <w:r w:rsidR="00AB6FC6">
        <w:rPr>
          <w:noProof/>
        </w:rPr>
        <w:t xml:space="preserve">tj. </w:t>
      </w:r>
      <w:r w:rsidR="001E0C0E">
        <w:rPr>
          <w:noProof/>
        </w:rPr>
        <w:t>36,77 mil. m</w:t>
      </w:r>
      <w:r w:rsidR="001E0C0E">
        <w:rPr>
          <w:noProof/>
          <w:vertAlign w:val="superscript"/>
        </w:rPr>
        <w:t>3</w:t>
      </w:r>
      <w:r w:rsidR="001E0C0E">
        <w:rPr>
          <w:noProof/>
        </w:rPr>
        <w:t xml:space="preserve"> fakturované vody</w:t>
      </w:r>
      <w:r w:rsidR="00AB6FC6">
        <w:rPr>
          <w:noProof/>
        </w:rPr>
        <w:t>)</w:t>
      </w:r>
      <w:r w:rsidR="001E0C0E">
        <w:rPr>
          <w:noProof/>
        </w:rPr>
        <w:t xml:space="preserve"> byl vykázán </w:t>
      </w:r>
      <w:r w:rsidR="001E0C0E">
        <w:rPr>
          <w:b/>
          <w:noProof/>
        </w:rPr>
        <w:t>záporný kalkulační zisk</w:t>
      </w:r>
      <w:r w:rsidR="001E0C0E">
        <w:rPr>
          <w:noProof/>
        </w:rPr>
        <w:t xml:space="preserve">. </w:t>
      </w:r>
      <w:r w:rsidR="0065787D">
        <w:rPr>
          <w:noProof/>
        </w:rPr>
        <w:t>Jedná se o</w:t>
      </w:r>
      <w:r w:rsidR="005E1124">
        <w:t xml:space="preserve"> </w:t>
      </w:r>
      <w:r w:rsidR="0065787D">
        <w:rPr>
          <w:noProof/>
        </w:rPr>
        <w:t>7,36% podíl</w:t>
      </w:r>
      <w:r w:rsidR="001E3B57">
        <w:rPr>
          <w:noProof/>
        </w:rPr>
        <w:t xml:space="preserve"> analyzovaného trhu</w:t>
      </w:r>
      <w:r w:rsidR="0065787D">
        <w:rPr>
          <w:noProof/>
        </w:rPr>
        <w:t xml:space="preserve"> a</w:t>
      </w:r>
      <w:r w:rsidR="001E3B57" w:rsidRPr="004E369D">
        <w:t xml:space="preserve"> je nutné, aby si dotčení vlastníci</w:t>
      </w:r>
      <w:r w:rsidR="005E1124">
        <w:t xml:space="preserve"> VIM uvědomili</w:t>
      </w:r>
      <w:r w:rsidR="001E3B57" w:rsidRPr="004E369D">
        <w:t xml:space="preserve">, že se připravují </w:t>
      </w:r>
      <w:r w:rsidR="00E96C9A">
        <w:t xml:space="preserve">o </w:t>
      </w:r>
      <w:r w:rsidR="005E1124">
        <w:t>významnou možnost</w:t>
      </w:r>
      <w:r w:rsidR="001E3B57" w:rsidRPr="004E369D">
        <w:t xml:space="preserve"> generov</w:t>
      </w:r>
      <w:r w:rsidR="005E1124">
        <w:t>ání</w:t>
      </w:r>
      <w:r w:rsidR="001E3B57" w:rsidRPr="004E369D">
        <w:t xml:space="preserve"> prostředk</w:t>
      </w:r>
      <w:r w:rsidR="005E1124">
        <w:t>ů</w:t>
      </w:r>
      <w:r w:rsidR="001E3B57" w:rsidRPr="004E369D">
        <w:t xml:space="preserve"> na obnovu VIM</w:t>
      </w:r>
      <w:r w:rsidR="005E1124">
        <w:t xml:space="preserve">. </w:t>
      </w:r>
      <w:r w:rsidR="001E3B57" w:rsidRPr="004E369D">
        <w:t>V některých případech se může jednat o rozhodnutí vlastníka, který disponuje příjmy z jiné neregulované činnosti</w:t>
      </w:r>
      <w:r w:rsidR="007F2549">
        <w:t xml:space="preserve"> a u některých vlastníků může být tento jev důsledkem vysoké atomizace trhu.</w:t>
      </w:r>
      <w:r w:rsidR="001E3B57" w:rsidRPr="004E369D">
        <w:t xml:space="preserve"> </w:t>
      </w:r>
      <w:r w:rsidR="00A56A32">
        <w:t>D</w:t>
      </w:r>
      <w:r w:rsidR="001E3B57" w:rsidRPr="004E369D">
        <w:t>louhodob</w:t>
      </w:r>
      <w:r w:rsidR="00A56A32">
        <w:t>é</w:t>
      </w:r>
      <w:r w:rsidR="001E3B57" w:rsidRPr="004E369D">
        <w:t xml:space="preserve"> spol</w:t>
      </w:r>
      <w:r w:rsidR="001E3B57">
        <w:t>é</w:t>
      </w:r>
      <w:r w:rsidR="001E3B57" w:rsidRPr="004E369D">
        <w:t>h</w:t>
      </w:r>
      <w:r w:rsidR="00A56A32">
        <w:t>ání vlastníků</w:t>
      </w:r>
      <w:r w:rsidR="001E3B57" w:rsidRPr="004E369D">
        <w:t xml:space="preserve"> na získ</w:t>
      </w:r>
      <w:r w:rsidR="001E3B57">
        <w:t>á</w:t>
      </w:r>
      <w:r w:rsidR="001E3B57" w:rsidRPr="004E369D">
        <w:t>ní potřebných prostředků na obnovu z dotačních titulů</w:t>
      </w:r>
      <w:r w:rsidR="00A56A32">
        <w:t xml:space="preserve"> je velmi ne</w:t>
      </w:r>
      <w:r w:rsidR="001E3B57" w:rsidRPr="004E369D">
        <w:t>zodpovědn</w:t>
      </w:r>
      <w:r w:rsidR="00A56A32">
        <w:t>é.</w:t>
      </w:r>
    </w:p>
    <w:p w14:paraId="7527DEAC" w14:textId="3BC7214F" w:rsidR="009F36D5" w:rsidRDefault="001E0C0E" w:rsidP="007F2549">
      <w:pPr>
        <w:pStyle w:val="NORMLN0"/>
        <w:rPr>
          <w:noProof/>
        </w:rPr>
      </w:pPr>
      <w:r>
        <w:rPr>
          <w:noProof/>
        </w:rPr>
        <w:t>Problém se sledováním tvorby a čerpání prostředků na obnovu měl</w:t>
      </w:r>
      <w:r w:rsidR="005E1124">
        <w:rPr>
          <w:noProof/>
        </w:rPr>
        <w:t>i</w:t>
      </w:r>
      <w:r>
        <w:rPr>
          <w:noProof/>
        </w:rPr>
        <w:t xml:space="preserve"> z</w:t>
      </w:r>
      <w:r w:rsidR="005E1124">
        <w:rPr>
          <w:noProof/>
        </w:rPr>
        <w:t>pracovatelé</w:t>
      </w:r>
      <w:r>
        <w:rPr>
          <w:noProof/>
        </w:rPr>
        <w:t xml:space="preserve"> </w:t>
      </w:r>
      <w:r w:rsidR="00EC17BA">
        <w:rPr>
          <w:noProof/>
        </w:rPr>
        <w:t>666</w:t>
      </w:r>
      <w:r w:rsidR="005E1124">
        <w:rPr>
          <w:noProof/>
        </w:rPr>
        <w:t> </w:t>
      </w:r>
      <w:r w:rsidR="00CE5B91">
        <w:rPr>
          <w:noProof/>
        </w:rPr>
        <w:t>Porovnání (</w:t>
      </w:r>
      <w:r w:rsidR="005E1124">
        <w:rPr>
          <w:noProof/>
        </w:rPr>
        <w:t>tj.</w:t>
      </w:r>
      <w:r w:rsidR="00CE5B91">
        <w:rPr>
          <w:noProof/>
        </w:rPr>
        <w:t xml:space="preserve"> </w:t>
      </w:r>
      <w:r w:rsidR="00EC17BA">
        <w:rPr>
          <w:noProof/>
        </w:rPr>
        <w:t>34,63 mil. m</w:t>
      </w:r>
      <w:r w:rsidR="00EC17BA">
        <w:rPr>
          <w:noProof/>
          <w:vertAlign w:val="superscript"/>
        </w:rPr>
        <w:t>3</w:t>
      </w:r>
      <w:r w:rsidR="00EC17BA">
        <w:rPr>
          <w:noProof/>
        </w:rPr>
        <w:t xml:space="preserve"> fakturované vody</w:t>
      </w:r>
      <w:r w:rsidR="001E3B57">
        <w:rPr>
          <w:noProof/>
        </w:rPr>
        <w:t>; 6,93% podíl analyzovaného trhu</w:t>
      </w:r>
      <w:r w:rsidR="00CE5B91">
        <w:rPr>
          <w:noProof/>
        </w:rPr>
        <w:t>)</w:t>
      </w:r>
      <w:r w:rsidR="001E3B57">
        <w:rPr>
          <w:noProof/>
        </w:rPr>
        <w:t>, na</w:t>
      </w:r>
      <w:r w:rsidR="00ED12CF">
        <w:rPr>
          <w:noProof/>
        </w:rPr>
        <w:t> </w:t>
      </w:r>
      <w:r w:rsidR="001E3B57">
        <w:rPr>
          <w:noProof/>
        </w:rPr>
        <w:t>kterých</w:t>
      </w:r>
      <w:r w:rsidR="00CE5B91">
        <w:rPr>
          <w:noProof/>
        </w:rPr>
        <w:t xml:space="preserve"> </w:t>
      </w:r>
      <w:r w:rsidR="001E3B57">
        <w:rPr>
          <w:noProof/>
        </w:rPr>
        <w:t xml:space="preserve">nebyly uvedené </w:t>
      </w:r>
      <w:r w:rsidR="00CE5B91">
        <w:rPr>
          <w:noProof/>
        </w:rPr>
        <w:t xml:space="preserve">požadované informace </w:t>
      </w:r>
      <w:r w:rsidR="00CE5B91">
        <w:rPr>
          <w:b/>
          <w:noProof/>
        </w:rPr>
        <w:t>na řádku 20 o tvorbě a čerpání</w:t>
      </w:r>
      <w:r w:rsidR="00CE5B91" w:rsidRPr="005C3500">
        <w:rPr>
          <w:b/>
          <w:noProof/>
        </w:rPr>
        <w:t xml:space="preserve"> prostředků na obnovu</w:t>
      </w:r>
      <w:r w:rsidR="00CE5B91">
        <w:rPr>
          <w:noProof/>
        </w:rPr>
        <w:t xml:space="preserve">. </w:t>
      </w:r>
      <w:r w:rsidR="008400FE" w:rsidRPr="004E369D">
        <w:t xml:space="preserve">Za chybný přístup </w:t>
      </w:r>
      <w:r w:rsidR="008400FE">
        <w:t xml:space="preserve">k řešení tvorby prostředků na obnovu </w:t>
      </w:r>
      <w:r w:rsidR="008400FE" w:rsidRPr="004E369D">
        <w:t xml:space="preserve">lze považovat případy, kdy vlastníci do ceny pro stočné (u oddílného nebo kombinovaného modelu provozování) </w:t>
      </w:r>
      <w:r w:rsidR="008400FE" w:rsidRPr="004E369D">
        <w:rPr>
          <w:b/>
        </w:rPr>
        <w:t>nezapočítávají nájem</w:t>
      </w:r>
      <w:r w:rsidR="00AB6FC6">
        <w:rPr>
          <w:b/>
        </w:rPr>
        <w:t xml:space="preserve"> VIM</w:t>
      </w:r>
      <w:r w:rsidR="008400FE" w:rsidRPr="004E369D">
        <w:t xml:space="preserve">, případně je jeho hodnota záporná. Tato anomálie se vyskytuje </w:t>
      </w:r>
      <w:r w:rsidR="00AB6FC6">
        <w:t>u</w:t>
      </w:r>
      <w:r w:rsidR="008400FE" w:rsidRPr="004E369D">
        <w:t xml:space="preserve"> </w:t>
      </w:r>
      <w:r w:rsidR="008400FE">
        <w:t>9,13</w:t>
      </w:r>
      <w:r w:rsidR="008400FE" w:rsidRPr="004E369D">
        <w:t>% podílu analyzovaného trhu</w:t>
      </w:r>
      <w:r w:rsidR="008400FE">
        <w:t xml:space="preserve"> (45,62 mil. m</w:t>
      </w:r>
      <w:r w:rsidR="008400FE">
        <w:rPr>
          <w:vertAlign w:val="superscript"/>
        </w:rPr>
        <w:t>3</w:t>
      </w:r>
      <w:r w:rsidR="00C600CE">
        <w:t xml:space="preserve"> fakturované vody</w:t>
      </w:r>
      <w:r w:rsidR="00AB6FC6">
        <w:t>;</w:t>
      </w:r>
      <w:r w:rsidR="008400FE" w:rsidRPr="004E369D">
        <w:t xml:space="preserve"> </w:t>
      </w:r>
      <w:r w:rsidR="008400FE">
        <w:t>95</w:t>
      </w:r>
      <w:r w:rsidR="008400FE" w:rsidRPr="004E369D">
        <w:t xml:space="preserve"> Porovnání</w:t>
      </w:r>
      <w:r w:rsidR="00AB6FC6">
        <w:t>)</w:t>
      </w:r>
      <w:r w:rsidR="008400FE" w:rsidRPr="004E369D">
        <w:t>.</w:t>
      </w:r>
      <w:r w:rsidR="008400FE">
        <w:t xml:space="preserve"> </w:t>
      </w:r>
      <w:r w:rsidR="00CE5B91">
        <w:rPr>
          <w:noProof/>
        </w:rPr>
        <w:t xml:space="preserve">V případě aplikovaného smíšeného nebo kombinovaného modelu provozování vlastníci do ceny pro stočné </w:t>
      </w:r>
      <w:r w:rsidR="00CE5B91" w:rsidRPr="00143287">
        <w:rPr>
          <w:b/>
          <w:noProof/>
        </w:rPr>
        <w:t>nezapočetli odpisy, náklady na opravy a</w:t>
      </w:r>
      <w:r w:rsidR="00C600CE">
        <w:rPr>
          <w:b/>
          <w:noProof/>
        </w:rPr>
        <w:t>ni</w:t>
      </w:r>
      <w:r w:rsidR="00CE5B91" w:rsidRPr="00143287">
        <w:rPr>
          <w:b/>
          <w:noProof/>
        </w:rPr>
        <w:t xml:space="preserve"> prostředky na obnovu</w:t>
      </w:r>
      <w:r w:rsidR="00C600CE">
        <w:rPr>
          <w:b/>
          <w:noProof/>
        </w:rPr>
        <w:t xml:space="preserve"> ř. 4.4</w:t>
      </w:r>
      <w:r w:rsidR="00BC03D3">
        <w:rPr>
          <w:b/>
          <w:noProof/>
        </w:rPr>
        <w:t xml:space="preserve"> </w:t>
      </w:r>
      <w:r w:rsidR="00CE5B91">
        <w:rPr>
          <w:noProof/>
        </w:rPr>
        <w:t xml:space="preserve">celkem na </w:t>
      </w:r>
      <w:r w:rsidR="001E3B57">
        <w:rPr>
          <w:noProof/>
        </w:rPr>
        <w:t xml:space="preserve">222 </w:t>
      </w:r>
      <w:r w:rsidR="00CE5B91">
        <w:rPr>
          <w:noProof/>
        </w:rPr>
        <w:t>Porovnáních (</w:t>
      </w:r>
      <w:r w:rsidR="001E3B57">
        <w:rPr>
          <w:noProof/>
        </w:rPr>
        <w:t>2,47 mil. m</w:t>
      </w:r>
      <w:r w:rsidR="001E3B57">
        <w:rPr>
          <w:noProof/>
          <w:vertAlign w:val="superscript"/>
        </w:rPr>
        <w:t>3</w:t>
      </w:r>
      <w:r w:rsidR="001E3B57">
        <w:rPr>
          <w:noProof/>
        </w:rPr>
        <w:t xml:space="preserve"> fakturované vody; 0,49% podíl analyzovaného trhu</w:t>
      </w:r>
      <w:r w:rsidR="00CE5B91">
        <w:rPr>
          <w:noProof/>
        </w:rPr>
        <w:t>).</w:t>
      </w:r>
      <w:r w:rsidR="00B26631">
        <w:rPr>
          <w:noProof/>
        </w:rPr>
        <w:t xml:space="preserve"> </w:t>
      </w:r>
      <w:r w:rsidR="00CE5B91">
        <w:rPr>
          <w:noProof/>
        </w:rPr>
        <w:t>Uvedené skutečnosti poukazují na problém přímo související s plněním záměru dosažení samofi</w:t>
      </w:r>
      <w:r w:rsidR="004E369D">
        <w:rPr>
          <w:noProof/>
        </w:rPr>
        <w:t>n</w:t>
      </w:r>
      <w:r w:rsidR="00CE5B91">
        <w:rPr>
          <w:noProof/>
        </w:rPr>
        <w:t>ancovatelnosti oboru VaK a je možné usuzovat, že vlastníci neprovádějí systematickou plánovanou péči</w:t>
      </w:r>
      <w:r w:rsidR="00B26631">
        <w:rPr>
          <w:noProof/>
        </w:rPr>
        <w:t xml:space="preserve"> </w:t>
      </w:r>
      <w:r w:rsidR="00CE5B91">
        <w:rPr>
          <w:noProof/>
        </w:rPr>
        <w:t xml:space="preserve">o VIM zahrnující plánované obnovující opravy, pravidelnou údržbu a investiční činnost, případně tyto činnosti nepovažují za prioritní. </w:t>
      </w:r>
    </w:p>
    <w:p w14:paraId="15965C94" w14:textId="77777777" w:rsidR="009F36D5" w:rsidRDefault="00DF360C" w:rsidP="007F2549">
      <w:pPr>
        <w:pStyle w:val="NORMLN0"/>
        <w:rPr>
          <w:highlight w:val="yellow"/>
        </w:rPr>
      </w:pPr>
      <w:r>
        <w:t xml:space="preserve">Na chybu ve vykazování, případně </w:t>
      </w:r>
      <w:r w:rsidR="00C600CE">
        <w:t>na</w:t>
      </w:r>
      <w:r>
        <w:t xml:space="preserve"> nejasnost</w:t>
      </w:r>
      <w:r w:rsidR="00C600CE">
        <w:t>i</w:t>
      </w:r>
      <w:r>
        <w:t xml:space="preserve"> při sestavování Porovnání poukazuje i výskyt </w:t>
      </w:r>
      <w:r w:rsidR="00CE5B91" w:rsidRPr="00DF360C">
        <w:t xml:space="preserve">anomálie </w:t>
      </w:r>
      <w:r>
        <w:t xml:space="preserve">uvedení </w:t>
      </w:r>
      <w:r w:rsidR="00CE5B91" w:rsidRPr="00DF360C">
        <w:t>kladn</w:t>
      </w:r>
      <w:r>
        <w:t>é</w:t>
      </w:r>
      <w:r w:rsidR="00CE5B91" w:rsidRPr="00DF360C">
        <w:t xml:space="preserve"> hodnot</w:t>
      </w:r>
      <w:r>
        <w:t>y</w:t>
      </w:r>
      <w:r w:rsidR="00CE5B91" w:rsidRPr="00DF360C">
        <w:t xml:space="preserve"> položky nájemné v kalkulaci ceny pro stočné v případě aplikovaného smíšeného modelu provozování nebo oddílného modelu se servisní smlouvou. Byla nalezena </w:t>
      </w:r>
      <w:r>
        <w:t>u</w:t>
      </w:r>
      <w:r w:rsidR="00CE5B91" w:rsidRPr="00DF360C">
        <w:t xml:space="preserve"> </w:t>
      </w:r>
      <w:r>
        <w:t>18</w:t>
      </w:r>
      <w:r w:rsidR="00CE5B91" w:rsidRPr="00DF360C">
        <w:t xml:space="preserve"> Porovnáních (</w:t>
      </w:r>
      <w:r>
        <w:t xml:space="preserve">5,85 mil. </w:t>
      </w:r>
      <w:r w:rsidRPr="00DF360C">
        <w:t>m</w:t>
      </w:r>
      <w:r w:rsidRPr="00DF360C">
        <w:rPr>
          <w:vertAlign w:val="superscript"/>
        </w:rPr>
        <w:t>3</w:t>
      </w:r>
      <w:r w:rsidR="00C600CE">
        <w:t xml:space="preserve"> </w:t>
      </w:r>
      <w:r>
        <w:t>fakturované</w:t>
      </w:r>
      <w:r w:rsidR="00C600CE">
        <w:t xml:space="preserve"> vody</w:t>
      </w:r>
      <w:r>
        <w:t>; 1,17</w:t>
      </w:r>
      <w:r w:rsidR="00CE5B91" w:rsidRPr="00DF360C">
        <w:t xml:space="preserve">% podíl </w:t>
      </w:r>
      <w:r>
        <w:t xml:space="preserve">analyzovaného </w:t>
      </w:r>
      <w:r w:rsidR="00CE5B91" w:rsidRPr="00DF360C">
        <w:t>trhu). Může se jednat o chybně vykázanou nákladovou položku, např. nájem jiného než infrast</w:t>
      </w:r>
      <w:r w:rsidR="004E369D" w:rsidRPr="00DF360C">
        <w:t>r</w:t>
      </w:r>
      <w:r w:rsidR="00CE5B91" w:rsidRPr="00DF360C">
        <w:t xml:space="preserve">ukturního majetku. </w:t>
      </w:r>
    </w:p>
    <w:p w14:paraId="446A696A" w14:textId="406FE10D" w:rsidR="009F36D5" w:rsidRDefault="00CE5B91" w:rsidP="007F2549">
      <w:pPr>
        <w:pStyle w:val="NORMLN0"/>
      </w:pPr>
      <w:r w:rsidRPr="00DF360C">
        <w:t>Výskyt uvedených anomálií dokazuje, že dochází k výraznému dotování ceny pro stočné a odkládání tvorby prostředků na obnovu VIM. Tato situace je závažná nejenom z pohledu</w:t>
      </w:r>
      <w:r w:rsidR="00B26631" w:rsidRPr="00DF360C">
        <w:t xml:space="preserve"> </w:t>
      </w:r>
      <w:r w:rsidRPr="00DF360C">
        <w:lastRenderedPageBreak/>
        <w:t xml:space="preserve">hodnocení plnění </w:t>
      </w:r>
      <w:r w:rsidR="007F2549">
        <w:t>záměrů</w:t>
      </w:r>
      <w:r w:rsidRPr="00DF360C">
        <w:t xml:space="preserve"> regulace (samofinancovatelnost a o</w:t>
      </w:r>
      <w:r w:rsidR="00DF360C" w:rsidRPr="00DF360C">
        <w:t xml:space="preserve">bnova VIM), ale </w:t>
      </w:r>
      <w:r w:rsidRPr="00DF360C">
        <w:t xml:space="preserve">dlouhodobě </w:t>
      </w:r>
      <w:r w:rsidR="00A13D5B">
        <w:t>zvyšuje</w:t>
      </w:r>
      <w:r w:rsidRPr="00DF360C">
        <w:t xml:space="preserve"> riziko neúměrného zatížení budoucích generací náklady na obnovu VIM, popř. riziko nárůstu požadavků na poskytování státních dotací</w:t>
      </w:r>
      <w:r w:rsidR="00A13D5B">
        <w:t>, popř.</w:t>
      </w:r>
      <w:r w:rsidR="00DF360C">
        <w:t xml:space="preserve"> zadlužení vlastníků VIM při použití úvěrových zdrojů na financování obnovy VIM.</w:t>
      </w:r>
      <w:r w:rsidRPr="00DF360C">
        <w:t xml:space="preserve"> </w:t>
      </w:r>
    </w:p>
    <w:p w14:paraId="415AE492" w14:textId="77777777" w:rsidR="009F36D5" w:rsidRDefault="00430622" w:rsidP="007F2549">
      <w:pPr>
        <w:pStyle w:val="NORMLN0"/>
        <w:rPr>
          <w:rFonts w:asciiTheme="minorHAnsi" w:hAnsiTheme="minorHAnsi"/>
          <w:noProof/>
        </w:rPr>
      </w:pPr>
      <w:r w:rsidRPr="00F60733">
        <w:rPr>
          <w:rFonts w:asciiTheme="minorHAnsi" w:hAnsiTheme="minorHAnsi"/>
          <w:noProof/>
          <w:lang w:eastAsia="cs-CZ"/>
        </w:rPr>
        <w:drawing>
          <wp:anchor distT="0" distB="0" distL="114300" distR="114300" simplePos="0" relativeHeight="251696128" behindDoc="0" locked="0" layoutInCell="1" allowOverlap="1" wp14:anchorId="085AD25D" wp14:editId="1F44FA27">
            <wp:simplePos x="0" y="0"/>
            <wp:positionH relativeFrom="column">
              <wp:posOffset>-84406</wp:posOffset>
            </wp:positionH>
            <wp:positionV relativeFrom="paragraph">
              <wp:posOffset>499745</wp:posOffset>
            </wp:positionV>
            <wp:extent cx="6260123" cy="7567930"/>
            <wp:effectExtent l="0" t="0" r="7620" b="0"/>
            <wp:wrapTopAndBottom/>
            <wp:docPr id="16" name="Graf 1">
              <a:extLst xmlns:a="http://schemas.openxmlformats.org/drawingml/2006/main">
                <a:ext uri="{FF2B5EF4-FFF2-40B4-BE49-F238E27FC236}">
                  <a16:creationId xmlns:ve="http://schemas.openxmlformats.org/markup-compatibility/2006"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BC8AACD-CE14-47BB-A535-FE7E1FF8C4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CE5B91">
        <w:rPr>
          <w:noProof/>
        </w:rPr>
        <w:t>V následujícím grafu jsou uvedeny jednotlivé anomálie</w:t>
      </w:r>
      <w:r w:rsidR="00C600CE">
        <w:rPr>
          <w:noProof/>
        </w:rPr>
        <w:t xml:space="preserve"> podle zasažené fakturované vody na celkovém objemu fakturované vody analyzovaného trhu.</w:t>
      </w:r>
      <w:r w:rsidR="00CE5B91">
        <w:rPr>
          <w:noProof/>
        </w:rPr>
        <w:t xml:space="preserve"> </w:t>
      </w:r>
    </w:p>
    <w:p w14:paraId="56FF7F71" w14:textId="77777777" w:rsidR="00EA29C3" w:rsidRPr="00C62639" w:rsidRDefault="00EA29C3" w:rsidP="00EA29C3">
      <w:pPr>
        <w:pStyle w:val="Nadpis3"/>
        <w:rPr>
          <w:rFonts w:asciiTheme="minorHAnsi" w:hAnsiTheme="minorHAnsi"/>
          <w:noProof/>
        </w:rPr>
      </w:pPr>
      <w:bookmarkStart w:id="39" w:name="_Toc3292000"/>
      <w:r>
        <w:rPr>
          <w:rFonts w:asciiTheme="minorHAnsi" w:hAnsiTheme="minorHAnsi"/>
          <w:noProof/>
        </w:rPr>
        <w:lastRenderedPageBreak/>
        <w:t>N</w:t>
      </w:r>
      <w:r w:rsidRPr="00C62639">
        <w:rPr>
          <w:rFonts w:asciiTheme="minorHAnsi" w:hAnsiTheme="minorHAnsi"/>
          <w:noProof/>
        </w:rPr>
        <w:t>edostatečná tvorba prostředků na obnovu</w:t>
      </w:r>
      <w:bookmarkEnd w:id="39"/>
    </w:p>
    <w:p w14:paraId="22C8FA0E" w14:textId="77777777" w:rsidR="00AE0BB7" w:rsidRPr="00A92D50" w:rsidRDefault="00EA29C3" w:rsidP="00AE0BB7">
      <w:pPr>
        <w:pStyle w:val="NORMLN0"/>
      </w:pPr>
      <w:r w:rsidRPr="004E369D">
        <w:t xml:space="preserve">Jedním z významných údajů, které byly výsledkem provedené analýzy, je celkové množství chybějících prostředků na obnovu VIM pocházejících ze </w:t>
      </w:r>
      <w:r w:rsidR="00F421DF" w:rsidRPr="004E369D">
        <w:t>stočného</w:t>
      </w:r>
      <w:r w:rsidR="00F421DF">
        <w:t>. Tyto</w:t>
      </w:r>
      <w:r w:rsidRPr="004E369D">
        <w:t xml:space="preserve"> prostředky činily celkem </w:t>
      </w:r>
      <w:r w:rsidR="00C84282">
        <w:t>808,21</w:t>
      </w:r>
      <w:r w:rsidRPr="004E369D">
        <w:t xml:space="preserve"> mil. Kč. Celkové stočné činilo </w:t>
      </w:r>
      <w:r w:rsidR="00C84282">
        <w:t>16,8</w:t>
      </w:r>
      <w:r w:rsidRPr="004E369D">
        <w:t xml:space="preserve"> mld. Kč a mělo být o chybějící prostředky obnovy vyšší</w:t>
      </w:r>
      <w:r w:rsidR="00C84282">
        <w:t>, tedy 17,61 mil. Kč</w:t>
      </w:r>
      <w:r w:rsidR="00C600CE">
        <w:t xml:space="preserve"> </w:t>
      </w:r>
      <w:r w:rsidR="00C600CE" w:rsidRPr="004E369D">
        <w:t xml:space="preserve">(tj. o </w:t>
      </w:r>
      <w:r w:rsidR="00C600CE">
        <w:t>4,81</w:t>
      </w:r>
      <w:r w:rsidR="00C600CE" w:rsidRPr="004E369D">
        <w:t xml:space="preserve"> %)</w:t>
      </w:r>
      <w:r w:rsidRPr="004E369D">
        <w:t>.</w:t>
      </w:r>
      <w:r w:rsidR="00C84282">
        <w:t xml:space="preserve"> Jedná se o navýšení kalkulačních položek </w:t>
      </w:r>
      <w:r w:rsidR="00AE0BB7">
        <w:t>p</w:t>
      </w:r>
      <w:r w:rsidR="00C84282">
        <w:t>řím</w:t>
      </w:r>
      <w:r w:rsidR="00AE0BB7">
        <w:t>o</w:t>
      </w:r>
      <w:r w:rsidR="00C84282">
        <w:t xml:space="preserve"> </w:t>
      </w:r>
      <w:r w:rsidR="00AE0BB7">
        <w:t>ovlivňujících</w:t>
      </w:r>
      <w:r w:rsidR="00C84282">
        <w:t xml:space="preserve"> výši tvořených prostředků na obnovu (v závislosti </w:t>
      </w:r>
      <w:r w:rsidR="00AE0BB7">
        <w:t>na</w:t>
      </w:r>
      <w:r w:rsidR="00C84282">
        <w:t xml:space="preserve"> modelu provozování, vi</w:t>
      </w:r>
      <w:r w:rsidR="00C600CE">
        <w:t>z</w:t>
      </w:r>
      <w:r w:rsidR="00C84282">
        <w:t xml:space="preserve"> 3.2)</w:t>
      </w:r>
      <w:r w:rsidR="00AE0BB7">
        <w:t>. Na 1 m</w:t>
      </w:r>
      <w:r w:rsidR="00AE0BB7" w:rsidRPr="00A92D50">
        <w:rPr>
          <w:vertAlign w:val="superscript"/>
        </w:rPr>
        <w:t>3</w:t>
      </w:r>
      <w:r w:rsidR="00AE0BB7">
        <w:rPr>
          <w:vertAlign w:val="superscript"/>
        </w:rPr>
        <w:t xml:space="preserve"> </w:t>
      </w:r>
      <w:r w:rsidR="00AE0BB7">
        <w:t>fakturované vody podle analyzovaných Porovnání připadá přibližně 1,6 Kč chybějících prostředků na obnovu.</w:t>
      </w:r>
    </w:p>
    <w:p w14:paraId="132DA30F" w14:textId="77777777" w:rsidR="009F36D5" w:rsidRDefault="009F36D5" w:rsidP="00F421DF">
      <w:pPr>
        <w:pStyle w:val="NORMLN0"/>
      </w:pPr>
    </w:p>
    <w:p w14:paraId="58D54439" w14:textId="77777777" w:rsidR="009F36D5" w:rsidRDefault="00EA29C3" w:rsidP="00F421DF">
      <w:pPr>
        <w:pStyle w:val="NORMLN0"/>
      </w:pPr>
      <w:r>
        <w:t>Přehled výše chybějících prostředků na obnovu</w:t>
      </w:r>
      <w:r w:rsidR="00F421DF">
        <w:t xml:space="preserve"> v mil. Kč</w:t>
      </w:r>
      <w:r>
        <w:t xml:space="preserve"> v členění podle modelu provozování a jednotlivých skupin vlastníků je uveden v následující tabulce.</w:t>
      </w:r>
    </w:p>
    <w:p w14:paraId="08A72D61" w14:textId="77777777" w:rsidR="00EB07C8" w:rsidRDefault="005169A6" w:rsidP="00EA29C3">
      <w:pPr>
        <w:pStyle w:val="Normlnzprva"/>
      </w:pPr>
      <w:r>
        <w:rPr>
          <w:noProof/>
        </w:rPr>
        <w:object w:dxaOrig="1440" w:dyaOrig="1440" w14:anchorId="343D5E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20.05pt;margin-top:1pt;width:506.25pt;height:171.65pt;z-index:251669504">
            <v:imagedata r:id="rId26" o:title=""/>
            <w10:wrap type="topAndBottom"/>
          </v:shape>
          <o:OLEObject Type="Embed" ProgID="Excel.Sheet.12" ShapeID="_x0000_s1033" DrawAspect="Content" ObjectID="_1616393178" r:id="rId27"/>
        </w:object>
      </w:r>
    </w:p>
    <w:p w14:paraId="1084A095" w14:textId="32DE9E0E" w:rsidR="009F36D5" w:rsidRDefault="00754353" w:rsidP="00F421DF">
      <w:pPr>
        <w:pStyle w:val="NORMLN0"/>
      </w:pPr>
      <w:r>
        <w:t>Stejně jak</w:t>
      </w:r>
      <w:r w:rsidR="00AE0BB7">
        <w:t>o u</w:t>
      </w:r>
      <w:r>
        <w:t xml:space="preserve"> pitné vody problém z nedostatečnou </w:t>
      </w:r>
      <w:r w:rsidR="00476B5F">
        <w:t xml:space="preserve">tvorbou prostředků na obnovu nemají vlastníci z I. </w:t>
      </w:r>
      <w:r w:rsidR="00AE0BB7">
        <w:t>s</w:t>
      </w:r>
      <w:r w:rsidR="00476B5F">
        <w:t xml:space="preserve">kupiny. Nejvíce chybějících prostředků na obnovu </w:t>
      </w:r>
      <w:r w:rsidR="00F57E61">
        <w:t xml:space="preserve">(414,46 mil. Kč) </w:t>
      </w:r>
      <w:r w:rsidR="00476B5F">
        <w:t xml:space="preserve">vykazují vlastnické subjekty </w:t>
      </w:r>
      <w:r w:rsidR="002F61A3">
        <w:t xml:space="preserve">u 1 228 Porovnání </w:t>
      </w:r>
      <w:r w:rsidR="00476B5F">
        <w:t xml:space="preserve">ve IV. </w:t>
      </w:r>
      <w:r w:rsidR="002F61A3">
        <w:t xml:space="preserve">vlastnické skupině </w:t>
      </w:r>
      <w:r w:rsidR="00476B5F">
        <w:t>(</w:t>
      </w:r>
      <w:r w:rsidR="002F61A3">
        <w:t>90,63</w:t>
      </w:r>
      <w:r w:rsidR="00AE0BB7">
        <w:t xml:space="preserve"> </w:t>
      </w:r>
      <w:r w:rsidR="002F61A3">
        <w:t xml:space="preserve">% </w:t>
      </w:r>
      <w:r w:rsidR="00476B5F">
        <w:t>Porovnání</w:t>
      </w:r>
      <w:r w:rsidR="00AE0BB7">
        <w:t xml:space="preserve"> ve skupině) </w:t>
      </w:r>
      <w:r w:rsidR="00476B5F">
        <w:t xml:space="preserve">a </w:t>
      </w:r>
      <w:r w:rsidR="00F57E61">
        <w:t xml:space="preserve">podobná situace je i u vlastnických subjektů v </w:t>
      </w:r>
      <w:r w:rsidR="00476B5F">
        <w:t>III. vlastnické skupině</w:t>
      </w:r>
      <w:r w:rsidR="002F61A3">
        <w:t xml:space="preserve"> </w:t>
      </w:r>
      <w:r w:rsidR="00F57E61">
        <w:t xml:space="preserve">u 213 Porovnání </w:t>
      </w:r>
      <w:r w:rsidR="002F61A3">
        <w:t>(73,7</w:t>
      </w:r>
      <w:r w:rsidR="00AE0BB7">
        <w:t xml:space="preserve"> </w:t>
      </w:r>
      <w:r w:rsidR="002F61A3">
        <w:t>% Porovnání</w:t>
      </w:r>
      <w:r w:rsidR="00AE0BB7">
        <w:t xml:space="preserve"> ve skupině</w:t>
      </w:r>
      <w:r w:rsidR="002F61A3">
        <w:t>)</w:t>
      </w:r>
      <w:r w:rsidR="00F57E61">
        <w:t>, kde chybí 326,42 mil. Kč</w:t>
      </w:r>
      <w:r w:rsidR="00476B5F">
        <w:t xml:space="preserve">. </w:t>
      </w:r>
      <w:r w:rsidR="006E7775">
        <w:t xml:space="preserve">Vzhledem k faktu, že se anomálie v obou skupinách vyskytuje </w:t>
      </w:r>
      <w:r w:rsidR="00A13D5B">
        <w:t xml:space="preserve">u </w:t>
      </w:r>
      <w:r w:rsidR="006E7775">
        <w:t>vlastníků využívajících pro provozování oddílný model provozování, hlavní řešení problému bude spočívat zejména v lepším nasta</w:t>
      </w:r>
      <w:r w:rsidR="00050E3A">
        <w:t>vení obchodních vztahů mezi vlastníky a provozovateli</w:t>
      </w:r>
      <w:r w:rsidR="00C843F4">
        <w:t>. V celém souboru analyzovaných dat se naopak problematika ne</w:t>
      </w:r>
      <w:r w:rsidR="00AE0BB7">
        <w:t>d</w:t>
      </w:r>
      <w:r w:rsidR="00C843F4">
        <w:t>ost</w:t>
      </w:r>
      <w:r w:rsidR="00AE0BB7">
        <w:t>at</w:t>
      </w:r>
      <w:r w:rsidR="00C843F4">
        <w:t>ečné tvorby prostředků na obnovu týk</w:t>
      </w:r>
      <w:r w:rsidR="00AE0BB7">
        <w:t>á</w:t>
      </w:r>
      <w:r w:rsidR="00C843F4">
        <w:t xml:space="preserve"> zejména smíšeného modelu provozování </w:t>
      </w:r>
      <w:r w:rsidR="00AE0BB7">
        <w:t>(</w:t>
      </w:r>
      <w:r w:rsidR="00C843F4">
        <w:t>1 024 Porovnání, tj. 89,4</w:t>
      </w:r>
      <w:r w:rsidR="00AE0BB7">
        <w:t xml:space="preserve"> </w:t>
      </w:r>
      <w:r w:rsidR="00C843F4">
        <w:t>% Porovnání se smíšeným modelem provozování</w:t>
      </w:r>
      <w:r w:rsidR="00AE0BB7">
        <w:t>),</w:t>
      </w:r>
      <w:r w:rsidR="00C843F4">
        <w:t xml:space="preserve"> převažuje výskyt III., IV. a V. vlastnické skupině. </w:t>
      </w:r>
    </w:p>
    <w:p w14:paraId="4B112C66" w14:textId="30ACE4C3" w:rsidR="00BB3273" w:rsidRDefault="00BC6BC0" w:rsidP="00F421DF">
      <w:pPr>
        <w:pStyle w:val="NORMLN0"/>
      </w:pPr>
      <w:r w:rsidRPr="00BC6BC0">
        <w:t>O nastavení ceny pro stočné vypovíd</w:t>
      </w:r>
      <w:r w:rsidR="00081E54">
        <w:t>ají</w:t>
      </w:r>
      <w:r w:rsidRPr="00BC6BC0">
        <w:t xml:space="preserve"> i ukazatel</w:t>
      </w:r>
      <w:r w:rsidR="00A13D5B">
        <w:t>e</w:t>
      </w:r>
      <w:r w:rsidRPr="00BC6BC0">
        <w:t xml:space="preserve"> OKF a </w:t>
      </w:r>
      <w:r w:rsidR="00896CBE">
        <w:t>výše kal</w:t>
      </w:r>
      <w:r w:rsidR="00081E54">
        <w:t>kulačního zisku, které informují</w:t>
      </w:r>
      <w:r w:rsidR="00896CBE">
        <w:t xml:space="preserve"> o případné dotaci ceny a ztrátovosti provozu v daném roce.</w:t>
      </w:r>
      <w:r w:rsidRPr="00BC6BC0">
        <w:t xml:space="preserve"> </w:t>
      </w:r>
      <w:r w:rsidR="006A1B6B" w:rsidRPr="00BC6BC0">
        <w:t>Následující tabulka porovnává průměrné hodnoty ukazatelů OKF, ceny pro vodné a jednotkových nákladů u subjektů s dostatečnou tvorbou prostředků na obnovu a subjektů s nedostatečnou tvorbou prostředků na obnovu za jednotlivé vlastnické skupiny.</w:t>
      </w:r>
      <w:r w:rsidR="006A1B6B" w:rsidRPr="006A1B6B">
        <w:rPr>
          <w:color w:val="FF0000"/>
        </w:rPr>
        <w:t xml:space="preserve"> </w:t>
      </w:r>
      <w:r w:rsidR="006A1B6B" w:rsidRPr="00EA42F9">
        <w:t xml:space="preserve">Průměrná hodnota </w:t>
      </w:r>
      <w:r w:rsidR="00896CBE">
        <w:t>OKF</w:t>
      </w:r>
      <w:r w:rsidR="006A1B6B" w:rsidRPr="00EA42F9">
        <w:t xml:space="preserve"> u subjektů s nedostatečnou tvorbou prostředků na obnovu je pod 1 (od 0,</w:t>
      </w:r>
      <w:r w:rsidR="00EA42F9" w:rsidRPr="00EA42F9">
        <w:t xml:space="preserve">35 </w:t>
      </w:r>
      <w:r w:rsidR="006A1B6B" w:rsidRPr="00EA42F9">
        <w:t>po 0,75)</w:t>
      </w:r>
      <w:r w:rsidR="00896CBE">
        <w:t>, což</w:t>
      </w:r>
      <w:r w:rsidR="006A1B6B" w:rsidRPr="00EA42F9">
        <w:t xml:space="preserve"> upozorňuje na </w:t>
      </w:r>
      <w:r w:rsidR="00896CBE">
        <w:t>skutečnost, že cena nepokrývá jednotkové ÚVN a minimální teoretickou výši prostředků na obnovu. U</w:t>
      </w:r>
      <w:r w:rsidR="00EA42F9" w:rsidRPr="00EA42F9">
        <w:t xml:space="preserve"> všech dotčených vlastnických skupin je </w:t>
      </w:r>
      <w:r w:rsidR="006A1B6B" w:rsidRPr="00EA42F9">
        <w:t xml:space="preserve">průměrná hodnota ceny pro </w:t>
      </w:r>
      <w:r w:rsidR="00EA42F9" w:rsidRPr="00EA42F9">
        <w:t xml:space="preserve">stočné </w:t>
      </w:r>
      <w:r w:rsidR="006A1B6B" w:rsidRPr="00EA42F9">
        <w:t xml:space="preserve">nižší než průměrná hodnota jednotkových </w:t>
      </w:r>
      <w:r w:rsidR="00896CBE">
        <w:t>ÚVN</w:t>
      </w:r>
      <w:r w:rsidR="006A1B6B" w:rsidRPr="00EA42F9">
        <w:t xml:space="preserve">. </w:t>
      </w:r>
      <w:r w:rsidR="007D1204">
        <w:t>P</w:t>
      </w:r>
      <w:r w:rsidR="00BB3273">
        <w:t xml:space="preserve">okud by měla cena pro stočné obsahovat i </w:t>
      </w:r>
      <w:r w:rsidR="00BB3273">
        <w:lastRenderedPageBreak/>
        <w:t>minimální výš</w:t>
      </w:r>
      <w:r w:rsidR="007D1204">
        <w:t>i</w:t>
      </w:r>
      <w:r w:rsidR="00BB3273">
        <w:t xml:space="preserve"> prostředků na obnovu, v průměru by nejvíce narostla u Porovnání</w:t>
      </w:r>
      <w:r w:rsidR="00BC03D3">
        <w:t xml:space="preserve"> </w:t>
      </w:r>
      <w:r w:rsidR="00BB3273">
        <w:t xml:space="preserve">III. vlastnické skupiny. </w:t>
      </w:r>
    </w:p>
    <w:p w14:paraId="6CE12EB3" w14:textId="40D831F6" w:rsidR="009F36D5" w:rsidRDefault="006A1B6B" w:rsidP="00F421DF">
      <w:pPr>
        <w:pStyle w:val="NORMLN0"/>
      </w:pPr>
      <w:r w:rsidRPr="00EA42F9">
        <w:t>Naproti tomu v případě subjektů s dostatečnou tvorbou prostředků na obnovu je průměrná hodnota OKF v jednotlivých skupinách vyšší než 1</w:t>
      </w:r>
      <w:r w:rsidR="00EA42F9" w:rsidRPr="00EA42F9">
        <w:t xml:space="preserve"> (1,0</w:t>
      </w:r>
      <w:r w:rsidR="002A584D">
        <w:t>0</w:t>
      </w:r>
      <w:r w:rsidR="00EA42F9" w:rsidRPr="00EA42F9">
        <w:t xml:space="preserve"> až 1,15)</w:t>
      </w:r>
      <w:r w:rsidRPr="00EA42F9">
        <w:t xml:space="preserve">, tj. tržby </w:t>
      </w:r>
      <w:r w:rsidR="00EA42F9" w:rsidRPr="00EA42F9">
        <w:t xml:space="preserve">ze stočného </w:t>
      </w:r>
      <w:r w:rsidRPr="00EA42F9">
        <w:t xml:space="preserve">v roce 2017 pokrývaly </w:t>
      </w:r>
      <w:r w:rsidR="00EA42F9" w:rsidRPr="00EA42F9">
        <w:t xml:space="preserve">ÚVN a </w:t>
      </w:r>
      <w:r w:rsidRPr="00EA42F9">
        <w:t xml:space="preserve">potřebnou výši prostředků na obnovu. </w:t>
      </w:r>
    </w:p>
    <w:tbl>
      <w:tblPr>
        <w:tblW w:w="4981" w:type="pct"/>
        <w:tblCellMar>
          <w:left w:w="70" w:type="dxa"/>
          <w:right w:w="70" w:type="dxa"/>
        </w:tblCellMar>
        <w:tblLook w:val="04A0" w:firstRow="1" w:lastRow="0" w:firstColumn="1" w:lastColumn="0" w:noHBand="0" w:noVBand="1"/>
      </w:tblPr>
      <w:tblGrid>
        <w:gridCol w:w="2411"/>
        <w:gridCol w:w="992"/>
        <w:gridCol w:w="992"/>
        <w:gridCol w:w="1135"/>
        <w:gridCol w:w="1560"/>
        <w:gridCol w:w="1946"/>
      </w:tblGrid>
      <w:tr w:rsidR="0074096B" w:rsidRPr="005914A5" w14:paraId="704926AD" w14:textId="77777777" w:rsidTr="0074096B">
        <w:trPr>
          <w:trHeight w:val="562"/>
        </w:trPr>
        <w:tc>
          <w:tcPr>
            <w:tcW w:w="5000" w:type="pct"/>
            <w:gridSpan w:val="6"/>
            <w:tcBorders>
              <w:top w:val="nil"/>
              <w:left w:val="nil"/>
              <w:bottom w:val="nil"/>
              <w:right w:val="nil"/>
            </w:tcBorders>
            <w:shd w:val="clear" w:color="auto" w:fill="FAC294"/>
            <w:noWrap/>
            <w:vAlign w:val="center"/>
            <w:hideMark/>
          </w:tcPr>
          <w:p w14:paraId="15C98D94" w14:textId="77777777" w:rsidR="0074096B" w:rsidRPr="0074096B" w:rsidRDefault="0074096B" w:rsidP="0074096B">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74096B">
              <w:rPr>
                <w:rFonts w:asciiTheme="majorHAnsi" w:eastAsia="Times New Roman" w:hAnsiTheme="majorHAnsi"/>
                <w:b/>
                <w:bCs/>
                <w:color w:val="FFFFFF" w:themeColor="background1"/>
                <w:sz w:val="20"/>
                <w:szCs w:val="20"/>
                <w:lang w:eastAsia="cs-CZ"/>
              </w:rPr>
              <w:t>DOSTATEČNÁ MINIMÁLNÍ TVORBA</w:t>
            </w:r>
          </w:p>
        </w:tc>
      </w:tr>
      <w:tr w:rsidR="0074096B" w:rsidRPr="005914A5" w14:paraId="27F397DC" w14:textId="77777777" w:rsidTr="00807229">
        <w:trPr>
          <w:trHeight w:val="2056"/>
        </w:trPr>
        <w:tc>
          <w:tcPr>
            <w:tcW w:w="1334" w:type="pct"/>
            <w:tcBorders>
              <w:top w:val="nil"/>
              <w:left w:val="nil"/>
              <w:bottom w:val="single" w:sz="4" w:space="0" w:color="95B3D7"/>
              <w:right w:val="single" w:sz="4" w:space="0" w:color="FFFFFF"/>
            </w:tcBorders>
            <w:shd w:val="clear" w:color="F79646" w:fill="F79646"/>
            <w:noWrap/>
            <w:vAlign w:val="center"/>
            <w:hideMark/>
          </w:tcPr>
          <w:p w14:paraId="415DB8BA" w14:textId="77777777" w:rsidR="0074096B" w:rsidRPr="0074096B" w:rsidRDefault="0074096B" w:rsidP="0074096B">
            <w:pPr>
              <w:spacing w:before="0" w:after="0"/>
              <w:ind w:left="113" w:right="113"/>
              <w:contextualSpacing w:val="0"/>
              <w:jc w:val="left"/>
              <w:rPr>
                <w:rFonts w:asciiTheme="majorHAnsi" w:eastAsia="Times New Roman" w:hAnsiTheme="majorHAnsi"/>
                <w:b/>
                <w:bCs/>
                <w:color w:val="FFFFFF" w:themeColor="background1"/>
                <w:sz w:val="20"/>
                <w:szCs w:val="20"/>
                <w:lang w:eastAsia="cs-CZ"/>
              </w:rPr>
            </w:pPr>
            <w:r w:rsidRPr="0074096B">
              <w:rPr>
                <w:rFonts w:asciiTheme="majorHAnsi" w:eastAsia="Times New Roman" w:hAnsiTheme="majorHAnsi"/>
                <w:b/>
                <w:bCs/>
                <w:color w:val="FFFFFF" w:themeColor="background1"/>
                <w:sz w:val="20"/>
                <w:szCs w:val="20"/>
                <w:lang w:eastAsia="cs-CZ"/>
              </w:rPr>
              <w:t>SKUPINA VLASTNÍKŮ</w:t>
            </w:r>
          </w:p>
        </w:tc>
        <w:tc>
          <w:tcPr>
            <w:tcW w:w="549" w:type="pct"/>
            <w:tcBorders>
              <w:top w:val="nil"/>
              <w:left w:val="nil"/>
              <w:bottom w:val="single" w:sz="4" w:space="0" w:color="95B3D7"/>
              <w:right w:val="single" w:sz="4" w:space="0" w:color="FFFFFF"/>
            </w:tcBorders>
            <w:shd w:val="clear" w:color="F79646" w:fill="F79646"/>
            <w:textDirection w:val="btLr"/>
            <w:vAlign w:val="center"/>
            <w:hideMark/>
          </w:tcPr>
          <w:p w14:paraId="43849767" w14:textId="77777777" w:rsidR="0074096B" w:rsidRPr="0074096B" w:rsidRDefault="0074096B" w:rsidP="00807229">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74096B">
              <w:rPr>
                <w:rFonts w:asciiTheme="majorHAnsi" w:eastAsia="Times New Roman" w:hAnsiTheme="majorHAnsi"/>
                <w:b/>
                <w:bCs/>
                <w:color w:val="FFFFFF" w:themeColor="background1"/>
                <w:sz w:val="20"/>
                <w:szCs w:val="20"/>
                <w:lang w:eastAsia="cs-CZ"/>
              </w:rPr>
              <w:t>POČET POROVNÁNÍ</w:t>
            </w:r>
          </w:p>
        </w:tc>
        <w:tc>
          <w:tcPr>
            <w:tcW w:w="549" w:type="pct"/>
            <w:tcBorders>
              <w:top w:val="nil"/>
              <w:left w:val="nil"/>
              <w:bottom w:val="single" w:sz="4" w:space="0" w:color="95B3D7"/>
              <w:right w:val="single" w:sz="4" w:space="0" w:color="FFFFFF"/>
            </w:tcBorders>
            <w:shd w:val="clear" w:color="F79646" w:fill="F79646"/>
            <w:textDirection w:val="btLr"/>
            <w:vAlign w:val="center"/>
            <w:hideMark/>
          </w:tcPr>
          <w:p w14:paraId="50B13078" w14:textId="77777777" w:rsidR="0074096B" w:rsidRPr="0074096B" w:rsidRDefault="0074096B" w:rsidP="00807229">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74096B">
              <w:rPr>
                <w:rFonts w:asciiTheme="majorHAnsi" w:eastAsia="Times New Roman" w:hAnsiTheme="majorHAnsi"/>
                <w:b/>
                <w:bCs/>
                <w:color w:val="FFFFFF" w:themeColor="background1"/>
                <w:sz w:val="20"/>
                <w:szCs w:val="20"/>
                <w:lang w:eastAsia="cs-CZ"/>
              </w:rPr>
              <w:t>PRŮMĚRNÁ HODNOTA OKF</w:t>
            </w:r>
          </w:p>
        </w:tc>
        <w:tc>
          <w:tcPr>
            <w:tcW w:w="628" w:type="pct"/>
            <w:tcBorders>
              <w:top w:val="nil"/>
              <w:left w:val="nil"/>
              <w:bottom w:val="single" w:sz="4" w:space="0" w:color="95B3D7"/>
              <w:right w:val="single" w:sz="4" w:space="0" w:color="FFFFFF"/>
            </w:tcBorders>
            <w:shd w:val="clear" w:color="F79646" w:fill="F79646"/>
            <w:textDirection w:val="btLr"/>
            <w:vAlign w:val="center"/>
            <w:hideMark/>
          </w:tcPr>
          <w:p w14:paraId="389D5492" w14:textId="77777777" w:rsidR="0074096B" w:rsidRPr="0074096B" w:rsidRDefault="0074096B" w:rsidP="00807229">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74096B">
              <w:rPr>
                <w:rFonts w:asciiTheme="majorHAnsi" w:eastAsia="Times New Roman" w:hAnsiTheme="majorHAnsi"/>
                <w:b/>
                <w:bCs/>
                <w:color w:val="FFFFFF" w:themeColor="background1"/>
                <w:sz w:val="20"/>
                <w:szCs w:val="20"/>
                <w:lang w:eastAsia="cs-CZ"/>
              </w:rPr>
              <w:t>PRŮMĚRNÁ CENA PRO STOČNÉ (KČ/M3)</w:t>
            </w:r>
          </w:p>
        </w:tc>
        <w:tc>
          <w:tcPr>
            <w:tcW w:w="863" w:type="pct"/>
            <w:tcBorders>
              <w:top w:val="nil"/>
              <w:left w:val="nil"/>
              <w:bottom w:val="single" w:sz="4" w:space="0" w:color="95B3D7"/>
              <w:right w:val="single" w:sz="4" w:space="0" w:color="FFFFFF"/>
            </w:tcBorders>
            <w:shd w:val="clear" w:color="F79646" w:fill="F79646"/>
            <w:textDirection w:val="btLr"/>
            <w:vAlign w:val="center"/>
            <w:hideMark/>
          </w:tcPr>
          <w:p w14:paraId="06C22AE0" w14:textId="77777777" w:rsidR="0074096B" w:rsidRPr="0074096B" w:rsidRDefault="0074096B" w:rsidP="00807229">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74096B">
              <w:rPr>
                <w:rFonts w:asciiTheme="majorHAnsi" w:eastAsia="Times New Roman" w:hAnsiTheme="majorHAnsi"/>
                <w:b/>
                <w:bCs/>
                <w:color w:val="FFFFFF" w:themeColor="background1"/>
                <w:sz w:val="20"/>
                <w:szCs w:val="20"/>
                <w:lang w:eastAsia="cs-CZ"/>
              </w:rPr>
              <w:t>PRŮMĚRNÁ HODNOTA JEDNOTKOVÝCH NÁKLADŮ (KČ/M3)</w:t>
            </w:r>
          </w:p>
        </w:tc>
        <w:tc>
          <w:tcPr>
            <w:tcW w:w="1077" w:type="pct"/>
            <w:tcBorders>
              <w:top w:val="nil"/>
              <w:left w:val="nil"/>
              <w:bottom w:val="single" w:sz="4" w:space="0" w:color="95B3D7"/>
              <w:right w:val="single" w:sz="4" w:space="0" w:color="FFFFFF"/>
            </w:tcBorders>
            <w:shd w:val="clear" w:color="F79646" w:fill="F79646"/>
            <w:textDirection w:val="btLr"/>
            <w:vAlign w:val="center"/>
          </w:tcPr>
          <w:p w14:paraId="61F391F0" w14:textId="77777777" w:rsidR="0074096B" w:rsidRPr="000A02AF" w:rsidRDefault="0074096B" w:rsidP="00807229">
            <w:pPr>
              <w:spacing w:before="0" w:after="0"/>
              <w:ind w:left="113" w:right="113"/>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VÝŠE TEORETICKÉ CENY PRO PLNĚNÍ OBNOVY PŘI NULOVÉM ZISKU (KČ/M3)</w:t>
            </w:r>
          </w:p>
          <w:p w14:paraId="583297BA" w14:textId="77777777" w:rsidR="0074096B" w:rsidRPr="005914A5" w:rsidRDefault="0074096B" w:rsidP="00807229">
            <w:pPr>
              <w:spacing w:before="0" w:after="0"/>
              <w:contextualSpacing w:val="0"/>
              <w:jc w:val="center"/>
              <w:rPr>
                <w:rFonts w:asciiTheme="majorHAnsi" w:eastAsia="Times New Roman" w:hAnsiTheme="majorHAnsi"/>
                <w:b/>
                <w:bCs/>
                <w:sz w:val="18"/>
                <w:szCs w:val="20"/>
                <w:lang w:eastAsia="cs-CZ"/>
              </w:rPr>
            </w:pPr>
          </w:p>
        </w:tc>
      </w:tr>
      <w:tr w:rsidR="00807229" w:rsidRPr="005914A5" w14:paraId="4E08D37B" w14:textId="77777777" w:rsidTr="0074096B">
        <w:trPr>
          <w:trHeight w:val="300"/>
        </w:trPr>
        <w:tc>
          <w:tcPr>
            <w:tcW w:w="1334" w:type="pct"/>
            <w:tcBorders>
              <w:top w:val="nil"/>
              <w:left w:val="nil"/>
              <w:bottom w:val="single" w:sz="4" w:space="0" w:color="95B3D7"/>
              <w:right w:val="single" w:sz="4" w:space="0" w:color="FFFFFF"/>
            </w:tcBorders>
            <w:shd w:val="clear" w:color="FCD5B4" w:fill="FCD5B4"/>
            <w:noWrap/>
            <w:vAlign w:val="bottom"/>
            <w:hideMark/>
          </w:tcPr>
          <w:p w14:paraId="47158BDE" w14:textId="77777777" w:rsidR="00807229" w:rsidRPr="005914A5" w:rsidRDefault="00807229" w:rsidP="00807229">
            <w:pPr>
              <w:spacing w:before="0" w:after="0"/>
              <w:contextualSpacing w:val="0"/>
              <w:jc w:val="left"/>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I.SKUPINA (&gt;10 000 MIL.KČ)</w:t>
            </w:r>
          </w:p>
        </w:tc>
        <w:tc>
          <w:tcPr>
            <w:tcW w:w="549" w:type="pct"/>
            <w:tcBorders>
              <w:top w:val="nil"/>
              <w:left w:val="nil"/>
              <w:bottom w:val="single" w:sz="4" w:space="0" w:color="95B3D7"/>
              <w:right w:val="single" w:sz="4" w:space="0" w:color="FFFFFF"/>
            </w:tcBorders>
            <w:shd w:val="clear" w:color="FCD5B4" w:fill="FCD5B4"/>
            <w:noWrap/>
            <w:vAlign w:val="bottom"/>
            <w:hideMark/>
          </w:tcPr>
          <w:p w14:paraId="20A39F4A"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5</w:t>
            </w:r>
          </w:p>
        </w:tc>
        <w:tc>
          <w:tcPr>
            <w:tcW w:w="549" w:type="pct"/>
            <w:tcBorders>
              <w:top w:val="nil"/>
              <w:left w:val="nil"/>
              <w:bottom w:val="single" w:sz="4" w:space="0" w:color="95B3D7"/>
              <w:right w:val="single" w:sz="4" w:space="0" w:color="FFFFFF"/>
            </w:tcBorders>
            <w:shd w:val="clear" w:color="FCD5B4" w:fill="FCD5B4"/>
            <w:noWrap/>
            <w:vAlign w:val="bottom"/>
            <w:hideMark/>
          </w:tcPr>
          <w:p w14:paraId="402292FA"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1,15</w:t>
            </w:r>
          </w:p>
        </w:tc>
        <w:tc>
          <w:tcPr>
            <w:tcW w:w="628" w:type="pct"/>
            <w:tcBorders>
              <w:top w:val="nil"/>
              <w:left w:val="nil"/>
              <w:bottom w:val="single" w:sz="4" w:space="0" w:color="95B3D7"/>
              <w:right w:val="single" w:sz="4" w:space="0" w:color="FFFFFF"/>
            </w:tcBorders>
            <w:shd w:val="clear" w:color="FCD5B4" w:fill="FCD5B4"/>
            <w:noWrap/>
            <w:vAlign w:val="bottom"/>
            <w:hideMark/>
          </w:tcPr>
          <w:p w14:paraId="096D6A66"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35,23</w:t>
            </w:r>
          </w:p>
        </w:tc>
        <w:tc>
          <w:tcPr>
            <w:tcW w:w="863" w:type="pct"/>
            <w:tcBorders>
              <w:top w:val="nil"/>
              <w:left w:val="nil"/>
              <w:bottom w:val="single" w:sz="4" w:space="0" w:color="95B3D7"/>
              <w:right w:val="single" w:sz="4" w:space="0" w:color="FFFFFF"/>
            </w:tcBorders>
            <w:shd w:val="clear" w:color="FCD5B4" w:fill="FCD5B4"/>
            <w:noWrap/>
            <w:vAlign w:val="bottom"/>
            <w:hideMark/>
          </w:tcPr>
          <w:p w14:paraId="45977BE8"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30,74</w:t>
            </w:r>
          </w:p>
        </w:tc>
        <w:tc>
          <w:tcPr>
            <w:tcW w:w="1077" w:type="pct"/>
            <w:tcBorders>
              <w:top w:val="nil"/>
              <w:left w:val="nil"/>
              <w:bottom w:val="single" w:sz="4" w:space="0" w:color="95B3D7"/>
              <w:right w:val="single" w:sz="4" w:space="0" w:color="FFFFFF"/>
            </w:tcBorders>
            <w:shd w:val="clear" w:color="FCD5B4" w:fill="FCD5B4"/>
          </w:tcPr>
          <w:p w14:paraId="5F795D9A"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30,74</w:t>
            </w:r>
          </w:p>
        </w:tc>
      </w:tr>
      <w:tr w:rsidR="00807229" w:rsidRPr="005914A5" w14:paraId="5302E871" w14:textId="77777777" w:rsidTr="0074096B">
        <w:trPr>
          <w:trHeight w:val="300"/>
        </w:trPr>
        <w:tc>
          <w:tcPr>
            <w:tcW w:w="1334" w:type="pct"/>
            <w:tcBorders>
              <w:top w:val="nil"/>
              <w:left w:val="nil"/>
              <w:bottom w:val="single" w:sz="4" w:space="0" w:color="95B3D7"/>
              <w:right w:val="single" w:sz="4" w:space="0" w:color="FFFFFF"/>
            </w:tcBorders>
            <w:shd w:val="clear" w:color="FDE9D9" w:fill="FDE9D9"/>
            <w:noWrap/>
            <w:vAlign w:val="bottom"/>
            <w:hideMark/>
          </w:tcPr>
          <w:p w14:paraId="43A5FD29" w14:textId="77777777" w:rsidR="00807229" w:rsidRPr="005914A5" w:rsidRDefault="00807229" w:rsidP="00807229">
            <w:pPr>
              <w:spacing w:before="0" w:after="0"/>
              <w:contextualSpacing w:val="0"/>
              <w:jc w:val="left"/>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II.SKUPINA (&gt;1 000 MIL.KČ)</w:t>
            </w:r>
          </w:p>
        </w:tc>
        <w:tc>
          <w:tcPr>
            <w:tcW w:w="549" w:type="pct"/>
            <w:tcBorders>
              <w:top w:val="nil"/>
              <w:left w:val="nil"/>
              <w:bottom w:val="single" w:sz="4" w:space="0" w:color="95B3D7"/>
              <w:right w:val="single" w:sz="4" w:space="0" w:color="FFFFFF"/>
            </w:tcBorders>
            <w:shd w:val="clear" w:color="FDE9D9" w:fill="FDE9D9"/>
            <w:noWrap/>
            <w:vAlign w:val="bottom"/>
            <w:hideMark/>
          </w:tcPr>
          <w:p w14:paraId="51EDE1D0"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42</w:t>
            </w:r>
          </w:p>
        </w:tc>
        <w:tc>
          <w:tcPr>
            <w:tcW w:w="549" w:type="pct"/>
            <w:tcBorders>
              <w:top w:val="nil"/>
              <w:left w:val="nil"/>
              <w:bottom w:val="single" w:sz="4" w:space="0" w:color="95B3D7"/>
              <w:right w:val="single" w:sz="4" w:space="0" w:color="FFFFFF"/>
            </w:tcBorders>
            <w:shd w:val="clear" w:color="FDE9D9" w:fill="FDE9D9"/>
            <w:noWrap/>
            <w:vAlign w:val="bottom"/>
            <w:hideMark/>
          </w:tcPr>
          <w:p w14:paraId="2DFCD330"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1,11</w:t>
            </w:r>
          </w:p>
        </w:tc>
        <w:tc>
          <w:tcPr>
            <w:tcW w:w="628" w:type="pct"/>
            <w:tcBorders>
              <w:top w:val="nil"/>
              <w:left w:val="nil"/>
              <w:bottom w:val="single" w:sz="4" w:space="0" w:color="95B3D7"/>
              <w:right w:val="single" w:sz="4" w:space="0" w:color="FFFFFF"/>
            </w:tcBorders>
            <w:shd w:val="clear" w:color="FDE9D9" w:fill="FDE9D9"/>
            <w:noWrap/>
            <w:vAlign w:val="bottom"/>
            <w:hideMark/>
          </w:tcPr>
          <w:p w14:paraId="573E9E1F"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35,29</w:t>
            </w:r>
          </w:p>
        </w:tc>
        <w:tc>
          <w:tcPr>
            <w:tcW w:w="863" w:type="pct"/>
            <w:tcBorders>
              <w:top w:val="nil"/>
              <w:left w:val="nil"/>
              <w:bottom w:val="single" w:sz="4" w:space="0" w:color="95B3D7"/>
              <w:right w:val="single" w:sz="4" w:space="0" w:color="FFFFFF"/>
            </w:tcBorders>
            <w:shd w:val="clear" w:color="FDE9D9" w:fill="FDE9D9"/>
            <w:noWrap/>
            <w:vAlign w:val="bottom"/>
            <w:hideMark/>
          </w:tcPr>
          <w:p w14:paraId="1844E242"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32,02</w:t>
            </w:r>
          </w:p>
        </w:tc>
        <w:tc>
          <w:tcPr>
            <w:tcW w:w="1077" w:type="pct"/>
            <w:tcBorders>
              <w:top w:val="nil"/>
              <w:left w:val="nil"/>
              <w:bottom w:val="single" w:sz="4" w:space="0" w:color="95B3D7"/>
              <w:right w:val="single" w:sz="4" w:space="0" w:color="FFFFFF"/>
            </w:tcBorders>
            <w:shd w:val="clear" w:color="FDE9D9" w:fill="FDE9D9"/>
          </w:tcPr>
          <w:p w14:paraId="25A8AD09"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32,08</w:t>
            </w:r>
          </w:p>
        </w:tc>
      </w:tr>
      <w:tr w:rsidR="00807229" w:rsidRPr="005914A5" w14:paraId="01109212" w14:textId="77777777" w:rsidTr="0074096B">
        <w:trPr>
          <w:trHeight w:val="300"/>
        </w:trPr>
        <w:tc>
          <w:tcPr>
            <w:tcW w:w="1334" w:type="pct"/>
            <w:tcBorders>
              <w:top w:val="nil"/>
              <w:left w:val="nil"/>
              <w:bottom w:val="single" w:sz="4" w:space="0" w:color="95B3D7"/>
              <w:right w:val="single" w:sz="4" w:space="0" w:color="FFFFFF"/>
            </w:tcBorders>
            <w:shd w:val="clear" w:color="FCD5B4" w:fill="FCD5B4"/>
            <w:noWrap/>
            <w:vAlign w:val="bottom"/>
            <w:hideMark/>
          </w:tcPr>
          <w:p w14:paraId="319C1D67" w14:textId="77777777" w:rsidR="00807229" w:rsidRPr="005914A5" w:rsidRDefault="00807229" w:rsidP="00807229">
            <w:pPr>
              <w:spacing w:before="0" w:after="0"/>
              <w:contextualSpacing w:val="0"/>
              <w:jc w:val="left"/>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III.SKUPINA (&gt;100 MIL.KČ)</w:t>
            </w:r>
          </w:p>
        </w:tc>
        <w:tc>
          <w:tcPr>
            <w:tcW w:w="549" w:type="pct"/>
            <w:tcBorders>
              <w:top w:val="nil"/>
              <w:left w:val="nil"/>
              <w:bottom w:val="single" w:sz="4" w:space="0" w:color="95B3D7"/>
              <w:right w:val="single" w:sz="4" w:space="0" w:color="FFFFFF"/>
            </w:tcBorders>
            <w:shd w:val="clear" w:color="FCD5B4" w:fill="FCD5B4"/>
            <w:noWrap/>
            <w:vAlign w:val="bottom"/>
            <w:hideMark/>
          </w:tcPr>
          <w:p w14:paraId="4D20D6E7"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76</w:t>
            </w:r>
          </w:p>
        </w:tc>
        <w:tc>
          <w:tcPr>
            <w:tcW w:w="549" w:type="pct"/>
            <w:tcBorders>
              <w:top w:val="nil"/>
              <w:left w:val="nil"/>
              <w:bottom w:val="single" w:sz="4" w:space="0" w:color="95B3D7"/>
              <w:right w:val="single" w:sz="4" w:space="0" w:color="FFFFFF"/>
            </w:tcBorders>
            <w:shd w:val="clear" w:color="FCD5B4" w:fill="FCD5B4"/>
            <w:noWrap/>
            <w:vAlign w:val="bottom"/>
            <w:hideMark/>
          </w:tcPr>
          <w:p w14:paraId="7FE137A0"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1,05</w:t>
            </w:r>
          </w:p>
        </w:tc>
        <w:tc>
          <w:tcPr>
            <w:tcW w:w="628" w:type="pct"/>
            <w:tcBorders>
              <w:top w:val="nil"/>
              <w:left w:val="nil"/>
              <w:bottom w:val="single" w:sz="4" w:space="0" w:color="95B3D7"/>
              <w:right w:val="single" w:sz="4" w:space="0" w:color="FFFFFF"/>
            </w:tcBorders>
            <w:shd w:val="clear" w:color="FCD5B4" w:fill="FCD5B4"/>
            <w:noWrap/>
            <w:vAlign w:val="bottom"/>
            <w:hideMark/>
          </w:tcPr>
          <w:p w14:paraId="7E2001E9"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33,77</w:t>
            </w:r>
          </w:p>
        </w:tc>
        <w:tc>
          <w:tcPr>
            <w:tcW w:w="863" w:type="pct"/>
            <w:tcBorders>
              <w:top w:val="nil"/>
              <w:left w:val="nil"/>
              <w:bottom w:val="single" w:sz="4" w:space="0" w:color="95B3D7"/>
              <w:right w:val="single" w:sz="4" w:space="0" w:color="FFFFFF"/>
            </w:tcBorders>
            <w:shd w:val="clear" w:color="FCD5B4" w:fill="FCD5B4"/>
            <w:noWrap/>
            <w:vAlign w:val="bottom"/>
            <w:hideMark/>
          </w:tcPr>
          <w:p w14:paraId="2CF6538A" w14:textId="79D6B299" w:rsidR="00807229" w:rsidRPr="005914A5" w:rsidRDefault="00D90B19" w:rsidP="00807229">
            <w:pPr>
              <w:spacing w:before="0" w:after="0"/>
              <w:contextualSpacing w:val="0"/>
              <w:jc w:val="center"/>
              <w:rPr>
                <w:rFonts w:asciiTheme="majorHAnsi" w:eastAsia="Times New Roman" w:hAnsiTheme="majorHAnsi"/>
                <w:color w:val="000000"/>
                <w:sz w:val="20"/>
                <w:szCs w:val="20"/>
                <w:lang w:eastAsia="cs-CZ"/>
              </w:rPr>
            </w:pPr>
            <w:r>
              <w:rPr>
                <w:rFonts w:asciiTheme="majorHAnsi" w:eastAsia="Times New Roman" w:hAnsiTheme="majorHAnsi"/>
                <w:color w:val="000000"/>
                <w:sz w:val="20"/>
                <w:szCs w:val="20"/>
                <w:lang w:eastAsia="cs-CZ"/>
              </w:rPr>
              <w:t>3</w:t>
            </w:r>
            <w:r w:rsidR="00807229" w:rsidRPr="005914A5">
              <w:rPr>
                <w:rFonts w:asciiTheme="majorHAnsi" w:eastAsia="Times New Roman" w:hAnsiTheme="majorHAnsi"/>
                <w:color w:val="000000"/>
                <w:sz w:val="20"/>
                <w:szCs w:val="20"/>
                <w:lang w:eastAsia="cs-CZ"/>
              </w:rPr>
              <w:t>2,27</w:t>
            </w:r>
          </w:p>
        </w:tc>
        <w:tc>
          <w:tcPr>
            <w:tcW w:w="1077" w:type="pct"/>
            <w:tcBorders>
              <w:top w:val="nil"/>
              <w:left w:val="nil"/>
              <w:bottom w:val="single" w:sz="4" w:space="0" w:color="95B3D7"/>
              <w:right w:val="single" w:sz="4" w:space="0" w:color="FFFFFF"/>
            </w:tcBorders>
            <w:shd w:val="clear" w:color="FCD5B4" w:fill="FCD5B4"/>
          </w:tcPr>
          <w:p w14:paraId="00EF8D68"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32,27</w:t>
            </w:r>
          </w:p>
        </w:tc>
      </w:tr>
      <w:tr w:rsidR="00807229" w:rsidRPr="005914A5" w14:paraId="19C8DC82" w14:textId="77777777" w:rsidTr="0074096B">
        <w:trPr>
          <w:trHeight w:val="300"/>
        </w:trPr>
        <w:tc>
          <w:tcPr>
            <w:tcW w:w="1334" w:type="pct"/>
            <w:tcBorders>
              <w:top w:val="nil"/>
              <w:left w:val="nil"/>
              <w:bottom w:val="single" w:sz="4" w:space="0" w:color="95B3D7"/>
              <w:right w:val="single" w:sz="4" w:space="0" w:color="FFFFFF"/>
            </w:tcBorders>
            <w:shd w:val="clear" w:color="FDE9D9" w:fill="FDE9D9"/>
            <w:noWrap/>
            <w:vAlign w:val="bottom"/>
            <w:hideMark/>
          </w:tcPr>
          <w:p w14:paraId="73C0745C" w14:textId="77777777" w:rsidR="00807229" w:rsidRPr="005914A5" w:rsidRDefault="00807229" w:rsidP="00807229">
            <w:pPr>
              <w:spacing w:before="0" w:after="0"/>
              <w:contextualSpacing w:val="0"/>
              <w:jc w:val="left"/>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IV.SKUPINA (&gt;10 MIL.KČ)</w:t>
            </w:r>
          </w:p>
        </w:tc>
        <w:tc>
          <w:tcPr>
            <w:tcW w:w="549" w:type="pct"/>
            <w:tcBorders>
              <w:top w:val="nil"/>
              <w:left w:val="nil"/>
              <w:bottom w:val="single" w:sz="4" w:space="0" w:color="95B3D7"/>
              <w:right w:val="single" w:sz="4" w:space="0" w:color="FFFFFF"/>
            </w:tcBorders>
            <w:shd w:val="clear" w:color="FDE9D9" w:fill="FDE9D9"/>
            <w:noWrap/>
            <w:vAlign w:val="bottom"/>
            <w:hideMark/>
          </w:tcPr>
          <w:p w14:paraId="393CDF20"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127</w:t>
            </w:r>
          </w:p>
        </w:tc>
        <w:tc>
          <w:tcPr>
            <w:tcW w:w="549" w:type="pct"/>
            <w:tcBorders>
              <w:top w:val="nil"/>
              <w:left w:val="nil"/>
              <w:bottom w:val="single" w:sz="4" w:space="0" w:color="95B3D7"/>
              <w:right w:val="single" w:sz="4" w:space="0" w:color="FFFFFF"/>
            </w:tcBorders>
            <w:shd w:val="clear" w:color="FDE9D9" w:fill="FDE9D9"/>
            <w:noWrap/>
            <w:vAlign w:val="bottom"/>
            <w:hideMark/>
          </w:tcPr>
          <w:p w14:paraId="6F4896EE"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1,00</w:t>
            </w:r>
          </w:p>
        </w:tc>
        <w:tc>
          <w:tcPr>
            <w:tcW w:w="628" w:type="pct"/>
            <w:tcBorders>
              <w:top w:val="nil"/>
              <w:left w:val="nil"/>
              <w:bottom w:val="single" w:sz="4" w:space="0" w:color="95B3D7"/>
              <w:right w:val="single" w:sz="4" w:space="0" w:color="FFFFFF"/>
            </w:tcBorders>
            <w:shd w:val="clear" w:color="FDE9D9" w:fill="FDE9D9"/>
            <w:noWrap/>
            <w:vAlign w:val="bottom"/>
            <w:hideMark/>
          </w:tcPr>
          <w:p w14:paraId="4ED30D2A"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45,51</w:t>
            </w:r>
          </w:p>
        </w:tc>
        <w:tc>
          <w:tcPr>
            <w:tcW w:w="863" w:type="pct"/>
            <w:tcBorders>
              <w:top w:val="nil"/>
              <w:left w:val="nil"/>
              <w:bottom w:val="single" w:sz="4" w:space="0" w:color="95B3D7"/>
              <w:right w:val="single" w:sz="4" w:space="0" w:color="FFFFFF"/>
            </w:tcBorders>
            <w:shd w:val="clear" w:color="FDE9D9" w:fill="FDE9D9"/>
            <w:noWrap/>
            <w:vAlign w:val="bottom"/>
            <w:hideMark/>
          </w:tcPr>
          <w:p w14:paraId="11ACE2E5"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47,88</w:t>
            </w:r>
          </w:p>
        </w:tc>
        <w:tc>
          <w:tcPr>
            <w:tcW w:w="1077" w:type="pct"/>
            <w:tcBorders>
              <w:top w:val="nil"/>
              <w:left w:val="nil"/>
              <w:bottom w:val="single" w:sz="4" w:space="0" w:color="95B3D7"/>
              <w:right w:val="single" w:sz="4" w:space="0" w:color="FFFFFF"/>
            </w:tcBorders>
            <w:shd w:val="clear" w:color="FDE9D9" w:fill="FDE9D9"/>
          </w:tcPr>
          <w:p w14:paraId="30892E7A"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47,99</w:t>
            </w:r>
          </w:p>
        </w:tc>
      </w:tr>
      <w:tr w:rsidR="00807229" w:rsidRPr="005914A5" w14:paraId="1FCA1D89" w14:textId="77777777" w:rsidTr="0074096B">
        <w:trPr>
          <w:trHeight w:val="300"/>
        </w:trPr>
        <w:tc>
          <w:tcPr>
            <w:tcW w:w="1334" w:type="pct"/>
            <w:tcBorders>
              <w:top w:val="nil"/>
              <w:left w:val="nil"/>
              <w:bottom w:val="single" w:sz="4" w:space="0" w:color="95B3D7"/>
              <w:right w:val="single" w:sz="4" w:space="0" w:color="FFFFFF"/>
            </w:tcBorders>
            <w:shd w:val="clear" w:color="FCD5B4" w:fill="FCD5B4"/>
            <w:noWrap/>
            <w:vAlign w:val="bottom"/>
            <w:hideMark/>
          </w:tcPr>
          <w:p w14:paraId="49C02711" w14:textId="77777777" w:rsidR="00807229" w:rsidRPr="005914A5" w:rsidRDefault="00807229" w:rsidP="00807229">
            <w:pPr>
              <w:spacing w:before="0" w:after="0"/>
              <w:contextualSpacing w:val="0"/>
              <w:jc w:val="left"/>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V.SKUPINA (&gt;1 MIL.KČ)</w:t>
            </w:r>
          </w:p>
        </w:tc>
        <w:tc>
          <w:tcPr>
            <w:tcW w:w="549" w:type="pct"/>
            <w:tcBorders>
              <w:top w:val="nil"/>
              <w:left w:val="nil"/>
              <w:bottom w:val="single" w:sz="4" w:space="0" w:color="95B3D7"/>
              <w:right w:val="single" w:sz="4" w:space="0" w:color="FFFFFF"/>
            </w:tcBorders>
            <w:shd w:val="clear" w:color="FCD5B4" w:fill="FCD5B4"/>
            <w:noWrap/>
            <w:vAlign w:val="bottom"/>
            <w:hideMark/>
          </w:tcPr>
          <w:p w14:paraId="6BA787B9"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35</w:t>
            </w:r>
          </w:p>
        </w:tc>
        <w:tc>
          <w:tcPr>
            <w:tcW w:w="549" w:type="pct"/>
            <w:tcBorders>
              <w:top w:val="nil"/>
              <w:left w:val="nil"/>
              <w:bottom w:val="single" w:sz="4" w:space="0" w:color="95B3D7"/>
              <w:right w:val="single" w:sz="4" w:space="0" w:color="FFFFFF"/>
            </w:tcBorders>
            <w:shd w:val="clear" w:color="FCD5B4" w:fill="FCD5B4"/>
            <w:noWrap/>
            <w:vAlign w:val="bottom"/>
            <w:hideMark/>
          </w:tcPr>
          <w:p w14:paraId="150EA82A"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1,01</w:t>
            </w:r>
          </w:p>
        </w:tc>
        <w:tc>
          <w:tcPr>
            <w:tcW w:w="628" w:type="pct"/>
            <w:tcBorders>
              <w:top w:val="nil"/>
              <w:left w:val="nil"/>
              <w:bottom w:val="single" w:sz="4" w:space="0" w:color="95B3D7"/>
              <w:right w:val="single" w:sz="4" w:space="0" w:color="FFFFFF"/>
            </w:tcBorders>
            <w:shd w:val="clear" w:color="FCD5B4" w:fill="FCD5B4"/>
            <w:noWrap/>
            <w:vAlign w:val="bottom"/>
            <w:hideMark/>
          </w:tcPr>
          <w:p w14:paraId="6E5612B8"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40,43</w:t>
            </w:r>
          </w:p>
        </w:tc>
        <w:tc>
          <w:tcPr>
            <w:tcW w:w="863" w:type="pct"/>
            <w:tcBorders>
              <w:top w:val="nil"/>
              <w:left w:val="nil"/>
              <w:bottom w:val="single" w:sz="4" w:space="0" w:color="95B3D7"/>
              <w:right w:val="single" w:sz="4" w:space="0" w:color="FFFFFF"/>
            </w:tcBorders>
            <w:shd w:val="clear" w:color="FCD5B4" w:fill="FCD5B4"/>
            <w:noWrap/>
            <w:vAlign w:val="bottom"/>
            <w:hideMark/>
          </w:tcPr>
          <w:p w14:paraId="77191746"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44,15</w:t>
            </w:r>
          </w:p>
        </w:tc>
        <w:tc>
          <w:tcPr>
            <w:tcW w:w="1077" w:type="pct"/>
            <w:tcBorders>
              <w:top w:val="nil"/>
              <w:left w:val="nil"/>
              <w:bottom w:val="single" w:sz="4" w:space="0" w:color="95B3D7"/>
              <w:right w:val="single" w:sz="4" w:space="0" w:color="FFFFFF"/>
            </w:tcBorders>
            <w:shd w:val="clear" w:color="FCD5B4" w:fill="FCD5B4"/>
          </w:tcPr>
          <w:p w14:paraId="189ED124"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44,15</w:t>
            </w:r>
          </w:p>
        </w:tc>
      </w:tr>
      <w:tr w:rsidR="00807229" w:rsidRPr="005914A5" w14:paraId="25D75B44" w14:textId="77777777" w:rsidTr="0074096B">
        <w:trPr>
          <w:trHeight w:val="300"/>
        </w:trPr>
        <w:tc>
          <w:tcPr>
            <w:tcW w:w="1334" w:type="pct"/>
            <w:tcBorders>
              <w:top w:val="nil"/>
              <w:left w:val="nil"/>
              <w:bottom w:val="nil"/>
              <w:right w:val="single" w:sz="4" w:space="0" w:color="FFFFFF"/>
            </w:tcBorders>
            <w:shd w:val="clear" w:color="FDE9D9" w:fill="FDE9D9"/>
            <w:noWrap/>
            <w:vAlign w:val="bottom"/>
            <w:hideMark/>
          </w:tcPr>
          <w:p w14:paraId="27DBC0E0" w14:textId="77777777" w:rsidR="00807229" w:rsidRPr="005914A5" w:rsidRDefault="00807229" w:rsidP="00807229">
            <w:pPr>
              <w:spacing w:before="0" w:after="0"/>
              <w:contextualSpacing w:val="0"/>
              <w:jc w:val="left"/>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VI.SKUPINA (&lt;1 MIL.KČ)</w:t>
            </w:r>
          </w:p>
        </w:tc>
        <w:tc>
          <w:tcPr>
            <w:tcW w:w="549" w:type="pct"/>
            <w:tcBorders>
              <w:top w:val="nil"/>
              <w:left w:val="nil"/>
              <w:bottom w:val="nil"/>
              <w:right w:val="single" w:sz="4" w:space="0" w:color="FFFFFF"/>
            </w:tcBorders>
            <w:shd w:val="clear" w:color="FDE9D9" w:fill="FDE9D9"/>
            <w:noWrap/>
            <w:vAlign w:val="bottom"/>
            <w:hideMark/>
          </w:tcPr>
          <w:p w14:paraId="34831C61"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4</w:t>
            </w:r>
          </w:p>
        </w:tc>
        <w:tc>
          <w:tcPr>
            <w:tcW w:w="549" w:type="pct"/>
            <w:tcBorders>
              <w:top w:val="nil"/>
              <w:left w:val="nil"/>
              <w:bottom w:val="nil"/>
              <w:right w:val="single" w:sz="4" w:space="0" w:color="FFFFFF"/>
            </w:tcBorders>
            <w:shd w:val="clear" w:color="FDE9D9" w:fill="FDE9D9"/>
            <w:noWrap/>
            <w:vAlign w:val="bottom"/>
            <w:hideMark/>
          </w:tcPr>
          <w:p w14:paraId="24E48843"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1,01</w:t>
            </w:r>
          </w:p>
        </w:tc>
        <w:tc>
          <w:tcPr>
            <w:tcW w:w="628" w:type="pct"/>
            <w:tcBorders>
              <w:top w:val="nil"/>
              <w:left w:val="nil"/>
              <w:bottom w:val="nil"/>
              <w:right w:val="single" w:sz="4" w:space="0" w:color="FFFFFF"/>
            </w:tcBorders>
            <w:shd w:val="clear" w:color="FDE9D9" w:fill="FDE9D9"/>
            <w:noWrap/>
            <w:vAlign w:val="bottom"/>
            <w:hideMark/>
          </w:tcPr>
          <w:p w14:paraId="6E4C2FB4"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14,32</w:t>
            </w:r>
          </w:p>
        </w:tc>
        <w:tc>
          <w:tcPr>
            <w:tcW w:w="863" w:type="pct"/>
            <w:tcBorders>
              <w:top w:val="nil"/>
              <w:left w:val="nil"/>
              <w:bottom w:val="nil"/>
              <w:right w:val="single" w:sz="4" w:space="0" w:color="FFFFFF"/>
            </w:tcBorders>
            <w:shd w:val="clear" w:color="FDE9D9" w:fill="FDE9D9"/>
            <w:noWrap/>
            <w:vAlign w:val="bottom"/>
            <w:hideMark/>
          </w:tcPr>
          <w:p w14:paraId="7BCF0386"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5914A5">
              <w:rPr>
                <w:rFonts w:asciiTheme="majorHAnsi" w:eastAsia="Times New Roman" w:hAnsiTheme="majorHAnsi"/>
                <w:color w:val="000000"/>
                <w:sz w:val="20"/>
                <w:szCs w:val="20"/>
                <w:lang w:eastAsia="cs-CZ"/>
              </w:rPr>
              <w:t>14,66</w:t>
            </w:r>
          </w:p>
        </w:tc>
        <w:tc>
          <w:tcPr>
            <w:tcW w:w="1077" w:type="pct"/>
            <w:tcBorders>
              <w:top w:val="nil"/>
              <w:left w:val="nil"/>
              <w:bottom w:val="nil"/>
              <w:right w:val="single" w:sz="4" w:space="0" w:color="FFFFFF"/>
            </w:tcBorders>
            <w:shd w:val="clear" w:color="FDE9D9" w:fill="FDE9D9"/>
          </w:tcPr>
          <w:p w14:paraId="4FC724B0" w14:textId="77777777" w:rsidR="00807229" w:rsidRPr="005914A5"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14,66</w:t>
            </w:r>
          </w:p>
        </w:tc>
      </w:tr>
      <w:tr w:rsidR="00807229" w:rsidRPr="005914A5" w14:paraId="6F1F8DE3" w14:textId="77777777" w:rsidTr="0074096B">
        <w:trPr>
          <w:trHeight w:val="300"/>
        </w:trPr>
        <w:tc>
          <w:tcPr>
            <w:tcW w:w="1334" w:type="pct"/>
            <w:tcBorders>
              <w:top w:val="single" w:sz="4" w:space="0" w:color="95B3D7"/>
              <w:left w:val="nil"/>
              <w:bottom w:val="nil"/>
              <w:right w:val="single" w:sz="4" w:space="0" w:color="FFFFFF"/>
            </w:tcBorders>
            <w:shd w:val="clear" w:color="FCD5B4" w:fill="FCD5B4"/>
            <w:noWrap/>
            <w:vAlign w:val="bottom"/>
            <w:hideMark/>
          </w:tcPr>
          <w:p w14:paraId="51D505AF" w14:textId="77777777" w:rsidR="00807229" w:rsidRPr="005914A5" w:rsidRDefault="00807229" w:rsidP="00807229">
            <w:pPr>
              <w:spacing w:before="0" w:after="0"/>
              <w:contextualSpacing w:val="0"/>
              <w:jc w:val="left"/>
              <w:rPr>
                <w:rFonts w:asciiTheme="majorHAnsi" w:eastAsia="Times New Roman" w:hAnsiTheme="majorHAnsi"/>
                <w:b/>
                <w:bCs/>
                <w:color w:val="000000"/>
                <w:sz w:val="20"/>
                <w:szCs w:val="20"/>
                <w:lang w:eastAsia="cs-CZ"/>
              </w:rPr>
            </w:pPr>
            <w:r w:rsidRPr="005914A5">
              <w:rPr>
                <w:rFonts w:asciiTheme="majorHAnsi" w:eastAsia="Times New Roman" w:hAnsiTheme="majorHAnsi"/>
                <w:b/>
                <w:bCs/>
                <w:color w:val="000000"/>
                <w:sz w:val="20"/>
                <w:szCs w:val="20"/>
                <w:lang w:eastAsia="cs-CZ"/>
              </w:rPr>
              <w:t>CELKEM</w:t>
            </w:r>
          </w:p>
        </w:tc>
        <w:tc>
          <w:tcPr>
            <w:tcW w:w="549" w:type="pct"/>
            <w:tcBorders>
              <w:top w:val="single" w:sz="4" w:space="0" w:color="95B3D7"/>
              <w:left w:val="nil"/>
              <w:bottom w:val="nil"/>
              <w:right w:val="single" w:sz="4" w:space="0" w:color="FFFFFF"/>
            </w:tcBorders>
            <w:shd w:val="clear" w:color="FCD5B4" w:fill="FCD5B4"/>
            <w:noWrap/>
            <w:vAlign w:val="bottom"/>
            <w:hideMark/>
          </w:tcPr>
          <w:p w14:paraId="7447FD70" w14:textId="77777777" w:rsidR="00807229" w:rsidRPr="005914A5" w:rsidRDefault="00807229" w:rsidP="00807229">
            <w:pPr>
              <w:spacing w:before="0" w:after="0"/>
              <w:contextualSpacing w:val="0"/>
              <w:jc w:val="center"/>
              <w:rPr>
                <w:rFonts w:asciiTheme="majorHAnsi" w:eastAsia="Times New Roman" w:hAnsiTheme="majorHAnsi"/>
                <w:b/>
                <w:bCs/>
                <w:color w:val="000000"/>
                <w:sz w:val="20"/>
                <w:szCs w:val="20"/>
                <w:lang w:eastAsia="cs-CZ"/>
              </w:rPr>
            </w:pPr>
            <w:r w:rsidRPr="005914A5">
              <w:rPr>
                <w:rFonts w:asciiTheme="majorHAnsi" w:eastAsia="Times New Roman" w:hAnsiTheme="majorHAnsi"/>
                <w:b/>
                <w:bCs/>
                <w:color w:val="000000"/>
                <w:sz w:val="20"/>
                <w:szCs w:val="20"/>
                <w:lang w:eastAsia="cs-CZ"/>
              </w:rPr>
              <w:t>289</w:t>
            </w:r>
          </w:p>
        </w:tc>
        <w:tc>
          <w:tcPr>
            <w:tcW w:w="549" w:type="pct"/>
            <w:tcBorders>
              <w:top w:val="single" w:sz="4" w:space="0" w:color="95B3D7"/>
              <w:left w:val="nil"/>
              <w:bottom w:val="nil"/>
              <w:right w:val="single" w:sz="4" w:space="0" w:color="FFFFFF"/>
            </w:tcBorders>
            <w:shd w:val="clear" w:color="FCD5B4" w:fill="FCD5B4"/>
            <w:noWrap/>
            <w:vAlign w:val="bottom"/>
            <w:hideMark/>
          </w:tcPr>
          <w:p w14:paraId="08D29CFD" w14:textId="77777777" w:rsidR="00807229" w:rsidRPr="005914A5" w:rsidRDefault="00807229" w:rsidP="00807229">
            <w:pPr>
              <w:spacing w:before="0" w:after="0"/>
              <w:contextualSpacing w:val="0"/>
              <w:jc w:val="center"/>
              <w:rPr>
                <w:rFonts w:asciiTheme="majorHAnsi" w:eastAsia="Times New Roman" w:hAnsiTheme="majorHAnsi"/>
                <w:b/>
                <w:bCs/>
                <w:color w:val="000000"/>
                <w:sz w:val="20"/>
                <w:szCs w:val="20"/>
                <w:lang w:eastAsia="cs-CZ"/>
              </w:rPr>
            </w:pPr>
            <w:r w:rsidRPr="005914A5">
              <w:rPr>
                <w:rFonts w:asciiTheme="majorHAnsi" w:eastAsia="Times New Roman" w:hAnsiTheme="majorHAnsi"/>
                <w:b/>
                <w:bCs/>
                <w:color w:val="000000"/>
                <w:sz w:val="20"/>
                <w:szCs w:val="20"/>
                <w:lang w:eastAsia="cs-CZ"/>
              </w:rPr>
              <w:t>1,03</w:t>
            </w:r>
          </w:p>
        </w:tc>
        <w:tc>
          <w:tcPr>
            <w:tcW w:w="628" w:type="pct"/>
            <w:tcBorders>
              <w:top w:val="single" w:sz="4" w:space="0" w:color="95B3D7"/>
              <w:left w:val="nil"/>
              <w:bottom w:val="nil"/>
              <w:right w:val="single" w:sz="4" w:space="0" w:color="FFFFFF"/>
            </w:tcBorders>
            <w:shd w:val="clear" w:color="FCD5B4" w:fill="FCD5B4"/>
            <w:noWrap/>
            <w:vAlign w:val="bottom"/>
            <w:hideMark/>
          </w:tcPr>
          <w:p w14:paraId="12DD4D96" w14:textId="77777777" w:rsidR="00807229" w:rsidRPr="005914A5" w:rsidRDefault="00807229" w:rsidP="00807229">
            <w:pPr>
              <w:spacing w:before="0" w:after="0"/>
              <w:contextualSpacing w:val="0"/>
              <w:jc w:val="center"/>
              <w:rPr>
                <w:rFonts w:asciiTheme="majorHAnsi" w:eastAsia="Times New Roman" w:hAnsiTheme="majorHAnsi"/>
                <w:b/>
                <w:bCs/>
                <w:color w:val="000000"/>
                <w:sz w:val="20"/>
                <w:szCs w:val="20"/>
                <w:lang w:eastAsia="cs-CZ"/>
              </w:rPr>
            </w:pPr>
            <w:r w:rsidRPr="005914A5">
              <w:rPr>
                <w:rFonts w:asciiTheme="majorHAnsi" w:eastAsia="Times New Roman" w:hAnsiTheme="majorHAnsi"/>
                <w:b/>
                <w:bCs/>
                <w:color w:val="000000"/>
                <w:sz w:val="20"/>
                <w:szCs w:val="20"/>
                <w:lang w:eastAsia="cs-CZ"/>
              </w:rPr>
              <w:t>39,71</w:t>
            </w:r>
          </w:p>
        </w:tc>
        <w:tc>
          <w:tcPr>
            <w:tcW w:w="863" w:type="pct"/>
            <w:tcBorders>
              <w:top w:val="single" w:sz="4" w:space="0" w:color="95B3D7"/>
              <w:left w:val="nil"/>
              <w:bottom w:val="nil"/>
              <w:right w:val="single" w:sz="4" w:space="0" w:color="FFFFFF"/>
            </w:tcBorders>
            <w:shd w:val="clear" w:color="FCD5B4" w:fill="FCD5B4"/>
            <w:noWrap/>
            <w:vAlign w:val="bottom"/>
            <w:hideMark/>
          </w:tcPr>
          <w:p w14:paraId="4EF62565" w14:textId="77777777" w:rsidR="00807229" w:rsidRPr="005914A5" w:rsidRDefault="00807229" w:rsidP="00807229">
            <w:pPr>
              <w:spacing w:before="0" w:after="0"/>
              <w:contextualSpacing w:val="0"/>
              <w:jc w:val="center"/>
              <w:rPr>
                <w:rFonts w:asciiTheme="majorHAnsi" w:eastAsia="Times New Roman" w:hAnsiTheme="majorHAnsi"/>
                <w:b/>
                <w:bCs/>
                <w:color w:val="000000"/>
                <w:sz w:val="20"/>
                <w:szCs w:val="20"/>
                <w:lang w:eastAsia="cs-CZ"/>
              </w:rPr>
            </w:pPr>
            <w:r w:rsidRPr="005914A5">
              <w:rPr>
                <w:rFonts w:asciiTheme="majorHAnsi" w:eastAsia="Times New Roman" w:hAnsiTheme="majorHAnsi"/>
                <w:b/>
                <w:bCs/>
                <w:color w:val="000000"/>
                <w:sz w:val="20"/>
                <w:szCs w:val="20"/>
                <w:lang w:eastAsia="cs-CZ"/>
              </w:rPr>
              <w:t>40,26</w:t>
            </w:r>
          </w:p>
        </w:tc>
        <w:tc>
          <w:tcPr>
            <w:tcW w:w="1077" w:type="pct"/>
            <w:tcBorders>
              <w:top w:val="single" w:sz="4" w:space="0" w:color="95B3D7"/>
              <w:left w:val="nil"/>
              <w:bottom w:val="nil"/>
              <w:right w:val="single" w:sz="4" w:space="0" w:color="FFFFFF"/>
            </w:tcBorders>
            <w:shd w:val="clear" w:color="FCD5B4" w:fill="FCD5B4"/>
          </w:tcPr>
          <w:p w14:paraId="54056C7B" w14:textId="77777777" w:rsidR="00807229" w:rsidRPr="00807229" w:rsidRDefault="00807229" w:rsidP="00807229">
            <w:pPr>
              <w:spacing w:before="0" w:after="0"/>
              <w:contextualSpacing w:val="0"/>
              <w:jc w:val="center"/>
              <w:rPr>
                <w:rFonts w:asciiTheme="majorHAnsi" w:eastAsia="Times New Roman" w:hAnsiTheme="majorHAnsi"/>
                <w:b/>
                <w:color w:val="000000"/>
                <w:sz w:val="20"/>
                <w:szCs w:val="20"/>
                <w:lang w:eastAsia="cs-CZ"/>
              </w:rPr>
            </w:pPr>
            <w:r w:rsidRPr="00807229">
              <w:rPr>
                <w:rFonts w:asciiTheme="majorHAnsi" w:eastAsia="Times New Roman" w:hAnsiTheme="majorHAnsi"/>
                <w:b/>
                <w:color w:val="000000"/>
                <w:sz w:val="20"/>
                <w:szCs w:val="20"/>
                <w:lang w:eastAsia="cs-CZ"/>
              </w:rPr>
              <w:t>40,32</w:t>
            </w:r>
          </w:p>
        </w:tc>
      </w:tr>
    </w:tbl>
    <w:p w14:paraId="28932A30" w14:textId="77777777" w:rsidR="006A1B6B" w:rsidRDefault="006A1B6B" w:rsidP="00EA29C3">
      <w:pPr>
        <w:pStyle w:val="Normlnzprva"/>
      </w:pPr>
    </w:p>
    <w:p w14:paraId="30C63C7E" w14:textId="77777777" w:rsidR="0074096B" w:rsidRDefault="0074096B" w:rsidP="00EA29C3">
      <w:pPr>
        <w:pStyle w:val="Normlnzprva"/>
      </w:pPr>
    </w:p>
    <w:tbl>
      <w:tblPr>
        <w:tblW w:w="5025" w:type="pct"/>
        <w:tblCellMar>
          <w:left w:w="70" w:type="dxa"/>
          <w:right w:w="70" w:type="dxa"/>
        </w:tblCellMar>
        <w:tblLook w:val="04A0" w:firstRow="1" w:lastRow="0" w:firstColumn="1" w:lastColumn="0" w:noHBand="0" w:noVBand="1"/>
      </w:tblPr>
      <w:tblGrid>
        <w:gridCol w:w="2581"/>
        <w:gridCol w:w="715"/>
        <w:gridCol w:w="901"/>
        <w:gridCol w:w="901"/>
        <w:gridCol w:w="895"/>
        <w:gridCol w:w="1365"/>
        <w:gridCol w:w="1757"/>
      </w:tblGrid>
      <w:tr w:rsidR="00807229" w:rsidRPr="00807229" w14:paraId="15F0FD1D" w14:textId="77777777" w:rsidTr="00DF1232">
        <w:trPr>
          <w:trHeight w:val="397"/>
        </w:trPr>
        <w:tc>
          <w:tcPr>
            <w:tcW w:w="5000" w:type="pct"/>
            <w:gridSpan w:val="7"/>
            <w:tcBorders>
              <w:top w:val="nil"/>
              <w:left w:val="nil"/>
              <w:bottom w:val="nil"/>
              <w:right w:val="nil"/>
            </w:tcBorders>
            <w:shd w:val="clear" w:color="auto" w:fill="DA9896"/>
            <w:vAlign w:val="center"/>
          </w:tcPr>
          <w:p w14:paraId="400B8B6F" w14:textId="77777777" w:rsidR="00807229" w:rsidRPr="00807229" w:rsidRDefault="00807229" w:rsidP="00807229">
            <w:pPr>
              <w:spacing w:before="0" w:after="0"/>
              <w:contextualSpacing w:val="0"/>
              <w:jc w:val="center"/>
              <w:rPr>
                <w:rFonts w:asciiTheme="majorHAnsi" w:eastAsia="Times New Roman" w:hAnsiTheme="majorHAnsi"/>
                <w:b/>
                <w:bCs/>
                <w:color w:val="FFFFFF" w:themeColor="background1"/>
                <w:sz w:val="20"/>
                <w:szCs w:val="20"/>
                <w:lang w:eastAsia="cs-CZ"/>
              </w:rPr>
            </w:pPr>
            <w:r w:rsidRPr="00807229">
              <w:rPr>
                <w:rFonts w:asciiTheme="majorHAnsi" w:eastAsia="Times New Roman" w:hAnsiTheme="majorHAnsi"/>
                <w:b/>
                <w:bCs/>
                <w:color w:val="FFFFFF" w:themeColor="background1"/>
                <w:sz w:val="20"/>
                <w:szCs w:val="20"/>
                <w:lang w:eastAsia="cs-CZ"/>
              </w:rPr>
              <w:t>NEDOSTATEČNÁ MINIMÁLNÍ TVORBA</w:t>
            </w:r>
          </w:p>
        </w:tc>
      </w:tr>
      <w:tr w:rsidR="00807229" w:rsidRPr="00807229" w14:paraId="6F8D8094" w14:textId="77777777" w:rsidTr="00DF1232">
        <w:trPr>
          <w:trHeight w:val="2415"/>
        </w:trPr>
        <w:tc>
          <w:tcPr>
            <w:tcW w:w="1416" w:type="pct"/>
            <w:tcBorders>
              <w:top w:val="nil"/>
              <w:left w:val="nil"/>
              <w:bottom w:val="single" w:sz="4" w:space="0" w:color="95B3D7"/>
              <w:right w:val="single" w:sz="4" w:space="0" w:color="FFFFFF"/>
            </w:tcBorders>
            <w:shd w:val="clear" w:color="auto" w:fill="C0504D"/>
            <w:noWrap/>
            <w:vAlign w:val="center"/>
            <w:hideMark/>
          </w:tcPr>
          <w:p w14:paraId="592B0891" w14:textId="77777777" w:rsidR="00807229" w:rsidRPr="00807229" w:rsidRDefault="00807229" w:rsidP="00807229">
            <w:pPr>
              <w:spacing w:before="0" w:after="0"/>
              <w:contextualSpacing w:val="0"/>
              <w:jc w:val="center"/>
              <w:rPr>
                <w:rFonts w:asciiTheme="majorHAnsi" w:eastAsia="Times New Roman" w:hAnsiTheme="majorHAnsi"/>
                <w:b/>
                <w:bCs/>
                <w:color w:val="FFFFFF" w:themeColor="background1"/>
                <w:sz w:val="20"/>
                <w:szCs w:val="20"/>
                <w:lang w:eastAsia="cs-CZ"/>
              </w:rPr>
            </w:pPr>
            <w:r w:rsidRPr="00807229">
              <w:rPr>
                <w:rFonts w:asciiTheme="majorHAnsi" w:eastAsia="Times New Roman" w:hAnsiTheme="majorHAnsi"/>
                <w:b/>
                <w:bCs/>
                <w:color w:val="FFFFFF" w:themeColor="background1"/>
                <w:sz w:val="20"/>
                <w:szCs w:val="20"/>
                <w:lang w:eastAsia="cs-CZ"/>
              </w:rPr>
              <w:t>SKUPINA VLASTNÍKŮ</w:t>
            </w:r>
          </w:p>
        </w:tc>
        <w:tc>
          <w:tcPr>
            <w:tcW w:w="392" w:type="pct"/>
            <w:tcBorders>
              <w:top w:val="nil"/>
              <w:left w:val="nil"/>
              <w:bottom w:val="single" w:sz="4" w:space="0" w:color="95B3D7"/>
              <w:right w:val="single" w:sz="4" w:space="0" w:color="FFFFFF"/>
            </w:tcBorders>
            <w:shd w:val="clear" w:color="000000" w:fill="C0504D"/>
            <w:textDirection w:val="btLr"/>
            <w:vAlign w:val="center"/>
            <w:hideMark/>
          </w:tcPr>
          <w:p w14:paraId="62F48401" w14:textId="77777777" w:rsidR="00807229" w:rsidRPr="00807229" w:rsidRDefault="00807229" w:rsidP="00807229">
            <w:pPr>
              <w:spacing w:before="0" w:after="0"/>
              <w:contextualSpacing w:val="0"/>
              <w:jc w:val="center"/>
              <w:rPr>
                <w:rFonts w:asciiTheme="majorHAnsi" w:eastAsia="Times New Roman" w:hAnsiTheme="majorHAnsi"/>
                <w:b/>
                <w:bCs/>
                <w:color w:val="FFFFFF" w:themeColor="background1"/>
                <w:sz w:val="20"/>
                <w:szCs w:val="20"/>
                <w:lang w:eastAsia="cs-CZ"/>
              </w:rPr>
            </w:pPr>
            <w:r w:rsidRPr="00807229">
              <w:rPr>
                <w:rFonts w:asciiTheme="majorHAnsi" w:eastAsia="Times New Roman" w:hAnsiTheme="majorHAnsi"/>
                <w:b/>
                <w:bCs/>
                <w:color w:val="FFFFFF" w:themeColor="background1"/>
                <w:sz w:val="20"/>
                <w:szCs w:val="20"/>
                <w:lang w:eastAsia="cs-CZ"/>
              </w:rPr>
              <w:t>POČET POROVNÁNÍ</w:t>
            </w:r>
          </w:p>
        </w:tc>
        <w:tc>
          <w:tcPr>
            <w:tcW w:w="494" w:type="pct"/>
            <w:tcBorders>
              <w:top w:val="nil"/>
              <w:left w:val="nil"/>
              <w:bottom w:val="single" w:sz="4" w:space="0" w:color="95B3D7"/>
              <w:right w:val="single" w:sz="4" w:space="0" w:color="FFFFFF"/>
            </w:tcBorders>
            <w:shd w:val="clear" w:color="000000" w:fill="C0504D"/>
            <w:textDirection w:val="btLr"/>
            <w:vAlign w:val="center"/>
            <w:hideMark/>
          </w:tcPr>
          <w:p w14:paraId="597918B1" w14:textId="77777777" w:rsidR="00807229" w:rsidRPr="00807229" w:rsidRDefault="00807229" w:rsidP="00807229">
            <w:pPr>
              <w:spacing w:before="0" w:after="0"/>
              <w:contextualSpacing w:val="0"/>
              <w:jc w:val="center"/>
              <w:rPr>
                <w:rFonts w:asciiTheme="majorHAnsi" w:eastAsia="Times New Roman" w:hAnsiTheme="majorHAnsi"/>
                <w:b/>
                <w:bCs/>
                <w:color w:val="FFFFFF" w:themeColor="background1"/>
                <w:sz w:val="20"/>
                <w:szCs w:val="20"/>
                <w:lang w:eastAsia="cs-CZ"/>
              </w:rPr>
            </w:pPr>
            <w:r w:rsidRPr="00807229">
              <w:rPr>
                <w:rFonts w:asciiTheme="majorHAnsi" w:eastAsia="Times New Roman" w:hAnsiTheme="majorHAnsi"/>
                <w:b/>
                <w:bCs/>
                <w:color w:val="FFFFFF" w:themeColor="background1"/>
                <w:sz w:val="20"/>
                <w:szCs w:val="20"/>
                <w:lang w:eastAsia="cs-CZ"/>
              </w:rPr>
              <w:t>PRŮMĚRNÁ HODNOTA OKF</w:t>
            </w:r>
          </w:p>
        </w:tc>
        <w:tc>
          <w:tcPr>
            <w:tcW w:w="494" w:type="pct"/>
            <w:tcBorders>
              <w:top w:val="nil"/>
              <w:left w:val="nil"/>
              <w:bottom w:val="single" w:sz="4" w:space="0" w:color="95B3D7"/>
              <w:right w:val="single" w:sz="4" w:space="0" w:color="FFFFFF"/>
            </w:tcBorders>
            <w:shd w:val="clear" w:color="000000" w:fill="C0504D"/>
            <w:textDirection w:val="btLr"/>
            <w:vAlign w:val="center"/>
            <w:hideMark/>
          </w:tcPr>
          <w:p w14:paraId="15B52195" w14:textId="77777777" w:rsidR="00807229" w:rsidRPr="00807229" w:rsidRDefault="00807229" w:rsidP="00807229">
            <w:pPr>
              <w:spacing w:before="0" w:after="0"/>
              <w:contextualSpacing w:val="0"/>
              <w:jc w:val="center"/>
              <w:rPr>
                <w:rFonts w:asciiTheme="majorHAnsi" w:eastAsia="Times New Roman" w:hAnsiTheme="majorHAnsi"/>
                <w:b/>
                <w:bCs/>
                <w:color w:val="FFFFFF" w:themeColor="background1"/>
                <w:sz w:val="20"/>
                <w:szCs w:val="20"/>
                <w:lang w:eastAsia="cs-CZ"/>
              </w:rPr>
            </w:pPr>
            <w:r w:rsidRPr="00807229">
              <w:rPr>
                <w:rFonts w:asciiTheme="majorHAnsi" w:eastAsia="Times New Roman" w:hAnsiTheme="majorHAnsi"/>
                <w:b/>
                <w:bCs/>
                <w:color w:val="FFFFFF" w:themeColor="background1"/>
                <w:sz w:val="20"/>
                <w:szCs w:val="20"/>
                <w:lang w:eastAsia="cs-CZ"/>
              </w:rPr>
              <w:t>PRŮMĚRNÁ CENA PRO STOČNÉ (KČ/M3)</w:t>
            </w:r>
          </w:p>
        </w:tc>
        <w:tc>
          <w:tcPr>
            <w:tcW w:w="491" w:type="pct"/>
            <w:tcBorders>
              <w:top w:val="nil"/>
              <w:left w:val="nil"/>
              <w:bottom w:val="single" w:sz="4" w:space="0" w:color="95B3D7"/>
              <w:right w:val="single" w:sz="4" w:space="0" w:color="FFFFFF" w:themeColor="background1"/>
            </w:tcBorders>
            <w:shd w:val="clear" w:color="000000" w:fill="C0504D"/>
            <w:textDirection w:val="btLr"/>
            <w:vAlign w:val="center"/>
          </w:tcPr>
          <w:p w14:paraId="60D61E74" w14:textId="77777777" w:rsidR="00807229" w:rsidRPr="00807229" w:rsidRDefault="00807229" w:rsidP="00807229">
            <w:pPr>
              <w:spacing w:before="0" w:after="0"/>
              <w:contextualSpacing w:val="0"/>
              <w:jc w:val="center"/>
              <w:rPr>
                <w:rFonts w:asciiTheme="majorHAnsi" w:eastAsia="Times New Roman" w:hAnsiTheme="majorHAnsi"/>
                <w:b/>
                <w:bCs/>
                <w:color w:val="FFFFFF" w:themeColor="background1"/>
                <w:sz w:val="20"/>
                <w:szCs w:val="20"/>
                <w:lang w:eastAsia="cs-CZ"/>
              </w:rPr>
            </w:pPr>
            <w:r w:rsidRPr="00807229">
              <w:rPr>
                <w:rFonts w:asciiTheme="majorHAnsi" w:eastAsia="Times New Roman" w:hAnsiTheme="majorHAnsi"/>
                <w:b/>
                <w:bCs/>
                <w:color w:val="FFFFFF" w:themeColor="background1"/>
                <w:sz w:val="20"/>
                <w:szCs w:val="20"/>
                <w:lang w:eastAsia="cs-CZ"/>
              </w:rPr>
              <w:t>PRŮMĚRNÁ HODNOTA JEDNOTKOVÝCH NÁKLADŮ (KČ/M3)</w:t>
            </w:r>
          </w:p>
        </w:tc>
        <w:tc>
          <w:tcPr>
            <w:tcW w:w="749" w:type="pct"/>
            <w:tcBorders>
              <w:top w:val="nil"/>
              <w:left w:val="single" w:sz="4" w:space="0" w:color="FFFFFF" w:themeColor="background1"/>
              <w:bottom w:val="single" w:sz="4" w:space="0" w:color="95B3D7"/>
              <w:right w:val="single" w:sz="4" w:space="0" w:color="FFFFFF" w:themeColor="background1"/>
            </w:tcBorders>
            <w:shd w:val="clear" w:color="000000" w:fill="C0504D"/>
            <w:textDirection w:val="btLr"/>
            <w:vAlign w:val="center"/>
          </w:tcPr>
          <w:p w14:paraId="115B335E" w14:textId="77777777" w:rsidR="00807229" w:rsidRPr="00807229" w:rsidRDefault="00807229" w:rsidP="00807229">
            <w:pPr>
              <w:spacing w:before="0" w:after="0"/>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PRŮMĚRNÁ VÝŠE TEORETICKÉ CENY PRO PLNĚNÍ OBNOVY PŘI NULOVÉM ZISKU (KČ/M3)</w:t>
            </w:r>
          </w:p>
        </w:tc>
        <w:tc>
          <w:tcPr>
            <w:tcW w:w="963" w:type="pct"/>
            <w:tcBorders>
              <w:top w:val="nil"/>
              <w:left w:val="single" w:sz="4" w:space="0" w:color="FFFFFF" w:themeColor="background1"/>
              <w:bottom w:val="single" w:sz="4" w:space="0" w:color="95B3D7"/>
              <w:right w:val="nil"/>
            </w:tcBorders>
            <w:shd w:val="clear" w:color="000000" w:fill="C0504D"/>
            <w:textDirection w:val="btLr"/>
            <w:vAlign w:val="center"/>
          </w:tcPr>
          <w:p w14:paraId="72CE4DD9" w14:textId="0800FB48" w:rsidR="00807229" w:rsidRPr="00807229" w:rsidRDefault="00807229" w:rsidP="00DF1232">
            <w:pPr>
              <w:spacing w:before="0" w:after="0"/>
              <w:contextualSpacing w:val="0"/>
              <w:jc w:val="center"/>
              <w:rPr>
                <w:rFonts w:asciiTheme="majorHAnsi" w:eastAsia="Times New Roman" w:hAnsiTheme="majorHAnsi"/>
                <w:b/>
                <w:bCs/>
                <w:color w:val="FFFFFF" w:themeColor="background1"/>
                <w:sz w:val="20"/>
                <w:szCs w:val="20"/>
                <w:lang w:eastAsia="cs-CZ"/>
              </w:rPr>
            </w:pPr>
            <w:r w:rsidRPr="000A02AF">
              <w:rPr>
                <w:rFonts w:asciiTheme="majorHAnsi" w:eastAsia="Times New Roman" w:hAnsiTheme="majorHAnsi"/>
                <w:b/>
                <w:bCs/>
                <w:color w:val="FFFFFF" w:themeColor="background1"/>
                <w:sz w:val="20"/>
                <w:szCs w:val="20"/>
                <w:lang w:eastAsia="cs-CZ"/>
              </w:rPr>
              <w:t xml:space="preserve">PRŮMĚRNÁ VÝŠE CHYBĚJÍCÍCH PROSTŘEDKŮ OBNOVY VIM NA 1M3 </w:t>
            </w:r>
            <w:r w:rsidR="00DF1232" w:rsidRPr="00DF1232">
              <w:rPr>
                <w:rFonts w:asciiTheme="majorHAnsi" w:eastAsia="Times New Roman" w:hAnsiTheme="majorHAnsi"/>
                <w:b/>
                <w:bCs/>
                <w:smallCaps/>
                <w:color w:val="FFFFFF" w:themeColor="background1"/>
                <w:sz w:val="20"/>
                <w:szCs w:val="20"/>
                <w:lang w:eastAsia="cs-CZ"/>
              </w:rPr>
              <w:t xml:space="preserve">ODPADNÍ </w:t>
            </w:r>
            <w:r w:rsidR="00DF1232" w:rsidRPr="000A02AF">
              <w:rPr>
                <w:rFonts w:asciiTheme="majorHAnsi" w:eastAsia="Times New Roman" w:hAnsiTheme="majorHAnsi"/>
                <w:b/>
                <w:bCs/>
                <w:color w:val="FFFFFF" w:themeColor="background1"/>
                <w:sz w:val="20"/>
                <w:szCs w:val="20"/>
                <w:lang w:eastAsia="cs-CZ"/>
              </w:rPr>
              <w:t xml:space="preserve">VODY </w:t>
            </w:r>
            <w:r w:rsidRPr="000A02AF">
              <w:rPr>
                <w:rFonts w:asciiTheme="majorHAnsi" w:eastAsia="Times New Roman" w:hAnsiTheme="majorHAnsi"/>
                <w:b/>
                <w:bCs/>
                <w:color w:val="FFFFFF" w:themeColor="background1"/>
                <w:sz w:val="20"/>
                <w:szCs w:val="20"/>
                <w:lang w:eastAsia="cs-CZ"/>
              </w:rPr>
              <w:t>FAKTUROVANÉ (KČ/M3)</w:t>
            </w:r>
          </w:p>
        </w:tc>
      </w:tr>
      <w:tr w:rsidR="00807229" w:rsidRPr="00807229" w14:paraId="62FA9249" w14:textId="77777777" w:rsidTr="00DF1232">
        <w:trPr>
          <w:trHeight w:val="274"/>
        </w:trPr>
        <w:tc>
          <w:tcPr>
            <w:tcW w:w="1416" w:type="pct"/>
            <w:tcBorders>
              <w:top w:val="nil"/>
              <w:left w:val="nil"/>
              <w:bottom w:val="single" w:sz="4" w:space="0" w:color="95B3D7"/>
              <w:right w:val="single" w:sz="4" w:space="0" w:color="FFFFFF"/>
            </w:tcBorders>
            <w:shd w:val="clear" w:color="auto" w:fill="DA9896"/>
            <w:noWrap/>
            <w:vAlign w:val="bottom"/>
            <w:hideMark/>
          </w:tcPr>
          <w:p w14:paraId="228AAC9F" w14:textId="77777777" w:rsidR="00807229" w:rsidRPr="00807229" w:rsidRDefault="00807229" w:rsidP="00807229">
            <w:pPr>
              <w:spacing w:before="0" w:after="0"/>
              <w:contextualSpacing w:val="0"/>
              <w:jc w:val="left"/>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I.SKUPINA (&gt;10 000 MIL.KČ)</w:t>
            </w:r>
          </w:p>
        </w:tc>
        <w:tc>
          <w:tcPr>
            <w:tcW w:w="392" w:type="pct"/>
            <w:tcBorders>
              <w:top w:val="nil"/>
              <w:left w:val="nil"/>
              <w:bottom w:val="single" w:sz="4" w:space="0" w:color="95B3D7"/>
              <w:right w:val="single" w:sz="4" w:space="0" w:color="FFFFFF"/>
            </w:tcBorders>
            <w:shd w:val="clear" w:color="auto" w:fill="DA9896"/>
            <w:noWrap/>
            <w:vAlign w:val="bottom"/>
            <w:hideMark/>
          </w:tcPr>
          <w:p w14:paraId="3D0D172B" w14:textId="77777777" w:rsidR="00807229" w:rsidRPr="00807229"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 </w:t>
            </w:r>
          </w:p>
        </w:tc>
        <w:tc>
          <w:tcPr>
            <w:tcW w:w="494" w:type="pct"/>
            <w:tcBorders>
              <w:top w:val="nil"/>
              <w:left w:val="nil"/>
              <w:bottom w:val="single" w:sz="4" w:space="0" w:color="95B3D7"/>
              <w:right w:val="single" w:sz="4" w:space="0" w:color="FFFFFF"/>
            </w:tcBorders>
            <w:shd w:val="clear" w:color="000000" w:fill="DA9896"/>
            <w:noWrap/>
            <w:vAlign w:val="bottom"/>
            <w:hideMark/>
          </w:tcPr>
          <w:p w14:paraId="3A3EAA6F" w14:textId="77777777" w:rsidR="00807229" w:rsidRPr="00807229"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 </w:t>
            </w:r>
          </w:p>
        </w:tc>
        <w:tc>
          <w:tcPr>
            <w:tcW w:w="494" w:type="pct"/>
            <w:tcBorders>
              <w:top w:val="nil"/>
              <w:left w:val="nil"/>
              <w:bottom w:val="single" w:sz="4" w:space="0" w:color="95B3D7"/>
              <w:right w:val="single" w:sz="4" w:space="0" w:color="FFFFFF"/>
            </w:tcBorders>
            <w:shd w:val="clear" w:color="000000" w:fill="DA9896"/>
            <w:noWrap/>
            <w:vAlign w:val="bottom"/>
            <w:hideMark/>
          </w:tcPr>
          <w:p w14:paraId="111D27B0" w14:textId="77777777" w:rsidR="00807229" w:rsidRPr="00807229"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 </w:t>
            </w:r>
          </w:p>
        </w:tc>
        <w:tc>
          <w:tcPr>
            <w:tcW w:w="491" w:type="pct"/>
            <w:tcBorders>
              <w:top w:val="nil"/>
              <w:left w:val="nil"/>
              <w:bottom w:val="single" w:sz="4" w:space="0" w:color="95B3D7"/>
              <w:right w:val="single" w:sz="4" w:space="0" w:color="FFFFFF" w:themeColor="background1"/>
            </w:tcBorders>
            <w:shd w:val="clear" w:color="000000" w:fill="DA9896"/>
            <w:vAlign w:val="bottom"/>
          </w:tcPr>
          <w:p w14:paraId="268849BB" w14:textId="77777777" w:rsidR="00807229" w:rsidRPr="00807229" w:rsidRDefault="00807229" w:rsidP="00807229">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 </w:t>
            </w:r>
          </w:p>
        </w:tc>
        <w:tc>
          <w:tcPr>
            <w:tcW w:w="749" w:type="pct"/>
            <w:tcBorders>
              <w:top w:val="nil"/>
              <w:left w:val="single" w:sz="4" w:space="0" w:color="FFFFFF" w:themeColor="background1"/>
              <w:bottom w:val="single" w:sz="4" w:space="0" w:color="95B3D7"/>
              <w:right w:val="single" w:sz="4" w:space="0" w:color="FFFFFF" w:themeColor="background1"/>
            </w:tcBorders>
            <w:shd w:val="clear" w:color="000000" w:fill="DA9896"/>
            <w:noWrap/>
            <w:vAlign w:val="bottom"/>
          </w:tcPr>
          <w:p w14:paraId="558146A7" w14:textId="77777777" w:rsidR="00807229" w:rsidRPr="00807229" w:rsidRDefault="00807229" w:rsidP="00807229">
            <w:pPr>
              <w:spacing w:before="0" w:after="0"/>
              <w:contextualSpacing w:val="0"/>
              <w:jc w:val="center"/>
              <w:rPr>
                <w:rFonts w:asciiTheme="majorHAnsi" w:eastAsia="Times New Roman" w:hAnsiTheme="majorHAnsi"/>
                <w:color w:val="000000"/>
                <w:sz w:val="20"/>
                <w:szCs w:val="20"/>
                <w:lang w:eastAsia="cs-CZ"/>
              </w:rPr>
            </w:pPr>
          </w:p>
        </w:tc>
        <w:tc>
          <w:tcPr>
            <w:tcW w:w="963" w:type="pct"/>
            <w:tcBorders>
              <w:top w:val="nil"/>
              <w:left w:val="single" w:sz="4" w:space="0" w:color="FFFFFF" w:themeColor="background1"/>
              <w:bottom w:val="single" w:sz="4" w:space="0" w:color="95B3D7"/>
              <w:right w:val="nil"/>
            </w:tcBorders>
            <w:shd w:val="clear" w:color="000000" w:fill="DA9896"/>
          </w:tcPr>
          <w:p w14:paraId="5B804597" w14:textId="77777777" w:rsidR="00807229" w:rsidRPr="00807229" w:rsidRDefault="00807229" w:rsidP="00807229">
            <w:pPr>
              <w:spacing w:before="0" w:after="0"/>
              <w:contextualSpacing w:val="0"/>
              <w:jc w:val="center"/>
              <w:rPr>
                <w:rFonts w:asciiTheme="majorHAnsi" w:eastAsia="Times New Roman" w:hAnsiTheme="majorHAnsi"/>
                <w:color w:val="000000"/>
                <w:sz w:val="20"/>
                <w:szCs w:val="20"/>
                <w:lang w:eastAsia="cs-CZ"/>
              </w:rPr>
            </w:pPr>
          </w:p>
        </w:tc>
      </w:tr>
      <w:tr w:rsidR="00BB3273" w:rsidRPr="00807229" w14:paraId="124BCD95" w14:textId="77777777" w:rsidTr="00DF1232">
        <w:trPr>
          <w:trHeight w:val="274"/>
        </w:trPr>
        <w:tc>
          <w:tcPr>
            <w:tcW w:w="1416" w:type="pct"/>
            <w:tcBorders>
              <w:top w:val="nil"/>
              <w:left w:val="nil"/>
              <w:bottom w:val="single" w:sz="4" w:space="0" w:color="95B3D7"/>
              <w:right w:val="single" w:sz="4" w:space="0" w:color="FFFFFF"/>
            </w:tcBorders>
            <w:shd w:val="clear" w:color="auto" w:fill="F3DEDD"/>
            <w:noWrap/>
            <w:vAlign w:val="bottom"/>
            <w:hideMark/>
          </w:tcPr>
          <w:p w14:paraId="41CAF1F5" w14:textId="77777777" w:rsidR="00BB3273" w:rsidRPr="00807229" w:rsidRDefault="00BB3273" w:rsidP="00BB3273">
            <w:pPr>
              <w:spacing w:before="0" w:after="0"/>
              <w:contextualSpacing w:val="0"/>
              <w:jc w:val="left"/>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II.SKUPINA (&gt;1 000 MIL.KČ)</w:t>
            </w:r>
          </w:p>
        </w:tc>
        <w:tc>
          <w:tcPr>
            <w:tcW w:w="392" w:type="pct"/>
            <w:tcBorders>
              <w:top w:val="nil"/>
              <w:left w:val="nil"/>
              <w:bottom w:val="single" w:sz="4" w:space="0" w:color="95B3D7"/>
              <w:right w:val="single" w:sz="4" w:space="0" w:color="FFFFFF"/>
            </w:tcBorders>
            <w:shd w:val="clear" w:color="auto" w:fill="F3DEDD"/>
            <w:noWrap/>
            <w:vAlign w:val="bottom"/>
            <w:hideMark/>
          </w:tcPr>
          <w:p w14:paraId="21B10C03"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5</w:t>
            </w:r>
          </w:p>
        </w:tc>
        <w:tc>
          <w:tcPr>
            <w:tcW w:w="494" w:type="pct"/>
            <w:tcBorders>
              <w:top w:val="nil"/>
              <w:left w:val="nil"/>
              <w:bottom w:val="single" w:sz="4" w:space="0" w:color="95B3D7"/>
              <w:right w:val="single" w:sz="4" w:space="0" w:color="FFFFFF"/>
            </w:tcBorders>
            <w:shd w:val="clear" w:color="000000" w:fill="F3DEDD"/>
            <w:noWrap/>
            <w:vAlign w:val="bottom"/>
            <w:hideMark/>
          </w:tcPr>
          <w:p w14:paraId="202697EC"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0,75</w:t>
            </w:r>
          </w:p>
        </w:tc>
        <w:tc>
          <w:tcPr>
            <w:tcW w:w="494" w:type="pct"/>
            <w:tcBorders>
              <w:top w:val="nil"/>
              <w:left w:val="nil"/>
              <w:bottom w:val="single" w:sz="4" w:space="0" w:color="95B3D7"/>
              <w:right w:val="single" w:sz="4" w:space="0" w:color="FFFFFF"/>
            </w:tcBorders>
            <w:shd w:val="clear" w:color="000000" w:fill="F3DEDD"/>
            <w:noWrap/>
            <w:vAlign w:val="bottom"/>
            <w:hideMark/>
          </w:tcPr>
          <w:p w14:paraId="039F017E"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30,64</w:t>
            </w:r>
          </w:p>
        </w:tc>
        <w:tc>
          <w:tcPr>
            <w:tcW w:w="491" w:type="pct"/>
            <w:tcBorders>
              <w:top w:val="nil"/>
              <w:left w:val="nil"/>
              <w:bottom w:val="single" w:sz="4" w:space="0" w:color="95B3D7"/>
              <w:right w:val="single" w:sz="4" w:space="0" w:color="FFFFFF" w:themeColor="background1"/>
            </w:tcBorders>
            <w:shd w:val="clear" w:color="000000" w:fill="F3DEDD"/>
            <w:vAlign w:val="bottom"/>
          </w:tcPr>
          <w:p w14:paraId="06090090"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31,25</w:t>
            </w:r>
          </w:p>
        </w:tc>
        <w:tc>
          <w:tcPr>
            <w:tcW w:w="749" w:type="pct"/>
            <w:tcBorders>
              <w:top w:val="nil"/>
              <w:left w:val="single" w:sz="4" w:space="0" w:color="FFFFFF" w:themeColor="background1"/>
              <w:bottom w:val="single" w:sz="4" w:space="0" w:color="95B3D7"/>
              <w:right w:val="single" w:sz="4" w:space="0" w:color="FFFFFF" w:themeColor="background1"/>
            </w:tcBorders>
            <w:shd w:val="clear" w:color="000000" w:fill="F3DEDD"/>
            <w:noWrap/>
          </w:tcPr>
          <w:p w14:paraId="22675A39"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49,56</w:t>
            </w:r>
          </w:p>
        </w:tc>
        <w:tc>
          <w:tcPr>
            <w:tcW w:w="963" w:type="pct"/>
            <w:tcBorders>
              <w:top w:val="nil"/>
              <w:left w:val="single" w:sz="4" w:space="0" w:color="FFFFFF" w:themeColor="background1"/>
              <w:bottom w:val="single" w:sz="4" w:space="0" w:color="95B3D7"/>
              <w:right w:val="nil"/>
            </w:tcBorders>
            <w:shd w:val="clear" w:color="000000" w:fill="F3DEDD"/>
          </w:tcPr>
          <w:p w14:paraId="71FD023D"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18,69</w:t>
            </w:r>
          </w:p>
        </w:tc>
      </w:tr>
      <w:tr w:rsidR="00BB3273" w:rsidRPr="00807229" w14:paraId="5E6DC8F8" w14:textId="77777777" w:rsidTr="00DF1232">
        <w:trPr>
          <w:trHeight w:val="274"/>
        </w:trPr>
        <w:tc>
          <w:tcPr>
            <w:tcW w:w="1416" w:type="pct"/>
            <w:tcBorders>
              <w:top w:val="nil"/>
              <w:left w:val="nil"/>
              <w:bottom w:val="single" w:sz="4" w:space="0" w:color="95B3D7"/>
              <w:right w:val="single" w:sz="4" w:space="0" w:color="FFFFFF"/>
            </w:tcBorders>
            <w:shd w:val="clear" w:color="auto" w:fill="DA9896"/>
            <w:noWrap/>
            <w:vAlign w:val="bottom"/>
            <w:hideMark/>
          </w:tcPr>
          <w:p w14:paraId="011A8481" w14:textId="77777777" w:rsidR="00BB3273" w:rsidRPr="00807229" w:rsidRDefault="00BB3273" w:rsidP="00BB3273">
            <w:pPr>
              <w:spacing w:before="0" w:after="0"/>
              <w:contextualSpacing w:val="0"/>
              <w:jc w:val="left"/>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III.SKUPINA (&gt;100 MIL.KČ)</w:t>
            </w:r>
          </w:p>
        </w:tc>
        <w:tc>
          <w:tcPr>
            <w:tcW w:w="392" w:type="pct"/>
            <w:tcBorders>
              <w:top w:val="nil"/>
              <w:left w:val="nil"/>
              <w:bottom w:val="single" w:sz="4" w:space="0" w:color="95B3D7"/>
              <w:right w:val="single" w:sz="4" w:space="0" w:color="FFFFFF"/>
            </w:tcBorders>
            <w:shd w:val="clear" w:color="000000" w:fill="DA9896"/>
            <w:noWrap/>
            <w:vAlign w:val="bottom"/>
            <w:hideMark/>
          </w:tcPr>
          <w:p w14:paraId="715A0541"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213</w:t>
            </w:r>
          </w:p>
        </w:tc>
        <w:tc>
          <w:tcPr>
            <w:tcW w:w="494" w:type="pct"/>
            <w:tcBorders>
              <w:top w:val="nil"/>
              <w:left w:val="nil"/>
              <w:bottom w:val="single" w:sz="4" w:space="0" w:color="95B3D7"/>
              <w:right w:val="single" w:sz="4" w:space="0" w:color="FFFFFF"/>
            </w:tcBorders>
            <w:shd w:val="clear" w:color="000000" w:fill="DA9896"/>
            <w:noWrap/>
            <w:vAlign w:val="bottom"/>
            <w:hideMark/>
          </w:tcPr>
          <w:p w14:paraId="258877E4"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0,70</w:t>
            </w:r>
          </w:p>
        </w:tc>
        <w:tc>
          <w:tcPr>
            <w:tcW w:w="494" w:type="pct"/>
            <w:tcBorders>
              <w:top w:val="nil"/>
              <w:left w:val="nil"/>
              <w:bottom w:val="single" w:sz="4" w:space="0" w:color="95B3D7"/>
              <w:right w:val="single" w:sz="4" w:space="0" w:color="FFFFFF"/>
            </w:tcBorders>
            <w:shd w:val="clear" w:color="000000" w:fill="DA9896"/>
            <w:noWrap/>
            <w:vAlign w:val="bottom"/>
            <w:hideMark/>
          </w:tcPr>
          <w:p w14:paraId="7F6C2CC8"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30,39</w:t>
            </w:r>
          </w:p>
        </w:tc>
        <w:tc>
          <w:tcPr>
            <w:tcW w:w="491" w:type="pct"/>
            <w:tcBorders>
              <w:top w:val="nil"/>
              <w:left w:val="nil"/>
              <w:bottom w:val="single" w:sz="4" w:space="0" w:color="95B3D7"/>
              <w:right w:val="single" w:sz="4" w:space="0" w:color="FFFFFF" w:themeColor="background1"/>
            </w:tcBorders>
            <w:shd w:val="clear" w:color="000000" w:fill="DA9896"/>
            <w:vAlign w:val="bottom"/>
          </w:tcPr>
          <w:p w14:paraId="73FEF561"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33,58</w:t>
            </w:r>
          </w:p>
        </w:tc>
        <w:tc>
          <w:tcPr>
            <w:tcW w:w="749" w:type="pct"/>
            <w:tcBorders>
              <w:top w:val="nil"/>
              <w:left w:val="single" w:sz="4" w:space="0" w:color="FFFFFF" w:themeColor="background1"/>
              <w:bottom w:val="single" w:sz="4" w:space="0" w:color="95B3D7"/>
              <w:right w:val="single" w:sz="4" w:space="0" w:color="FFFFFF" w:themeColor="background1"/>
            </w:tcBorders>
            <w:shd w:val="clear" w:color="000000" w:fill="DA9896"/>
            <w:noWrap/>
          </w:tcPr>
          <w:p w14:paraId="17188CD7"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64,07</w:t>
            </w:r>
          </w:p>
        </w:tc>
        <w:tc>
          <w:tcPr>
            <w:tcW w:w="963" w:type="pct"/>
            <w:tcBorders>
              <w:top w:val="nil"/>
              <w:left w:val="single" w:sz="4" w:space="0" w:color="FFFFFF" w:themeColor="background1"/>
              <w:bottom w:val="single" w:sz="4" w:space="0" w:color="95B3D7"/>
              <w:right w:val="nil"/>
            </w:tcBorders>
            <w:shd w:val="clear" w:color="000000" w:fill="DA9896"/>
          </w:tcPr>
          <w:p w14:paraId="23DFDEA9"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33,01</w:t>
            </w:r>
          </w:p>
        </w:tc>
      </w:tr>
      <w:tr w:rsidR="00BB3273" w:rsidRPr="00807229" w14:paraId="27356AE3" w14:textId="77777777" w:rsidTr="00DF1232">
        <w:trPr>
          <w:trHeight w:val="274"/>
        </w:trPr>
        <w:tc>
          <w:tcPr>
            <w:tcW w:w="1416" w:type="pct"/>
            <w:tcBorders>
              <w:top w:val="nil"/>
              <w:left w:val="nil"/>
              <w:bottom w:val="single" w:sz="4" w:space="0" w:color="95B3D7"/>
              <w:right w:val="single" w:sz="4" w:space="0" w:color="FFFFFF"/>
            </w:tcBorders>
            <w:shd w:val="clear" w:color="auto" w:fill="F3DEDD"/>
            <w:noWrap/>
            <w:vAlign w:val="bottom"/>
            <w:hideMark/>
          </w:tcPr>
          <w:p w14:paraId="34C3A830" w14:textId="77777777" w:rsidR="00BB3273" w:rsidRPr="00807229" w:rsidRDefault="00BB3273" w:rsidP="00BB3273">
            <w:pPr>
              <w:spacing w:before="0" w:after="0"/>
              <w:contextualSpacing w:val="0"/>
              <w:jc w:val="left"/>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IV.SKUPINA (&gt;10 MIL.KČ)</w:t>
            </w:r>
          </w:p>
        </w:tc>
        <w:tc>
          <w:tcPr>
            <w:tcW w:w="392" w:type="pct"/>
            <w:tcBorders>
              <w:top w:val="nil"/>
              <w:left w:val="nil"/>
              <w:bottom w:val="single" w:sz="4" w:space="0" w:color="95B3D7"/>
              <w:right w:val="single" w:sz="4" w:space="0" w:color="FFFFFF"/>
            </w:tcBorders>
            <w:shd w:val="clear" w:color="000000" w:fill="F3DEDD"/>
            <w:noWrap/>
            <w:vAlign w:val="bottom"/>
            <w:hideMark/>
          </w:tcPr>
          <w:p w14:paraId="511807F6"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1228</w:t>
            </w:r>
          </w:p>
        </w:tc>
        <w:tc>
          <w:tcPr>
            <w:tcW w:w="494" w:type="pct"/>
            <w:tcBorders>
              <w:top w:val="nil"/>
              <w:left w:val="nil"/>
              <w:bottom w:val="single" w:sz="4" w:space="0" w:color="95B3D7"/>
              <w:right w:val="single" w:sz="4" w:space="0" w:color="FFFFFF"/>
            </w:tcBorders>
            <w:shd w:val="clear" w:color="000000" w:fill="F3DEDD"/>
            <w:noWrap/>
            <w:vAlign w:val="bottom"/>
            <w:hideMark/>
          </w:tcPr>
          <w:p w14:paraId="21F64FFF"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0,47</w:t>
            </w:r>
          </w:p>
        </w:tc>
        <w:tc>
          <w:tcPr>
            <w:tcW w:w="494" w:type="pct"/>
            <w:tcBorders>
              <w:top w:val="nil"/>
              <w:left w:val="nil"/>
              <w:bottom w:val="single" w:sz="4" w:space="0" w:color="95B3D7"/>
              <w:right w:val="single" w:sz="4" w:space="0" w:color="FFFFFF"/>
            </w:tcBorders>
            <w:shd w:val="clear" w:color="000000" w:fill="F3DEDD"/>
            <w:noWrap/>
            <w:vAlign w:val="bottom"/>
            <w:hideMark/>
          </w:tcPr>
          <w:p w14:paraId="0167A522"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22,86</w:t>
            </w:r>
          </w:p>
        </w:tc>
        <w:tc>
          <w:tcPr>
            <w:tcW w:w="491" w:type="pct"/>
            <w:tcBorders>
              <w:top w:val="nil"/>
              <w:left w:val="nil"/>
              <w:bottom w:val="single" w:sz="4" w:space="0" w:color="95B3D7"/>
              <w:right w:val="single" w:sz="4" w:space="0" w:color="FFFFFF" w:themeColor="background1"/>
            </w:tcBorders>
            <w:shd w:val="clear" w:color="000000" w:fill="F3DEDD"/>
            <w:vAlign w:val="bottom"/>
          </w:tcPr>
          <w:p w14:paraId="0036C560"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32,93</w:t>
            </w:r>
          </w:p>
        </w:tc>
        <w:tc>
          <w:tcPr>
            <w:tcW w:w="749" w:type="pct"/>
            <w:tcBorders>
              <w:top w:val="nil"/>
              <w:left w:val="single" w:sz="4" w:space="0" w:color="FFFFFF" w:themeColor="background1"/>
              <w:bottom w:val="single" w:sz="4" w:space="0" w:color="95B3D7"/>
              <w:right w:val="single" w:sz="4" w:space="0" w:color="FFFFFF" w:themeColor="background1"/>
            </w:tcBorders>
            <w:shd w:val="clear" w:color="000000" w:fill="F3DEDD"/>
            <w:noWrap/>
          </w:tcPr>
          <w:p w14:paraId="503E93F2"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60,78</w:t>
            </w:r>
          </w:p>
        </w:tc>
        <w:tc>
          <w:tcPr>
            <w:tcW w:w="963" w:type="pct"/>
            <w:tcBorders>
              <w:top w:val="nil"/>
              <w:left w:val="single" w:sz="4" w:space="0" w:color="FFFFFF" w:themeColor="background1"/>
              <w:bottom w:val="single" w:sz="4" w:space="0" w:color="95B3D7"/>
              <w:right w:val="nil"/>
            </w:tcBorders>
            <w:shd w:val="clear" w:color="000000" w:fill="F3DEDD"/>
          </w:tcPr>
          <w:p w14:paraId="0BBE865E"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31,89</w:t>
            </w:r>
          </w:p>
        </w:tc>
      </w:tr>
      <w:tr w:rsidR="00BB3273" w:rsidRPr="00807229" w14:paraId="7FFBDEB6" w14:textId="77777777" w:rsidTr="00DF1232">
        <w:trPr>
          <w:trHeight w:val="274"/>
        </w:trPr>
        <w:tc>
          <w:tcPr>
            <w:tcW w:w="1416" w:type="pct"/>
            <w:tcBorders>
              <w:top w:val="nil"/>
              <w:left w:val="nil"/>
              <w:bottom w:val="single" w:sz="4" w:space="0" w:color="95B3D7"/>
              <w:right w:val="single" w:sz="4" w:space="0" w:color="FFFFFF"/>
            </w:tcBorders>
            <w:shd w:val="clear" w:color="auto" w:fill="DA9896"/>
            <w:noWrap/>
            <w:vAlign w:val="bottom"/>
            <w:hideMark/>
          </w:tcPr>
          <w:p w14:paraId="47525CC8" w14:textId="77777777" w:rsidR="00BB3273" w:rsidRPr="00807229" w:rsidRDefault="00BB3273" w:rsidP="00BB3273">
            <w:pPr>
              <w:spacing w:before="0" w:after="0"/>
              <w:contextualSpacing w:val="0"/>
              <w:jc w:val="left"/>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V.SKUPINA (&gt;1 MIL.KČ)</w:t>
            </w:r>
          </w:p>
        </w:tc>
        <w:tc>
          <w:tcPr>
            <w:tcW w:w="392" w:type="pct"/>
            <w:tcBorders>
              <w:top w:val="nil"/>
              <w:left w:val="nil"/>
              <w:bottom w:val="single" w:sz="4" w:space="0" w:color="95B3D7"/>
              <w:right w:val="single" w:sz="4" w:space="0" w:color="FFFFFF"/>
            </w:tcBorders>
            <w:shd w:val="clear" w:color="000000" w:fill="DA9896"/>
            <w:noWrap/>
            <w:vAlign w:val="bottom"/>
            <w:hideMark/>
          </w:tcPr>
          <w:p w14:paraId="3DBE4816"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260</w:t>
            </w:r>
          </w:p>
        </w:tc>
        <w:tc>
          <w:tcPr>
            <w:tcW w:w="494" w:type="pct"/>
            <w:tcBorders>
              <w:top w:val="nil"/>
              <w:left w:val="nil"/>
              <w:bottom w:val="single" w:sz="4" w:space="0" w:color="95B3D7"/>
              <w:right w:val="single" w:sz="4" w:space="0" w:color="FFFFFF"/>
            </w:tcBorders>
            <w:shd w:val="clear" w:color="000000" w:fill="DA9896"/>
            <w:noWrap/>
            <w:vAlign w:val="bottom"/>
            <w:hideMark/>
          </w:tcPr>
          <w:p w14:paraId="47E04F41"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0,35</w:t>
            </w:r>
          </w:p>
        </w:tc>
        <w:tc>
          <w:tcPr>
            <w:tcW w:w="494" w:type="pct"/>
            <w:tcBorders>
              <w:top w:val="nil"/>
              <w:left w:val="nil"/>
              <w:bottom w:val="single" w:sz="4" w:space="0" w:color="95B3D7"/>
              <w:right w:val="single" w:sz="4" w:space="0" w:color="FFFFFF"/>
            </w:tcBorders>
            <w:shd w:val="clear" w:color="000000" w:fill="DA9896"/>
            <w:noWrap/>
            <w:vAlign w:val="bottom"/>
            <w:hideMark/>
          </w:tcPr>
          <w:p w14:paraId="034D5399"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13,11</w:t>
            </w:r>
          </w:p>
        </w:tc>
        <w:tc>
          <w:tcPr>
            <w:tcW w:w="491" w:type="pct"/>
            <w:tcBorders>
              <w:top w:val="nil"/>
              <w:left w:val="nil"/>
              <w:bottom w:val="single" w:sz="4" w:space="0" w:color="95B3D7"/>
              <w:right w:val="single" w:sz="4" w:space="0" w:color="FFFFFF" w:themeColor="background1"/>
            </w:tcBorders>
            <w:shd w:val="clear" w:color="000000" w:fill="DA9896"/>
            <w:vAlign w:val="bottom"/>
          </w:tcPr>
          <w:p w14:paraId="488CC609"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22,95</w:t>
            </w:r>
          </w:p>
        </w:tc>
        <w:tc>
          <w:tcPr>
            <w:tcW w:w="749" w:type="pct"/>
            <w:tcBorders>
              <w:top w:val="nil"/>
              <w:left w:val="single" w:sz="4" w:space="0" w:color="FFFFFF" w:themeColor="background1"/>
              <w:bottom w:val="single" w:sz="4" w:space="0" w:color="95B3D7"/>
              <w:right w:val="single" w:sz="4" w:space="0" w:color="FFFFFF" w:themeColor="background1"/>
            </w:tcBorders>
            <w:shd w:val="clear" w:color="000000" w:fill="DA9896"/>
            <w:noWrap/>
          </w:tcPr>
          <w:p w14:paraId="5B961C9D"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36,42</w:t>
            </w:r>
          </w:p>
        </w:tc>
        <w:tc>
          <w:tcPr>
            <w:tcW w:w="963" w:type="pct"/>
            <w:tcBorders>
              <w:top w:val="nil"/>
              <w:left w:val="single" w:sz="4" w:space="0" w:color="FFFFFF" w:themeColor="background1"/>
              <w:bottom w:val="single" w:sz="4" w:space="0" w:color="95B3D7"/>
              <w:right w:val="nil"/>
            </w:tcBorders>
            <w:shd w:val="clear" w:color="000000" w:fill="DA9896"/>
          </w:tcPr>
          <w:p w14:paraId="28D49F9C"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16,18</w:t>
            </w:r>
          </w:p>
        </w:tc>
      </w:tr>
      <w:tr w:rsidR="00BB3273" w:rsidRPr="00807229" w14:paraId="35E57072" w14:textId="77777777" w:rsidTr="00DF1232">
        <w:trPr>
          <w:trHeight w:val="274"/>
        </w:trPr>
        <w:tc>
          <w:tcPr>
            <w:tcW w:w="1416" w:type="pct"/>
            <w:tcBorders>
              <w:top w:val="nil"/>
              <w:left w:val="nil"/>
              <w:bottom w:val="nil"/>
              <w:right w:val="single" w:sz="4" w:space="0" w:color="FFFFFF"/>
            </w:tcBorders>
            <w:shd w:val="clear" w:color="auto" w:fill="F3DEDD"/>
            <w:noWrap/>
            <w:vAlign w:val="bottom"/>
            <w:hideMark/>
          </w:tcPr>
          <w:p w14:paraId="7C9BF169" w14:textId="77777777" w:rsidR="00BB3273" w:rsidRPr="00807229" w:rsidRDefault="00BB3273" w:rsidP="00BB3273">
            <w:pPr>
              <w:spacing w:before="0" w:after="0"/>
              <w:contextualSpacing w:val="0"/>
              <w:jc w:val="left"/>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VI.SKUPINA (&lt;1 MIL.KČ)</w:t>
            </w:r>
          </w:p>
        </w:tc>
        <w:tc>
          <w:tcPr>
            <w:tcW w:w="392" w:type="pct"/>
            <w:tcBorders>
              <w:top w:val="nil"/>
              <w:left w:val="nil"/>
              <w:bottom w:val="nil"/>
              <w:right w:val="single" w:sz="4" w:space="0" w:color="FFFFFF"/>
            </w:tcBorders>
            <w:shd w:val="clear" w:color="000000" w:fill="F3DEDD"/>
            <w:noWrap/>
            <w:vAlign w:val="bottom"/>
            <w:hideMark/>
          </w:tcPr>
          <w:p w14:paraId="05894EBF"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10</w:t>
            </w:r>
          </w:p>
        </w:tc>
        <w:tc>
          <w:tcPr>
            <w:tcW w:w="494" w:type="pct"/>
            <w:tcBorders>
              <w:top w:val="nil"/>
              <w:left w:val="nil"/>
              <w:bottom w:val="nil"/>
              <w:right w:val="single" w:sz="4" w:space="0" w:color="FFFFFF"/>
            </w:tcBorders>
            <w:shd w:val="clear" w:color="000000" w:fill="F3DEDD"/>
            <w:noWrap/>
            <w:vAlign w:val="bottom"/>
            <w:hideMark/>
          </w:tcPr>
          <w:p w14:paraId="7F9EA3C4"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0,44</w:t>
            </w:r>
          </w:p>
        </w:tc>
        <w:tc>
          <w:tcPr>
            <w:tcW w:w="494" w:type="pct"/>
            <w:tcBorders>
              <w:top w:val="nil"/>
              <w:left w:val="nil"/>
              <w:bottom w:val="nil"/>
              <w:right w:val="single" w:sz="4" w:space="0" w:color="FFFFFF"/>
            </w:tcBorders>
            <w:shd w:val="clear" w:color="000000" w:fill="F3DEDD"/>
            <w:noWrap/>
            <w:vAlign w:val="bottom"/>
            <w:hideMark/>
          </w:tcPr>
          <w:p w14:paraId="03FD80C1"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11,34</w:t>
            </w:r>
          </w:p>
        </w:tc>
        <w:tc>
          <w:tcPr>
            <w:tcW w:w="491" w:type="pct"/>
            <w:tcBorders>
              <w:top w:val="nil"/>
              <w:left w:val="nil"/>
              <w:bottom w:val="nil"/>
              <w:right w:val="single" w:sz="4" w:space="0" w:color="FFFFFF" w:themeColor="background1"/>
            </w:tcBorders>
            <w:shd w:val="clear" w:color="000000" w:fill="F3DEDD"/>
            <w:vAlign w:val="bottom"/>
          </w:tcPr>
          <w:p w14:paraId="2F412AFB"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807229">
              <w:rPr>
                <w:rFonts w:asciiTheme="majorHAnsi" w:eastAsia="Times New Roman" w:hAnsiTheme="majorHAnsi"/>
                <w:color w:val="000000"/>
                <w:sz w:val="20"/>
                <w:szCs w:val="20"/>
                <w:lang w:eastAsia="cs-CZ"/>
              </w:rPr>
              <w:t>18,28</w:t>
            </w:r>
          </w:p>
        </w:tc>
        <w:tc>
          <w:tcPr>
            <w:tcW w:w="749" w:type="pct"/>
            <w:tcBorders>
              <w:top w:val="nil"/>
              <w:left w:val="single" w:sz="4" w:space="0" w:color="FFFFFF" w:themeColor="background1"/>
              <w:bottom w:val="nil"/>
              <w:right w:val="single" w:sz="4" w:space="0" w:color="FFFFFF" w:themeColor="background1"/>
            </w:tcBorders>
            <w:shd w:val="clear" w:color="000000" w:fill="F3DEDD"/>
            <w:noWrap/>
          </w:tcPr>
          <w:p w14:paraId="721AA1DE"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19,43</w:t>
            </w:r>
          </w:p>
        </w:tc>
        <w:tc>
          <w:tcPr>
            <w:tcW w:w="963" w:type="pct"/>
            <w:tcBorders>
              <w:top w:val="nil"/>
              <w:left w:val="single" w:sz="4" w:space="0" w:color="FFFFFF" w:themeColor="background1"/>
              <w:bottom w:val="nil"/>
              <w:right w:val="nil"/>
            </w:tcBorders>
            <w:shd w:val="clear" w:color="000000" w:fill="F3DEDD"/>
          </w:tcPr>
          <w:p w14:paraId="02C0B4D1" w14:textId="77777777" w:rsidR="00BB3273" w:rsidRPr="00807229" w:rsidRDefault="00BB3273" w:rsidP="00BB3273">
            <w:pPr>
              <w:spacing w:before="0" w:after="0"/>
              <w:contextualSpacing w:val="0"/>
              <w:jc w:val="center"/>
              <w:rPr>
                <w:rFonts w:asciiTheme="majorHAnsi" w:eastAsia="Times New Roman" w:hAnsiTheme="majorHAnsi"/>
                <w:color w:val="000000"/>
                <w:sz w:val="20"/>
                <w:szCs w:val="20"/>
                <w:lang w:eastAsia="cs-CZ"/>
              </w:rPr>
            </w:pPr>
            <w:r w:rsidRPr="00BB3273">
              <w:rPr>
                <w:rFonts w:asciiTheme="majorHAnsi" w:eastAsia="Times New Roman" w:hAnsiTheme="majorHAnsi"/>
                <w:color w:val="000000"/>
                <w:sz w:val="20"/>
                <w:szCs w:val="20"/>
                <w:lang w:eastAsia="cs-CZ"/>
              </w:rPr>
              <w:t>4,24</w:t>
            </w:r>
          </w:p>
        </w:tc>
      </w:tr>
      <w:tr w:rsidR="00BB3273" w:rsidRPr="00807229" w14:paraId="0E0EC69F" w14:textId="77777777" w:rsidTr="00DF1232">
        <w:trPr>
          <w:trHeight w:val="274"/>
        </w:trPr>
        <w:tc>
          <w:tcPr>
            <w:tcW w:w="1416" w:type="pct"/>
            <w:tcBorders>
              <w:top w:val="single" w:sz="4" w:space="0" w:color="95B3D7"/>
              <w:left w:val="nil"/>
              <w:bottom w:val="nil"/>
              <w:right w:val="single" w:sz="4" w:space="0" w:color="FFFFFF"/>
            </w:tcBorders>
            <w:shd w:val="clear" w:color="auto" w:fill="DA9896"/>
            <w:noWrap/>
            <w:vAlign w:val="bottom"/>
            <w:hideMark/>
          </w:tcPr>
          <w:p w14:paraId="3E1799F0" w14:textId="77777777" w:rsidR="00BB3273" w:rsidRPr="00807229" w:rsidRDefault="00BB3273" w:rsidP="00BB3273">
            <w:pPr>
              <w:spacing w:before="0" w:after="0"/>
              <w:contextualSpacing w:val="0"/>
              <w:jc w:val="left"/>
              <w:rPr>
                <w:rFonts w:asciiTheme="majorHAnsi" w:eastAsia="Times New Roman" w:hAnsiTheme="majorHAnsi"/>
                <w:b/>
                <w:bCs/>
                <w:color w:val="000000"/>
                <w:sz w:val="20"/>
                <w:szCs w:val="20"/>
                <w:lang w:eastAsia="cs-CZ"/>
              </w:rPr>
            </w:pPr>
            <w:r w:rsidRPr="00807229">
              <w:rPr>
                <w:rFonts w:asciiTheme="majorHAnsi" w:eastAsia="Times New Roman" w:hAnsiTheme="majorHAnsi"/>
                <w:b/>
                <w:bCs/>
                <w:color w:val="000000"/>
                <w:sz w:val="20"/>
                <w:szCs w:val="20"/>
                <w:lang w:eastAsia="cs-CZ"/>
              </w:rPr>
              <w:t>CELKEM</w:t>
            </w:r>
          </w:p>
        </w:tc>
        <w:tc>
          <w:tcPr>
            <w:tcW w:w="392" w:type="pct"/>
            <w:tcBorders>
              <w:top w:val="single" w:sz="4" w:space="0" w:color="95B3D7"/>
              <w:left w:val="nil"/>
              <w:bottom w:val="nil"/>
              <w:right w:val="single" w:sz="4" w:space="0" w:color="FFFFFF"/>
            </w:tcBorders>
            <w:shd w:val="clear" w:color="000000" w:fill="DA9896"/>
            <w:noWrap/>
            <w:vAlign w:val="bottom"/>
            <w:hideMark/>
          </w:tcPr>
          <w:p w14:paraId="2A795279" w14:textId="77777777" w:rsidR="00BB3273" w:rsidRPr="00807229" w:rsidRDefault="00BB3273" w:rsidP="00BB3273">
            <w:pPr>
              <w:spacing w:before="0" w:after="0"/>
              <w:contextualSpacing w:val="0"/>
              <w:jc w:val="center"/>
              <w:rPr>
                <w:rFonts w:asciiTheme="majorHAnsi" w:eastAsia="Times New Roman" w:hAnsiTheme="majorHAnsi"/>
                <w:b/>
                <w:bCs/>
                <w:color w:val="000000"/>
                <w:sz w:val="20"/>
                <w:szCs w:val="20"/>
                <w:lang w:eastAsia="cs-CZ"/>
              </w:rPr>
            </w:pPr>
            <w:r w:rsidRPr="00807229">
              <w:rPr>
                <w:rFonts w:asciiTheme="majorHAnsi" w:eastAsia="Times New Roman" w:hAnsiTheme="majorHAnsi"/>
                <w:b/>
                <w:bCs/>
                <w:color w:val="000000"/>
                <w:sz w:val="20"/>
                <w:szCs w:val="20"/>
                <w:lang w:eastAsia="cs-CZ"/>
              </w:rPr>
              <w:t>1716</w:t>
            </w:r>
          </w:p>
        </w:tc>
        <w:tc>
          <w:tcPr>
            <w:tcW w:w="494" w:type="pct"/>
            <w:tcBorders>
              <w:top w:val="single" w:sz="4" w:space="0" w:color="95B3D7"/>
              <w:left w:val="nil"/>
              <w:bottom w:val="nil"/>
              <w:right w:val="single" w:sz="4" w:space="0" w:color="FFFFFF"/>
            </w:tcBorders>
            <w:shd w:val="clear" w:color="000000" w:fill="DA9896"/>
            <w:noWrap/>
            <w:vAlign w:val="bottom"/>
            <w:hideMark/>
          </w:tcPr>
          <w:p w14:paraId="0B5DADF9" w14:textId="77777777" w:rsidR="00BB3273" w:rsidRPr="00807229" w:rsidRDefault="00BB3273" w:rsidP="00BB3273">
            <w:pPr>
              <w:spacing w:before="0" w:after="0"/>
              <w:contextualSpacing w:val="0"/>
              <w:jc w:val="center"/>
              <w:rPr>
                <w:rFonts w:asciiTheme="majorHAnsi" w:eastAsia="Times New Roman" w:hAnsiTheme="majorHAnsi"/>
                <w:b/>
                <w:bCs/>
                <w:color w:val="000000"/>
                <w:sz w:val="20"/>
                <w:szCs w:val="20"/>
                <w:lang w:eastAsia="cs-CZ"/>
              </w:rPr>
            </w:pPr>
            <w:r w:rsidRPr="00807229">
              <w:rPr>
                <w:rFonts w:asciiTheme="majorHAnsi" w:eastAsia="Times New Roman" w:hAnsiTheme="majorHAnsi"/>
                <w:b/>
                <w:bCs/>
                <w:color w:val="000000"/>
                <w:sz w:val="20"/>
                <w:szCs w:val="20"/>
                <w:lang w:eastAsia="cs-CZ"/>
              </w:rPr>
              <w:t>0,48</w:t>
            </w:r>
          </w:p>
        </w:tc>
        <w:tc>
          <w:tcPr>
            <w:tcW w:w="494" w:type="pct"/>
            <w:tcBorders>
              <w:top w:val="single" w:sz="4" w:space="0" w:color="95B3D7"/>
              <w:left w:val="nil"/>
              <w:bottom w:val="nil"/>
              <w:right w:val="single" w:sz="4" w:space="0" w:color="FFFFFF"/>
            </w:tcBorders>
            <w:shd w:val="clear" w:color="000000" w:fill="DA9896"/>
            <w:noWrap/>
            <w:vAlign w:val="bottom"/>
            <w:hideMark/>
          </w:tcPr>
          <w:p w14:paraId="23E7DDE9" w14:textId="77777777" w:rsidR="00BB3273" w:rsidRPr="00807229" w:rsidRDefault="00BB3273" w:rsidP="00BB3273">
            <w:pPr>
              <w:spacing w:before="0" w:after="0"/>
              <w:contextualSpacing w:val="0"/>
              <w:jc w:val="center"/>
              <w:rPr>
                <w:rFonts w:asciiTheme="majorHAnsi" w:eastAsia="Times New Roman" w:hAnsiTheme="majorHAnsi"/>
                <w:b/>
                <w:bCs/>
                <w:color w:val="000000"/>
                <w:sz w:val="20"/>
                <w:szCs w:val="20"/>
                <w:lang w:eastAsia="cs-CZ"/>
              </w:rPr>
            </w:pPr>
            <w:r w:rsidRPr="00807229">
              <w:rPr>
                <w:rFonts w:asciiTheme="majorHAnsi" w:eastAsia="Times New Roman" w:hAnsiTheme="majorHAnsi"/>
                <w:b/>
                <w:bCs/>
                <w:color w:val="000000"/>
                <w:sz w:val="20"/>
                <w:szCs w:val="20"/>
                <w:lang w:eastAsia="cs-CZ"/>
              </w:rPr>
              <w:t>22,28</w:t>
            </w:r>
          </w:p>
        </w:tc>
        <w:tc>
          <w:tcPr>
            <w:tcW w:w="491" w:type="pct"/>
            <w:tcBorders>
              <w:top w:val="single" w:sz="4" w:space="0" w:color="95B3D7"/>
              <w:left w:val="nil"/>
              <w:bottom w:val="nil"/>
              <w:right w:val="single" w:sz="4" w:space="0" w:color="FFFFFF" w:themeColor="background1"/>
            </w:tcBorders>
            <w:shd w:val="clear" w:color="000000" w:fill="DA9896"/>
            <w:vAlign w:val="bottom"/>
          </w:tcPr>
          <w:p w14:paraId="1138ECD1" w14:textId="77777777" w:rsidR="00BB3273" w:rsidRPr="00807229" w:rsidRDefault="00BB3273" w:rsidP="00BB3273">
            <w:pPr>
              <w:spacing w:before="0" w:after="0"/>
              <w:contextualSpacing w:val="0"/>
              <w:jc w:val="center"/>
              <w:rPr>
                <w:rFonts w:asciiTheme="majorHAnsi" w:eastAsia="Times New Roman" w:hAnsiTheme="majorHAnsi"/>
                <w:b/>
                <w:bCs/>
                <w:color w:val="000000"/>
                <w:sz w:val="20"/>
                <w:szCs w:val="20"/>
                <w:lang w:eastAsia="cs-CZ"/>
              </w:rPr>
            </w:pPr>
            <w:r w:rsidRPr="00807229">
              <w:rPr>
                <w:rFonts w:asciiTheme="majorHAnsi" w:eastAsia="Times New Roman" w:hAnsiTheme="majorHAnsi"/>
                <w:b/>
                <w:bCs/>
                <w:color w:val="000000"/>
                <w:sz w:val="20"/>
                <w:szCs w:val="20"/>
                <w:lang w:eastAsia="cs-CZ"/>
              </w:rPr>
              <w:t>31,41</w:t>
            </w:r>
          </w:p>
        </w:tc>
        <w:tc>
          <w:tcPr>
            <w:tcW w:w="749" w:type="pct"/>
            <w:tcBorders>
              <w:top w:val="single" w:sz="4" w:space="0" w:color="95B3D7"/>
              <w:left w:val="single" w:sz="4" w:space="0" w:color="FFFFFF" w:themeColor="background1"/>
              <w:bottom w:val="nil"/>
              <w:right w:val="single" w:sz="4" w:space="0" w:color="FFFFFF" w:themeColor="background1"/>
            </w:tcBorders>
            <w:shd w:val="clear" w:color="000000" w:fill="DA9896"/>
            <w:noWrap/>
          </w:tcPr>
          <w:p w14:paraId="4FE1D81B" w14:textId="77777777" w:rsidR="00BB3273" w:rsidRPr="00BB3273" w:rsidRDefault="00BB3273" w:rsidP="00BB3273">
            <w:pPr>
              <w:spacing w:before="0" w:after="0"/>
              <w:contextualSpacing w:val="0"/>
              <w:jc w:val="center"/>
              <w:rPr>
                <w:rFonts w:asciiTheme="majorHAnsi" w:eastAsia="Times New Roman" w:hAnsiTheme="majorHAnsi"/>
                <w:b/>
                <w:color w:val="000000"/>
                <w:sz w:val="20"/>
                <w:szCs w:val="20"/>
                <w:lang w:eastAsia="cs-CZ"/>
              </w:rPr>
            </w:pPr>
            <w:r w:rsidRPr="00BB3273">
              <w:rPr>
                <w:rFonts w:asciiTheme="majorHAnsi" w:eastAsia="Times New Roman" w:hAnsiTheme="majorHAnsi"/>
                <w:b/>
                <w:color w:val="000000"/>
                <w:sz w:val="20"/>
                <w:szCs w:val="20"/>
                <w:lang w:eastAsia="cs-CZ"/>
              </w:rPr>
              <w:t>57,22</w:t>
            </w:r>
          </w:p>
        </w:tc>
        <w:tc>
          <w:tcPr>
            <w:tcW w:w="963" w:type="pct"/>
            <w:tcBorders>
              <w:top w:val="single" w:sz="4" w:space="0" w:color="95B3D7"/>
              <w:left w:val="single" w:sz="4" w:space="0" w:color="FFFFFF" w:themeColor="background1"/>
              <w:bottom w:val="nil"/>
              <w:right w:val="nil"/>
            </w:tcBorders>
            <w:shd w:val="clear" w:color="000000" w:fill="DA9896"/>
          </w:tcPr>
          <w:p w14:paraId="262C56E8" w14:textId="77777777" w:rsidR="00BB3273" w:rsidRPr="00BB3273" w:rsidRDefault="00BB3273" w:rsidP="00BB3273">
            <w:pPr>
              <w:spacing w:before="0" w:after="0"/>
              <w:contextualSpacing w:val="0"/>
              <w:jc w:val="center"/>
              <w:rPr>
                <w:rFonts w:asciiTheme="majorHAnsi" w:eastAsia="Times New Roman" w:hAnsiTheme="majorHAnsi"/>
                <w:b/>
                <w:color w:val="000000"/>
                <w:sz w:val="20"/>
                <w:szCs w:val="20"/>
                <w:lang w:eastAsia="cs-CZ"/>
              </w:rPr>
            </w:pPr>
            <w:r w:rsidRPr="00BB3273">
              <w:rPr>
                <w:rFonts w:asciiTheme="majorHAnsi" w:eastAsia="Times New Roman" w:hAnsiTheme="majorHAnsi"/>
                <w:b/>
                <w:color w:val="000000"/>
                <w:sz w:val="20"/>
                <w:szCs w:val="20"/>
                <w:lang w:eastAsia="cs-CZ"/>
              </w:rPr>
              <w:t>29,45</w:t>
            </w:r>
          </w:p>
        </w:tc>
      </w:tr>
    </w:tbl>
    <w:p w14:paraId="67E6680C" w14:textId="77777777" w:rsidR="0074096B" w:rsidRDefault="0074096B" w:rsidP="00EA29C3">
      <w:pPr>
        <w:pStyle w:val="Normlnzprva"/>
      </w:pPr>
    </w:p>
    <w:p w14:paraId="0D328D99" w14:textId="66929D99" w:rsidR="009F36D5" w:rsidRDefault="00EA29C3" w:rsidP="00F421DF">
      <w:pPr>
        <w:pStyle w:val="NORMLN0"/>
      </w:pPr>
      <w:r w:rsidRPr="00670E65">
        <w:t>Možností, jak zabezpečit plnění obnovy (dosažení samofinancovatelnosti VIM), je využívání řádku 4.4 v Porovnání v návaznosti na pečlivě zpracovaný PFO. P</w:t>
      </w:r>
      <w:r w:rsidR="007D1204">
        <w:t>FO</w:t>
      </w:r>
      <w:r w:rsidRPr="00670E65">
        <w:t xml:space="preserve"> by měl </w:t>
      </w:r>
      <w:r w:rsidR="007D1204">
        <w:t xml:space="preserve">mimo jiné </w:t>
      </w:r>
      <w:r w:rsidRPr="00670E65">
        <w:t xml:space="preserve">vycházet z plánu oprav a investic s charakterem obnovy. </w:t>
      </w:r>
      <w:r w:rsidR="00670E65" w:rsidRPr="00670E65">
        <w:t xml:space="preserve">V případě oddílného a kombinovaného modelu provozování by se tvorba prostředků na obnovu VIM zvýšila i </w:t>
      </w:r>
      <w:r w:rsidR="00670E65" w:rsidRPr="00670E65">
        <w:lastRenderedPageBreak/>
        <w:t xml:space="preserve">odpovídajícím navýšením nájemného VIM. Vlastníci VIM si musejí uvědomit, že pokud nevytváří dostatek prostředků na obnovu VIM, budou v budoucnu nuceni chybějící prostředky financovat z jiných zdrojů nebo </w:t>
      </w:r>
      <w:r w:rsidR="007D1204" w:rsidRPr="00670E65">
        <w:t xml:space="preserve">tuto povinnost </w:t>
      </w:r>
      <w:r w:rsidR="00670E65" w:rsidRPr="00670E65">
        <w:t xml:space="preserve">přenesou na příští generace. </w:t>
      </w:r>
      <w:r w:rsidRPr="00670E65">
        <w:t xml:space="preserve">Další možností je využití kladného kalkulačního zisku jako </w:t>
      </w:r>
      <w:r w:rsidR="007D1204">
        <w:t xml:space="preserve">zdroje generování části </w:t>
      </w:r>
      <w:r w:rsidRPr="00670E65">
        <w:t xml:space="preserve">potřebných prostředků na financování obnovy ve stočném. </w:t>
      </w:r>
    </w:p>
    <w:p w14:paraId="676ED602" w14:textId="122B2153" w:rsidR="009F36D5" w:rsidRDefault="00A34B20" w:rsidP="00F421DF">
      <w:pPr>
        <w:pStyle w:val="NORMLN0"/>
        <w:rPr>
          <w:noProof/>
        </w:rPr>
      </w:pPr>
      <w:r w:rsidRPr="00A34B20">
        <w:rPr>
          <w:noProof/>
        </w:rPr>
        <w:t>P</w:t>
      </w:r>
      <w:r>
        <w:rPr>
          <w:noProof/>
        </w:rPr>
        <w:t>ro dosažení záměru regulátora samofinancovatelnosti infrastruktury a dosažením rovnovážné cenotvorby (odpovídající pokrytí všech provozních nákladů a obnovy VIM) je zásadní cenotvorba. Regulační rámec cenotvo</w:t>
      </w:r>
      <w:r w:rsidR="009B3131">
        <w:rPr>
          <w:noProof/>
        </w:rPr>
        <w:t>r</w:t>
      </w:r>
      <w:r>
        <w:rPr>
          <w:noProof/>
        </w:rPr>
        <w:t xml:space="preserve">by umožňuje </w:t>
      </w:r>
      <w:r w:rsidR="009B3131">
        <w:rPr>
          <w:noProof/>
        </w:rPr>
        <w:t xml:space="preserve">vlastníku a provozovateli </w:t>
      </w:r>
      <w:r>
        <w:rPr>
          <w:noProof/>
        </w:rPr>
        <w:t xml:space="preserve">zahrnutí </w:t>
      </w:r>
      <w:r w:rsidRPr="00900571">
        <w:rPr>
          <w:b/>
          <w:noProof/>
        </w:rPr>
        <w:t>všech ekonomicky oprávněných nákladů</w:t>
      </w:r>
      <w:r w:rsidR="009B3131" w:rsidRPr="00900571">
        <w:rPr>
          <w:b/>
          <w:noProof/>
        </w:rPr>
        <w:t>, prostředků na obnovu a přiměřeného zisku</w:t>
      </w:r>
      <w:r w:rsidR="00696670" w:rsidRPr="00900571">
        <w:rPr>
          <w:b/>
          <w:noProof/>
        </w:rPr>
        <w:t xml:space="preserve"> do ceny</w:t>
      </w:r>
      <w:r w:rsidR="00696670">
        <w:rPr>
          <w:noProof/>
        </w:rPr>
        <w:t>. Zejména u menších vlastníků, menších systémů by tak</w:t>
      </w:r>
      <w:r w:rsidR="00896CBE">
        <w:rPr>
          <w:noProof/>
        </w:rPr>
        <w:t>to</w:t>
      </w:r>
      <w:r w:rsidR="00696670">
        <w:rPr>
          <w:noProof/>
        </w:rPr>
        <w:t xml:space="preserve"> nastavené hladina ceny mohla </w:t>
      </w:r>
      <w:r w:rsidR="00896CBE">
        <w:rPr>
          <w:noProof/>
        </w:rPr>
        <w:t xml:space="preserve">převýšit </w:t>
      </w:r>
      <w:r w:rsidR="007D1204">
        <w:rPr>
          <w:noProof/>
        </w:rPr>
        <w:t xml:space="preserve">hranici </w:t>
      </w:r>
      <w:r w:rsidR="00896CBE">
        <w:rPr>
          <w:noProof/>
        </w:rPr>
        <w:t>sociální únostost</w:t>
      </w:r>
      <w:r w:rsidR="007D1204">
        <w:rPr>
          <w:noProof/>
        </w:rPr>
        <w:t>i</w:t>
      </w:r>
      <w:r w:rsidR="00896CBE">
        <w:rPr>
          <w:noProof/>
        </w:rPr>
        <w:t xml:space="preserve"> ceny a z</w:t>
      </w:r>
      <w:r w:rsidR="00696670">
        <w:rPr>
          <w:noProof/>
        </w:rPr>
        <w:t>působit ekonomickou nedostupnost služby</w:t>
      </w:r>
      <w:r w:rsidR="00896CBE">
        <w:rPr>
          <w:noProof/>
        </w:rPr>
        <w:t>.</w:t>
      </w:r>
      <w:r w:rsidR="00696670">
        <w:rPr>
          <w:noProof/>
        </w:rPr>
        <w:t xml:space="preserve"> </w:t>
      </w:r>
      <w:r w:rsidR="00896CBE">
        <w:rPr>
          <w:noProof/>
        </w:rPr>
        <w:t xml:space="preserve">Dále může mít </w:t>
      </w:r>
      <w:r w:rsidR="00696670">
        <w:rPr>
          <w:noProof/>
        </w:rPr>
        <w:t xml:space="preserve">vlastník jiné důvody, na základě kterých se rozhodne </w:t>
      </w:r>
      <w:r w:rsidR="00896CBE">
        <w:rPr>
          <w:noProof/>
        </w:rPr>
        <w:t xml:space="preserve">dotovat </w:t>
      </w:r>
      <w:r w:rsidR="00696670">
        <w:rPr>
          <w:noProof/>
        </w:rPr>
        <w:t>cen</w:t>
      </w:r>
      <w:r w:rsidR="00896CBE">
        <w:rPr>
          <w:noProof/>
        </w:rPr>
        <w:t>u</w:t>
      </w:r>
      <w:r w:rsidR="00696670">
        <w:rPr>
          <w:noProof/>
        </w:rPr>
        <w:t>. V tak</w:t>
      </w:r>
      <w:r w:rsidR="00896CBE">
        <w:rPr>
          <w:noProof/>
        </w:rPr>
        <w:t>ovém</w:t>
      </w:r>
      <w:r w:rsidR="00696670">
        <w:rPr>
          <w:noProof/>
        </w:rPr>
        <w:t xml:space="preserve"> případě dochází k využívání záporního kalkulačného zisku </w:t>
      </w:r>
      <w:r w:rsidR="007D1204">
        <w:rPr>
          <w:noProof/>
        </w:rPr>
        <w:t>již</w:t>
      </w:r>
      <w:r w:rsidR="00696670">
        <w:rPr>
          <w:noProof/>
        </w:rPr>
        <w:t xml:space="preserve"> při setavování kal</w:t>
      </w:r>
      <w:r w:rsidR="00900571">
        <w:rPr>
          <w:noProof/>
        </w:rPr>
        <w:t>k</w:t>
      </w:r>
      <w:r w:rsidR="00696670">
        <w:rPr>
          <w:noProof/>
        </w:rPr>
        <w:t>ulace</w:t>
      </w:r>
      <w:r w:rsidR="00896CBE">
        <w:rPr>
          <w:noProof/>
        </w:rPr>
        <w:t>.</w:t>
      </w:r>
    </w:p>
    <w:p w14:paraId="22150A1B" w14:textId="77777777" w:rsidR="009F36D5" w:rsidRDefault="00696670" w:rsidP="00F421DF">
      <w:pPr>
        <w:pStyle w:val="NORMLN0"/>
        <w:rPr>
          <w:noProof/>
        </w:rPr>
      </w:pPr>
      <w:r>
        <w:rPr>
          <w:noProof/>
        </w:rPr>
        <w:t xml:space="preserve"> </w:t>
      </w:r>
      <w:r w:rsidR="008D7AE1">
        <w:t xml:space="preserve">U </w:t>
      </w:r>
      <w:r w:rsidR="00A34B20" w:rsidRPr="004E369D">
        <w:t xml:space="preserve">Porovnání, </w:t>
      </w:r>
      <w:r w:rsidR="00896CBE" w:rsidRPr="004E369D">
        <w:t>kter</w:t>
      </w:r>
      <w:r w:rsidR="00896CBE">
        <w:t>á</w:t>
      </w:r>
      <w:r w:rsidR="00896CBE" w:rsidRPr="004E369D">
        <w:t xml:space="preserve"> </w:t>
      </w:r>
      <w:r w:rsidR="00A34B20" w:rsidRPr="004E369D">
        <w:t>negenerují dodatečnou minimální výši prostředků na obnovu</w:t>
      </w:r>
      <w:r w:rsidR="008D7AE1">
        <w:t>,</w:t>
      </w:r>
      <w:r w:rsidR="00A34B20" w:rsidRPr="004E369D">
        <w:t xml:space="preserve"> se často vyskytuje </w:t>
      </w:r>
      <w:r w:rsidR="00A34B20" w:rsidRPr="00BC6E2F">
        <w:rPr>
          <w:i/>
        </w:rPr>
        <w:t>nulová nebo záporná hodnota kalkulačního zisku</w:t>
      </w:r>
      <w:r w:rsidR="00A34B20" w:rsidRPr="004E369D">
        <w:t>. Z</w:t>
      </w:r>
      <w:r w:rsidR="00AF4566">
        <w:t> 2 005</w:t>
      </w:r>
      <w:r w:rsidR="00A34B20" w:rsidRPr="004E369D">
        <w:t xml:space="preserve"> analyzovaných Porovnání se v</w:t>
      </w:r>
      <w:r w:rsidR="00AF4566">
        <w:t> 1</w:t>
      </w:r>
      <w:r w:rsidR="008D7AE1">
        <w:t> 124 p</w:t>
      </w:r>
      <w:r w:rsidR="008D7AE1" w:rsidRPr="004E369D">
        <w:t xml:space="preserve">řípadech </w:t>
      </w:r>
      <w:r w:rsidR="00A34B20" w:rsidRPr="004E369D">
        <w:t xml:space="preserve">(tj. </w:t>
      </w:r>
      <w:r w:rsidR="00AF4566">
        <w:t>56,1</w:t>
      </w:r>
      <w:r w:rsidR="008D7AE1">
        <w:t xml:space="preserve"> </w:t>
      </w:r>
      <w:r w:rsidR="00A34B20" w:rsidRPr="004E369D">
        <w:t>%</w:t>
      </w:r>
      <w:r w:rsidR="008D7AE1">
        <w:t xml:space="preserve"> Porovnání</w:t>
      </w:r>
      <w:r w:rsidR="00A34B20" w:rsidRPr="004E369D">
        <w:t xml:space="preserve">) vyskytuje záporná hodnota kalkulačního zisku. Z hlediska objemu fakturované </w:t>
      </w:r>
      <w:r w:rsidR="008D7AE1">
        <w:t>vody</w:t>
      </w:r>
      <w:r w:rsidR="00AF4566">
        <w:t xml:space="preserve"> </w:t>
      </w:r>
      <w:r w:rsidR="00A34B20" w:rsidRPr="004E369D">
        <w:t xml:space="preserve">se jedná o </w:t>
      </w:r>
      <w:r w:rsidR="00AF4566">
        <w:t>36,77</w:t>
      </w:r>
      <w:r w:rsidR="00A34B20" w:rsidRPr="004E369D">
        <w:t xml:space="preserve"> </w:t>
      </w:r>
      <w:r w:rsidR="00A34B20">
        <w:t>mil. m</w:t>
      </w:r>
      <w:r w:rsidR="00A34B20" w:rsidRPr="00E27252">
        <w:rPr>
          <w:vertAlign w:val="superscript"/>
        </w:rPr>
        <w:t>3</w:t>
      </w:r>
      <w:r w:rsidR="00A34B20" w:rsidRPr="004E369D">
        <w:t xml:space="preserve">. V případě </w:t>
      </w:r>
      <w:r w:rsidR="00AF4566">
        <w:t>97</w:t>
      </w:r>
      <w:r w:rsidR="00A34B20" w:rsidRPr="004E369D">
        <w:t xml:space="preserve"> Porovnání</w:t>
      </w:r>
      <w:r w:rsidR="00A34B20">
        <w:t xml:space="preserve"> (1</w:t>
      </w:r>
      <w:r w:rsidR="00AF4566">
        <w:t>0,81</w:t>
      </w:r>
      <w:r w:rsidR="008D7AE1">
        <w:t> </w:t>
      </w:r>
      <w:r w:rsidR="00A34B20">
        <w:t>mil. m</w:t>
      </w:r>
      <w:r w:rsidR="00A34B20">
        <w:rPr>
          <w:vertAlign w:val="superscript"/>
        </w:rPr>
        <w:t>3</w:t>
      </w:r>
      <w:r w:rsidR="00081E54">
        <w:t xml:space="preserve"> fakturované vody</w:t>
      </w:r>
      <w:r w:rsidR="00A34B20">
        <w:t>)</w:t>
      </w:r>
      <w:r w:rsidR="00A34B20" w:rsidRPr="004E369D">
        <w:t>, byla stanoven</w:t>
      </w:r>
      <w:r w:rsidR="008D7AE1">
        <w:t>a</w:t>
      </w:r>
      <w:r w:rsidR="00A34B20" w:rsidRPr="004E369D">
        <w:t xml:space="preserve"> výše ceny pro </w:t>
      </w:r>
      <w:r w:rsidR="00AF4566">
        <w:t xml:space="preserve">stočné </w:t>
      </w:r>
      <w:r w:rsidR="00A34B20" w:rsidRPr="004E369D">
        <w:t xml:space="preserve">postačující na generování dostatečného množství prostředků na obnovu za předpokladu, že Porovnání obsahovala veškeré ekonomicky oprávněné náklady související s výrobou a distribucí pitné vody odběratelům v plné výši. </w:t>
      </w:r>
    </w:p>
    <w:p w14:paraId="1C317F8F" w14:textId="410186C1" w:rsidR="009F36D5" w:rsidRDefault="00AF4566" w:rsidP="00F421DF">
      <w:pPr>
        <w:pStyle w:val="NORMLN0"/>
      </w:pPr>
      <w:r>
        <w:t xml:space="preserve">Jak již bylo zmíněno výše, někteří vlastníci </w:t>
      </w:r>
      <w:r w:rsidR="00EC211F">
        <w:t>již</w:t>
      </w:r>
      <w:r>
        <w:t xml:space="preserve"> při sestavování kalkulace ceny pro stočné </w:t>
      </w:r>
      <w:r w:rsidRPr="00AF4566">
        <w:rPr>
          <w:b/>
        </w:rPr>
        <w:t>uvažují s dotací ceny, tj. využívají záporný kalkulační zisk</w:t>
      </w:r>
      <w:r w:rsidR="008D7AE1">
        <w:rPr>
          <w:b/>
        </w:rPr>
        <w:t xml:space="preserve"> </w:t>
      </w:r>
      <w:r w:rsidR="008D7AE1" w:rsidRPr="00BC03D3">
        <w:t>a také jej dosáhli</w:t>
      </w:r>
      <w:r>
        <w:t xml:space="preserve">. </w:t>
      </w:r>
      <w:r w:rsidR="00A34B20">
        <w:t xml:space="preserve">Uvedená skutečnost byla zjištěna u </w:t>
      </w:r>
      <w:r>
        <w:t>547</w:t>
      </w:r>
      <w:r w:rsidR="00A34B20">
        <w:t xml:space="preserve"> Porovnání (</w:t>
      </w:r>
      <w:r>
        <w:t>11,11</w:t>
      </w:r>
      <w:r w:rsidR="00A34B20">
        <w:t xml:space="preserve"> mil. m</w:t>
      </w:r>
      <w:r w:rsidR="00A34B20">
        <w:rPr>
          <w:vertAlign w:val="superscript"/>
        </w:rPr>
        <w:t>3</w:t>
      </w:r>
      <w:r w:rsidR="00A34B20">
        <w:t xml:space="preserve"> fakturované</w:t>
      </w:r>
      <w:r w:rsidR="008D7AE1">
        <w:t xml:space="preserve"> vody</w:t>
      </w:r>
      <w:r w:rsidR="00A34B20">
        <w:t xml:space="preserve">). Nejčastěji ve </w:t>
      </w:r>
      <w:r w:rsidR="008D7AE1">
        <w:t xml:space="preserve">vyskytovali </w:t>
      </w:r>
      <w:r w:rsidR="00A34B20">
        <w:t>IV. a V. vlastnické skupině. Následující tabulka obsahuje rozložení používání záporného kalkulačního zisku podle jednotlivých skupin</w:t>
      </w:r>
      <w:r w:rsidR="008D7AE1">
        <w:t xml:space="preserve"> v rozdělení na cílené </w:t>
      </w:r>
      <w:r w:rsidR="00F421DF">
        <w:t>ztrátové</w:t>
      </w:r>
      <w:r w:rsidR="008D7AE1">
        <w:t xml:space="preserve"> hospodaření a neplánované ztrátové hospodaření.</w:t>
      </w:r>
    </w:p>
    <w:tbl>
      <w:tblPr>
        <w:tblW w:w="6187" w:type="pct"/>
        <w:jc w:val="center"/>
        <w:tblCellMar>
          <w:left w:w="70" w:type="dxa"/>
          <w:right w:w="70" w:type="dxa"/>
        </w:tblCellMar>
        <w:tblLook w:val="04A0" w:firstRow="1" w:lastRow="0" w:firstColumn="1" w:lastColumn="0" w:noHBand="0" w:noVBand="1"/>
      </w:tblPr>
      <w:tblGrid>
        <w:gridCol w:w="2473"/>
        <w:gridCol w:w="1257"/>
        <w:gridCol w:w="1450"/>
        <w:gridCol w:w="1542"/>
        <w:gridCol w:w="1571"/>
        <w:gridCol w:w="1419"/>
        <w:gridCol w:w="1511"/>
      </w:tblGrid>
      <w:tr w:rsidR="009A0E5B" w:rsidRPr="009A0E5B" w14:paraId="248437CA" w14:textId="77777777" w:rsidTr="00BB3273">
        <w:trPr>
          <w:trHeight w:val="780"/>
          <w:jc w:val="center"/>
        </w:trPr>
        <w:tc>
          <w:tcPr>
            <w:tcW w:w="1102" w:type="pct"/>
            <w:tcBorders>
              <w:top w:val="nil"/>
              <w:left w:val="nil"/>
              <w:bottom w:val="nil"/>
              <w:right w:val="nil"/>
            </w:tcBorders>
            <w:shd w:val="clear" w:color="000000" w:fill="FFEDB3"/>
            <w:noWrap/>
            <w:vAlign w:val="center"/>
            <w:hideMark/>
          </w:tcPr>
          <w:p w14:paraId="31F74AF2" w14:textId="77777777" w:rsidR="009A0E5B" w:rsidRPr="00BB3273" w:rsidRDefault="009A0E5B" w:rsidP="00BB3273">
            <w:pPr>
              <w:spacing w:before="0" w:after="0"/>
              <w:contextualSpacing w:val="0"/>
              <w:jc w:val="center"/>
              <w:rPr>
                <w:rFonts w:asciiTheme="majorHAnsi" w:eastAsia="Times New Roman" w:hAnsiTheme="majorHAnsi"/>
                <w:b/>
                <w:bCs/>
                <w:sz w:val="20"/>
                <w:szCs w:val="18"/>
                <w:lang w:eastAsia="cs-CZ"/>
              </w:rPr>
            </w:pPr>
          </w:p>
        </w:tc>
        <w:tc>
          <w:tcPr>
            <w:tcW w:w="1206" w:type="pct"/>
            <w:gridSpan w:val="2"/>
            <w:tcBorders>
              <w:top w:val="nil"/>
              <w:left w:val="nil"/>
              <w:bottom w:val="nil"/>
              <w:right w:val="nil"/>
            </w:tcBorders>
            <w:shd w:val="clear" w:color="000000" w:fill="FFEDB3"/>
            <w:vAlign w:val="center"/>
            <w:hideMark/>
          </w:tcPr>
          <w:p w14:paraId="7702F004"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ZÁPORNÝ KALKULAČNÍ ZISK NA POROVNÁNÍ</w:t>
            </w:r>
          </w:p>
        </w:tc>
        <w:tc>
          <w:tcPr>
            <w:tcW w:w="1387" w:type="pct"/>
            <w:gridSpan w:val="2"/>
            <w:tcBorders>
              <w:top w:val="nil"/>
              <w:left w:val="nil"/>
              <w:right w:val="nil"/>
            </w:tcBorders>
            <w:shd w:val="clear" w:color="000000" w:fill="A4DCD1"/>
            <w:vAlign w:val="center"/>
            <w:hideMark/>
          </w:tcPr>
          <w:p w14:paraId="46BEBBF2"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CÍLENÁ DOTACE CENY PRO STOČNÉ</w:t>
            </w:r>
          </w:p>
        </w:tc>
        <w:tc>
          <w:tcPr>
            <w:tcW w:w="1305" w:type="pct"/>
            <w:gridSpan w:val="2"/>
            <w:tcBorders>
              <w:top w:val="nil"/>
              <w:left w:val="nil"/>
              <w:bottom w:val="nil"/>
              <w:right w:val="nil"/>
            </w:tcBorders>
            <w:shd w:val="clear" w:color="000000" w:fill="FFDBB7"/>
            <w:vAlign w:val="center"/>
            <w:hideMark/>
          </w:tcPr>
          <w:p w14:paraId="1E3CFB5F"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ZTRÁTOVÉ HOSPODAŘENÍ</w:t>
            </w:r>
          </w:p>
        </w:tc>
      </w:tr>
      <w:tr w:rsidR="009A0E5B" w:rsidRPr="009A0E5B" w14:paraId="4EF27919" w14:textId="77777777" w:rsidTr="00BB3273">
        <w:trPr>
          <w:trHeight w:val="1409"/>
          <w:jc w:val="center"/>
        </w:trPr>
        <w:tc>
          <w:tcPr>
            <w:tcW w:w="1102" w:type="pct"/>
            <w:tcBorders>
              <w:top w:val="nil"/>
              <w:left w:val="nil"/>
              <w:bottom w:val="single" w:sz="4" w:space="0" w:color="FFFFFF"/>
              <w:right w:val="single" w:sz="4" w:space="0" w:color="FFFFFF"/>
            </w:tcBorders>
            <w:shd w:val="clear" w:color="000000" w:fill="FFEDB3"/>
            <w:vAlign w:val="center"/>
            <w:hideMark/>
          </w:tcPr>
          <w:p w14:paraId="7F5D16C6"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VLASTNICKÁ SKUPINA</w:t>
            </w:r>
          </w:p>
        </w:tc>
        <w:tc>
          <w:tcPr>
            <w:tcW w:w="560" w:type="pct"/>
            <w:tcBorders>
              <w:top w:val="nil"/>
              <w:left w:val="nil"/>
              <w:bottom w:val="single" w:sz="4" w:space="0" w:color="FFFFFF"/>
              <w:right w:val="single" w:sz="4" w:space="0" w:color="FFFFFF"/>
            </w:tcBorders>
            <w:shd w:val="clear" w:color="000000" w:fill="FFEDB3"/>
            <w:vAlign w:val="center"/>
            <w:hideMark/>
          </w:tcPr>
          <w:p w14:paraId="313F9454"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POČET POROVNÁNÍ - ZÁPORNÝ KALKULAČNÍ ZISK</w:t>
            </w:r>
          </w:p>
        </w:tc>
        <w:tc>
          <w:tcPr>
            <w:tcW w:w="646" w:type="pct"/>
            <w:tcBorders>
              <w:top w:val="nil"/>
              <w:left w:val="nil"/>
              <w:bottom w:val="single" w:sz="4" w:space="0" w:color="FFFFFF"/>
              <w:right w:val="single" w:sz="4" w:space="0" w:color="FFFFFF"/>
            </w:tcBorders>
            <w:shd w:val="clear" w:color="000000" w:fill="FFEDB3"/>
            <w:vAlign w:val="center"/>
            <w:hideMark/>
          </w:tcPr>
          <w:p w14:paraId="6F2A31A8"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OBJEM FAKTUROVANÉ ODPADNÍ VODY V MIL. M</w:t>
            </w:r>
            <w:r w:rsidRPr="00BB3273">
              <w:rPr>
                <w:rFonts w:asciiTheme="majorHAnsi" w:eastAsia="Times New Roman" w:hAnsiTheme="majorHAnsi"/>
                <w:b/>
                <w:bCs/>
                <w:sz w:val="20"/>
                <w:szCs w:val="18"/>
                <w:vertAlign w:val="superscript"/>
                <w:lang w:eastAsia="cs-CZ"/>
              </w:rPr>
              <w:t xml:space="preserve">3 </w:t>
            </w:r>
            <w:r w:rsidRPr="00BB3273">
              <w:rPr>
                <w:rFonts w:asciiTheme="majorHAnsi" w:eastAsia="Times New Roman" w:hAnsiTheme="majorHAnsi"/>
                <w:b/>
                <w:bCs/>
                <w:sz w:val="20"/>
                <w:szCs w:val="18"/>
                <w:lang w:eastAsia="cs-CZ"/>
              </w:rPr>
              <w:t>_ZÁPORNÝ KALKULAČNÍ ZISK</w:t>
            </w:r>
          </w:p>
        </w:tc>
        <w:tc>
          <w:tcPr>
            <w:tcW w:w="687" w:type="pct"/>
            <w:tcBorders>
              <w:top w:val="nil"/>
              <w:left w:val="nil"/>
              <w:bottom w:val="single" w:sz="4" w:space="0" w:color="FFFFFF"/>
              <w:right w:val="single" w:sz="4" w:space="0" w:color="FFFFFF"/>
            </w:tcBorders>
            <w:shd w:val="clear" w:color="000000" w:fill="A4DCD1"/>
            <w:vAlign w:val="center"/>
            <w:hideMark/>
          </w:tcPr>
          <w:p w14:paraId="40BFDD63"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POČET POROVNÁNÍ - ZÁPORNÝ KALKULAČNÍ ZISK KALKULOVÁN A ZÁPORNÝ ZISK DOSAŽEN</w:t>
            </w:r>
          </w:p>
        </w:tc>
        <w:tc>
          <w:tcPr>
            <w:tcW w:w="700" w:type="pct"/>
            <w:tcBorders>
              <w:top w:val="nil"/>
              <w:left w:val="nil"/>
              <w:bottom w:val="single" w:sz="4" w:space="0" w:color="FFFFFF"/>
              <w:right w:val="single" w:sz="4" w:space="0" w:color="FFFFFF"/>
            </w:tcBorders>
            <w:shd w:val="clear" w:color="000000" w:fill="A4DCD1"/>
            <w:vAlign w:val="center"/>
            <w:hideMark/>
          </w:tcPr>
          <w:p w14:paraId="1B9CF369"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OBJEM FAKTUROVANÉ ODPADNÍ VODY V MIL. M</w:t>
            </w:r>
            <w:r w:rsidRPr="00BB3273">
              <w:rPr>
                <w:rFonts w:asciiTheme="majorHAnsi" w:eastAsia="Times New Roman" w:hAnsiTheme="majorHAnsi"/>
                <w:b/>
                <w:bCs/>
                <w:sz w:val="20"/>
                <w:szCs w:val="18"/>
                <w:vertAlign w:val="superscript"/>
                <w:lang w:eastAsia="cs-CZ"/>
              </w:rPr>
              <w:t>3</w:t>
            </w:r>
            <w:r w:rsidRPr="00BB3273">
              <w:rPr>
                <w:rFonts w:asciiTheme="majorHAnsi" w:eastAsia="Times New Roman" w:hAnsiTheme="majorHAnsi"/>
                <w:b/>
                <w:bCs/>
                <w:sz w:val="20"/>
                <w:szCs w:val="18"/>
                <w:lang w:eastAsia="cs-CZ"/>
              </w:rPr>
              <w:t>_ZÁPORNÝ ZISK KALKULOVÁN A ZÁPORNÝ ZISK DOSAŽEN</w:t>
            </w:r>
          </w:p>
        </w:tc>
        <w:tc>
          <w:tcPr>
            <w:tcW w:w="632" w:type="pct"/>
            <w:tcBorders>
              <w:top w:val="nil"/>
              <w:left w:val="nil"/>
              <w:bottom w:val="single" w:sz="4" w:space="0" w:color="FFFFFF"/>
              <w:right w:val="single" w:sz="4" w:space="0" w:color="FFFFFF"/>
            </w:tcBorders>
            <w:shd w:val="clear" w:color="000000" w:fill="FFDBB7"/>
            <w:vAlign w:val="center"/>
            <w:hideMark/>
          </w:tcPr>
          <w:p w14:paraId="6F32D1D1"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POČET POROVNÁNÍ - KALKULOVÁN KLADNÝ NEBO NULOVÝ ZISK A DOSAŽENA ZTRÁTA</w:t>
            </w:r>
          </w:p>
        </w:tc>
        <w:tc>
          <w:tcPr>
            <w:tcW w:w="673" w:type="pct"/>
            <w:tcBorders>
              <w:top w:val="nil"/>
              <w:left w:val="nil"/>
              <w:bottom w:val="single" w:sz="4" w:space="0" w:color="FFFFFF"/>
              <w:right w:val="nil"/>
            </w:tcBorders>
            <w:shd w:val="clear" w:color="000000" w:fill="FFDBB7"/>
            <w:vAlign w:val="center"/>
            <w:hideMark/>
          </w:tcPr>
          <w:p w14:paraId="0BA8347E"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OBJEM FAKTUROVANÉ ODPADNÍ VODY V MIL. M</w:t>
            </w:r>
            <w:r w:rsidRPr="00BB3273">
              <w:rPr>
                <w:rFonts w:asciiTheme="majorHAnsi" w:eastAsia="Times New Roman" w:hAnsiTheme="majorHAnsi"/>
                <w:b/>
                <w:bCs/>
                <w:sz w:val="20"/>
                <w:szCs w:val="18"/>
                <w:vertAlign w:val="superscript"/>
                <w:lang w:eastAsia="cs-CZ"/>
              </w:rPr>
              <w:t>3</w:t>
            </w:r>
            <w:r w:rsidRPr="00BB3273">
              <w:rPr>
                <w:rFonts w:asciiTheme="majorHAnsi" w:eastAsia="Times New Roman" w:hAnsiTheme="majorHAnsi"/>
                <w:b/>
                <w:bCs/>
                <w:sz w:val="20"/>
                <w:szCs w:val="18"/>
                <w:lang w:eastAsia="cs-CZ"/>
              </w:rPr>
              <w:t>_- KALKULOVÁN KLADNÝ NEBO NULOVÝ ZISK A DOSAŽENA ZTRÁTA</w:t>
            </w:r>
          </w:p>
        </w:tc>
      </w:tr>
      <w:tr w:rsidR="009A0E5B" w:rsidRPr="009A0E5B" w14:paraId="615D3A3A" w14:textId="77777777" w:rsidTr="00BB3273">
        <w:trPr>
          <w:trHeight w:val="229"/>
          <w:jc w:val="center"/>
        </w:trPr>
        <w:tc>
          <w:tcPr>
            <w:tcW w:w="1102" w:type="pct"/>
            <w:tcBorders>
              <w:top w:val="single" w:sz="4" w:space="0" w:color="FFFFFF"/>
              <w:left w:val="nil"/>
              <w:bottom w:val="single" w:sz="4" w:space="0" w:color="95B3D7"/>
              <w:right w:val="single" w:sz="4" w:space="0" w:color="FFFFFF"/>
            </w:tcBorders>
            <w:shd w:val="clear" w:color="000000" w:fill="FFEDB3"/>
            <w:noWrap/>
            <w:vAlign w:val="center"/>
            <w:hideMark/>
          </w:tcPr>
          <w:p w14:paraId="471C9E2E" w14:textId="77777777" w:rsidR="009A0E5B" w:rsidRPr="00BB3273" w:rsidRDefault="00BB3273" w:rsidP="00BB3273">
            <w:pPr>
              <w:spacing w:before="0" w:after="0"/>
              <w:contextualSpacing w:val="0"/>
              <w:jc w:val="left"/>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II.SKUPINA (&gt;1 000 MIL.KČ)</w:t>
            </w:r>
          </w:p>
        </w:tc>
        <w:tc>
          <w:tcPr>
            <w:tcW w:w="560" w:type="pct"/>
            <w:tcBorders>
              <w:top w:val="single" w:sz="4" w:space="0" w:color="FFFFFF"/>
              <w:left w:val="nil"/>
              <w:bottom w:val="single" w:sz="4" w:space="0" w:color="95B3D7"/>
              <w:right w:val="single" w:sz="4" w:space="0" w:color="FFFFFF"/>
            </w:tcBorders>
            <w:shd w:val="clear" w:color="000000" w:fill="FFEDB3"/>
            <w:noWrap/>
            <w:vAlign w:val="center"/>
            <w:hideMark/>
          </w:tcPr>
          <w:p w14:paraId="2FED2C58"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5</w:t>
            </w:r>
          </w:p>
        </w:tc>
        <w:tc>
          <w:tcPr>
            <w:tcW w:w="646" w:type="pct"/>
            <w:tcBorders>
              <w:top w:val="single" w:sz="4" w:space="0" w:color="FFFFFF"/>
              <w:left w:val="nil"/>
              <w:bottom w:val="single" w:sz="4" w:space="0" w:color="95B3D7"/>
              <w:right w:val="single" w:sz="4" w:space="0" w:color="FFFFFF"/>
            </w:tcBorders>
            <w:shd w:val="clear" w:color="000000" w:fill="FFEDB3"/>
            <w:noWrap/>
            <w:vAlign w:val="center"/>
            <w:hideMark/>
          </w:tcPr>
          <w:p w14:paraId="38CAF972"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6,83</w:t>
            </w:r>
          </w:p>
        </w:tc>
        <w:tc>
          <w:tcPr>
            <w:tcW w:w="687" w:type="pct"/>
            <w:tcBorders>
              <w:top w:val="single" w:sz="4" w:space="0" w:color="FFFFFF"/>
              <w:left w:val="nil"/>
              <w:bottom w:val="single" w:sz="4" w:space="0" w:color="95B3D7"/>
              <w:right w:val="single" w:sz="4" w:space="0" w:color="FFFFFF"/>
            </w:tcBorders>
            <w:shd w:val="clear" w:color="000000" w:fill="A4DCD1"/>
            <w:noWrap/>
            <w:vAlign w:val="center"/>
            <w:hideMark/>
          </w:tcPr>
          <w:p w14:paraId="5DD05D35" w14:textId="77777777" w:rsidR="009A0E5B" w:rsidRPr="00BB3273" w:rsidRDefault="009A0E5B" w:rsidP="00BB3273">
            <w:pPr>
              <w:spacing w:before="0" w:after="0"/>
              <w:contextualSpacing w:val="0"/>
              <w:jc w:val="center"/>
              <w:rPr>
                <w:rFonts w:asciiTheme="majorHAnsi" w:eastAsia="Times New Roman" w:hAnsiTheme="majorHAnsi"/>
                <w:sz w:val="20"/>
                <w:szCs w:val="18"/>
                <w:lang w:eastAsia="cs-CZ"/>
              </w:rPr>
            </w:pPr>
          </w:p>
        </w:tc>
        <w:tc>
          <w:tcPr>
            <w:tcW w:w="700" w:type="pct"/>
            <w:tcBorders>
              <w:top w:val="single" w:sz="4" w:space="0" w:color="FFFFFF"/>
              <w:left w:val="nil"/>
              <w:bottom w:val="single" w:sz="4" w:space="0" w:color="95B3D7"/>
              <w:right w:val="single" w:sz="4" w:space="0" w:color="FFFFFF"/>
            </w:tcBorders>
            <w:shd w:val="clear" w:color="000000" w:fill="A4DCD1"/>
            <w:noWrap/>
            <w:vAlign w:val="center"/>
            <w:hideMark/>
          </w:tcPr>
          <w:p w14:paraId="1D94AF72" w14:textId="77777777" w:rsidR="009A0E5B" w:rsidRPr="00BB3273" w:rsidRDefault="009A0E5B" w:rsidP="00BB3273">
            <w:pPr>
              <w:spacing w:before="0" w:after="0"/>
              <w:contextualSpacing w:val="0"/>
              <w:jc w:val="center"/>
              <w:rPr>
                <w:rFonts w:asciiTheme="majorHAnsi" w:eastAsia="Times New Roman" w:hAnsiTheme="majorHAnsi"/>
                <w:sz w:val="20"/>
                <w:szCs w:val="18"/>
                <w:lang w:eastAsia="cs-CZ"/>
              </w:rPr>
            </w:pPr>
          </w:p>
        </w:tc>
        <w:tc>
          <w:tcPr>
            <w:tcW w:w="632" w:type="pct"/>
            <w:tcBorders>
              <w:top w:val="single" w:sz="4" w:space="0" w:color="FFFFFF"/>
              <w:left w:val="nil"/>
              <w:bottom w:val="single" w:sz="4" w:space="0" w:color="95B3D7"/>
              <w:right w:val="single" w:sz="4" w:space="0" w:color="FFFFFF"/>
            </w:tcBorders>
            <w:shd w:val="clear" w:color="000000" w:fill="FFDBB7"/>
            <w:noWrap/>
            <w:vAlign w:val="center"/>
            <w:hideMark/>
          </w:tcPr>
          <w:p w14:paraId="6C1B5F2F"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5</w:t>
            </w:r>
          </w:p>
        </w:tc>
        <w:tc>
          <w:tcPr>
            <w:tcW w:w="673" w:type="pct"/>
            <w:tcBorders>
              <w:top w:val="single" w:sz="4" w:space="0" w:color="FFFFFF"/>
              <w:left w:val="nil"/>
              <w:bottom w:val="single" w:sz="4" w:space="0" w:color="95B3D7"/>
              <w:right w:val="nil"/>
            </w:tcBorders>
            <w:shd w:val="clear" w:color="000000" w:fill="FFDBB7"/>
            <w:noWrap/>
            <w:vAlign w:val="center"/>
            <w:hideMark/>
          </w:tcPr>
          <w:p w14:paraId="711F85CF"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6,83</w:t>
            </w:r>
          </w:p>
        </w:tc>
      </w:tr>
      <w:tr w:rsidR="009A0E5B" w:rsidRPr="009A0E5B" w14:paraId="70122C37" w14:textId="77777777" w:rsidTr="00BB3273">
        <w:trPr>
          <w:trHeight w:val="229"/>
          <w:jc w:val="center"/>
        </w:trPr>
        <w:tc>
          <w:tcPr>
            <w:tcW w:w="1102" w:type="pct"/>
            <w:tcBorders>
              <w:top w:val="single" w:sz="4" w:space="0" w:color="95B3D7"/>
              <w:left w:val="nil"/>
              <w:right w:val="single" w:sz="4" w:space="0" w:color="FFFFFF"/>
            </w:tcBorders>
            <w:shd w:val="clear" w:color="000000" w:fill="FFF8E1"/>
            <w:noWrap/>
            <w:vAlign w:val="center"/>
            <w:hideMark/>
          </w:tcPr>
          <w:p w14:paraId="508FAFCA" w14:textId="77777777" w:rsidR="009A0E5B" w:rsidRPr="00BB3273" w:rsidRDefault="00BB3273" w:rsidP="00BB3273">
            <w:pPr>
              <w:spacing w:before="0" w:after="0"/>
              <w:contextualSpacing w:val="0"/>
              <w:jc w:val="left"/>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III.SKUPINA (&gt;100 MIL.KČ)</w:t>
            </w:r>
          </w:p>
        </w:tc>
        <w:tc>
          <w:tcPr>
            <w:tcW w:w="560" w:type="pct"/>
            <w:tcBorders>
              <w:top w:val="single" w:sz="4" w:space="0" w:color="95B3D7"/>
              <w:left w:val="nil"/>
              <w:right w:val="single" w:sz="4" w:space="0" w:color="FFFFFF"/>
            </w:tcBorders>
            <w:shd w:val="clear" w:color="000000" w:fill="FFF8E1"/>
            <w:noWrap/>
            <w:vAlign w:val="center"/>
            <w:hideMark/>
          </w:tcPr>
          <w:p w14:paraId="3357C7BA"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81</w:t>
            </w:r>
          </w:p>
        </w:tc>
        <w:tc>
          <w:tcPr>
            <w:tcW w:w="646" w:type="pct"/>
            <w:tcBorders>
              <w:top w:val="single" w:sz="4" w:space="0" w:color="95B3D7"/>
              <w:left w:val="nil"/>
              <w:right w:val="single" w:sz="4" w:space="0" w:color="FFFFFF"/>
            </w:tcBorders>
            <w:shd w:val="clear" w:color="000000" w:fill="FFF8E1"/>
            <w:noWrap/>
            <w:vAlign w:val="center"/>
            <w:hideMark/>
          </w:tcPr>
          <w:p w14:paraId="49960143"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10,59</w:t>
            </w:r>
          </w:p>
        </w:tc>
        <w:tc>
          <w:tcPr>
            <w:tcW w:w="687" w:type="pct"/>
            <w:tcBorders>
              <w:top w:val="single" w:sz="4" w:space="0" w:color="95B3D7"/>
              <w:left w:val="nil"/>
              <w:right w:val="single" w:sz="4" w:space="0" w:color="FFFFFF"/>
            </w:tcBorders>
            <w:shd w:val="clear" w:color="000000" w:fill="E4F4F1"/>
            <w:noWrap/>
            <w:vAlign w:val="center"/>
            <w:hideMark/>
          </w:tcPr>
          <w:p w14:paraId="1ABB4740"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29</w:t>
            </w:r>
          </w:p>
        </w:tc>
        <w:tc>
          <w:tcPr>
            <w:tcW w:w="700" w:type="pct"/>
            <w:tcBorders>
              <w:top w:val="single" w:sz="4" w:space="0" w:color="95B3D7"/>
              <w:left w:val="nil"/>
              <w:right w:val="single" w:sz="4" w:space="0" w:color="FFFFFF"/>
            </w:tcBorders>
            <w:shd w:val="clear" w:color="000000" w:fill="E4F4F1"/>
            <w:noWrap/>
            <w:vAlign w:val="center"/>
            <w:hideMark/>
          </w:tcPr>
          <w:p w14:paraId="1DA928E9"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2,48</w:t>
            </w:r>
          </w:p>
        </w:tc>
        <w:tc>
          <w:tcPr>
            <w:tcW w:w="632" w:type="pct"/>
            <w:tcBorders>
              <w:top w:val="single" w:sz="4" w:space="0" w:color="95B3D7"/>
              <w:left w:val="nil"/>
              <w:right w:val="single" w:sz="4" w:space="0" w:color="FFFFFF"/>
            </w:tcBorders>
            <w:shd w:val="clear" w:color="000000" w:fill="FFECD9"/>
            <w:noWrap/>
            <w:vAlign w:val="center"/>
            <w:hideMark/>
          </w:tcPr>
          <w:p w14:paraId="7D933122"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52</w:t>
            </w:r>
          </w:p>
        </w:tc>
        <w:tc>
          <w:tcPr>
            <w:tcW w:w="673" w:type="pct"/>
            <w:tcBorders>
              <w:top w:val="single" w:sz="4" w:space="0" w:color="95B3D7"/>
              <w:left w:val="nil"/>
              <w:right w:val="nil"/>
            </w:tcBorders>
            <w:shd w:val="clear" w:color="000000" w:fill="FFECD9"/>
            <w:noWrap/>
            <w:vAlign w:val="center"/>
            <w:hideMark/>
          </w:tcPr>
          <w:p w14:paraId="12D0D1ED"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8,11</w:t>
            </w:r>
          </w:p>
        </w:tc>
      </w:tr>
      <w:tr w:rsidR="009A0E5B" w:rsidRPr="009A0E5B" w14:paraId="71713C1F" w14:textId="77777777" w:rsidTr="00BB3273">
        <w:trPr>
          <w:trHeight w:val="229"/>
          <w:jc w:val="center"/>
        </w:trPr>
        <w:tc>
          <w:tcPr>
            <w:tcW w:w="1102" w:type="pct"/>
            <w:tcBorders>
              <w:left w:val="nil"/>
              <w:bottom w:val="single" w:sz="4" w:space="0" w:color="95B3D7"/>
              <w:right w:val="single" w:sz="4" w:space="0" w:color="FFFFFF"/>
            </w:tcBorders>
            <w:shd w:val="clear" w:color="000000" w:fill="FFEDB3"/>
            <w:noWrap/>
            <w:vAlign w:val="center"/>
            <w:hideMark/>
          </w:tcPr>
          <w:p w14:paraId="04371FE3" w14:textId="77777777" w:rsidR="009A0E5B" w:rsidRPr="00BB3273" w:rsidRDefault="00BB3273" w:rsidP="00BB3273">
            <w:pPr>
              <w:spacing w:before="0" w:after="0"/>
              <w:contextualSpacing w:val="0"/>
              <w:jc w:val="left"/>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IV.SKUPINA (&gt;10 MIL.KČ)</w:t>
            </w:r>
          </w:p>
        </w:tc>
        <w:tc>
          <w:tcPr>
            <w:tcW w:w="560" w:type="pct"/>
            <w:tcBorders>
              <w:left w:val="nil"/>
              <w:bottom w:val="single" w:sz="4" w:space="0" w:color="95B3D7"/>
              <w:right w:val="single" w:sz="4" w:space="0" w:color="FFFFFF"/>
            </w:tcBorders>
            <w:shd w:val="clear" w:color="000000" w:fill="FFEDB3"/>
            <w:noWrap/>
            <w:vAlign w:val="center"/>
            <w:hideMark/>
          </w:tcPr>
          <w:p w14:paraId="51CEFC24"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824</w:t>
            </w:r>
          </w:p>
        </w:tc>
        <w:tc>
          <w:tcPr>
            <w:tcW w:w="646" w:type="pct"/>
            <w:tcBorders>
              <w:left w:val="nil"/>
              <w:bottom w:val="single" w:sz="4" w:space="0" w:color="95B3D7"/>
              <w:right w:val="single" w:sz="4" w:space="0" w:color="FFFFFF"/>
            </w:tcBorders>
            <w:shd w:val="clear" w:color="000000" w:fill="FFEDB3"/>
            <w:noWrap/>
            <w:vAlign w:val="center"/>
            <w:hideMark/>
          </w:tcPr>
          <w:p w14:paraId="0CABBF28"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17,57</w:t>
            </w:r>
          </w:p>
        </w:tc>
        <w:tc>
          <w:tcPr>
            <w:tcW w:w="687" w:type="pct"/>
            <w:tcBorders>
              <w:left w:val="nil"/>
              <w:bottom w:val="single" w:sz="4" w:space="0" w:color="95B3D7"/>
              <w:right w:val="single" w:sz="4" w:space="0" w:color="FFFFFF"/>
            </w:tcBorders>
            <w:shd w:val="clear" w:color="000000" w:fill="A4DCD1"/>
            <w:noWrap/>
            <w:vAlign w:val="center"/>
            <w:hideMark/>
          </w:tcPr>
          <w:p w14:paraId="33D11F59"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403</w:t>
            </w:r>
          </w:p>
        </w:tc>
        <w:tc>
          <w:tcPr>
            <w:tcW w:w="700" w:type="pct"/>
            <w:tcBorders>
              <w:left w:val="nil"/>
              <w:bottom w:val="single" w:sz="4" w:space="0" w:color="95B3D7"/>
              <w:right w:val="single" w:sz="4" w:space="0" w:color="FFFFFF"/>
            </w:tcBorders>
            <w:shd w:val="clear" w:color="000000" w:fill="A4DCD1"/>
            <w:noWrap/>
            <w:vAlign w:val="center"/>
            <w:hideMark/>
          </w:tcPr>
          <w:p w14:paraId="78AC6D8C"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7,78</w:t>
            </w:r>
          </w:p>
        </w:tc>
        <w:tc>
          <w:tcPr>
            <w:tcW w:w="632" w:type="pct"/>
            <w:tcBorders>
              <w:left w:val="nil"/>
              <w:bottom w:val="single" w:sz="4" w:space="0" w:color="95B3D7"/>
              <w:right w:val="single" w:sz="4" w:space="0" w:color="FFFFFF"/>
            </w:tcBorders>
            <w:shd w:val="clear" w:color="000000" w:fill="FFDBB7"/>
            <w:noWrap/>
            <w:vAlign w:val="center"/>
            <w:hideMark/>
          </w:tcPr>
          <w:p w14:paraId="09F39A5C"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421</w:t>
            </w:r>
          </w:p>
        </w:tc>
        <w:tc>
          <w:tcPr>
            <w:tcW w:w="673" w:type="pct"/>
            <w:tcBorders>
              <w:left w:val="nil"/>
              <w:bottom w:val="single" w:sz="4" w:space="0" w:color="95B3D7"/>
              <w:right w:val="nil"/>
            </w:tcBorders>
            <w:shd w:val="clear" w:color="000000" w:fill="FFDBB7"/>
            <w:noWrap/>
            <w:vAlign w:val="center"/>
            <w:hideMark/>
          </w:tcPr>
          <w:p w14:paraId="617570B2"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9,80</w:t>
            </w:r>
          </w:p>
        </w:tc>
      </w:tr>
      <w:tr w:rsidR="009A0E5B" w:rsidRPr="009A0E5B" w14:paraId="7FAC46D2" w14:textId="77777777" w:rsidTr="00BB3273">
        <w:trPr>
          <w:trHeight w:val="229"/>
          <w:jc w:val="center"/>
        </w:trPr>
        <w:tc>
          <w:tcPr>
            <w:tcW w:w="1102" w:type="pct"/>
            <w:tcBorders>
              <w:top w:val="single" w:sz="4" w:space="0" w:color="95B3D7"/>
              <w:left w:val="nil"/>
              <w:right w:val="single" w:sz="4" w:space="0" w:color="FFFFFF"/>
            </w:tcBorders>
            <w:shd w:val="clear" w:color="000000" w:fill="FFF8E1"/>
            <w:noWrap/>
            <w:vAlign w:val="center"/>
            <w:hideMark/>
          </w:tcPr>
          <w:p w14:paraId="201C5AD7" w14:textId="77777777" w:rsidR="009A0E5B" w:rsidRPr="00BB3273" w:rsidRDefault="00BB3273" w:rsidP="00BB3273">
            <w:pPr>
              <w:spacing w:before="0" w:after="0"/>
              <w:contextualSpacing w:val="0"/>
              <w:jc w:val="left"/>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V.SKUPINA (&gt;1 MIL.KČ)</w:t>
            </w:r>
          </w:p>
        </w:tc>
        <w:tc>
          <w:tcPr>
            <w:tcW w:w="560" w:type="pct"/>
            <w:tcBorders>
              <w:top w:val="single" w:sz="4" w:space="0" w:color="95B3D7"/>
              <w:left w:val="nil"/>
              <w:right w:val="single" w:sz="4" w:space="0" w:color="FFFFFF"/>
            </w:tcBorders>
            <w:shd w:val="clear" w:color="000000" w:fill="FFF8E1"/>
            <w:noWrap/>
            <w:vAlign w:val="center"/>
            <w:hideMark/>
          </w:tcPr>
          <w:p w14:paraId="7AD59B08"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206</w:t>
            </w:r>
          </w:p>
        </w:tc>
        <w:tc>
          <w:tcPr>
            <w:tcW w:w="646" w:type="pct"/>
            <w:tcBorders>
              <w:top w:val="single" w:sz="4" w:space="0" w:color="95B3D7"/>
              <w:left w:val="nil"/>
              <w:right w:val="single" w:sz="4" w:space="0" w:color="FFFFFF"/>
            </w:tcBorders>
            <w:shd w:val="clear" w:color="000000" w:fill="FFF8E1"/>
            <w:noWrap/>
            <w:vAlign w:val="center"/>
            <w:hideMark/>
          </w:tcPr>
          <w:p w14:paraId="6FA97332"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1,68</w:t>
            </w:r>
          </w:p>
        </w:tc>
        <w:tc>
          <w:tcPr>
            <w:tcW w:w="687" w:type="pct"/>
            <w:tcBorders>
              <w:top w:val="single" w:sz="4" w:space="0" w:color="95B3D7"/>
              <w:left w:val="nil"/>
              <w:right w:val="single" w:sz="4" w:space="0" w:color="FFFFFF"/>
            </w:tcBorders>
            <w:shd w:val="clear" w:color="000000" w:fill="E4F4F1"/>
            <w:noWrap/>
            <w:vAlign w:val="center"/>
            <w:hideMark/>
          </w:tcPr>
          <w:p w14:paraId="52B53794"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110</w:t>
            </w:r>
          </w:p>
        </w:tc>
        <w:tc>
          <w:tcPr>
            <w:tcW w:w="700" w:type="pct"/>
            <w:tcBorders>
              <w:top w:val="single" w:sz="4" w:space="0" w:color="95B3D7"/>
              <w:left w:val="nil"/>
              <w:right w:val="single" w:sz="4" w:space="0" w:color="FFFFFF"/>
            </w:tcBorders>
            <w:shd w:val="clear" w:color="000000" w:fill="E4F4F1"/>
            <w:noWrap/>
            <w:vAlign w:val="center"/>
            <w:hideMark/>
          </w:tcPr>
          <w:p w14:paraId="0D2210B2"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0,81</w:t>
            </w:r>
          </w:p>
        </w:tc>
        <w:tc>
          <w:tcPr>
            <w:tcW w:w="632" w:type="pct"/>
            <w:tcBorders>
              <w:top w:val="single" w:sz="4" w:space="0" w:color="95B3D7"/>
              <w:left w:val="nil"/>
              <w:right w:val="single" w:sz="4" w:space="0" w:color="FFFFFF"/>
            </w:tcBorders>
            <w:shd w:val="clear" w:color="000000" w:fill="FFECD9"/>
            <w:noWrap/>
            <w:vAlign w:val="center"/>
            <w:hideMark/>
          </w:tcPr>
          <w:p w14:paraId="6EE72DAA"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96</w:t>
            </w:r>
          </w:p>
        </w:tc>
        <w:tc>
          <w:tcPr>
            <w:tcW w:w="673" w:type="pct"/>
            <w:tcBorders>
              <w:top w:val="single" w:sz="4" w:space="0" w:color="95B3D7"/>
              <w:left w:val="nil"/>
              <w:right w:val="nil"/>
            </w:tcBorders>
            <w:shd w:val="clear" w:color="000000" w:fill="FFECD9"/>
            <w:noWrap/>
            <w:vAlign w:val="center"/>
            <w:hideMark/>
          </w:tcPr>
          <w:p w14:paraId="35CFCB05"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0,86</w:t>
            </w:r>
          </w:p>
        </w:tc>
      </w:tr>
      <w:tr w:rsidR="009A0E5B" w:rsidRPr="009A0E5B" w14:paraId="2846A233" w14:textId="77777777" w:rsidTr="00BB3273">
        <w:trPr>
          <w:trHeight w:val="229"/>
          <w:jc w:val="center"/>
        </w:trPr>
        <w:tc>
          <w:tcPr>
            <w:tcW w:w="1102" w:type="pct"/>
            <w:tcBorders>
              <w:left w:val="nil"/>
              <w:bottom w:val="single" w:sz="4" w:space="0" w:color="95B3D7"/>
              <w:right w:val="single" w:sz="4" w:space="0" w:color="FFFFFF"/>
            </w:tcBorders>
            <w:shd w:val="clear" w:color="000000" w:fill="FFEDB3"/>
            <w:noWrap/>
            <w:vAlign w:val="center"/>
            <w:hideMark/>
          </w:tcPr>
          <w:p w14:paraId="0F25D57C" w14:textId="77777777" w:rsidR="009A0E5B" w:rsidRPr="00BB3273" w:rsidRDefault="00BB3273" w:rsidP="00BB3273">
            <w:pPr>
              <w:spacing w:before="0" w:after="0"/>
              <w:contextualSpacing w:val="0"/>
              <w:jc w:val="left"/>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VI.SKUPINA (&lt;1 MIL.KČ)</w:t>
            </w:r>
          </w:p>
        </w:tc>
        <w:tc>
          <w:tcPr>
            <w:tcW w:w="560" w:type="pct"/>
            <w:tcBorders>
              <w:left w:val="nil"/>
              <w:bottom w:val="single" w:sz="4" w:space="0" w:color="95B3D7"/>
              <w:right w:val="single" w:sz="4" w:space="0" w:color="FFFFFF"/>
            </w:tcBorders>
            <w:shd w:val="clear" w:color="000000" w:fill="FFEDB3"/>
            <w:noWrap/>
            <w:vAlign w:val="center"/>
            <w:hideMark/>
          </w:tcPr>
          <w:p w14:paraId="397BBECE"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8</w:t>
            </w:r>
          </w:p>
        </w:tc>
        <w:tc>
          <w:tcPr>
            <w:tcW w:w="646" w:type="pct"/>
            <w:tcBorders>
              <w:left w:val="nil"/>
              <w:bottom w:val="single" w:sz="4" w:space="0" w:color="95B3D7"/>
              <w:right w:val="single" w:sz="4" w:space="0" w:color="FFFFFF"/>
            </w:tcBorders>
            <w:shd w:val="clear" w:color="000000" w:fill="FFEDB3"/>
            <w:noWrap/>
            <w:vAlign w:val="center"/>
            <w:hideMark/>
          </w:tcPr>
          <w:p w14:paraId="5B53A69F"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0,10</w:t>
            </w:r>
          </w:p>
        </w:tc>
        <w:tc>
          <w:tcPr>
            <w:tcW w:w="687" w:type="pct"/>
            <w:tcBorders>
              <w:left w:val="nil"/>
              <w:bottom w:val="single" w:sz="4" w:space="0" w:color="95B3D7"/>
              <w:right w:val="single" w:sz="4" w:space="0" w:color="FFFFFF"/>
            </w:tcBorders>
            <w:shd w:val="clear" w:color="000000" w:fill="A4DCD1"/>
            <w:noWrap/>
            <w:vAlign w:val="center"/>
            <w:hideMark/>
          </w:tcPr>
          <w:p w14:paraId="332C0E09"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5</w:t>
            </w:r>
          </w:p>
        </w:tc>
        <w:tc>
          <w:tcPr>
            <w:tcW w:w="700" w:type="pct"/>
            <w:tcBorders>
              <w:left w:val="nil"/>
              <w:bottom w:val="single" w:sz="4" w:space="0" w:color="95B3D7"/>
              <w:right w:val="single" w:sz="4" w:space="0" w:color="FFFFFF"/>
            </w:tcBorders>
            <w:shd w:val="clear" w:color="000000" w:fill="A4DCD1"/>
            <w:noWrap/>
            <w:vAlign w:val="center"/>
            <w:hideMark/>
          </w:tcPr>
          <w:p w14:paraId="3C2334CE"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0,04</w:t>
            </w:r>
          </w:p>
        </w:tc>
        <w:tc>
          <w:tcPr>
            <w:tcW w:w="632" w:type="pct"/>
            <w:tcBorders>
              <w:left w:val="nil"/>
              <w:bottom w:val="single" w:sz="4" w:space="0" w:color="95B3D7"/>
              <w:right w:val="single" w:sz="4" w:space="0" w:color="FFFFFF"/>
            </w:tcBorders>
            <w:shd w:val="clear" w:color="000000" w:fill="FFDBB7"/>
            <w:noWrap/>
            <w:vAlign w:val="center"/>
            <w:hideMark/>
          </w:tcPr>
          <w:p w14:paraId="2DAD8BE4"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3</w:t>
            </w:r>
          </w:p>
        </w:tc>
        <w:tc>
          <w:tcPr>
            <w:tcW w:w="673" w:type="pct"/>
            <w:tcBorders>
              <w:left w:val="nil"/>
              <w:bottom w:val="single" w:sz="4" w:space="0" w:color="95B3D7"/>
              <w:right w:val="nil"/>
            </w:tcBorders>
            <w:shd w:val="clear" w:color="000000" w:fill="FFDBB7"/>
            <w:noWrap/>
            <w:vAlign w:val="center"/>
            <w:hideMark/>
          </w:tcPr>
          <w:p w14:paraId="75DC877C" w14:textId="77777777" w:rsidR="009A0E5B" w:rsidRPr="00BB3273" w:rsidRDefault="00BB3273" w:rsidP="00BB3273">
            <w:pPr>
              <w:spacing w:before="0" w:after="0"/>
              <w:contextualSpacing w:val="0"/>
              <w:jc w:val="center"/>
              <w:rPr>
                <w:rFonts w:asciiTheme="majorHAnsi" w:eastAsia="Times New Roman" w:hAnsiTheme="majorHAnsi"/>
                <w:sz w:val="20"/>
                <w:szCs w:val="18"/>
                <w:lang w:eastAsia="cs-CZ"/>
              </w:rPr>
            </w:pPr>
            <w:r w:rsidRPr="00BB3273">
              <w:rPr>
                <w:rFonts w:asciiTheme="majorHAnsi" w:eastAsia="Times New Roman" w:hAnsiTheme="majorHAnsi"/>
                <w:sz w:val="20"/>
                <w:szCs w:val="18"/>
                <w:lang w:eastAsia="cs-CZ"/>
              </w:rPr>
              <w:t>0,06</w:t>
            </w:r>
          </w:p>
        </w:tc>
      </w:tr>
      <w:tr w:rsidR="009A0E5B" w:rsidRPr="009A0E5B" w14:paraId="146A9058" w14:textId="77777777" w:rsidTr="00BB3273">
        <w:trPr>
          <w:trHeight w:val="229"/>
          <w:jc w:val="center"/>
        </w:trPr>
        <w:tc>
          <w:tcPr>
            <w:tcW w:w="1102" w:type="pct"/>
            <w:tcBorders>
              <w:top w:val="single" w:sz="4" w:space="0" w:color="95B3D7"/>
              <w:left w:val="nil"/>
              <w:bottom w:val="nil"/>
              <w:right w:val="single" w:sz="4" w:space="0" w:color="FFFFFF"/>
            </w:tcBorders>
            <w:shd w:val="clear" w:color="000000" w:fill="FFF8E1"/>
            <w:noWrap/>
            <w:vAlign w:val="center"/>
            <w:hideMark/>
          </w:tcPr>
          <w:p w14:paraId="38C945A3" w14:textId="77777777" w:rsidR="009A0E5B" w:rsidRPr="00BB3273" w:rsidRDefault="00BB3273" w:rsidP="00BB3273">
            <w:pPr>
              <w:spacing w:before="0" w:after="0"/>
              <w:contextualSpacing w:val="0"/>
              <w:jc w:val="left"/>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CELKEM</w:t>
            </w:r>
          </w:p>
        </w:tc>
        <w:tc>
          <w:tcPr>
            <w:tcW w:w="560" w:type="pct"/>
            <w:tcBorders>
              <w:top w:val="single" w:sz="4" w:space="0" w:color="95B3D7"/>
              <w:left w:val="nil"/>
              <w:bottom w:val="nil"/>
              <w:right w:val="single" w:sz="4" w:space="0" w:color="FFFFFF"/>
            </w:tcBorders>
            <w:shd w:val="clear" w:color="000000" w:fill="FFF8E1"/>
            <w:noWrap/>
            <w:vAlign w:val="center"/>
            <w:hideMark/>
          </w:tcPr>
          <w:p w14:paraId="1C814027"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1124</w:t>
            </w:r>
          </w:p>
        </w:tc>
        <w:tc>
          <w:tcPr>
            <w:tcW w:w="646" w:type="pct"/>
            <w:tcBorders>
              <w:top w:val="single" w:sz="4" w:space="0" w:color="95B3D7"/>
              <w:left w:val="nil"/>
              <w:bottom w:val="nil"/>
              <w:right w:val="single" w:sz="4" w:space="0" w:color="FFFFFF"/>
            </w:tcBorders>
            <w:shd w:val="clear" w:color="000000" w:fill="FFF8E1"/>
            <w:noWrap/>
            <w:vAlign w:val="center"/>
            <w:hideMark/>
          </w:tcPr>
          <w:p w14:paraId="2586EC04"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36,77</w:t>
            </w:r>
          </w:p>
        </w:tc>
        <w:tc>
          <w:tcPr>
            <w:tcW w:w="687" w:type="pct"/>
            <w:tcBorders>
              <w:top w:val="single" w:sz="4" w:space="0" w:color="95B3D7"/>
              <w:left w:val="nil"/>
              <w:bottom w:val="nil"/>
              <w:right w:val="single" w:sz="4" w:space="0" w:color="FFFFFF"/>
            </w:tcBorders>
            <w:shd w:val="clear" w:color="000000" w:fill="E4F4F1"/>
            <w:noWrap/>
            <w:vAlign w:val="center"/>
            <w:hideMark/>
          </w:tcPr>
          <w:p w14:paraId="441912BF"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547</w:t>
            </w:r>
          </w:p>
        </w:tc>
        <w:tc>
          <w:tcPr>
            <w:tcW w:w="700" w:type="pct"/>
            <w:tcBorders>
              <w:top w:val="single" w:sz="4" w:space="0" w:color="95B3D7"/>
              <w:left w:val="nil"/>
              <w:bottom w:val="nil"/>
              <w:right w:val="single" w:sz="4" w:space="0" w:color="FFFFFF"/>
            </w:tcBorders>
            <w:shd w:val="clear" w:color="000000" w:fill="E4F4F1"/>
            <w:noWrap/>
            <w:vAlign w:val="center"/>
            <w:hideMark/>
          </w:tcPr>
          <w:p w14:paraId="10F0F332"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11,11</w:t>
            </w:r>
          </w:p>
        </w:tc>
        <w:tc>
          <w:tcPr>
            <w:tcW w:w="632" w:type="pct"/>
            <w:tcBorders>
              <w:top w:val="single" w:sz="4" w:space="0" w:color="95B3D7"/>
              <w:left w:val="nil"/>
              <w:bottom w:val="nil"/>
              <w:right w:val="single" w:sz="4" w:space="0" w:color="FFFFFF"/>
            </w:tcBorders>
            <w:shd w:val="clear" w:color="000000" w:fill="FFECD9"/>
            <w:noWrap/>
            <w:vAlign w:val="center"/>
            <w:hideMark/>
          </w:tcPr>
          <w:p w14:paraId="06AE756C"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577</w:t>
            </w:r>
          </w:p>
        </w:tc>
        <w:tc>
          <w:tcPr>
            <w:tcW w:w="673" w:type="pct"/>
            <w:tcBorders>
              <w:top w:val="single" w:sz="4" w:space="0" w:color="95B3D7"/>
              <w:left w:val="nil"/>
              <w:bottom w:val="nil"/>
              <w:right w:val="nil"/>
            </w:tcBorders>
            <w:shd w:val="clear" w:color="000000" w:fill="FFECD9"/>
            <w:noWrap/>
            <w:vAlign w:val="center"/>
            <w:hideMark/>
          </w:tcPr>
          <w:p w14:paraId="6DDB62CF" w14:textId="77777777" w:rsidR="009A0E5B" w:rsidRPr="00BB3273" w:rsidRDefault="00BB3273" w:rsidP="00BB3273">
            <w:pPr>
              <w:spacing w:before="0" w:after="0"/>
              <w:contextualSpacing w:val="0"/>
              <w:jc w:val="center"/>
              <w:rPr>
                <w:rFonts w:asciiTheme="majorHAnsi" w:eastAsia="Times New Roman" w:hAnsiTheme="majorHAnsi"/>
                <w:b/>
                <w:bCs/>
                <w:sz w:val="20"/>
                <w:szCs w:val="18"/>
                <w:lang w:eastAsia="cs-CZ"/>
              </w:rPr>
            </w:pPr>
            <w:r w:rsidRPr="00BB3273">
              <w:rPr>
                <w:rFonts w:asciiTheme="majorHAnsi" w:eastAsia="Times New Roman" w:hAnsiTheme="majorHAnsi"/>
                <w:b/>
                <w:bCs/>
                <w:sz w:val="20"/>
                <w:szCs w:val="18"/>
                <w:lang w:eastAsia="cs-CZ"/>
              </w:rPr>
              <w:t>25,66</w:t>
            </w:r>
          </w:p>
        </w:tc>
      </w:tr>
    </w:tbl>
    <w:p w14:paraId="57303E3C" w14:textId="77777777" w:rsidR="00A34B20" w:rsidRDefault="00A34B20" w:rsidP="00A34B20">
      <w:pPr>
        <w:pStyle w:val="Normlnzprva"/>
      </w:pPr>
    </w:p>
    <w:p w14:paraId="70D05B76" w14:textId="729B7287" w:rsidR="009F36D5" w:rsidRDefault="004A768F" w:rsidP="00F421DF">
      <w:pPr>
        <w:pStyle w:val="NORMLN0"/>
      </w:pPr>
      <w:r>
        <w:t>V mnoh</w:t>
      </w:r>
      <w:r w:rsidR="008D7AE1">
        <w:t>a</w:t>
      </w:r>
      <w:r>
        <w:t xml:space="preserve"> případech souvisí dotace ceny s vysokým stupněm atomizace sektoru. </w:t>
      </w:r>
      <w:r w:rsidR="00A34B20">
        <w:t xml:space="preserve">Z dlouhodobého hlediska však tento přístup zabraňuje plnění záměru dosažení </w:t>
      </w:r>
      <w:r w:rsidR="00A34B20">
        <w:lastRenderedPageBreak/>
        <w:t xml:space="preserve">samofinancovatelnosti VIM a zvyšuje riziko </w:t>
      </w:r>
      <w:r w:rsidR="00A34B20" w:rsidRPr="000937F8">
        <w:t>zatížení budoucích generací</w:t>
      </w:r>
      <w:r w:rsidR="00A34B20">
        <w:t xml:space="preserve"> </w:t>
      </w:r>
      <w:r w:rsidR="00A34B20" w:rsidRPr="000937F8">
        <w:t>výdaji na obnovu VIM buď formou státních dotací</w:t>
      </w:r>
      <w:r w:rsidR="00A34B20">
        <w:t>,</w:t>
      </w:r>
      <w:r w:rsidR="00A34B20" w:rsidRPr="000937F8">
        <w:t xml:space="preserve"> nebo skokově zvýšenou cenou</w:t>
      </w:r>
      <w:r w:rsidR="00A34B20">
        <w:t>, pokud vlastník o VIM d</w:t>
      </w:r>
      <w:r w:rsidR="004C7C21">
        <w:t>ostatečně systematicky nepečuje a nefinancuje obnovu z jiných příjmů.</w:t>
      </w:r>
      <w:r w:rsidR="00A34B20">
        <w:t xml:space="preserve"> </w:t>
      </w:r>
    </w:p>
    <w:p w14:paraId="0451ABA4" w14:textId="77777777" w:rsidR="00A34B20" w:rsidRPr="00670E65" w:rsidRDefault="00A34B20" w:rsidP="00670E65">
      <w:pPr>
        <w:pStyle w:val="Normlnzprva"/>
        <w:rPr>
          <w:noProof/>
        </w:rPr>
      </w:pPr>
    </w:p>
    <w:p w14:paraId="4C326A19" w14:textId="77777777" w:rsidR="007538B8" w:rsidRPr="00C62639" w:rsidRDefault="00B34468" w:rsidP="007538B8">
      <w:pPr>
        <w:pStyle w:val="Nadpis3"/>
        <w:rPr>
          <w:rFonts w:asciiTheme="minorHAnsi" w:hAnsiTheme="minorHAnsi"/>
          <w:noProof/>
        </w:rPr>
      </w:pPr>
      <w:bookmarkStart w:id="40" w:name="_Toc3292001"/>
      <w:r w:rsidRPr="00B34468">
        <w:rPr>
          <w:noProof/>
          <w:lang w:eastAsia="cs-CZ"/>
        </w:rPr>
        <w:drawing>
          <wp:anchor distT="0" distB="0" distL="114300" distR="114300" simplePos="0" relativeHeight="251676672" behindDoc="0" locked="0" layoutInCell="1" allowOverlap="1" wp14:anchorId="316972AD" wp14:editId="356118C9">
            <wp:simplePos x="0" y="0"/>
            <wp:positionH relativeFrom="margin">
              <wp:align>center</wp:align>
            </wp:positionH>
            <wp:positionV relativeFrom="paragraph">
              <wp:posOffset>494030</wp:posOffset>
            </wp:positionV>
            <wp:extent cx="6007735" cy="1889125"/>
            <wp:effectExtent l="0" t="0" r="0" b="0"/>
            <wp:wrapTopAndBottom/>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07735" cy="188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8B8" w:rsidRPr="00C62639">
        <w:rPr>
          <w:rFonts w:asciiTheme="minorHAnsi" w:hAnsiTheme="minorHAnsi"/>
          <w:noProof/>
        </w:rPr>
        <w:t>Výskyt anomálii v jednotlivých skupinách vlastníků</w:t>
      </w:r>
      <w:bookmarkEnd w:id="40"/>
    </w:p>
    <w:p w14:paraId="451D31C6" w14:textId="77777777" w:rsidR="00B34468" w:rsidRDefault="00B34468" w:rsidP="00D666C9">
      <w:pPr>
        <w:pStyle w:val="NORMLN0"/>
        <w:rPr>
          <w:noProof/>
          <w:lang w:eastAsia="cs-CZ"/>
        </w:rPr>
      </w:pPr>
    </w:p>
    <w:p w14:paraId="0C0B59F7" w14:textId="50858BC5" w:rsidR="00BB3273" w:rsidRDefault="00B15905" w:rsidP="00D666C9">
      <w:pPr>
        <w:pStyle w:val="NORMLN0"/>
        <w:rPr>
          <w:noProof/>
          <w:lang w:eastAsia="cs-CZ"/>
        </w:rPr>
      </w:pPr>
      <w:r>
        <w:rPr>
          <w:noProof/>
          <w:lang w:eastAsia="cs-CZ"/>
        </w:rPr>
        <w:t>Z hlediska ob</w:t>
      </w:r>
      <w:r w:rsidR="008D7AE1">
        <w:rPr>
          <w:noProof/>
          <w:lang w:eastAsia="cs-CZ"/>
        </w:rPr>
        <w:t>je</w:t>
      </w:r>
      <w:r>
        <w:rPr>
          <w:noProof/>
          <w:lang w:eastAsia="cs-CZ"/>
        </w:rPr>
        <w:t xml:space="preserve">mu </w:t>
      </w:r>
      <w:r w:rsidR="008D7AE1">
        <w:rPr>
          <w:noProof/>
          <w:lang w:eastAsia="cs-CZ"/>
        </w:rPr>
        <w:t>fakturované vody</w:t>
      </w:r>
      <w:r>
        <w:rPr>
          <w:noProof/>
          <w:lang w:eastAsia="cs-CZ"/>
        </w:rPr>
        <w:t xml:space="preserve"> </w:t>
      </w:r>
      <w:r w:rsidR="008D7AE1">
        <w:rPr>
          <w:noProof/>
          <w:lang w:eastAsia="cs-CZ"/>
        </w:rPr>
        <w:t>zasahují</w:t>
      </w:r>
      <w:r>
        <w:rPr>
          <w:noProof/>
          <w:lang w:eastAsia="cs-CZ"/>
        </w:rPr>
        <w:t xml:space="preserve"> anomálie všechny skupiny. Také v první vlastnické skupině se vyskytuje alespoň jedna anomálie u více než 50</w:t>
      </w:r>
      <w:r w:rsidR="008D7AE1">
        <w:rPr>
          <w:noProof/>
          <w:lang w:eastAsia="cs-CZ"/>
        </w:rPr>
        <w:t xml:space="preserve"> </w:t>
      </w:r>
      <w:r>
        <w:rPr>
          <w:noProof/>
          <w:lang w:eastAsia="cs-CZ"/>
        </w:rPr>
        <w:t xml:space="preserve">% objemu fakturované vody. </w:t>
      </w:r>
      <w:r w:rsidR="008D7AE1">
        <w:rPr>
          <w:noProof/>
          <w:lang w:eastAsia="cs-CZ"/>
        </w:rPr>
        <w:t xml:space="preserve">Více než </w:t>
      </w:r>
      <w:r>
        <w:rPr>
          <w:noProof/>
          <w:lang w:eastAsia="cs-CZ"/>
        </w:rPr>
        <w:t>95</w:t>
      </w:r>
      <w:r w:rsidR="008D7AE1">
        <w:rPr>
          <w:noProof/>
          <w:lang w:eastAsia="cs-CZ"/>
        </w:rPr>
        <w:t xml:space="preserve"> </w:t>
      </w:r>
      <w:r>
        <w:rPr>
          <w:noProof/>
          <w:lang w:eastAsia="cs-CZ"/>
        </w:rPr>
        <w:t>% objemu fakturované odpadní vody je ovlivněno ve</w:t>
      </w:r>
      <w:r w:rsidR="00BB3273">
        <w:rPr>
          <w:noProof/>
          <w:lang w:eastAsia="cs-CZ"/>
        </w:rPr>
        <w:t xml:space="preserve"> III., </w:t>
      </w:r>
      <w:r>
        <w:rPr>
          <w:noProof/>
          <w:lang w:eastAsia="cs-CZ"/>
        </w:rPr>
        <w:t>IV.</w:t>
      </w:r>
      <w:r w:rsidR="00BB3273">
        <w:rPr>
          <w:noProof/>
          <w:lang w:eastAsia="cs-CZ"/>
        </w:rPr>
        <w:t xml:space="preserve"> a</w:t>
      </w:r>
      <w:r>
        <w:rPr>
          <w:noProof/>
          <w:lang w:eastAsia="cs-CZ"/>
        </w:rPr>
        <w:t xml:space="preserve"> V. skupině.</w:t>
      </w:r>
      <w:r w:rsidR="00BB3273">
        <w:rPr>
          <w:noProof/>
          <w:lang w:eastAsia="cs-CZ"/>
        </w:rPr>
        <w:t xml:space="preserve"> Všechn</w:t>
      </w:r>
      <w:r w:rsidR="002A584D">
        <w:rPr>
          <w:noProof/>
          <w:lang w:eastAsia="cs-CZ"/>
        </w:rPr>
        <w:t>a</w:t>
      </w:r>
      <w:r w:rsidR="00BB3273">
        <w:rPr>
          <w:noProof/>
          <w:lang w:eastAsia="cs-CZ"/>
        </w:rPr>
        <w:t xml:space="preserve"> Porovnání v VI. skupině jsou ovlivněna alespoň jednou anomálii. </w:t>
      </w:r>
    </w:p>
    <w:p w14:paraId="2A8714D3" w14:textId="77777777" w:rsidR="009F36D5" w:rsidRDefault="00B15905" w:rsidP="00BB3273">
      <w:pPr>
        <w:pStyle w:val="NORMLN0"/>
        <w:rPr>
          <w:noProof/>
        </w:rPr>
      </w:pPr>
      <w:r>
        <w:rPr>
          <w:noProof/>
          <w:lang w:eastAsia="cs-CZ"/>
        </w:rPr>
        <w:t xml:space="preserve">Podle </w:t>
      </w:r>
      <w:r w:rsidR="00CE5B91">
        <w:rPr>
          <w:noProof/>
        </w:rPr>
        <w:t xml:space="preserve">četnosti výskytu lze konstatovat, že nejproblémovějšími skupinami z hlediska plnění záměrů regulace jsou Porovnání </w:t>
      </w:r>
      <w:r w:rsidR="00CE5B91" w:rsidRPr="00BA0B2E">
        <w:rPr>
          <w:b/>
          <w:noProof/>
        </w:rPr>
        <w:t>vlastníků z III., IV.</w:t>
      </w:r>
      <w:r w:rsidR="00BB3273">
        <w:rPr>
          <w:b/>
          <w:noProof/>
        </w:rPr>
        <w:t xml:space="preserve"> a</w:t>
      </w:r>
      <w:r>
        <w:rPr>
          <w:b/>
          <w:noProof/>
        </w:rPr>
        <w:t xml:space="preserve"> V.</w:t>
      </w:r>
      <w:r w:rsidR="00CE5B91">
        <w:rPr>
          <w:b/>
          <w:noProof/>
        </w:rPr>
        <w:t xml:space="preserve"> skupiny </w:t>
      </w:r>
      <w:r w:rsidR="00CE5B91" w:rsidRPr="00BA0B2E">
        <w:rPr>
          <w:b/>
          <w:noProof/>
        </w:rPr>
        <w:t>.</w:t>
      </w:r>
      <w:r w:rsidR="00B26631">
        <w:rPr>
          <w:noProof/>
        </w:rPr>
        <w:t xml:space="preserve"> </w:t>
      </w:r>
      <w:r w:rsidR="00CE5B91">
        <w:rPr>
          <w:noProof/>
        </w:rPr>
        <w:t xml:space="preserve">Celková hodnota majetku VIM uvedených skupin je </w:t>
      </w:r>
      <w:r w:rsidR="004A5F01">
        <w:rPr>
          <w:noProof/>
        </w:rPr>
        <w:t>228,43</w:t>
      </w:r>
      <w:r w:rsidR="00CE5B91">
        <w:rPr>
          <w:noProof/>
        </w:rPr>
        <w:t xml:space="preserve"> mld. Kč</w:t>
      </w:r>
      <w:r w:rsidR="00AE415C">
        <w:rPr>
          <w:noProof/>
        </w:rPr>
        <w:t>,</w:t>
      </w:r>
      <w:r w:rsidR="00CE5B91">
        <w:rPr>
          <w:noProof/>
        </w:rPr>
        <w:t xml:space="preserve"> objem fakturované </w:t>
      </w:r>
      <w:r w:rsidR="00AE415C">
        <w:rPr>
          <w:noProof/>
        </w:rPr>
        <w:t>vody</w:t>
      </w:r>
      <w:r w:rsidR="00CE5B91">
        <w:rPr>
          <w:noProof/>
        </w:rPr>
        <w:t xml:space="preserve"> činil </w:t>
      </w:r>
      <w:r w:rsidR="00C14EE7">
        <w:rPr>
          <w:noProof/>
        </w:rPr>
        <w:t>114,</w:t>
      </w:r>
      <w:r w:rsidR="004A5F01">
        <w:rPr>
          <w:noProof/>
        </w:rPr>
        <w:t>5</w:t>
      </w:r>
      <w:r w:rsidR="00C14EE7">
        <w:rPr>
          <w:noProof/>
        </w:rPr>
        <w:t>3</w:t>
      </w:r>
      <w:r w:rsidR="00CE5B91">
        <w:rPr>
          <w:noProof/>
        </w:rPr>
        <w:t xml:space="preserve"> </w:t>
      </w:r>
      <w:r w:rsidR="00E27252">
        <w:rPr>
          <w:noProof/>
        </w:rPr>
        <w:t>mil. m</w:t>
      </w:r>
      <w:r w:rsidR="00E27252" w:rsidRPr="00E27252">
        <w:rPr>
          <w:noProof/>
          <w:vertAlign w:val="superscript"/>
        </w:rPr>
        <w:t>3</w:t>
      </w:r>
      <w:r w:rsidR="00C14EE7">
        <w:rPr>
          <w:noProof/>
        </w:rPr>
        <w:t xml:space="preserve"> a počet </w:t>
      </w:r>
      <w:r w:rsidR="00AE415C">
        <w:rPr>
          <w:noProof/>
        </w:rPr>
        <w:t xml:space="preserve">připojených </w:t>
      </w:r>
      <w:r w:rsidR="00C14EE7">
        <w:rPr>
          <w:noProof/>
        </w:rPr>
        <w:t xml:space="preserve">obyvatel 2,19 mil. </w:t>
      </w:r>
    </w:p>
    <w:p w14:paraId="1B36B00E" w14:textId="4DDCB548" w:rsidR="00D666C9" w:rsidRPr="00D666C9" w:rsidRDefault="00CE5B91" w:rsidP="00D666C9">
      <w:pPr>
        <w:pStyle w:val="NORMLN0"/>
        <w:rPr>
          <w:noProof/>
        </w:rPr>
      </w:pPr>
      <w:r>
        <w:rPr>
          <w:noProof/>
        </w:rPr>
        <w:t>Jak vyplývá z níže uvedené tabulky, je v těchto rizikový</w:t>
      </w:r>
      <w:r w:rsidR="004E369D">
        <w:rPr>
          <w:noProof/>
        </w:rPr>
        <w:t>c</w:t>
      </w:r>
      <w:r>
        <w:rPr>
          <w:noProof/>
        </w:rPr>
        <w:t xml:space="preserve">h skupinách největším problémem </w:t>
      </w:r>
      <w:r w:rsidRPr="004A5F01">
        <w:rPr>
          <w:b/>
          <w:noProof/>
        </w:rPr>
        <w:t>nedostatečná</w:t>
      </w:r>
      <w:r w:rsidRPr="007A20D2">
        <w:rPr>
          <w:b/>
          <w:noProof/>
        </w:rPr>
        <w:t xml:space="preserve"> tvorba prostředků na obnovu</w:t>
      </w:r>
      <w:r>
        <w:rPr>
          <w:b/>
          <w:noProof/>
        </w:rPr>
        <w:t xml:space="preserve"> </w:t>
      </w:r>
      <w:r w:rsidR="00AE415C">
        <w:rPr>
          <w:b/>
          <w:noProof/>
        </w:rPr>
        <w:t xml:space="preserve">ze </w:t>
      </w:r>
      <w:r>
        <w:rPr>
          <w:b/>
          <w:noProof/>
        </w:rPr>
        <w:t>stočné</w:t>
      </w:r>
      <w:r w:rsidR="00AE415C">
        <w:rPr>
          <w:b/>
          <w:noProof/>
        </w:rPr>
        <w:t>ho</w:t>
      </w:r>
      <w:r>
        <w:rPr>
          <w:noProof/>
        </w:rPr>
        <w:t>.</w:t>
      </w:r>
      <w:r w:rsidR="00B975D8">
        <w:rPr>
          <w:noProof/>
        </w:rPr>
        <w:t xml:space="preserve"> V</w:t>
      </w:r>
      <w:r w:rsidR="00AB574B">
        <w:rPr>
          <w:noProof/>
        </w:rPr>
        <w:t>e</w:t>
      </w:r>
      <w:r w:rsidR="00B975D8">
        <w:rPr>
          <w:noProof/>
        </w:rPr>
        <w:t> IV. a V. skupině je vyk</w:t>
      </w:r>
      <w:r w:rsidR="00AB574B">
        <w:rPr>
          <w:noProof/>
        </w:rPr>
        <w:t>ázáno</w:t>
      </w:r>
      <w:r w:rsidR="00B975D8">
        <w:rPr>
          <w:noProof/>
        </w:rPr>
        <w:t xml:space="preserve"> nesprávné nastavení cen</w:t>
      </w:r>
      <w:r w:rsidR="00AB574B">
        <w:rPr>
          <w:noProof/>
        </w:rPr>
        <w:t>y</w:t>
      </w:r>
      <w:r w:rsidR="00B975D8">
        <w:rPr>
          <w:noProof/>
        </w:rPr>
        <w:t xml:space="preserve"> pro stočné</w:t>
      </w:r>
      <w:r w:rsidR="00BC03D3">
        <w:rPr>
          <w:noProof/>
        </w:rPr>
        <w:t xml:space="preserve"> </w:t>
      </w:r>
      <w:r w:rsidR="00B975D8">
        <w:rPr>
          <w:noProof/>
        </w:rPr>
        <w:t>pro více než 65% podíl vody fakturované v</w:t>
      </w:r>
      <w:r w:rsidR="00AB574B">
        <w:rPr>
          <w:noProof/>
        </w:rPr>
        <w:t> </w:t>
      </w:r>
      <w:r w:rsidR="00B975D8">
        <w:rPr>
          <w:noProof/>
        </w:rPr>
        <w:t>obou</w:t>
      </w:r>
      <w:r w:rsidR="00AB574B">
        <w:rPr>
          <w:noProof/>
        </w:rPr>
        <w:t xml:space="preserve"> těchto</w:t>
      </w:r>
      <w:r w:rsidR="00B975D8">
        <w:rPr>
          <w:noProof/>
        </w:rPr>
        <w:t xml:space="preserve"> skupinách (79,02% podíl, tj. 1 228 Porovnání s 28,156 mil. m</w:t>
      </w:r>
      <w:r w:rsidR="00B975D8" w:rsidRPr="00B975D8">
        <w:rPr>
          <w:noProof/>
          <w:vertAlign w:val="superscript"/>
        </w:rPr>
        <w:t>3</w:t>
      </w:r>
      <w:r w:rsidR="00B975D8">
        <w:rPr>
          <w:noProof/>
        </w:rPr>
        <w:t xml:space="preserve"> z 35,63 mil. m</w:t>
      </w:r>
      <w:r w:rsidR="00B975D8" w:rsidRPr="00B975D8">
        <w:rPr>
          <w:noProof/>
          <w:vertAlign w:val="superscript"/>
        </w:rPr>
        <w:t>3</w:t>
      </w:r>
      <w:r w:rsidR="00B975D8">
        <w:rPr>
          <w:noProof/>
        </w:rPr>
        <w:t xml:space="preserve"> fakturované vody a pro V. skupinu 66,10% podíl, tj. 260 porovnání</w:t>
      </w:r>
      <w:r w:rsidR="00BC03D3">
        <w:rPr>
          <w:noProof/>
        </w:rPr>
        <w:t xml:space="preserve"> </w:t>
      </w:r>
      <w:r w:rsidR="00B975D8">
        <w:rPr>
          <w:noProof/>
        </w:rPr>
        <w:t>s 1,844 mil. m</w:t>
      </w:r>
      <w:r w:rsidR="00B975D8" w:rsidRPr="00B975D8">
        <w:rPr>
          <w:noProof/>
          <w:vertAlign w:val="superscript"/>
        </w:rPr>
        <w:t>3</w:t>
      </w:r>
      <w:r w:rsidR="00B975D8">
        <w:rPr>
          <w:noProof/>
        </w:rPr>
        <w:t xml:space="preserve"> z 2,79 mil. m</w:t>
      </w:r>
      <w:r w:rsidR="00B975D8" w:rsidRPr="00B975D8">
        <w:rPr>
          <w:noProof/>
          <w:vertAlign w:val="superscript"/>
        </w:rPr>
        <w:t>3</w:t>
      </w:r>
      <w:r w:rsidR="00B975D8">
        <w:rPr>
          <w:noProof/>
        </w:rPr>
        <w:t xml:space="preserve"> fakturovanej vody). V III. skupině ovlivňuje uvedený nedostatek </w:t>
      </w:r>
      <w:r w:rsidR="00AB574B">
        <w:rPr>
          <w:noProof/>
        </w:rPr>
        <w:t xml:space="preserve">téměř </w:t>
      </w:r>
      <w:r w:rsidR="00B975D8">
        <w:rPr>
          <w:noProof/>
        </w:rPr>
        <w:t xml:space="preserve">40% podíl fakturované vody ve skupině. </w:t>
      </w:r>
      <w:r>
        <w:rPr>
          <w:noProof/>
        </w:rPr>
        <w:t xml:space="preserve">Příčiny </w:t>
      </w:r>
      <w:r w:rsidR="00AB574B">
        <w:rPr>
          <w:noProof/>
        </w:rPr>
        <w:t>mohou</w:t>
      </w:r>
      <w:r w:rsidR="001C2505">
        <w:rPr>
          <w:noProof/>
        </w:rPr>
        <w:t xml:space="preserve"> spočívat zejména v</w:t>
      </w:r>
      <w:r w:rsidR="00AE415C">
        <w:rPr>
          <w:noProof/>
        </w:rPr>
        <w:t xml:space="preserve"> plánovaném </w:t>
      </w:r>
      <w:r>
        <w:rPr>
          <w:noProof/>
        </w:rPr>
        <w:t xml:space="preserve">používání </w:t>
      </w:r>
      <w:r w:rsidR="004A5F01" w:rsidRPr="00D666C9">
        <w:rPr>
          <w:rStyle w:val="NORMLNChar"/>
          <w:b/>
        </w:rPr>
        <w:t>z</w:t>
      </w:r>
      <w:r w:rsidR="004A5F01" w:rsidRPr="004A5F01">
        <w:rPr>
          <w:b/>
          <w:noProof/>
        </w:rPr>
        <w:t>á</w:t>
      </w:r>
      <w:r w:rsidR="004A5F01" w:rsidRPr="001C2505">
        <w:rPr>
          <w:b/>
          <w:noProof/>
        </w:rPr>
        <w:t>porného</w:t>
      </w:r>
      <w:r w:rsidRPr="001C2505">
        <w:rPr>
          <w:b/>
          <w:noProof/>
        </w:rPr>
        <w:t xml:space="preserve"> kalkulačního zisku</w:t>
      </w:r>
      <w:r w:rsidR="00AE415C">
        <w:rPr>
          <w:noProof/>
        </w:rPr>
        <w:t xml:space="preserve"> </w:t>
      </w:r>
      <w:r>
        <w:rPr>
          <w:noProof/>
        </w:rPr>
        <w:t>(</w:t>
      </w:r>
      <w:r w:rsidR="00AE415C">
        <w:rPr>
          <w:noProof/>
        </w:rPr>
        <w:t xml:space="preserve">tzn. </w:t>
      </w:r>
      <w:r>
        <w:rPr>
          <w:noProof/>
        </w:rPr>
        <w:t>dotování ceny z jiných zdrojů než je stočné)</w:t>
      </w:r>
      <w:r w:rsidR="00AE415C">
        <w:rPr>
          <w:noProof/>
        </w:rPr>
        <w:t>.</w:t>
      </w:r>
      <w:r w:rsidR="00B975D8">
        <w:rPr>
          <w:noProof/>
        </w:rPr>
        <w:t xml:space="preserve"> Anomálie se projevila v V. a IV. skupině, kde ovlivňuje více než čtvrtinu objemu fakturované vody v každé skupině. Z hlediska počtu výskytu</w:t>
      </w:r>
      <w:r w:rsidR="00BC03D3">
        <w:rPr>
          <w:noProof/>
        </w:rPr>
        <w:t xml:space="preserve"> </w:t>
      </w:r>
      <w:r w:rsidR="00B975D8">
        <w:rPr>
          <w:noProof/>
        </w:rPr>
        <w:t>nejvíce záporný kalkulační zisk při sestavování kalkulace využívají vlastnící v</w:t>
      </w:r>
      <w:r w:rsidR="00AB574B">
        <w:rPr>
          <w:noProof/>
        </w:rPr>
        <w:t>e</w:t>
      </w:r>
      <w:r w:rsidR="00B975D8">
        <w:rPr>
          <w:noProof/>
        </w:rPr>
        <w:t> IV. skupině (403 Porovnání) a pak v V. skupině (110 Porovnání).</w:t>
      </w:r>
      <w:r w:rsidR="00BC03D3">
        <w:rPr>
          <w:noProof/>
        </w:rPr>
        <w:t xml:space="preserve"> </w:t>
      </w:r>
      <w:r w:rsidR="00D666C9">
        <w:rPr>
          <w:noProof/>
        </w:rPr>
        <w:t>Vzhledem k faktu, že se jedná o malé vlastníky, bylo by dobré prověřit, v</w:t>
      </w:r>
      <w:r w:rsidR="00AB574B">
        <w:rPr>
          <w:noProof/>
        </w:rPr>
        <w:t>e</w:t>
      </w:r>
      <w:r w:rsidR="00D666C9">
        <w:rPr>
          <w:noProof/>
        </w:rPr>
        <w:t xml:space="preserve"> kterých případech </w:t>
      </w:r>
      <w:r w:rsidR="00AB574B">
        <w:rPr>
          <w:noProof/>
        </w:rPr>
        <w:t>již</w:t>
      </w:r>
      <w:r w:rsidR="00D666C9">
        <w:rPr>
          <w:noProof/>
        </w:rPr>
        <w:t xml:space="preserve"> cena pro stočné dosahuje sociálně unosnou výši a</w:t>
      </w:r>
      <w:r w:rsidR="00BC03D3">
        <w:rPr>
          <w:noProof/>
        </w:rPr>
        <w:t xml:space="preserve"> </w:t>
      </w:r>
      <w:r w:rsidR="00D666C9">
        <w:rPr>
          <w:noProof/>
        </w:rPr>
        <w:t xml:space="preserve">plánované využívání záporného kalkulačního zisku je </w:t>
      </w:r>
      <w:r w:rsidR="00AB574B">
        <w:rPr>
          <w:noProof/>
        </w:rPr>
        <w:t xml:space="preserve">s největší pravděpodobnotí </w:t>
      </w:r>
      <w:r w:rsidR="00D666C9">
        <w:rPr>
          <w:noProof/>
        </w:rPr>
        <w:t>důsledkem atomizace trhu. Na druhé straně ve všech třech skupinách se vyskytoval</w:t>
      </w:r>
      <w:r w:rsidR="00AB574B">
        <w:rPr>
          <w:noProof/>
        </w:rPr>
        <w:t>a</w:t>
      </w:r>
      <w:r w:rsidR="00D666C9">
        <w:rPr>
          <w:noProof/>
        </w:rPr>
        <w:t xml:space="preserve">Porovnání vykazující dosaženou </w:t>
      </w:r>
      <w:r w:rsidR="00AB574B">
        <w:rPr>
          <w:noProof/>
        </w:rPr>
        <w:t>záporný kalkulační zisk.</w:t>
      </w:r>
      <w:r w:rsidR="00D666C9" w:rsidRPr="00D666C9">
        <w:rPr>
          <w:noProof/>
        </w:rPr>
        <w:t xml:space="preserve"> </w:t>
      </w:r>
      <w:r w:rsidR="00AB574B">
        <w:rPr>
          <w:i/>
          <w:noProof/>
        </w:rPr>
        <w:t>S</w:t>
      </w:r>
      <w:r w:rsidR="00D666C9" w:rsidRPr="00D666C9">
        <w:rPr>
          <w:i/>
          <w:noProof/>
        </w:rPr>
        <w:t>e ztrátou byl prodán více než čtvrtinový objem fakturované vody ve IV. a V. vlastnické skupině</w:t>
      </w:r>
      <w:r w:rsidR="00D666C9" w:rsidRPr="00D666C9">
        <w:rPr>
          <w:noProof/>
        </w:rPr>
        <w:t xml:space="preserve"> (421 Porovnání, tj. 9,795 mil. m</w:t>
      </w:r>
      <w:r w:rsidR="00D666C9" w:rsidRPr="00D666C9">
        <w:rPr>
          <w:noProof/>
          <w:vertAlign w:val="superscript"/>
        </w:rPr>
        <w:t>3</w:t>
      </w:r>
      <w:r w:rsidR="00D666C9" w:rsidRPr="00D666C9">
        <w:rPr>
          <w:noProof/>
        </w:rPr>
        <w:t xml:space="preserve"> z 35,63 mil. m</w:t>
      </w:r>
      <w:r w:rsidR="00D666C9" w:rsidRPr="00D666C9">
        <w:rPr>
          <w:noProof/>
          <w:vertAlign w:val="superscript"/>
        </w:rPr>
        <w:t>3</w:t>
      </w:r>
      <w:r w:rsidR="00D666C9" w:rsidRPr="00D666C9">
        <w:rPr>
          <w:noProof/>
        </w:rPr>
        <w:t xml:space="preserve"> fakturované vody ve IV. skupině a 96 Porovnání, tj. 0,861 mil. m</w:t>
      </w:r>
      <w:r w:rsidR="00D666C9" w:rsidRPr="00D666C9">
        <w:rPr>
          <w:noProof/>
          <w:vertAlign w:val="superscript"/>
        </w:rPr>
        <w:t>3</w:t>
      </w:r>
      <w:r w:rsidR="00D666C9" w:rsidRPr="00D666C9">
        <w:rPr>
          <w:noProof/>
        </w:rPr>
        <w:t xml:space="preserve"> z 2,79 mil. m</w:t>
      </w:r>
      <w:r w:rsidR="00D666C9" w:rsidRPr="00D666C9">
        <w:rPr>
          <w:noProof/>
          <w:vertAlign w:val="superscript"/>
        </w:rPr>
        <w:t>3</w:t>
      </w:r>
      <w:r w:rsidR="00D666C9" w:rsidRPr="00D666C9">
        <w:rPr>
          <w:noProof/>
        </w:rPr>
        <w:t xml:space="preserve"> fakturované vody v V. skupině) </w:t>
      </w:r>
    </w:p>
    <w:p w14:paraId="1C0CD4EA" w14:textId="3FE2D866" w:rsidR="009F36D5" w:rsidRDefault="001C2505" w:rsidP="00D666C9">
      <w:pPr>
        <w:pStyle w:val="NORMLN0"/>
        <w:rPr>
          <w:noProof/>
        </w:rPr>
      </w:pPr>
      <w:r>
        <w:rPr>
          <w:noProof/>
        </w:rPr>
        <w:lastRenderedPageBreak/>
        <w:t xml:space="preserve">Dalším důvodem </w:t>
      </w:r>
      <w:r w:rsidR="00D666C9">
        <w:rPr>
          <w:noProof/>
        </w:rPr>
        <w:t xml:space="preserve">komplikujícím </w:t>
      </w:r>
      <w:r w:rsidR="00D326B7">
        <w:rPr>
          <w:noProof/>
        </w:rPr>
        <w:t xml:space="preserve">detailnější vyhodnocení plnění obnovy </w:t>
      </w:r>
      <w:r>
        <w:rPr>
          <w:noProof/>
        </w:rPr>
        <w:t xml:space="preserve">je neposkytování úplných informací o tvorbě a čerpání prostředků na obnovu – </w:t>
      </w:r>
      <w:r w:rsidRPr="001C2505">
        <w:rPr>
          <w:b/>
          <w:noProof/>
        </w:rPr>
        <w:t xml:space="preserve">nulový řádek 20 </w:t>
      </w:r>
      <w:r>
        <w:rPr>
          <w:noProof/>
        </w:rPr>
        <w:t>(tvorba a čerpání prostředků na obnovu)</w:t>
      </w:r>
      <w:r w:rsidR="00AE415C">
        <w:rPr>
          <w:noProof/>
        </w:rPr>
        <w:t>.</w:t>
      </w:r>
      <w:r w:rsidR="00D326B7">
        <w:rPr>
          <w:noProof/>
        </w:rPr>
        <w:t xml:space="preserve"> Ten byl nalezen ve všech třech skupinách, nejv</w:t>
      </w:r>
      <w:r w:rsidR="00AB574B">
        <w:rPr>
          <w:noProof/>
        </w:rPr>
        <w:t>ětší</w:t>
      </w:r>
      <w:r w:rsidR="00BC03D3">
        <w:rPr>
          <w:noProof/>
        </w:rPr>
        <w:t xml:space="preserve"> </w:t>
      </w:r>
      <w:r w:rsidR="00D326B7">
        <w:rPr>
          <w:noProof/>
        </w:rPr>
        <w:t>podíl fakturované vody (</w:t>
      </w:r>
      <w:r w:rsidR="00AB574B">
        <w:rPr>
          <w:noProof/>
        </w:rPr>
        <w:t xml:space="preserve">tj. 42,74 %; </w:t>
      </w:r>
      <w:r w:rsidR="00D326B7">
        <w:rPr>
          <w:noProof/>
        </w:rPr>
        <w:t xml:space="preserve">139 Porovnání) </w:t>
      </w:r>
      <w:r w:rsidR="00AB574B">
        <w:rPr>
          <w:noProof/>
        </w:rPr>
        <w:t xml:space="preserve">ovlivňoval </w:t>
      </w:r>
      <w:r w:rsidR="00D326B7">
        <w:rPr>
          <w:noProof/>
        </w:rPr>
        <w:t>v V. skupině. Početně</w:t>
      </w:r>
      <w:r w:rsidR="00AB574B">
        <w:rPr>
          <w:noProof/>
        </w:rPr>
        <w:t>ji</w:t>
      </w:r>
      <w:r w:rsidR="00BC03D3">
        <w:rPr>
          <w:noProof/>
        </w:rPr>
        <w:t xml:space="preserve"> </w:t>
      </w:r>
      <w:r w:rsidR="00D326B7">
        <w:rPr>
          <w:noProof/>
        </w:rPr>
        <w:t>se nacházel i v</w:t>
      </w:r>
      <w:r w:rsidR="00AB574B">
        <w:rPr>
          <w:noProof/>
        </w:rPr>
        <w:t>e</w:t>
      </w:r>
      <w:r w:rsidR="00D326B7">
        <w:rPr>
          <w:noProof/>
        </w:rPr>
        <w:t xml:space="preserve"> IV. </w:t>
      </w:r>
      <w:r w:rsidR="0065787D">
        <w:rPr>
          <w:noProof/>
        </w:rPr>
        <w:t>s</w:t>
      </w:r>
      <w:r w:rsidR="00D326B7">
        <w:rPr>
          <w:noProof/>
        </w:rPr>
        <w:t>kupině</w:t>
      </w:r>
      <w:r w:rsidR="00AB574B">
        <w:rPr>
          <w:noProof/>
        </w:rPr>
        <w:t>,</w:t>
      </w:r>
      <w:r w:rsidR="00D326B7">
        <w:rPr>
          <w:noProof/>
        </w:rPr>
        <w:t xml:space="preserve"> a to v případě 456 Porovnání. </w:t>
      </w:r>
    </w:p>
    <w:p w14:paraId="3350E7F4" w14:textId="6974D27A" w:rsidR="009F36D5" w:rsidRDefault="001C2505" w:rsidP="00D666C9">
      <w:pPr>
        <w:pStyle w:val="NORMLN0"/>
        <w:rPr>
          <w:rFonts w:asciiTheme="minorHAnsi" w:hAnsiTheme="minorHAnsi"/>
          <w:noProof/>
        </w:rPr>
      </w:pPr>
      <w:r>
        <w:rPr>
          <w:noProof/>
        </w:rPr>
        <w:t xml:space="preserve">Zajímavou skutečností je i </w:t>
      </w:r>
      <w:r w:rsidRPr="001C2505">
        <w:rPr>
          <w:b/>
          <w:noProof/>
        </w:rPr>
        <w:t xml:space="preserve">výskyt vysokého podílu kalkulačního zisku </w:t>
      </w:r>
      <w:r w:rsidR="00AE415C">
        <w:rPr>
          <w:b/>
          <w:noProof/>
        </w:rPr>
        <w:t>k</w:t>
      </w:r>
      <w:r w:rsidR="003759BB">
        <w:rPr>
          <w:b/>
          <w:noProof/>
        </w:rPr>
        <w:t> </w:t>
      </w:r>
      <w:r w:rsidRPr="001C2505">
        <w:rPr>
          <w:b/>
          <w:noProof/>
        </w:rPr>
        <w:t>rozdělení</w:t>
      </w:r>
      <w:r w:rsidR="003759BB">
        <w:rPr>
          <w:noProof/>
        </w:rPr>
        <w:t>. Ten ovlivnil více než 45</w:t>
      </w:r>
      <w:r w:rsidR="00AB574B">
        <w:rPr>
          <w:noProof/>
        </w:rPr>
        <w:t xml:space="preserve"> </w:t>
      </w:r>
      <w:r w:rsidR="003759BB">
        <w:rPr>
          <w:noProof/>
        </w:rPr>
        <w:t>% fakturované vody v</w:t>
      </w:r>
      <w:r w:rsidR="00AB574B">
        <w:rPr>
          <w:noProof/>
        </w:rPr>
        <w:t>e</w:t>
      </w:r>
      <w:r w:rsidR="003759BB">
        <w:rPr>
          <w:noProof/>
        </w:rPr>
        <w:t> III. skupině (112 Porovnání) a necelou čtvrtinu fakturované vody v IV. skupině (161 Porovnání). P</w:t>
      </w:r>
      <w:r>
        <w:rPr>
          <w:noProof/>
        </w:rPr>
        <w:t xml:space="preserve">ředstavuje </w:t>
      </w:r>
      <w:r w:rsidR="00AE415C">
        <w:rPr>
          <w:noProof/>
        </w:rPr>
        <w:t>část zisku, který není využit na</w:t>
      </w:r>
      <w:r>
        <w:rPr>
          <w:noProof/>
        </w:rPr>
        <w:t xml:space="preserve"> financování obnovy</w:t>
      </w:r>
      <w:r w:rsidR="00AE415C">
        <w:rPr>
          <w:noProof/>
        </w:rPr>
        <w:t xml:space="preserve"> resp. rozvoje VIM</w:t>
      </w:r>
      <w:r>
        <w:rPr>
          <w:noProof/>
        </w:rPr>
        <w:t xml:space="preserve">. </w:t>
      </w:r>
      <w:r w:rsidR="003759BB">
        <w:rPr>
          <w:noProof/>
        </w:rPr>
        <w:t xml:space="preserve">Jinak řečeno, vlastníci by </w:t>
      </w:r>
      <w:r w:rsidR="00CE581A">
        <w:rPr>
          <w:noProof/>
        </w:rPr>
        <w:t>jej potenciálně</w:t>
      </w:r>
      <w:r w:rsidR="00BC03D3">
        <w:rPr>
          <w:noProof/>
        </w:rPr>
        <w:t xml:space="preserve"> </w:t>
      </w:r>
      <w:r w:rsidR="003759BB">
        <w:rPr>
          <w:noProof/>
        </w:rPr>
        <w:t>mohli na tvorbu zdrojů na obnovu</w:t>
      </w:r>
      <w:r w:rsidR="00CE581A" w:rsidRPr="00CE581A">
        <w:rPr>
          <w:noProof/>
        </w:rPr>
        <w:t xml:space="preserve"> </w:t>
      </w:r>
      <w:r w:rsidR="00CE581A">
        <w:rPr>
          <w:noProof/>
        </w:rPr>
        <w:t>využít</w:t>
      </w:r>
      <w:r w:rsidR="003759BB">
        <w:rPr>
          <w:noProof/>
        </w:rPr>
        <w:t xml:space="preserve">. </w:t>
      </w:r>
      <w:r>
        <w:rPr>
          <w:noProof/>
        </w:rPr>
        <w:t>Dalšími důvody</w:t>
      </w:r>
      <w:r w:rsidR="00AE415C">
        <w:rPr>
          <w:noProof/>
        </w:rPr>
        <w:t xml:space="preserve"> nízké tvorby prostředků na obnovu</w:t>
      </w:r>
      <w:r>
        <w:rPr>
          <w:noProof/>
        </w:rPr>
        <w:t xml:space="preserve"> m</w:t>
      </w:r>
      <w:r w:rsidR="00AE415C">
        <w:rPr>
          <w:noProof/>
        </w:rPr>
        <w:t xml:space="preserve">ohou </w:t>
      </w:r>
      <w:r>
        <w:rPr>
          <w:noProof/>
        </w:rPr>
        <w:t>spočívat v nízkém nájemném</w:t>
      </w:r>
      <w:r w:rsidR="00CE5B91">
        <w:rPr>
          <w:noProof/>
        </w:rPr>
        <w:t xml:space="preserve">, nízkých odpisech, opravách popř. v nepoužívání řádku 4.4 Porovnání, což signalizuje </w:t>
      </w:r>
      <w:r w:rsidR="004F7129">
        <w:rPr>
          <w:noProof/>
        </w:rPr>
        <w:t>neexistenci PFO</w:t>
      </w:r>
      <w:r w:rsidR="00CE5B91">
        <w:rPr>
          <w:noProof/>
        </w:rPr>
        <w:t xml:space="preserve">. </w:t>
      </w:r>
    </w:p>
    <w:p w14:paraId="41DF5867" w14:textId="22C70E8E" w:rsidR="0004117F" w:rsidRDefault="004F7129">
      <w:pPr>
        <w:pStyle w:val="NORMLN0"/>
        <w:rPr>
          <w:noProof/>
          <w:lang w:eastAsia="cs-CZ"/>
        </w:rPr>
      </w:pPr>
      <w:r>
        <w:rPr>
          <w:noProof/>
          <w:lang w:eastAsia="cs-CZ"/>
        </w:rPr>
        <w:t>Dalšími ne</w:t>
      </w:r>
      <w:r w:rsidR="003759BB">
        <w:rPr>
          <w:noProof/>
          <w:lang w:eastAsia="cs-CZ"/>
        </w:rPr>
        <w:t>d</w:t>
      </w:r>
      <w:r>
        <w:rPr>
          <w:noProof/>
          <w:lang w:eastAsia="cs-CZ"/>
        </w:rPr>
        <w:t>ostatky v uvedenýc</w:t>
      </w:r>
      <w:r w:rsidR="00081E54">
        <w:rPr>
          <w:noProof/>
          <w:lang w:eastAsia="cs-CZ"/>
        </w:rPr>
        <w:t>h</w:t>
      </w:r>
      <w:r>
        <w:rPr>
          <w:noProof/>
          <w:lang w:eastAsia="cs-CZ"/>
        </w:rPr>
        <w:t xml:space="preserve"> rizikových skupiná</w:t>
      </w:r>
      <w:r w:rsidR="00081E54">
        <w:rPr>
          <w:noProof/>
          <w:lang w:eastAsia="cs-CZ"/>
        </w:rPr>
        <w:t>ch</w:t>
      </w:r>
      <w:r>
        <w:rPr>
          <w:noProof/>
          <w:lang w:eastAsia="cs-CZ"/>
        </w:rPr>
        <w:t xml:space="preserve"> je nevykazování počtu poruch a vysoký počet poruch na km kanalizační sítě.</w:t>
      </w:r>
    </w:p>
    <w:p w14:paraId="304F3C50" w14:textId="77777777" w:rsidR="00D666C9" w:rsidRDefault="00D666C9">
      <w:pPr>
        <w:pStyle w:val="NORMLN0"/>
        <w:rPr>
          <w:noProof/>
          <w:lang w:eastAsia="cs-CZ"/>
        </w:rPr>
        <w:sectPr w:rsidR="00D666C9" w:rsidSect="00210122">
          <w:footerReference w:type="default" r:id="rId29"/>
          <w:pgSz w:w="11906" w:h="16838"/>
          <w:pgMar w:top="1418" w:right="1418" w:bottom="1418" w:left="1418" w:header="709" w:footer="709" w:gutter="0"/>
          <w:cols w:space="708"/>
          <w:docGrid w:linePitch="360"/>
        </w:sectPr>
      </w:pPr>
    </w:p>
    <w:p w14:paraId="6AC99B2E" w14:textId="77777777" w:rsidR="001C0402" w:rsidRDefault="00B34468">
      <w:pPr>
        <w:spacing w:before="0" w:after="0"/>
        <w:contextualSpacing w:val="0"/>
        <w:jc w:val="left"/>
        <w:rPr>
          <w:rFonts w:asciiTheme="minorHAnsi" w:hAnsiTheme="minorHAnsi"/>
          <w:noProof/>
          <w:lang w:eastAsia="cs-CZ"/>
        </w:rPr>
      </w:pPr>
      <w:r w:rsidRPr="00B34468">
        <w:rPr>
          <w:noProof/>
          <w:lang w:eastAsia="cs-CZ"/>
        </w:rPr>
        <w:lastRenderedPageBreak/>
        <w:drawing>
          <wp:anchor distT="0" distB="0" distL="114300" distR="114300" simplePos="0" relativeHeight="251677696" behindDoc="0" locked="0" layoutInCell="1" allowOverlap="1" wp14:anchorId="6900AADD" wp14:editId="59A7C3F0">
            <wp:simplePos x="0" y="0"/>
            <wp:positionH relativeFrom="margin">
              <wp:align>center</wp:align>
            </wp:positionH>
            <wp:positionV relativeFrom="paragraph">
              <wp:posOffset>0</wp:posOffset>
            </wp:positionV>
            <wp:extent cx="9488805" cy="4933950"/>
            <wp:effectExtent l="0" t="0" r="0" b="0"/>
            <wp:wrapTopAndBottom/>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88805" cy="493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5336E9" w14:textId="77777777" w:rsidR="004559BE" w:rsidRDefault="004559BE">
      <w:pPr>
        <w:spacing w:before="0" w:after="0"/>
        <w:contextualSpacing w:val="0"/>
        <w:jc w:val="left"/>
        <w:rPr>
          <w:rFonts w:asciiTheme="minorHAnsi" w:hAnsiTheme="minorHAnsi"/>
          <w:noProof/>
          <w:lang w:eastAsia="cs-CZ"/>
        </w:rPr>
        <w:sectPr w:rsidR="004559BE" w:rsidSect="00210122">
          <w:footerReference w:type="default" r:id="rId31"/>
          <w:pgSz w:w="16838" w:h="11906" w:orient="landscape"/>
          <w:pgMar w:top="1418" w:right="1418" w:bottom="1418" w:left="1418" w:header="709" w:footer="709" w:gutter="0"/>
          <w:cols w:space="708"/>
          <w:docGrid w:linePitch="360"/>
        </w:sectPr>
      </w:pPr>
    </w:p>
    <w:p w14:paraId="3A6E6495" w14:textId="51954B82" w:rsidR="004D5780" w:rsidRDefault="00B34468" w:rsidP="00B34468">
      <w:pPr>
        <w:pStyle w:val="NORMLN0"/>
        <w:rPr>
          <w:rFonts w:asciiTheme="minorHAnsi" w:hAnsiTheme="minorHAnsi"/>
          <w:noProof/>
        </w:rPr>
      </w:pPr>
      <w:r w:rsidRPr="00F240D7">
        <w:rPr>
          <w:rFonts w:asciiTheme="minorHAnsi" w:hAnsiTheme="minorHAnsi"/>
          <w:noProof/>
          <w:lang w:eastAsia="cs-CZ"/>
        </w:rPr>
        <w:lastRenderedPageBreak/>
        <w:drawing>
          <wp:anchor distT="0" distB="0" distL="114300" distR="114300" simplePos="0" relativeHeight="251655168" behindDoc="0" locked="0" layoutInCell="1" allowOverlap="1" wp14:anchorId="1414BE5C" wp14:editId="560B75E7">
            <wp:simplePos x="0" y="0"/>
            <wp:positionH relativeFrom="margin">
              <wp:align>center</wp:align>
            </wp:positionH>
            <wp:positionV relativeFrom="paragraph">
              <wp:posOffset>1775891</wp:posOffset>
            </wp:positionV>
            <wp:extent cx="6105525" cy="7010400"/>
            <wp:effectExtent l="0" t="0" r="9525" b="0"/>
            <wp:wrapTopAndBottom/>
            <wp:docPr id="28" name="Graf 2">
              <a:extLst xmlns:a="http://schemas.openxmlformats.org/drawingml/2006/main">
                <a:ext uri="{FF2B5EF4-FFF2-40B4-BE49-F238E27FC236}">
                  <a16:creationId xmlns:ve="http://schemas.openxmlformats.org/markup-compatibility/2006"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A031458C-5B21-4E6C-8491-0094E91E7B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8A49FC" w:rsidRPr="00136B18">
        <w:rPr>
          <w:noProof/>
        </w:rPr>
        <w:t>Porovnání</w:t>
      </w:r>
      <w:r w:rsidR="00BC03D3">
        <w:rPr>
          <w:noProof/>
        </w:rPr>
        <w:t xml:space="preserve"> </w:t>
      </w:r>
      <w:r w:rsidR="008A49FC" w:rsidRPr="00136B18">
        <w:rPr>
          <w:noProof/>
        </w:rPr>
        <w:t>rizikových skupin (III., IV.</w:t>
      </w:r>
      <w:r w:rsidR="00D578A6" w:rsidRPr="00136B18">
        <w:rPr>
          <w:noProof/>
        </w:rPr>
        <w:t xml:space="preserve"> a</w:t>
      </w:r>
      <w:r w:rsidR="008A49FC" w:rsidRPr="00136B18">
        <w:rPr>
          <w:noProof/>
        </w:rPr>
        <w:t xml:space="preserve"> V.), na kterých byla identifikována alespoň jedna anomálie, vykázala v souvisejících VÚ</w:t>
      </w:r>
      <w:r w:rsidR="001C2505" w:rsidRPr="00136B18">
        <w:rPr>
          <w:noProof/>
        </w:rPr>
        <w:t>M</w:t>
      </w:r>
      <w:r w:rsidR="008A49FC" w:rsidRPr="00136B18">
        <w:rPr>
          <w:noProof/>
        </w:rPr>
        <w:t xml:space="preserve">E délku kanalizační sítě více než </w:t>
      </w:r>
      <w:r w:rsidR="001C2505" w:rsidRPr="00136B18">
        <w:rPr>
          <w:noProof/>
        </w:rPr>
        <w:t>16</w:t>
      </w:r>
      <w:r w:rsidR="008A49FC" w:rsidRPr="00136B18">
        <w:rPr>
          <w:noProof/>
        </w:rPr>
        <w:t xml:space="preserve"> tis. km a čistění odpadní vody zabezpečuje </w:t>
      </w:r>
      <w:r w:rsidR="001C2505" w:rsidRPr="00136B18">
        <w:rPr>
          <w:noProof/>
        </w:rPr>
        <w:t>1 436</w:t>
      </w:r>
      <w:r w:rsidR="008A49FC" w:rsidRPr="00136B18">
        <w:rPr>
          <w:noProof/>
        </w:rPr>
        <w:t xml:space="preserve"> ks ČOV. Podle výsledků analýz chybělo v roce 201</w:t>
      </w:r>
      <w:r w:rsidR="001C2505" w:rsidRPr="00136B18">
        <w:rPr>
          <w:noProof/>
        </w:rPr>
        <w:t>7</w:t>
      </w:r>
      <w:r w:rsidR="00B26631" w:rsidRPr="00136B18">
        <w:rPr>
          <w:noProof/>
        </w:rPr>
        <w:t xml:space="preserve"> </w:t>
      </w:r>
      <w:r w:rsidR="008A49FC" w:rsidRPr="00136B18">
        <w:rPr>
          <w:noProof/>
        </w:rPr>
        <w:t xml:space="preserve">vlastníkům v těchto skupinách pro zabezpeční obnovy VIM </w:t>
      </w:r>
      <w:r w:rsidR="001C2505" w:rsidRPr="00136B18">
        <w:rPr>
          <w:noProof/>
        </w:rPr>
        <w:t>757,</w:t>
      </w:r>
      <w:r w:rsidR="00136B18" w:rsidRPr="00136B18">
        <w:rPr>
          <w:noProof/>
        </w:rPr>
        <w:t>73</w:t>
      </w:r>
      <w:r w:rsidR="008A49FC" w:rsidRPr="00136B18">
        <w:rPr>
          <w:noProof/>
        </w:rPr>
        <w:t xml:space="preserve"> mil. Kč. To znamená, že</w:t>
      </w:r>
      <w:r w:rsidR="00B26631" w:rsidRPr="00136B18">
        <w:rPr>
          <w:noProof/>
        </w:rPr>
        <w:t xml:space="preserve"> </w:t>
      </w:r>
      <w:r w:rsidR="008A49FC" w:rsidRPr="00136B18">
        <w:rPr>
          <w:noProof/>
        </w:rPr>
        <w:t>jejich dosahované tržby za stočné celkem (</w:t>
      </w:r>
      <w:r w:rsidR="00FF6F93" w:rsidRPr="00136B18">
        <w:rPr>
          <w:noProof/>
        </w:rPr>
        <w:t>3,3</w:t>
      </w:r>
      <w:r w:rsidR="008A49FC" w:rsidRPr="00136B18">
        <w:rPr>
          <w:noProof/>
        </w:rPr>
        <w:t xml:space="preserve"> mld. Kč</w:t>
      </w:r>
      <w:r w:rsidR="00CE581A">
        <w:rPr>
          <w:noProof/>
        </w:rPr>
        <w:t>, tj.</w:t>
      </w:r>
      <w:r w:rsidR="00FF6F93" w:rsidRPr="00136B18">
        <w:rPr>
          <w:noProof/>
        </w:rPr>
        <w:t xml:space="preserve"> 19,65</w:t>
      </w:r>
      <w:r w:rsidR="00CE581A">
        <w:rPr>
          <w:noProof/>
        </w:rPr>
        <w:t xml:space="preserve"> </w:t>
      </w:r>
      <w:r w:rsidR="00FF6F93" w:rsidRPr="00136B18">
        <w:rPr>
          <w:noProof/>
        </w:rPr>
        <w:t>% z celkových tržeb za rok 2017</w:t>
      </w:r>
      <w:r w:rsidR="008A49FC" w:rsidRPr="00136B18">
        <w:rPr>
          <w:noProof/>
        </w:rPr>
        <w:t>) by měly být o tuto částku navýšeny. Relevantnost těchto výsledků je závislá</w:t>
      </w:r>
      <w:r w:rsidR="00B26631" w:rsidRPr="00136B18">
        <w:rPr>
          <w:noProof/>
        </w:rPr>
        <w:t xml:space="preserve"> </w:t>
      </w:r>
      <w:r w:rsidR="008A49FC" w:rsidRPr="00136B18">
        <w:rPr>
          <w:noProof/>
        </w:rPr>
        <w:t>na skutečnosti, zda vlastníci do kalkulace ceny pro stočné započítávali</w:t>
      </w:r>
      <w:r w:rsidR="00B26631" w:rsidRPr="00136B18">
        <w:rPr>
          <w:noProof/>
        </w:rPr>
        <w:t xml:space="preserve"> </w:t>
      </w:r>
      <w:r w:rsidR="008A49FC" w:rsidRPr="00136B18">
        <w:rPr>
          <w:noProof/>
        </w:rPr>
        <w:t>související ekonomicky oprávněné náklady v plné výši</w:t>
      </w:r>
      <w:r w:rsidR="008A49FC">
        <w:rPr>
          <w:noProof/>
        </w:rPr>
        <w:t>.</w:t>
      </w:r>
      <w:r w:rsidR="00CE581A">
        <w:rPr>
          <w:noProof/>
        </w:rPr>
        <w:t xml:space="preserve"> </w:t>
      </w:r>
      <w:r w:rsidR="00CE5B91" w:rsidRPr="00C62639">
        <w:rPr>
          <w:rFonts w:asciiTheme="minorHAnsi" w:hAnsiTheme="minorHAnsi"/>
          <w:noProof/>
        </w:rPr>
        <w:t xml:space="preserve">Pro ucelení přehledu uvádíme graf znázorňující situaci v rámci jednotlivých skupin. </w:t>
      </w:r>
    </w:p>
    <w:p w14:paraId="38157D19" w14:textId="77777777" w:rsidR="00C1539B" w:rsidRPr="000211A7" w:rsidRDefault="000211A7" w:rsidP="00C1539B">
      <w:pPr>
        <w:pStyle w:val="Nadpis2"/>
        <w:rPr>
          <w:rFonts w:asciiTheme="minorHAnsi" w:eastAsia="Calibri Light" w:hAnsiTheme="minorHAnsi"/>
          <w:noProof/>
        </w:rPr>
      </w:pPr>
      <w:r>
        <w:rPr>
          <w:rFonts w:asciiTheme="minorHAnsi" w:eastAsia="Calibri Light" w:hAnsiTheme="minorHAnsi"/>
          <w:noProof/>
        </w:rPr>
        <w:lastRenderedPageBreak/>
        <w:t xml:space="preserve"> </w:t>
      </w:r>
      <w:bookmarkStart w:id="41" w:name="_Toc3292002"/>
      <w:r w:rsidR="00C1539B" w:rsidRPr="000211A7">
        <w:rPr>
          <w:rFonts w:asciiTheme="minorHAnsi" w:eastAsia="Calibri Light" w:hAnsiTheme="minorHAnsi"/>
          <w:noProof/>
        </w:rPr>
        <w:t>Závěry benchmarkingového projektu vlastnických subjektů za rok 201</w:t>
      </w:r>
      <w:r w:rsidR="00E6179B" w:rsidRPr="000211A7">
        <w:rPr>
          <w:rFonts w:asciiTheme="minorHAnsi" w:eastAsia="Calibri Light" w:hAnsiTheme="minorHAnsi"/>
          <w:noProof/>
        </w:rPr>
        <w:t>7</w:t>
      </w:r>
      <w:bookmarkEnd w:id="41"/>
    </w:p>
    <w:p w14:paraId="2B6D012C" w14:textId="77777777" w:rsidR="000302AB" w:rsidRDefault="000302AB" w:rsidP="0071058D">
      <w:pPr>
        <w:pStyle w:val="Nadpis3"/>
        <w:rPr>
          <w:noProof/>
        </w:rPr>
      </w:pPr>
      <w:bookmarkStart w:id="42" w:name="_Toc3292003"/>
      <w:r>
        <w:t>SWOT analýza</w:t>
      </w:r>
      <w:bookmarkEnd w:id="42"/>
    </w:p>
    <w:p w14:paraId="0FD2CDB4" w14:textId="77777777" w:rsidR="007D7C8F" w:rsidRPr="00C62639" w:rsidRDefault="004958C5" w:rsidP="004958C5">
      <w:pPr>
        <w:pStyle w:val="NORMLN0"/>
      </w:pPr>
      <w:r w:rsidRPr="005C44BB">
        <w:t>Na základě realizovan</w:t>
      </w:r>
      <w:r>
        <w:t>ých</w:t>
      </w:r>
      <w:r w:rsidRPr="005C44BB">
        <w:t xml:space="preserve"> benchmarking</w:t>
      </w:r>
      <w:r>
        <w:t xml:space="preserve">ových projektů, </w:t>
      </w:r>
      <w:r w:rsidRPr="005C44BB">
        <w:t>podrobné analýzy dat zasílaných na MZe</w:t>
      </w:r>
      <w:r>
        <w:t>,</w:t>
      </w:r>
      <w:r w:rsidRPr="005C44BB">
        <w:t xml:space="preserve"> informací </w:t>
      </w:r>
      <w:r>
        <w:t>vyplývajících z </w:t>
      </w:r>
      <w:r w:rsidRPr="005C44BB">
        <w:t>nález</w:t>
      </w:r>
      <w:r>
        <w:t>ů</w:t>
      </w:r>
      <w:r w:rsidRPr="005C44BB">
        <w:t xml:space="preserve"> </w:t>
      </w:r>
      <w:r>
        <w:t>provedených</w:t>
      </w:r>
      <w:r w:rsidRPr="005C44BB">
        <w:t xml:space="preserve"> kontrol vlastníků</w:t>
      </w:r>
      <w:r>
        <w:t xml:space="preserve"> a </w:t>
      </w:r>
      <w:r w:rsidRPr="005C44BB">
        <w:t>provozovatelů VIM</w:t>
      </w:r>
      <w:r>
        <w:t xml:space="preserve"> a z přijatých stížností</w:t>
      </w:r>
      <w:r w:rsidRPr="005C44BB">
        <w:t xml:space="preserve"> byla sestavena následující SWOT analýza.</w:t>
      </w:r>
    </w:p>
    <w:tbl>
      <w:tblPr>
        <w:tblW w:w="10417" w:type="dxa"/>
        <w:jc w:val="center"/>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ook w:val="04A0" w:firstRow="1" w:lastRow="0" w:firstColumn="1" w:lastColumn="0" w:noHBand="0" w:noVBand="1"/>
      </w:tblPr>
      <w:tblGrid>
        <w:gridCol w:w="5240"/>
        <w:gridCol w:w="5177"/>
      </w:tblGrid>
      <w:tr w:rsidR="007D7C8F" w:rsidRPr="00C62639" w14:paraId="01506AAF" w14:textId="77777777" w:rsidTr="00132C97">
        <w:trPr>
          <w:jc w:val="center"/>
        </w:trPr>
        <w:tc>
          <w:tcPr>
            <w:tcW w:w="5240" w:type="dxa"/>
            <w:tcBorders>
              <w:top w:val="single" w:sz="4" w:space="0" w:color="B2A1C7"/>
              <w:left w:val="single" w:sz="4" w:space="0" w:color="B2A1C7"/>
              <w:bottom w:val="single" w:sz="4" w:space="0" w:color="B2A1C7"/>
              <w:right w:val="single" w:sz="4" w:space="0" w:color="B2A1C7"/>
            </w:tcBorders>
            <w:shd w:val="clear" w:color="auto" w:fill="B2A1C7"/>
            <w:vAlign w:val="center"/>
            <w:hideMark/>
          </w:tcPr>
          <w:p w14:paraId="252A2844" w14:textId="77777777" w:rsidR="007D7C8F" w:rsidRPr="00C62639" w:rsidRDefault="007D7C8F" w:rsidP="00762B0A">
            <w:pPr>
              <w:spacing w:before="0"/>
              <w:rPr>
                <w:rFonts w:asciiTheme="minorHAnsi" w:hAnsiTheme="minorHAnsi"/>
                <w:b/>
                <w:bCs/>
                <w:smallCaps/>
                <w:noProof/>
                <w:color w:val="FFFFFF"/>
                <w:sz w:val="22"/>
                <w:szCs w:val="20"/>
              </w:rPr>
            </w:pPr>
            <w:r w:rsidRPr="00C62639">
              <w:rPr>
                <w:rFonts w:asciiTheme="minorHAnsi" w:hAnsiTheme="minorHAnsi"/>
                <w:b/>
                <w:bCs/>
                <w:smallCaps/>
                <w:noProof/>
                <w:color w:val="FFFFFF"/>
                <w:sz w:val="22"/>
                <w:szCs w:val="20"/>
              </w:rPr>
              <w:t>Silné stránky</w:t>
            </w:r>
          </w:p>
        </w:tc>
        <w:tc>
          <w:tcPr>
            <w:tcW w:w="5177" w:type="dxa"/>
            <w:tcBorders>
              <w:top w:val="single" w:sz="4" w:space="0" w:color="B2A1C7"/>
              <w:left w:val="single" w:sz="4" w:space="0" w:color="B2A1C7"/>
              <w:bottom w:val="single" w:sz="4" w:space="0" w:color="B2A1C7"/>
              <w:right w:val="single" w:sz="4" w:space="0" w:color="B2A1C7"/>
            </w:tcBorders>
            <w:shd w:val="clear" w:color="auto" w:fill="B2A1C7"/>
            <w:vAlign w:val="center"/>
            <w:hideMark/>
          </w:tcPr>
          <w:p w14:paraId="5D57832E" w14:textId="77777777" w:rsidR="007D7C8F" w:rsidRPr="00C62639" w:rsidRDefault="007D7C8F" w:rsidP="0076588B">
            <w:pPr>
              <w:rPr>
                <w:rFonts w:asciiTheme="minorHAnsi" w:hAnsiTheme="minorHAnsi"/>
                <w:b/>
                <w:bCs/>
                <w:smallCaps/>
                <w:noProof/>
                <w:color w:val="FFFFFF"/>
                <w:sz w:val="22"/>
                <w:szCs w:val="20"/>
              </w:rPr>
            </w:pPr>
            <w:r w:rsidRPr="00C62639">
              <w:rPr>
                <w:rFonts w:asciiTheme="minorHAnsi" w:hAnsiTheme="minorHAnsi"/>
                <w:b/>
                <w:bCs/>
                <w:smallCaps/>
                <w:noProof/>
                <w:color w:val="FFFFFF"/>
                <w:sz w:val="22"/>
                <w:szCs w:val="20"/>
              </w:rPr>
              <w:t>Slabé stránky</w:t>
            </w:r>
          </w:p>
        </w:tc>
      </w:tr>
      <w:tr w:rsidR="007D7C8F" w:rsidRPr="00C62639" w14:paraId="3B34800A" w14:textId="77777777" w:rsidTr="00132C97">
        <w:trPr>
          <w:jc w:val="center"/>
        </w:trPr>
        <w:tc>
          <w:tcPr>
            <w:tcW w:w="5240" w:type="dxa"/>
            <w:tcBorders>
              <w:top w:val="single" w:sz="4" w:space="0" w:color="B2A1C7"/>
              <w:left w:val="single" w:sz="4" w:space="0" w:color="B2A1C7"/>
              <w:bottom w:val="single" w:sz="4" w:space="0" w:color="B2A1C7"/>
              <w:right w:val="single" w:sz="4" w:space="0" w:color="B2A1C7"/>
            </w:tcBorders>
            <w:shd w:val="clear" w:color="auto" w:fill="FFFFFF"/>
            <w:hideMark/>
          </w:tcPr>
          <w:p w14:paraId="05196F6E" w14:textId="77777777" w:rsidR="004958C5" w:rsidRPr="003C44CD" w:rsidRDefault="00A754DC" w:rsidP="004958C5">
            <w:pPr>
              <w:pStyle w:val="Odstavecseseznamem"/>
              <w:spacing w:before="0" w:after="60" w:line="276" w:lineRule="auto"/>
              <w:ind w:left="313" w:hanging="313"/>
              <w:rPr>
                <w:rFonts w:ascii="Calibri Light" w:hAnsi="Calibri Light"/>
                <w:b/>
                <w:bCs/>
                <w:sz w:val="22"/>
                <w:szCs w:val="20"/>
              </w:rPr>
            </w:pPr>
            <w:r w:rsidRPr="00A754DC">
              <w:rPr>
                <w:rFonts w:asciiTheme="majorHAnsi" w:hAnsiTheme="majorHAnsi"/>
                <w:noProof/>
                <w:sz w:val="22"/>
                <w:szCs w:val="20"/>
              </w:rPr>
              <w:t>1.</w:t>
            </w:r>
            <w:r w:rsidRPr="00A754DC">
              <w:rPr>
                <w:rFonts w:asciiTheme="majorHAnsi" w:hAnsiTheme="majorHAnsi"/>
                <w:noProof/>
                <w:sz w:val="22"/>
                <w:szCs w:val="20"/>
              </w:rPr>
              <w:tab/>
            </w:r>
            <w:r w:rsidR="004958C5" w:rsidRPr="003C44CD">
              <w:rPr>
                <w:rFonts w:ascii="Calibri Light" w:hAnsi="Calibri Light"/>
                <w:sz w:val="22"/>
                <w:szCs w:val="20"/>
              </w:rPr>
              <w:t>Rozvinutá síť VIM a</w:t>
            </w:r>
            <w:r w:rsidR="004958C5">
              <w:rPr>
                <w:rFonts w:ascii="Calibri Light" w:hAnsi="Calibri Light"/>
                <w:sz w:val="22"/>
                <w:szCs w:val="20"/>
              </w:rPr>
              <w:t> </w:t>
            </w:r>
            <w:r w:rsidR="004958C5" w:rsidRPr="003C44CD">
              <w:rPr>
                <w:rFonts w:ascii="Calibri Light" w:hAnsi="Calibri Light"/>
                <w:sz w:val="22"/>
                <w:szCs w:val="20"/>
              </w:rPr>
              <w:t>prozatím dostatek vodních přírodních zdrojů na většině území ČR.</w:t>
            </w:r>
          </w:p>
          <w:p w14:paraId="3BD476C0" w14:textId="77777777" w:rsidR="004958C5" w:rsidRPr="003C44CD" w:rsidRDefault="004958C5" w:rsidP="004958C5">
            <w:pPr>
              <w:pStyle w:val="Odstavecseseznamem"/>
              <w:spacing w:after="60" w:line="276" w:lineRule="auto"/>
              <w:ind w:left="313" w:hanging="313"/>
              <w:rPr>
                <w:rFonts w:ascii="Calibri Light" w:hAnsi="Calibri Light"/>
                <w:b/>
                <w:bCs/>
                <w:sz w:val="22"/>
                <w:szCs w:val="20"/>
              </w:rPr>
            </w:pPr>
            <w:r w:rsidRPr="003C44CD">
              <w:rPr>
                <w:rFonts w:ascii="Calibri Light" w:hAnsi="Calibri Light"/>
                <w:sz w:val="22"/>
                <w:szCs w:val="20"/>
              </w:rPr>
              <w:t>2.</w:t>
            </w:r>
            <w:r w:rsidRPr="003C44CD">
              <w:rPr>
                <w:rFonts w:ascii="Calibri Light" w:hAnsi="Calibri Light"/>
                <w:sz w:val="22"/>
                <w:szCs w:val="20"/>
              </w:rPr>
              <w:tab/>
              <w:t>Legislativní rámec upravující práva a</w:t>
            </w:r>
            <w:r>
              <w:rPr>
                <w:rFonts w:ascii="Calibri Light" w:hAnsi="Calibri Light"/>
                <w:sz w:val="22"/>
                <w:szCs w:val="20"/>
              </w:rPr>
              <w:t> </w:t>
            </w:r>
            <w:r w:rsidRPr="003C44CD">
              <w:rPr>
                <w:rFonts w:ascii="Calibri Light" w:hAnsi="Calibri Light"/>
                <w:sz w:val="22"/>
                <w:szCs w:val="20"/>
              </w:rPr>
              <w:t>povinnosti vlastníka VIM.</w:t>
            </w:r>
          </w:p>
          <w:p w14:paraId="60DC7408" w14:textId="77777777" w:rsidR="004958C5" w:rsidRPr="003C44CD" w:rsidRDefault="004958C5" w:rsidP="004958C5">
            <w:pPr>
              <w:pStyle w:val="Odstavecseseznamem"/>
              <w:spacing w:after="60" w:line="276" w:lineRule="auto"/>
              <w:ind w:left="313" w:hanging="313"/>
              <w:rPr>
                <w:rFonts w:ascii="Calibri Light" w:hAnsi="Calibri Light"/>
                <w:b/>
                <w:bCs/>
                <w:sz w:val="22"/>
                <w:szCs w:val="20"/>
              </w:rPr>
            </w:pPr>
            <w:r w:rsidRPr="003C44CD">
              <w:rPr>
                <w:rFonts w:ascii="Calibri Light" w:hAnsi="Calibri Light"/>
                <w:sz w:val="22"/>
                <w:szCs w:val="20"/>
              </w:rPr>
              <w:t>3.</w:t>
            </w:r>
            <w:r w:rsidRPr="003C44CD">
              <w:rPr>
                <w:rFonts w:ascii="Calibri Light" w:hAnsi="Calibri Light"/>
                <w:sz w:val="22"/>
                <w:szCs w:val="20"/>
              </w:rPr>
              <w:tab/>
              <w:t>Legislativní rámec upravující vztah mezi vlastníkem a</w:t>
            </w:r>
            <w:r>
              <w:rPr>
                <w:rFonts w:ascii="Calibri Light" w:hAnsi="Calibri Light"/>
                <w:sz w:val="22"/>
                <w:szCs w:val="20"/>
              </w:rPr>
              <w:t> </w:t>
            </w:r>
            <w:r w:rsidRPr="003C44CD">
              <w:rPr>
                <w:rFonts w:ascii="Calibri Light" w:hAnsi="Calibri Light"/>
                <w:sz w:val="22"/>
                <w:szCs w:val="20"/>
              </w:rPr>
              <w:t>provozovatelem.</w:t>
            </w:r>
          </w:p>
          <w:p w14:paraId="045C2E0D" w14:textId="77777777" w:rsidR="004958C5" w:rsidRPr="003C44CD" w:rsidRDefault="004958C5" w:rsidP="004958C5">
            <w:pPr>
              <w:pStyle w:val="Odstavecseseznamem"/>
              <w:spacing w:after="60" w:line="276" w:lineRule="auto"/>
              <w:ind w:left="313" w:hanging="313"/>
              <w:rPr>
                <w:rFonts w:ascii="Calibri Light" w:hAnsi="Calibri Light"/>
                <w:b/>
                <w:bCs/>
                <w:sz w:val="22"/>
                <w:szCs w:val="20"/>
              </w:rPr>
            </w:pPr>
            <w:r w:rsidRPr="003C44CD">
              <w:rPr>
                <w:rFonts w:ascii="Calibri Light" w:hAnsi="Calibri Light"/>
                <w:sz w:val="22"/>
                <w:szCs w:val="20"/>
              </w:rPr>
              <w:t>4.</w:t>
            </w:r>
            <w:r w:rsidRPr="003C44CD">
              <w:rPr>
                <w:rFonts w:ascii="Calibri Light" w:hAnsi="Calibri Light"/>
                <w:sz w:val="22"/>
                <w:szCs w:val="20"/>
              </w:rPr>
              <w:tab/>
              <w:t>Fungující mechanismus upravující investiční proces vlastníků.</w:t>
            </w:r>
          </w:p>
          <w:p w14:paraId="5F5F65B6" w14:textId="77777777" w:rsidR="004958C5" w:rsidRPr="003C44CD" w:rsidRDefault="004958C5" w:rsidP="004958C5">
            <w:pPr>
              <w:pStyle w:val="Odstavecseseznamem"/>
              <w:spacing w:after="60" w:line="276" w:lineRule="auto"/>
              <w:ind w:left="313" w:hanging="313"/>
              <w:rPr>
                <w:rFonts w:ascii="Calibri Light" w:hAnsi="Calibri Light"/>
                <w:b/>
                <w:bCs/>
                <w:sz w:val="22"/>
                <w:szCs w:val="20"/>
              </w:rPr>
            </w:pPr>
            <w:r w:rsidRPr="003C44CD">
              <w:rPr>
                <w:rFonts w:ascii="Calibri Light" w:hAnsi="Calibri Light"/>
                <w:sz w:val="22"/>
                <w:szCs w:val="20"/>
              </w:rPr>
              <w:t>5.</w:t>
            </w:r>
            <w:r w:rsidRPr="003C44CD">
              <w:rPr>
                <w:rFonts w:ascii="Calibri Light" w:hAnsi="Calibri Light"/>
                <w:sz w:val="22"/>
                <w:szCs w:val="20"/>
              </w:rPr>
              <w:tab/>
              <w:t>Vysoké</w:t>
            </w:r>
            <w:r>
              <w:rPr>
                <w:rFonts w:ascii="Calibri Light" w:hAnsi="Calibri Light"/>
                <w:sz w:val="22"/>
                <w:szCs w:val="20"/>
              </w:rPr>
              <w:t> %</w:t>
            </w:r>
            <w:r w:rsidRPr="003C44CD">
              <w:rPr>
                <w:rFonts w:ascii="Calibri Light" w:hAnsi="Calibri Light"/>
                <w:sz w:val="22"/>
                <w:szCs w:val="20"/>
              </w:rPr>
              <w:t xml:space="preserve"> napojení obyvatelstva k</w:t>
            </w:r>
            <w:r>
              <w:rPr>
                <w:rFonts w:ascii="Calibri Light" w:hAnsi="Calibri Light"/>
                <w:sz w:val="22"/>
                <w:szCs w:val="20"/>
              </w:rPr>
              <w:t> </w:t>
            </w:r>
            <w:r w:rsidRPr="003C44CD">
              <w:rPr>
                <w:rFonts w:ascii="Calibri Light" w:hAnsi="Calibri Light"/>
                <w:sz w:val="22"/>
                <w:szCs w:val="20"/>
              </w:rPr>
              <w:t>vodovodu a</w:t>
            </w:r>
            <w:r>
              <w:rPr>
                <w:rFonts w:ascii="Calibri Light" w:hAnsi="Calibri Light"/>
                <w:sz w:val="22"/>
                <w:szCs w:val="20"/>
              </w:rPr>
              <w:t xml:space="preserve"> ke </w:t>
            </w:r>
            <w:r w:rsidRPr="003C44CD">
              <w:rPr>
                <w:rFonts w:ascii="Calibri Light" w:hAnsi="Calibri Light"/>
                <w:sz w:val="22"/>
                <w:szCs w:val="20"/>
              </w:rPr>
              <w:t>kanalizaci pro veřejnou potřebu.</w:t>
            </w:r>
          </w:p>
          <w:p w14:paraId="69CDF1C6" w14:textId="77777777" w:rsidR="004958C5" w:rsidRPr="003C44CD" w:rsidRDefault="004958C5" w:rsidP="004958C5">
            <w:pPr>
              <w:pStyle w:val="Odstavecseseznamem"/>
              <w:spacing w:after="60" w:line="276" w:lineRule="auto"/>
              <w:ind w:left="313" w:hanging="313"/>
              <w:rPr>
                <w:rFonts w:ascii="Calibri Light" w:hAnsi="Calibri Light"/>
                <w:b/>
                <w:bCs/>
                <w:sz w:val="22"/>
                <w:szCs w:val="20"/>
              </w:rPr>
            </w:pPr>
            <w:r w:rsidRPr="003C44CD">
              <w:rPr>
                <w:rFonts w:ascii="Calibri Light" w:hAnsi="Calibri Light"/>
                <w:sz w:val="22"/>
                <w:szCs w:val="20"/>
              </w:rPr>
              <w:t>6.</w:t>
            </w:r>
            <w:r w:rsidRPr="003C44CD">
              <w:rPr>
                <w:rFonts w:ascii="Calibri Light" w:hAnsi="Calibri Light"/>
                <w:sz w:val="22"/>
                <w:szCs w:val="20"/>
              </w:rPr>
              <w:tab/>
              <w:t>Legislativně zaveden systém cenotvorby, který umožňuje pokrývat všechny náklady z</w:t>
            </w:r>
            <w:r>
              <w:rPr>
                <w:rFonts w:ascii="Calibri Light" w:hAnsi="Calibri Light"/>
                <w:sz w:val="22"/>
                <w:szCs w:val="20"/>
              </w:rPr>
              <w:t> </w:t>
            </w:r>
            <w:r w:rsidRPr="003C44CD">
              <w:rPr>
                <w:rFonts w:ascii="Calibri Light" w:hAnsi="Calibri Light"/>
                <w:sz w:val="22"/>
                <w:szCs w:val="20"/>
              </w:rPr>
              <w:t>ceny vodného a</w:t>
            </w:r>
            <w:r>
              <w:rPr>
                <w:rFonts w:ascii="Calibri Light" w:hAnsi="Calibri Light"/>
                <w:sz w:val="22"/>
                <w:szCs w:val="20"/>
              </w:rPr>
              <w:t> </w:t>
            </w:r>
            <w:r w:rsidRPr="003C44CD">
              <w:rPr>
                <w:rFonts w:ascii="Calibri Light" w:hAnsi="Calibri Light"/>
                <w:sz w:val="22"/>
                <w:szCs w:val="20"/>
              </w:rPr>
              <w:t xml:space="preserve">stočného </w:t>
            </w:r>
            <w:r>
              <w:rPr>
                <w:rFonts w:ascii="Calibri Light" w:hAnsi="Calibri Light"/>
                <w:sz w:val="22"/>
                <w:szCs w:val="20"/>
              </w:rPr>
              <w:t>-</w:t>
            </w:r>
            <w:r w:rsidRPr="003C44CD">
              <w:rPr>
                <w:rFonts w:ascii="Calibri Light" w:hAnsi="Calibri Light"/>
                <w:sz w:val="22"/>
                <w:szCs w:val="20"/>
              </w:rPr>
              <w:t xml:space="preserve"> předpoklad pro dosažení samofinancovatelnosti vodovodů a</w:t>
            </w:r>
            <w:r>
              <w:rPr>
                <w:rFonts w:ascii="Calibri Light" w:hAnsi="Calibri Light"/>
                <w:sz w:val="22"/>
                <w:szCs w:val="20"/>
              </w:rPr>
              <w:t> </w:t>
            </w:r>
            <w:r w:rsidRPr="003C44CD">
              <w:rPr>
                <w:rFonts w:ascii="Calibri Light" w:hAnsi="Calibri Light"/>
                <w:sz w:val="22"/>
                <w:szCs w:val="20"/>
              </w:rPr>
              <w:t>kanalizací.</w:t>
            </w:r>
          </w:p>
          <w:p w14:paraId="1CC12009" w14:textId="77777777" w:rsidR="004958C5" w:rsidRPr="000C7519" w:rsidRDefault="004958C5" w:rsidP="004958C5">
            <w:pPr>
              <w:pStyle w:val="Odstavecseseznamem"/>
              <w:spacing w:before="0" w:after="60" w:line="276" w:lineRule="auto"/>
              <w:ind w:left="313" w:hanging="313"/>
              <w:rPr>
                <w:rFonts w:ascii="Calibri Light" w:hAnsi="Calibri Light"/>
                <w:b/>
                <w:bCs/>
                <w:sz w:val="22"/>
                <w:szCs w:val="20"/>
              </w:rPr>
            </w:pPr>
            <w:r w:rsidRPr="003C44CD">
              <w:rPr>
                <w:rFonts w:ascii="Calibri Light" w:hAnsi="Calibri Light"/>
                <w:sz w:val="22"/>
                <w:szCs w:val="20"/>
              </w:rPr>
              <w:t>7.</w:t>
            </w:r>
            <w:r w:rsidRPr="003C44CD">
              <w:rPr>
                <w:rFonts w:ascii="Calibri Light" w:hAnsi="Calibri Light"/>
                <w:sz w:val="22"/>
                <w:szCs w:val="20"/>
              </w:rPr>
              <w:tab/>
            </w:r>
            <w:r w:rsidRPr="000C7519">
              <w:rPr>
                <w:rFonts w:ascii="Calibri Light" w:hAnsi="Calibri Light"/>
                <w:sz w:val="22"/>
                <w:szCs w:val="20"/>
              </w:rPr>
              <w:t>Možnost využití nástroje v</w:t>
            </w:r>
            <w:r>
              <w:rPr>
                <w:rFonts w:ascii="Calibri Light" w:hAnsi="Calibri Light"/>
                <w:sz w:val="22"/>
                <w:szCs w:val="20"/>
              </w:rPr>
              <w:t> </w:t>
            </w:r>
            <w:r w:rsidRPr="000C7519">
              <w:rPr>
                <w:rFonts w:ascii="Calibri Light" w:hAnsi="Calibri Light"/>
                <w:sz w:val="22"/>
                <w:szCs w:val="20"/>
              </w:rPr>
              <w:t>cenovém výměru „smlouva mezi vlastníkem a</w:t>
            </w:r>
            <w:r>
              <w:rPr>
                <w:rFonts w:ascii="Calibri Light" w:hAnsi="Calibri Light"/>
                <w:sz w:val="22"/>
                <w:szCs w:val="20"/>
              </w:rPr>
              <w:t> </w:t>
            </w:r>
            <w:r w:rsidRPr="000C7519">
              <w:rPr>
                <w:rFonts w:ascii="Calibri Light" w:hAnsi="Calibri Light"/>
                <w:sz w:val="22"/>
                <w:szCs w:val="20"/>
              </w:rPr>
              <w:t>nájemcem o</w:t>
            </w:r>
            <w:r>
              <w:rPr>
                <w:rFonts w:ascii="Calibri Light" w:hAnsi="Calibri Light"/>
                <w:sz w:val="22"/>
                <w:szCs w:val="20"/>
              </w:rPr>
              <w:t> </w:t>
            </w:r>
            <w:r w:rsidRPr="000C7519">
              <w:rPr>
                <w:rFonts w:ascii="Calibri Light" w:hAnsi="Calibri Light"/>
                <w:sz w:val="22"/>
                <w:szCs w:val="20"/>
              </w:rPr>
              <w:t>přenechání části zisku nájemci“.</w:t>
            </w:r>
          </w:p>
          <w:p w14:paraId="37F6AA59" w14:textId="77777777" w:rsidR="004958C5" w:rsidRPr="003C44CD" w:rsidRDefault="004958C5" w:rsidP="004958C5">
            <w:pPr>
              <w:pStyle w:val="Odstavecseseznamem"/>
              <w:spacing w:after="60" w:line="276" w:lineRule="auto"/>
              <w:ind w:left="313" w:hanging="313"/>
              <w:rPr>
                <w:rFonts w:ascii="Calibri Light" w:hAnsi="Calibri Light"/>
                <w:b/>
                <w:bCs/>
                <w:sz w:val="22"/>
                <w:szCs w:val="20"/>
              </w:rPr>
            </w:pPr>
            <w:r w:rsidRPr="003C44CD">
              <w:rPr>
                <w:rFonts w:ascii="Calibri Light" w:hAnsi="Calibri Light"/>
                <w:sz w:val="22"/>
                <w:szCs w:val="20"/>
              </w:rPr>
              <w:t>8.</w:t>
            </w:r>
            <w:r w:rsidRPr="003C44CD">
              <w:rPr>
                <w:rFonts w:ascii="Calibri Light" w:hAnsi="Calibri Light"/>
                <w:sz w:val="22"/>
                <w:szCs w:val="20"/>
              </w:rPr>
              <w:tab/>
              <w:t>Organizovaný sběr dat upraven legislativou (vybrané údaje z</w:t>
            </w:r>
            <w:r>
              <w:rPr>
                <w:rFonts w:ascii="Calibri Light" w:hAnsi="Calibri Light"/>
                <w:sz w:val="22"/>
                <w:szCs w:val="20"/>
              </w:rPr>
              <w:t> </w:t>
            </w:r>
            <w:r w:rsidRPr="003C44CD">
              <w:rPr>
                <w:rFonts w:ascii="Calibri Light" w:hAnsi="Calibri Light"/>
                <w:sz w:val="22"/>
                <w:szCs w:val="20"/>
              </w:rPr>
              <w:t>majetkové a</w:t>
            </w:r>
            <w:r>
              <w:rPr>
                <w:rFonts w:ascii="Calibri Light" w:hAnsi="Calibri Light"/>
                <w:sz w:val="22"/>
                <w:szCs w:val="20"/>
              </w:rPr>
              <w:t> </w:t>
            </w:r>
            <w:r w:rsidRPr="003C44CD">
              <w:rPr>
                <w:rFonts w:ascii="Calibri Light" w:hAnsi="Calibri Light"/>
                <w:sz w:val="22"/>
                <w:szCs w:val="20"/>
              </w:rPr>
              <w:t>provozní evidence, „Porovnání“, hlášení pro ČSÚ, mechanizmy sběru dat o</w:t>
            </w:r>
            <w:r>
              <w:rPr>
                <w:rFonts w:ascii="Calibri Light" w:hAnsi="Calibri Light"/>
                <w:sz w:val="22"/>
                <w:szCs w:val="20"/>
              </w:rPr>
              <w:t> </w:t>
            </w:r>
            <w:r w:rsidRPr="003C44CD">
              <w:rPr>
                <w:rFonts w:ascii="Calibri Light" w:hAnsi="Calibri Light"/>
                <w:sz w:val="22"/>
                <w:szCs w:val="20"/>
              </w:rPr>
              <w:t>kvalitě pitné vody a</w:t>
            </w:r>
            <w:r>
              <w:rPr>
                <w:rFonts w:ascii="Calibri Light" w:hAnsi="Calibri Light"/>
                <w:sz w:val="22"/>
                <w:szCs w:val="20"/>
              </w:rPr>
              <w:t> </w:t>
            </w:r>
            <w:r w:rsidRPr="003C44CD">
              <w:rPr>
                <w:rFonts w:ascii="Calibri Light" w:hAnsi="Calibri Light"/>
                <w:sz w:val="22"/>
                <w:szCs w:val="20"/>
              </w:rPr>
              <w:t>hodnotách vyčištěných odpadních vod).</w:t>
            </w:r>
          </w:p>
          <w:p w14:paraId="0CF1F133" w14:textId="77777777" w:rsidR="007D7C8F" w:rsidRPr="00A754DC" w:rsidRDefault="004958C5" w:rsidP="004958C5">
            <w:pPr>
              <w:spacing w:after="60" w:line="276" w:lineRule="auto"/>
              <w:ind w:left="426" w:hanging="505"/>
              <w:rPr>
                <w:rFonts w:asciiTheme="minorHAnsi" w:hAnsiTheme="minorHAnsi"/>
                <w:noProof/>
                <w:sz w:val="22"/>
                <w:szCs w:val="20"/>
              </w:rPr>
            </w:pPr>
            <w:r w:rsidRPr="003C44CD">
              <w:rPr>
                <w:rFonts w:ascii="Calibri Light" w:hAnsi="Calibri Light"/>
                <w:sz w:val="22"/>
                <w:szCs w:val="20"/>
              </w:rPr>
              <w:t>9.</w:t>
            </w:r>
            <w:r w:rsidRPr="003C44CD">
              <w:rPr>
                <w:rFonts w:ascii="Calibri Light" w:hAnsi="Calibri Light"/>
                <w:sz w:val="22"/>
                <w:szCs w:val="20"/>
              </w:rPr>
              <w:tab/>
              <w:t>Existence dotačních titulů na rozvoj VIM.</w:t>
            </w:r>
          </w:p>
        </w:tc>
        <w:tc>
          <w:tcPr>
            <w:tcW w:w="5177" w:type="dxa"/>
            <w:tcBorders>
              <w:top w:val="single" w:sz="4" w:space="0" w:color="B2A1C7"/>
              <w:left w:val="single" w:sz="4" w:space="0" w:color="B2A1C7"/>
              <w:bottom w:val="single" w:sz="4" w:space="0" w:color="B2A1C7"/>
              <w:right w:val="single" w:sz="4" w:space="0" w:color="B2A1C7"/>
            </w:tcBorders>
            <w:shd w:val="clear" w:color="auto" w:fill="auto"/>
            <w:hideMark/>
          </w:tcPr>
          <w:p w14:paraId="38BEF557" w14:textId="77777777" w:rsidR="004958C5" w:rsidRPr="003C44CD" w:rsidRDefault="00A754DC" w:rsidP="004958C5">
            <w:pPr>
              <w:pStyle w:val="Odstavecseseznamem"/>
              <w:spacing w:after="60" w:line="276" w:lineRule="auto"/>
              <w:ind w:left="313" w:hanging="313"/>
              <w:rPr>
                <w:rFonts w:ascii="Calibri Light" w:hAnsi="Calibri Light"/>
                <w:sz w:val="22"/>
                <w:szCs w:val="20"/>
              </w:rPr>
            </w:pPr>
            <w:r w:rsidRPr="00A754DC">
              <w:rPr>
                <w:rFonts w:asciiTheme="majorHAnsi" w:hAnsiTheme="majorHAnsi"/>
                <w:noProof/>
                <w:sz w:val="22"/>
                <w:szCs w:val="20"/>
              </w:rPr>
              <w:t>1</w:t>
            </w:r>
            <w:r w:rsidR="004958C5" w:rsidRPr="003C44CD">
              <w:rPr>
                <w:rFonts w:ascii="Calibri Light" w:hAnsi="Calibri Light"/>
                <w:sz w:val="22"/>
                <w:szCs w:val="20"/>
              </w:rPr>
              <w:t xml:space="preserve"> Vysoký stupeň atomizace trhu (</w:t>
            </w:r>
            <w:r w:rsidR="004958C5">
              <w:rPr>
                <w:rFonts w:ascii="Calibri Light" w:hAnsi="Calibri Light"/>
                <w:sz w:val="22"/>
                <w:szCs w:val="20"/>
              </w:rPr>
              <w:t xml:space="preserve">dle evidence MZe </w:t>
            </w:r>
            <w:r w:rsidR="004958C5" w:rsidRPr="003C44CD">
              <w:rPr>
                <w:rFonts w:ascii="Calibri Light" w:hAnsi="Calibri Light"/>
                <w:sz w:val="22"/>
                <w:szCs w:val="20"/>
              </w:rPr>
              <w:t>6</w:t>
            </w:r>
            <w:r w:rsidR="004958C5">
              <w:rPr>
                <w:rFonts w:ascii="Calibri Light" w:hAnsi="Calibri Light"/>
                <w:sz w:val="22"/>
                <w:szCs w:val="20"/>
              </w:rPr>
              <w:t> </w:t>
            </w:r>
            <w:r w:rsidR="004958C5" w:rsidRPr="003C44CD">
              <w:rPr>
                <w:rFonts w:ascii="Calibri Light" w:hAnsi="Calibri Light"/>
                <w:sz w:val="22"/>
                <w:szCs w:val="20"/>
              </w:rPr>
              <w:t>795 vlastníků, 2</w:t>
            </w:r>
            <w:r w:rsidR="004958C5">
              <w:rPr>
                <w:rFonts w:ascii="Calibri Light" w:hAnsi="Calibri Light"/>
                <w:sz w:val="22"/>
                <w:szCs w:val="20"/>
              </w:rPr>
              <w:t> </w:t>
            </w:r>
            <w:r w:rsidR="004958C5" w:rsidRPr="003C44CD">
              <w:rPr>
                <w:rFonts w:ascii="Calibri Light" w:hAnsi="Calibri Light"/>
                <w:sz w:val="22"/>
                <w:szCs w:val="20"/>
              </w:rPr>
              <w:t>878 provozovatelů).</w:t>
            </w:r>
          </w:p>
          <w:p w14:paraId="10D6CCD8"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2.</w:t>
            </w:r>
            <w:r w:rsidRPr="003C44CD">
              <w:rPr>
                <w:rFonts w:ascii="Calibri Light" w:hAnsi="Calibri Light"/>
                <w:sz w:val="22"/>
                <w:szCs w:val="20"/>
              </w:rPr>
              <w:tab/>
              <w:t>Zejména u</w:t>
            </w:r>
            <w:r>
              <w:rPr>
                <w:rFonts w:ascii="Calibri Light" w:hAnsi="Calibri Light"/>
                <w:sz w:val="22"/>
                <w:szCs w:val="20"/>
              </w:rPr>
              <w:t> </w:t>
            </w:r>
            <w:r w:rsidRPr="003C44CD">
              <w:rPr>
                <w:rFonts w:ascii="Calibri Light" w:hAnsi="Calibri Light"/>
                <w:sz w:val="22"/>
                <w:szCs w:val="20"/>
              </w:rPr>
              <w:t>menších vlastníků prioritní využívání zdrojů vody ve vlastním katastru a</w:t>
            </w:r>
            <w:r>
              <w:rPr>
                <w:rFonts w:ascii="Calibri Light" w:hAnsi="Calibri Light"/>
                <w:sz w:val="22"/>
                <w:szCs w:val="20"/>
              </w:rPr>
              <w:t> </w:t>
            </w:r>
            <w:r w:rsidRPr="003C44CD">
              <w:rPr>
                <w:rFonts w:ascii="Calibri Light" w:hAnsi="Calibri Light"/>
                <w:sz w:val="22"/>
                <w:szCs w:val="20"/>
              </w:rPr>
              <w:t>případné doplňování nedostatečné kapacity vlastních zdrojů z</w:t>
            </w:r>
            <w:r>
              <w:rPr>
                <w:rFonts w:ascii="Calibri Light" w:hAnsi="Calibri Light"/>
                <w:sz w:val="22"/>
                <w:szCs w:val="20"/>
              </w:rPr>
              <w:t> </w:t>
            </w:r>
            <w:r w:rsidRPr="003C44CD">
              <w:rPr>
                <w:rFonts w:ascii="Calibri Light" w:hAnsi="Calibri Light"/>
                <w:sz w:val="22"/>
                <w:szCs w:val="20"/>
              </w:rPr>
              <w:t>oblastních vodovodů, často na úkor ekonomické efektivity a</w:t>
            </w:r>
            <w:r>
              <w:rPr>
                <w:rFonts w:ascii="Calibri Light" w:hAnsi="Calibri Light"/>
                <w:sz w:val="22"/>
                <w:szCs w:val="20"/>
              </w:rPr>
              <w:t> </w:t>
            </w:r>
            <w:r w:rsidRPr="003C44CD">
              <w:rPr>
                <w:rFonts w:ascii="Calibri Light" w:hAnsi="Calibri Light"/>
                <w:sz w:val="22"/>
                <w:szCs w:val="20"/>
              </w:rPr>
              <w:t>kolísající úrovně kvality dodávané vody.</w:t>
            </w:r>
          </w:p>
          <w:p w14:paraId="1B7D43D3"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3.</w:t>
            </w:r>
            <w:r w:rsidRPr="003C44CD">
              <w:rPr>
                <w:rFonts w:ascii="Calibri Light" w:hAnsi="Calibri Light"/>
                <w:sz w:val="22"/>
                <w:szCs w:val="20"/>
              </w:rPr>
              <w:tab/>
              <w:t>Různorodost struktury obchodních vztahů v</w:t>
            </w:r>
            <w:r>
              <w:rPr>
                <w:rFonts w:ascii="Calibri Light" w:hAnsi="Calibri Light"/>
                <w:sz w:val="22"/>
                <w:szCs w:val="20"/>
              </w:rPr>
              <w:t> </w:t>
            </w:r>
            <w:r w:rsidRPr="003C44CD">
              <w:rPr>
                <w:rFonts w:ascii="Calibri Light" w:hAnsi="Calibri Light"/>
                <w:sz w:val="22"/>
                <w:szCs w:val="20"/>
              </w:rPr>
              <w:t>rámci jednotlivých modelů provozování ovlivňuje možnosti vlastníka rozhodovat o</w:t>
            </w:r>
            <w:r>
              <w:rPr>
                <w:rFonts w:ascii="Calibri Light" w:hAnsi="Calibri Light"/>
                <w:sz w:val="22"/>
                <w:szCs w:val="20"/>
              </w:rPr>
              <w:t> </w:t>
            </w:r>
            <w:r w:rsidRPr="003C44CD">
              <w:rPr>
                <w:rFonts w:ascii="Calibri Light" w:hAnsi="Calibri Light"/>
                <w:sz w:val="22"/>
                <w:szCs w:val="20"/>
              </w:rPr>
              <w:t>způsobu generování prostředků na obnovu, o</w:t>
            </w:r>
            <w:r>
              <w:rPr>
                <w:rFonts w:ascii="Calibri Light" w:hAnsi="Calibri Light"/>
                <w:sz w:val="22"/>
                <w:szCs w:val="20"/>
              </w:rPr>
              <w:t> </w:t>
            </w:r>
            <w:r w:rsidRPr="003C44CD">
              <w:rPr>
                <w:rFonts w:ascii="Calibri Light" w:hAnsi="Calibri Light"/>
                <w:sz w:val="22"/>
                <w:szCs w:val="20"/>
              </w:rPr>
              <w:t>jejich výši a</w:t>
            </w:r>
            <w:r>
              <w:rPr>
                <w:rFonts w:ascii="Calibri Light" w:hAnsi="Calibri Light"/>
                <w:sz w:val="22"/>
                <w:szCs w:val="20"/>
              </w:rPr>
              <w:t> </w:t>
            </w:r>
            <w:r w:rsidRPr="003C44CD">
              <w:rPr>
                <w:rFonts w:ascii="Calibri Light" w:hAnsi="Calibri Light"/>
                <w:sz w:val="22"/>
                <w:szCs w:val="20"/>
              </w:rPr>
              <w:t>době akumulace, která může souviset s</w:t>
            </w:r>
            <w:r>
              <w:rPr>
                <w:rFonts w:ascii="Calibri Light" w:hAnsi="Calibri Light"/>
                <w:sz w:val="22"/>
                <w:szCs w:val="20"/>
              </w:rPr>
              <w:t> </w:t>
            </w:r>
            <w:r w:rsidRPr="003C44CD">
              <w:rPr>
                <w:rFonts w:ascii="Calibri Light" w:hAnsi="Calibri Light"/>
                <w:sz w:val="22"/>
                <w:szCs w:val="20"/>
              </w:rPr>
              <w:t>délkou trvání smlouvy uzavřené mezi vlastníkem VIM a</w:t>
            </w:r>
            <w:r>
              <w:rPr>
                <w:rFonts w:ascii="Calibri Light" w:hAnsi="Calibri Light"/>
                <w:sz w:val="22"/>
                <w:szCs w:val="20"/>
              </w:rPr>
              <w:t> </w:t>
            </w:r>
            <w:r w:rsidRPr="003C44CD">
              <w:rPr>
                <w:rFonts w:ascii="Calibri Light" w:hAnsi="Calibri Light"/>
                <w:sz w:val="22"/>
                <w:szCs w:val="20"/>
              </w:rPr>
              <w:t>provozovatelem.</w:t>
            </w:r>
          </w:p>
          <w:p w14:paraId="2F9FC8D3"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4.</w:t>
            </w:r>
            <w:r w:rsidRPr="003C44CD">
              <w:rPr>
                <w:rFonts w:ascii="Calibri Light" w:hAnsi="Calibri Light"/>
                <w:sz w:val="22"/>
                <w:szCs w:val="20"/>
              </w:rPr>
              <w:tab/>
              <w:t>Slabá vyjednávací pozice vlastníka vůči provozovateli zapříčiněná nedostatečnou znalostí práv a</w:t>
            </w:r>
            <w:r>
              <w:rPr>
                <w:rFonts w:ascii="Calibri Light" w:hAnsi="Calibri Light"/>
                <w:sz w:val="22"/>
                <w:szCs w:val="20"/>
              </w:rPr>
              <w:t> </w:t>
            </w:r>
            <w:r w:rsidRPr="003C44CD">
              <w:rPr>
                <w:rFonts w:ascii="Calibri Light" w:hAnsi="Calibri Light"/>
                <w:sz w:val="22"/>
                <w:szCs w:val="20"/>
              </w:rPr>
              <w:t>povinnosti vlastníka VIM</w:t>
            </w:r>
            <w:r>
              <w:rPr>
                <w:rFonts w:ascii="Calibri Light" w:hAnsi="Calibri Light"/>
                <w:sz w:val="22"/>
                <w:szCs w:val="20"/>
              </w:rPr>
              <w:t xml:space="preserve"> (</w:t>
            </w:r>
            <w:r w:rsidRPr="003C44CD">
              <w:rPr>
                <w:rFonts w:ascii="Calibri Light" w:hAnsi="Calibri Light"/>
                <w:sz w:val="22"/>
                <w:szCs w:val="20"/>
              </w:rPr>
              <w:t>zejména u</w:t>
            </w:r>
            <w:r>
              <w:rPr>
                <w:rFonts w:ascii="Calibri Light" w:hAnsi="Calibri Light"/>
                <w:sz w:val="22"/>
                <w:szCs w:val="20"/>
              </w:rPr>
              <w:t> </w:t>
            </w:r>
            <w:r w:rsidRPr="003C44CD">
              <w:rPr>
                <w:rFonts w:ascii="Calibri Light" w:hAnsi="Calibri Light"/>
                <w:sz w:val="22"/>
                <w:szCs w:val="20"/>
              </w:rPr>
              <w:t>menších vlastníků</w:t>
            </w:r>
            <w:r>
              <w:rPr>
                <w:rFonts w:ascii="Calibri Light" w:hAnsi="Calibri Light"/>
                <w:sz w:val="22"/>
                <w:szCs w:val="20"/>
              </w:rPr>
              <w:t>)</w:t>
            </w:r>
            <w:r w:rsidRPr="003C44CD">
              <w:rPr>
                <w:rFonts w:ascii="Calibri Light" w:hAnsi="Calibri Light"/>
                <w:sz w:val="22"/>
                <w:szCs w:val="20"/>
              </w:rPr>
              <w:t>.</w:t>
            </w:r>
          </w:p>
          <w:p w14:paraId="1FE811F5"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5.</w:t>
            </w:r>
            <w:r w:rsidRPr="003C44CD">
              <w:rPr>
                <w:rFonts w:ascii="Calibri Light" w:hAnsi="Calibri Light"/>
                <w:sz w:val="22"/>
                <w:szCs w:val="20"/>
              </w:rPr>
              <w:tab/>
              <w:t>Nedodržování legislativy ze strany vlastníků a</w:t>
            </w:r>
            <w:r>
              <w:rPr>
                <w:rFonts w:ascii="Calibri Light" w:hAnsi="Calibri Light"/>
                <w:sz w:val="22"/>
                <w:szCs w:val="20"/>
              </w:rPr>
              <w:t> </w:t>
            </w:r>
            <w:r w:rsidRPr="003C44CD">
              <w:rPr>
                <w:rFonts w:ascii="Calibri Light" w:hAnsi="Calibri Light"/>
                <w:sz w:val="22"/>
                <w:szCs w:val="20"/>
              </w:rPr>
              <w:t>provozovatelů (zákon o</w:t>
            </w:r>
            <w:r>
              <w:rPr>
                <w:rFonts w:ascii="Calibri Light" w:hAnsi="Calibri Light"/>
                <w:sz w:val="22"/>
                <w:szCs w:val="20"/>
              </w:rPr>
              <w:t> </w:t>
            </w:r>
            <w:r w:rsidRPr="003C44CD">
              <w:rPr>
                <w:rFonts w:ascii="Calibri Light" w:hAnsi="Calibri Light"/>
                <w:sz w:val="22"/>
                <w:szCs w:val="20"/>
              </w:rPr>
              <w:t>cenách, vyhláška č. 428/2001 Sb., zákon o</w:t>
            </w:r>
            <w:r>
              <w:rPr>
                <w:rFonts w:ascii="Calibri Light" w:hAnsi="Calibri Light"/>
                <w:sz w:val="22"/>
                <w:szCs w:val="20"/>
              </w:rPr>
              <w:t> </w:t>
            </w:r>
            <w:r w:rsidRPr="003C44CD">
              <w:rPr>
                <w:rFonts w:ascii="Calibri Light" w:hAnsi="Calibri Light"/>
                <w:sz w:val="22"/>
                <w:szCs w:val="20"/>
              </w:rPr>
              <w:t>vodovodech a</w:t>
            </w:r>
            <w:r>
              <w:rPr>
                <w:rFonts w:ascii="Calibri Light" w:hAnsi="Calibri Light"/>
                <w:sz w:val="22"/>
                <w:szCs w:val="20"/>
              </w:rPr>
              <w:t> </w:t>
            </w:r>
            <w:r w:rsidRPr="003C44CD">
              <w:rPr>
                <w:rFonts w:ascii="Calibri Light" w:hAnsi="Calibri Light"/>
                <w:sz w:val="22"/>
                <w:szCs w:val="20"/>
              </w:rPr>
              <w:t xml:space="preserve">kanalizacích č. 274/2001 Sb., Koncesní zákon 139/2006 Sb. platný </w:t>
            </w:r>
            <w:r>
              <w:rPr>
                <w:rFonts w:ascii="Calibri Light" w:hAnsi="Calibri Light"/>
                <w:sz w:val="22"/>
                <w:szCs w:val="20"/>
              </w:rPr>
              <w:t>1. 1. </w:t>
            </w:r>
            <w:r w:rsidRPr="003C44CD">
              <w:rPr>
                <w:rFonts w:ascii="Calibri Light" w:hAnsi="Calibri Light"/>
                <w:sz w:val="22"/>
                <w:szCs w:val="20"/>
              </w:rPr>
              <w:t>2014 - 30. 9. 2016, zákon č. 134/2016 Sb., o</w:t>
            </w:r>
            <w:r>
              <w:rPr>
                <w:rFonts w:ascii="Calibri Light" w:hAnsi="Calibri Light"/>
                <w:sz w:val="22"/>
                <w:szCs w:val="20"/>
              </w:rPr>
              <w:t> </w:t>
            </w:r>
            <w:r w:rsidRPr="003C44CD">
              <w:rPr>
                <w:rFonts w:ascii="Calibri Light" w:hAnsi="Calibri Light"/>
                <w:sz w:val="22"/>
                <w:szCs w:val="20"/>
              </w:rPr>
              <w:t>zadávání veřejných zakázek).</w:t>
            </w:r>
          </w:p>
          <w:p w14:paraId="2505AC89"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6.</w:t>
            </w:r>
            <w:r w:rsidRPr="003C44CD">
              <w:rPr>
                <w:rFonts w:ascii="Calibri Light" w:hAnsi="Calibri Light"/>
                <w:sz w:val="22"/>
                <w:szCs w:val="20"/>
              </w:rPr>
              <w:tab/>
              <w:t>Neexistence legislativní úpravy pro stanovení minimální výše nájemného nebo ceny pro vodné a</w:t>
            </w:r>
            <w:r>
              <w:rPr>
                <w:rFonts w:ascii="Calibri Light" w:hAnsi="Calibri Light"/>
                <w:sz w:val="22"/>
                <w:szCs w:val="20"/>
              </w:rPr>
              <w:t> </w:t>
            </w:r>
            <w:r w:rsidRPr="003C44CD">
              <w:rPr>
                <w:rFonts w:ascii="Calibri Light" w:hAnsi="Calibri Light"/>
                <w:sz w:val="22"/>
                <w:szCs w:val="20"/>
              </w:rPr>
              <w:t>pro stočné s</w:t>
            </w:r>
            <w:r>
              <w:rPr>
                <w:rFonts w:ascii="Calibri Light" w:hAnsi="Calibri Light"/>
                <w:sz w:val="22"/>
                <w:szCs w:val="20"/>
              </w:rPr>
              <w:t> </w:t>
            </w:r>
            <w:r w:rsidRPr="003C44CD">
              <w:rPr>
                <w:rFonts w:ascii="Calibri Light" w:hAnsi="Calibri Light"/>
                <w:sz w:val="22"/>
                <w:szCs w:val="20"/>
              </w:rPr>
              <w:t>vazbou na dosažení samofinancovatelnosti VIM. Nedostatečný dozor nad dodržováním legislativy (cenotvorba, plán financování obnovy a</w:t>
            </w:r>
            <w:r>
              <w:rPr>
                <w:rFonts w:ascii="Calibri Light" w:hAnsi="Calibri Light"/>
                <w:sz w:val="22"/>
                <w:szCs w:val="20"/>
              </w:rPr>
              <w:t> </w:t>
            </w:r>
            <w:r w:rsidRPr="003C44CD">
              <w:rPr>
                <w:rFonts w:ascii="Calibri Light" w:hAnsi="Calibri Light"/>
                <w:sz w:val="22"/>
                <w:szCs w:val="20"/>
              </w:rPr>
              <w:t>jeho realizace, kalkulace neoprávněných nákladů, servisní smlouvy).</w:t>
            </w:r>
          </w:p>
          <w:p w14:paraId="65B8D703"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7.</w:t>
            </w:r>
            <w:r w:rsidRPr="003C44CD">
              <w:rPr>
                <w:rFonts w:ascii="Calibri Light" w:hAnsi="Calibri Light"/>
                <w:sz w:val="22"/>
                <w:szCs w:val="20"/>
              </w:rPr>
              <w:tab/>
              <w:t xml:space="preserve">Dotace ceny vlastníkem přes položku kalkulační zisk </w:t>
            </w:r>
            <w:r>
              <w:rPr>
                <w:rFonts w:ascii="Calibri Light" w:hAnsi="Calibri Light"/>
                <w:sz w:val="22"/>
                <w:szCs w:val="20"/>
              </w:rPr>
              <w:t>-</w:t>
            </w:r>
            <w:r w:rsidRPr="003C44CD">
              <w:rPr>
                <w:rFonts w:ascii="Calibri Light" w:hAnsi="Calibri Light"/>
                <w:sz w:val="22"/>
                <w:szCs w:val="20"/>
              </w:rPr>
              <w:t xml:space="preserve"> trend u</w:t>
            </w:r>
            <w:r>
              <w:rPr>
                <w:rFonts w:ascii="Calibri Light" w:hAnsi="Calibri Light"/>
                <w:sz w:val="22"/>
                <w:szCs w:val="20"/>
              </w:rPr>
              <w:t> </w:t>
            </w:r>
            <w:r w:rsidRPr="003C44CD">
              <w:rPr>
                <w:rFonts w:ascii="Calibri Light" w:hAnsi="Calibri Light"/>
                <w:sz w:val="22"/>
                <w:szCs w:val="20"/>
              </w:rPr>
              <w:t>komunálních vlastníků</w:t>
            </w:r>
            <w:r>
              <w:rPr>
                <w:rFonts w:ascii="Calibri Light" w:hAnsi="Calibri Light"/>
                <w:sz w:val="22"/>
                <w:szCs w:val="20"/>
              </w:rPr>
              <w:t xml:space="preserve">. </w:t>
            </w:r>
            <w:r w:rsidRPr="003C44CD">
              <w:rPr>
                <w:rFonts w:ascii="Calibri Light" w:hAnsi="Calibri Light"/>
                <w:sz w:val="22"/>
                <w:szCs w:val="20"/>
              </w:rPr>
              <w:t>Tento postup zamezuje dosažení samofinancovatelnosti sektoru. V</w:t>
            </w:r>
            <w:r>
              <w:rPr>
                <w:rFonts w:ascii="Calibri Light" w:hAnsi="Calibri Light"/>
                <w:sz w:val="22"/>
                <w:szCs w:val="20"/>
              </w:rPr>
              <w:t> </w:t>
            </w:r>
            <w:r w:rsidRPr="003C44CD">
              <w:rPr>
                <w:rFonts w:ascii="Calibri Light" w:hAnsi="Calibri Light"/>
                <w:sz w:val="22"/>
                <w:szCs w:val="20"/>
              </w:rPr>
              <w:t xml:space="preserve">případě vlastnického modelu provozování </w:t>
            </w:r>
            <w:r>
              <w:rPr>
                <w:rFonts w:ascii="Calibri Light" w:hAnsi="Calibri Light"/>
                <w:sz w:val="22"/>
                <w:szCs w:val="20"/>
              </w:rPr>
              <w:t xml:space="preserve">tak </w:t>
            </w:r>
            <w:r w:rsidRPr="003C44CD">
              <w:rPr>
                <w:rFonts w:ascii="Calibri Light" w:hAnsi="Calibri Light"/>
                <w:sz w:val="22"/>
                <w:szCs w:val="20"/>
              </w:rPr>
              <w:t>dochází k</w:t>
            </w:r>
            <w:r>
              <w:rPr>
                <w:rFonts w:ascii="Calibri Light" w:hAnsi="Calibri Light"/>
                <w:sz w:val="22"/>
                <w:szCs w:val="20"/>
              </w:rPr>
              <w:t> </w:t>
            </w:r>
            <w:r w:rsidRPr="003C44CD">
              <w:rPr>
                <w:rFonts w:ascii="Calibri Light" w:hAnsi="Calibri Light"/>
                <w:sz w:val="22"/>
                <w:szCs w:val="20"/>
              </w:rPr>
              <w:t xml:space="preserve">dotování samotného provozu </w:t>
            </w:r>
            <w:r>
              <w:rPr>
                <w:rFonts w:ascii="Calibri Light" w:hAnsi="Calibri Light"/>
                <w:sz w:val="22"/>
                <w:szCs w:val="20"/>
              </w:rPr>
              <w:t>-</w:t>
            </w:r>
            <w:r w:rsidRPr="003C44CD">
              <w:rPr>
                <w:rFonts w:ascii="Calibri Light" w:hAnsi="Calibri Light"/>
                <w:sz w:val="22"/>
                <w:szCs w:val="20"/>
              </w:rPr>
              <w:t xml:space="preserve"> zejména u</w:t>
            </w:r>
            <w:r>
              <w:rPr>
                <w:rFonts w:ascii="Calibri Light" w:hAnsi="Calibri Light"/>
                <w:sz w:val="22"/>
                <w:szCs w:val="20"/>
              </w:rPr>
              <w:t> </w:t>
            </w:r>
            <w:r w:rsidRPr="003C44CD">
              <w:rPr>
                <w:rFonts w:ascii="Calibri Light" w:hAnsi="Calibri Light"/>
                <w:sz w:val="22"/>
                <w:szCs w:val="20"/>
              </w:rPr>
              <w:t>vlastníků s</w:t>
            </w:r>
            <w:r>
              <w:rPr>
                <w:rFonts w:ascii="Calibri Light" w:hAnsi="Calibri Light"/>
                <w:sz w:val="22"/>
                <w:szCs w:val="20"/>
              </w:rPr>
              <w:t> </w:t>
            </w:r>
            <w:r w:rsidRPr="003C44CD">
              <w:rPr>
                <w:rFonts w:ascii="Calibri Light" w:hAnsi="Calibri Light"/>
                <w:sz w:val="22"/>
                <w:szCs w:val="20"/>
              </w:rPr>
              <w:t>malým počtem připojených osob.</w:t>
            </w:r>
          </w:p>
          <w:p w14:paraId="7F1D86B9"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lastRenderedPageBreak/>
              <w:t>8.</w:t>
            </w:r>
            <w:r w:rsidRPr="003C44CD">
              <w:rPr>
                <w:rFonts w:ascii="Calibri Light" w:hAnsi="Calibri Light"/>
                <w:sz w:val="22"/>
                <w:szCs w:val="20"/>
              </w:rPr>
              <w:tab/>
              <w:t xml:space="preserve">Diskutabilní kvalita dat </w:t>
            </w:r>
            <w:r>
              <w:rPr>
                <w:rFonts w:ascii="Calibri Light" w:hAnsi="Calibri Light"/>
                <w:sz w:val="22"/>
                <w:szCs w:val="20"/>
              </w:rPr>
              <w:t xml:space="preserve">zasílaných na MZe </w:t>
            </w:r>
            <w:r w:rsidRPr="003C44CD">
              <w:rPr>
                <w:rFonts w:ascii="Calibri Light" w:hAnsi="Calibri Light"/>
                <w:sz w:val="22"/>
                <w:szCs w:val="20"/>
              </w:rPr>
              <w:t>(</w:t>
            </w:r>
            <w:r>
              <w:rPr>
                <w:rFonts w:ascii="Calibri Light" w:hAnsi="Calibri Light"/>
                <w:sz w:val="22"/>
                <w:szCs w:val="20"/>
              </w:rPr>
              <w:t>výskyt logických chyb, neúplná data, nesouměřitelná data vyplývající z nejednotného chápání pojmů, např. obnova, porucha, apod.) a chybějící informace ke kontrole plnění PFO (např. stáří a opotřebení VIM, proinvestované dotace, objem plánovaných oprav apod.)</w:t>
            </w:r>
          </w:p>
          <w:p w14:paraId="2AC651FB"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9.</w:t>
            </w:r>
            <w:r w:rsidRPr="003C44CD">
              <w:rPr>
                <w:rFonts w:ascii="Calibri Light" w:hAnsi="Calibri Light"/>
                <w:sz w:val="22"/>
                <w:szCs w:val="20"/>
              </w:rPr>
              <w:tab/>
              <w:t>Ve vybraných údajích majetkové a</w:t>
            </w:r>
            <w:r>
              <w:rPr>
                <w:rFonts w:ascii="Calibri Light" w:hAnsi="Calibri Light"/>
                <w:sz w:val="22"/>
                <w:szCs w:val="20"/>
              </w:rPr>
              <w:t> </w:t>
            </w:r>
            <w:r w:rsidRPr="003C44CD">
              <w:rPr>
                <w:rFonts w:ascii="Calibri Light" w:hAnsi="Calibri Light"/>
                <w:sz w:val="22"/>
                <w:szCs w:val="20"/>
              </w:rPr>
              <w:t>provozní evidence se neposkytovaly informace o</w:t>
            </w:r>
            <w:r>
              <w:rPr>
                <w:rFonts w:ascii="Calibri Light" w:hAnsi="Calibri Light"/>
                <w:sz w:val="22"/>
                <w:szCs w:val="20"/>
              </w:rPr>
              <w:t> </w:t>
            </w:r>
            <w:r w:rsidRPr="003C44CD">
              <w:rPr>
                <w:rFonts w:ascii="Calibri Light" w:hAnsi="Calibri Light"/>
                <w:sz w:val="22"/>
                <w:szCs w:val="20"/>
              </w:rPr>
              <w:t>přivaděčích a</w:t>
            </w:r>
            <w:r>
              <w:rPr>
                <w:rFonts w:ascii="Calibri Light" w:hAnsi="Calibri Light"/>
                <w:sz w:val="22"/>
                <w:szCs w:val="20"/>
              </w:rPr>
              <w:t> </w:t>
            </w:r>
            <w:r w:rsidRPr="003C44CD">
              <w:rPr>
                <w:rFonts w:ascii="Calibri Light" w:hAnsi="Calibri Light"/>
                <w:sz w:val="22"/>
                <w:szCs w:val="20"/>
              </w:rPr>
              <w:t>sběračích, což má přímý vliv na vypovídací hodnotu některých ukazatelů benchmarkingu (např. hodnota VIM v</w:t>
            </w:r>
            <w:r>
              <w:rPr>
                <w:rFonts w:ascii="Calibri Light" w:hAnsi="Calibri Light"/>
                <w:sz w:val="22"/>
                <w:szCs w:val="20"/>
              </w:rPr>
              <w:t> </w:t>
            </w:r>
            <w:r w:rsidRPr="003C44CD">
              <w:rPr>
                <w:rFonts w:ascii="Calibri Light" w:hAnsi="Calibri Light"/>
                <w:sz w:val="22"/>
                <w:szCs w:val="20"/>
              </w:rPr>
              <w:t>reprodukční pořizovací ceně</w:t>
            </w:r>
            <w:r>
              <w:rPr>
                <w:rFonts w:ascii="Calibri Light" w:hAnsi="Calibri Light"/>
                <w:sz w:val="22"/>
                <w:szCs w:val="20"/>
              </w:rPr>
              <w:t>, minimální roční výše prostředků na obnovu</w:t>
            </w:r>
            <w:r w:rsidRPr="003C44CD">
              <w:rPr>
                <w:rFonts w:ascii="Calibri Light" w:hAnsi="Calibri Light"/>
                <w:sz w:val="22"/>
                <w:szCs w:val="20"/>
              </w:rPr>
              <w:t>, délka ř</w:t>
            </w:r>
            <w:r>
              <w:rPr>
                <w:rFonts w:ascii="Calibri Light" w:hAnsi="Calibri Light"/>
                <w:sz w:val="22"/>
                <w:szCs w:val="20"/>
              </w:rPr>
              <w:t>a</w:t>
            </w:r>
            <w:r w:rsidRPr="003C44CD">
              <w:rPr>
                <w:rFonts w:ascii="Calibri Light" w:hAnsi="Calibri Light"/>
                <w:sz w:val="22"/>
                <w:szCs w:val="20"/>
              </w:rPr>
              <w:t>dů a</w:t>
            </w:r>
            <w:r>
              <w:rPr>
                <w:rFonts w:ascii="Calibri Light" w:hAnsi="Calibri Light"/>
                <w:sz w:val="22"/>
                <w:szCs w:val="20"/>
              </w:rPr>
              <w:t> </w:t>
            </w:r>
            <w:r w:rsidRPr="003C44CD">
              <w:rPr>
                <w:rFonts w:ascii="Calibri Light" w:hAnsi="Calibri Light"/>
                <w:sz w:val="22"/>
                <w:szCs w:val="20"/>
              </w:rPr>
              <w:t>stok, množství nefakturované vody</w:t>
            </w:r>
            <w:r>
              <w:rPr>
                <w:rFonts w:ascii="Calibri Light" w:hAnsi="Calibri Light"/>
                <w:sz w:val="22"/>
                <w:szCs w:val="20"/>
              </w:rPr>
              <w:t xml:space="preserve">, </w:t>
            </w:r>
            <w:r w:rsidRPr="003C44CD">
              <w:rPr>
                <w:rFonts w:ascii="Calibri Light" w:hAnsi="Calibri Light"/>
                <w:sz w:val="22"/>
                <w:szCs w:val="20"/>
              </w:rPr>
              <w:t>ztrát</w:t>
            </w:r>
            <w:r>
              <w:rPr>
                <w:rFonts w:ascii="Calibri Light" w:hAnsi="Calibri Light"/>
                <w:sz w:val="22"/>
                <w:szCs w:val="20"/>
              </w:rPr>
              <w:t xml:space="preserve"> a poruch a jejich hodnoty přepočtené na km sítě</w:t>
            </w:r>
            <w:r w:rsidRPr="003C44CD">
              <w:rPr>
                <w:rFonts w:ascii="Calibri Light" w:hAnsi="Calibri Light"/>
                <w:sz w:val="22"/>
                <w:szCs w:val="20"/>
              </w:rPr>
              <w:t xml:space="preserve"> atd.).</w:t>
            </w:r>
          </w:p>
          <w:p w14:paraId="1543DDE2"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10.</w:t>
            </w:r>
            <w:r w:rsidRPr="003C44CD">
              <w:rPr>
                <w:rFonts w:ascii="Calibri Light" w:hAnsi="Calibri Light"/>
                <w:sz w:val="22"/>
                <w:szCs w:val="20"/>
              </w:rPr>
              <w:tab/>
              <w:t xml:space="preserve">Benchmarking při </w:t>
            </w:r>
            <w:r>
              <w:rPr>
                <w:rFonts w:ascii="Calibri Light" w:hAnsi="Calibri Light"/>
                <w:sz w:val="22"/>
                <w:szCs w:val="20"/>
              </w:rPr>
              <w:t>hodnocení pokrytí minimálních prostředků na obnovu</w:t>
            </w:r>
            <w:r w:rsidRPr="003C44CD">
              <w:rPr>
                <w:rFonts w:ascii="Calibri Light" w:hAnsi="Calibri Light"/>
                <w:sz w:val="22"/>
                <w:szCs w:val="20"/>
              </w:rPr>
              <w:t xml:space="preserve"> nepočítá s</w:t>
            </w:r>
            <w:r>
              <w:rPr>
                <w:rFonts w:ascii="Calibri Light" w:hAnsi="Calibri Light"/>
                <w:sz w:val="22"/>
                <w:szCs w:val="20"/>
              </w:rPr>
              <w:t> </w:t>
            </w:r>
            <w:r w:rsidRPr="003C44CD">
              <w:rPr>
                <w:rFonts w:ascii="Calibri Light" w:hAnsi="Calibri Light"/>
                <w:sz w:val="22"/>
                <w:szCs w:val="20"/>
              </w:rPr>
              <w:t>prostředky obnovy uváděnými v</w:t>
            </w:r>
            <w:r>
              <w:rPr>
                <w:rFonts w:ascii="Calibri Light" w:hAnsi="Calibri Light"/>
                <w:sz w:val="22"/>
                <w:szCs w:val="20"/>
              </w:rPr>
              <w:t> </w:t>
            </w:r>
            <w:r w:rsidRPr="003C44CD">
              <w:rPr>
                <w:rFonts w:ascii="Calibri Light" w:hAnsi="Calibri Light"/>
                <w:sz w:val="22"/>
                <w:szCs w:val="20"/>
              </w:rPr>
              <w:t xml:space="preserve">provozovatelských </w:t>
            </w:r>
            <w:r>
              <w:rPr>
                <w:rFonts w:ascii="Calibri Light" w:hAnsi="Calibri Light"/>
                <w:sz w:val="22"/>
                <w:szCs w:val="20"/>
              </w:rPr>
              <w:t>P</w:t>
            </w:r>
            <w:r w:rsidRPr="003C44CD">
              <w:rPr>
                <w:rFonts w:ascii="Calibri Light" w:hAnsi="Calibri Light"/>
                <w:sz w:val="22"/>
                <w:szCs w:val="20"/>
              </w:rPr>
              <w:t>orovnání</w:t>
            </w:r>
            <w:r>
              <w:rPr>
                <w:rFonts w:ascii="Calibri Light" w:hAnsi="Calibri Light"/>
                <w:sz w:val="22"/>
                <w:szCs w:val="20"/>
              </w:rPr>
              <w:t>ch</w:t>
            </w:r>
            <w:r w:rsidRPr="003C44CD">
              <w:rPr>
                <w:rFonts w:ascii="Calibri Light" w:hAnsi="Calibri Light"/>
                <w:sz w:val="22"/>
                <w:szCs w:val="20"/>
              </w:rPr>
              <w:t>.</w:t>
            </w:r>
          </w:p>
          <w:p w14:paraId="67A3D674"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11.</w:t>
            </w:r>
            <w:r w:rsidRPr="003C44CD">
              <w:rPr>
                <w:rFonts w:ascii="Calibri Light" w:hAnsi="Calibri Light"/>
                <w:sz w:val="22"/>
                <w:szCs w:val="20"/>
              </w:rPr>
              <w:tab/>
              <w:t>Nedostatky v</w:t>
            </w:r>
            <w:r>
              <w:rPr>
                <w:rFonts w:ascii="Calibri Light" w:hAnsi="Calibri Light"/>
                <w:sz w:val="22"/>
                <w:szCs w:val="20"/>
              </w:rPr>
              <w:t> </w:t>
            </w:r>
            <w:r w:rsidRPr="003C44CD">
              <w:rPr>
                <w:rFonts w:ascii="Calibri Light" w:hAnsi="Calibri Light"/>
                <w:sz w:val="22"/>
                <w:szCs w:val="20"/>
              </w:rPr>
              <w:t>databázích vybraných údajů majetkové a</w:t>
            </w:r>
            <w:r>
              <w:rPr>
                <w:rFonts w:ascii="Calibri Light" w:hAnsi="Calibri Light"/>
                <w:sz w:val="22"/>
                <w:szCs w:val="20"/>
              </w:rPr>
              <w:t> </w:t>
            </w:r>
            <w:r w:rsidRPr="003C44CD">
              <w:rPr>
                <w:rFonts w:ascii="Calibri Light" w:hAnsi="Calibri Light"/>
                <w:sz w:val="22"/>
                <w:szCs w:val="20"/>
              </w:rPr>
              <w:t>provozní evidence a</w:t>
            </w:r>
            <w:r>
              <w:rPr>
                <w:rFonts w:ascii="Calibri Light" w:hAnsi="Calibri Light"/>
                <w:sz w:val="22"/>
                <w:szCs w:val="20"/>
              </w:rPr>
              <w:t> </w:t>
            </w:r>
            <w:r w:rsidRPr="003C44CD">
              <w:rPr>
                <w:rFonts w:ascii="Calibri Light" w:hAnsi="Calibri Light"/>
                <w:sz w:val="22"/>
                <w:szCs w:val="20"/>
              </w:rPr>
              <w:t>v</w:t>
            </w:r>
            <w:r>
              <w:rPr>
                <w:rFonts w:ascii="Calibri Light" w:hAnsi="Calibri Light"/>
                <w:sz w:val="22"/>
                <w:szCs w:val="20"/>
              </w:rPr>
              <w:t> </w:t>
            </w:r>
            <w:r w:rsidRPr="003C44CD">
              <w:rPr>
                <w:rFonts w:ascii="Calibri Light" w:hAnsi="Calibri Light"/>
                <w:sz w:val="22"/>
                <w:szCs w:val="20"/>
              </w:rPr>
              <w:t>databázi povolení k</w:t>
            </w:r>
            <w:r>
              <w:rPr>
                <w:rFonts w:ascii="Calibri Light" w:hAnsi="Calibri Light"/>
                <w:sz w:val="22"/>
                <w:szCs w:val="20"/>
              </w:rPr>
              <w:t> </w:t>
            </w:r>
            <w:r w:rsidRPr="003C44CD">
              <w:rPr>
                <w:rFonts w:ascii="Calibri Light" w:hAnsi="Calibri Light"/>
                <w:sz w:val="22"/>
                <w:szCs w:val="20"/>
              </w:rPr>
              <w:t>provozování neumožňují hloubkovou kontrolu úplnosti databáz</w:t>
            </w:r>
            <w:r>
              <w:rPr>
                <w:rFonts w:ascii="Calibri Light" w:hAnsi="Calibri Light"/>
                <w:sz w:val="22"/>
                <w:szCs w:val="20"/>
              </w:rPr>
              <w:t>í</w:t>
            </w:r>
            <w:r w:rsidRPr="003C44CD">
              <w:rPr>
                <w:rFonts w:ascii="Calibri Light" w:hAnsi="Calibri Light"/>
                <w:sz w:val="22"/>
                <w:szCs w:val="20"/>
              </w:rPr>
              <w:t xml:space="preserve"> a</w:t>
            </w:r>
            <w:r>
              <w:rPr>
                <w:rFonts w:ascii="Calibri Light" w:hAnsi="Calibri Light"/>
                <w:sz w:val="22"/>
                <w:szCs w:val="20"/>
              </w:rPr>
              <w:t> </w:t>
            </w:r>
            <w:r w:rsidRPr="003C44CD">
              <w:rPr>
                <w:rFonts w:ascii="Calibri Light" w:hAnsi="Calibri Light"/>
                <w:sz w:val="22"/>
                <w:szCs w:val="20"/>
              </w:rPr>
              <w:t>správnosti údajů v</w:t>
            </w:r>
            <w:r>
              <w:rPr>
                <w:rFonts w:ascii="Calibri Light" w:hAnsi="Calibri Light"/>
                <w:sz w:val="22"/>
                <w:szCs w:val="20"/>
              </w:rPr>
              <w:t> </w:t>
            </w:r>
            <w:r w:rsidRPr="003C44CD">
              <w:rPr>
                <w:rFonts w:ascii="Calibri Light" w:hAnsi="Calibri Light"/>
                <w:sz w:val="22"/>
                <w:szCs w:val="20"/>
              </w:rPr>
              <w:t>nich uváděných.</w:t>
            </w:r>
          </w:p>
          <w:p w14:paraId="1367188E" w14:textId="77777777" w:rsidR="004958C5" w:rsidRPr="003C44CD"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12.</w:t>
            </w:r>
            <w:r w:rsidRPr="003C44CD">
              <w:rPr>
                <w:rFonts w:ascii="Calibri Light" w:hAnsi="Calibri Light"/>
                <w:sz w:val="22"/>
                <w:szCs w:val="20"/>
              </w:rPr>
              <w:tab/>
              <w:t>Nedostatek znalostí a</w:t>
            </w:r>
            <w:r>
              <w:rPr>
                <w:rFonts w:ascii="Calibri Light" w:hAnsi="Calibri Light"/>
                <w:sz w:val="22"/>
                <w:szCs w:val="20"/>
              </w:rPr>
              <w:t> </w:t>
            </w:r>
            <w:r w:rsidRPr="003C44CD">
              <w:rPr>
                <w:rFonts w:ascii="Calibri Light" w:hAnsi="Calibri Light"/>
                <w:sz w:val="22"/>
                <w:szCs w:val="20"/>
              </w:rPr>
              <w:t>zkušenosti vlastníků jako investora VIM (efektivní investování finančních prostředků do VIM z</w:t>
            </w:r>
            <w:r>
              <w:rPr>
                <w:rFonts w:ascii="Calibri Light" w:hAnsi="Calibri Light"/>
                <w:sz w:val="22"/>
                <w:szCs w:val="20"/>
              </w:rPr>
              <w:t> </w:t>
            </w:r>
            <w:r w:rsidRPr="003C44CD">
              <w:rPr>
                <w:rFonts w:ascii="Calibri Light" w:hAnsi="Calibri Light"/>
                <w:sz w:val="22"/>
                <w:szCs w:val="20"/>
              </w:rPr>
              <w:t>pohledu životního cyklu majetku).</w:t>
            </w:r>
          </w:p>
          <w:p w14:paraId="7525AF16" w14:textId="260F8AAE" w:rsidR="004958C5"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13.</w:t>
            </w:r>
            <w:r w:rsidRPr="003C44CD">
              <w:rPr>
                <w:rFonts w:ascii="Calibri Light" w:hAnsi="Calibri Light"/>
                <w:sz w:val="22"/>
                <w:szCs w:val="20"/>
              </w:rPr>
              <w:tab/>
              <w:t>Stanovení hodnoty majetku podle orientačních ukazatelů se řídí metodickým pokynem, který je zastaralý</w:t>
            </w:r>
            <w:r>
              <w:rPr>
                <w:rFonts w:ascii="Calibri Light" w:hAnsi="Calibri Light"/>
                <w:sz w:val="22"/>
                <w:szCs w:val="20"/>
              </w:rPr>
              <w:t xml:space="preserve"> a je nutné jej novelizovat. Vypočtené reprodukční ceny </w:t>
            </w:r>
            <w:r w:rsidR="002E12F7">
              <w:rPr>
                <w:rFonts w:ascii="Calibri Light" w:hAnsi="Calibri Light"/>
                <w:sz w:val="22"/>
                <w:szCs w:val="20"/>
              </w:rPr>
              <w:t>VIM</w:t>
            </w:r>
            <w:r w:rsidR="002E12F7" w:rsidRPr="003C44CD">
              <w:rPr>
                <w:rFonts w:ascii="Calibri Light" w:hAnsi="Calibri Light"/>
                <w:sz w:val="22"/>
                <w:szCs w:val="20"/>
              </w:rPr>
              <w:t xml:space="preserve"> neodpovídají</w:t>
            </w:r>
            <w:r>
              <w:rPr>
                <w:rFonts w:ascii="Calibri Light" w:hAnsi="Calibri Light"/>
                <w:sz w:val="22"/>
                <w:szCs w:val="20"/>
              </w:rPr>
              <w:t xml:space="preserve"> reálným reprodukčním cenám.</w:t>
            </w:r>
          </w:p>
          <w:p w14:paraId="41BAE557" w14:textId="77777777" w:rsidR="004958C5" w:rsidRDefault="004958C5" w:rsidP="004958C5">
            <w:pPr>
              <w:pStyle w:val="Odstavecseseznamem"/>
              <w:spacing w:after="60" w:line="276" w:lineRule="auto"/>
              <w:ind w:left="313" w:hanging="313"/>
              <w:rPr>
                <w:rFonts w:ascii="Calibri Light" w:hAnsi="Calibri Light"/>
                <w:sz w:val="22"/>
                <w:szCs w:val="20"/>
              </w:rPr>
            </w:pPr>
            <w:r w:rsidRPr="003C44CD">
              <w:rPr>
                <w:rFonts w:ascii="Calibri Light" w:hAnsi="Calibri Light"/>
                <w:sz w:val="22"/>
                <w:szCs w:val="20"/>
              </w:rPr>
              <w:t>14.</w:t>
            </w:r>
            <w:r w:rsidRPr="003C44CD">
              <w:rPr>
                <w:rFonts w:ascii="Calibri Light" w:hAnsi="Calibri Light"/>
                <w:sz w:val="22"/>
                <w:szCs w:val="20"/>
              </w:rPr>
              <w:tab/>
              <w:t xml:space="preserve">Současné ustanovení cenového výměru MF neumožňuje využívat ř. 4.4. </w:t>
            </w:r>
            <w:r>
              <w:rPr>
                <w:rFonts w:ascii="Calibri Light" w:hAnsi="Calibri Light"/>
                <w:sz w:val="22"/>
                <w:szCs w:val="20"/>
              </w:rPr>
              <w:t>-</w:t>
            </w:r>
            <w:r w:rsidRPr="003C44CD">
              <w:rPr>
                <w:rFonts w:ascii="Calibri Light" w:hAnsi="Calibri Light"/>
                <w:sz w:val="22"/>
                <w:szCs w:val="20"/>
              </w:rPr>
              <w:t xml:space="preserve"> Prostředky na obnovu v</w:t>
            </w:r>
            <w:r>
              <w:rPr>
                <w:rFonts w:ascii="Calibri Light" w:hAnsi="Calibri Light"/>
                <w:sz w:val="22"/>
                <w:szCs w:val="20"/>
              </w:rPr>
              <w:t> </w:t>
            </w:r>
            <w:r w:rsidRPr="003C44CD">
              <w:rPr>
                <w:rFonts w:ascii="Calibri Light" w:hAnsi="Calibri Light"/>
                <w:sz w:val="22"/>
                <w:szCs w:val="20"/>
              </w:rPr>
              <w:t>plném rozsahu tak, jak je upraveno v</w:t>
            </w:r>
            <w:r>
              <w:rPr>
                <w:rFonts w:ascii="Calibri Light" w:hAnsi="Calibri Light"/>
                <w:sz w:val="22"/>
                <w:szCs w:val="20"/>
              </w:rPr>
              <w:t> </w:t>
            </w:r>
            <w:r w:rsidRPr="003C44CD">
              <w:rPr>
                <w:rFonts w:ascii="Calibri Light" w:hAnsi="Calibri Light"/>
                <w:sz w:val="22"/>
                <w:szCs w:val="20"/>
              </w:rPr>
              <w:t>příslušných předpisech MZe.</w:t>
            </w:r>
          </w:p>
          <w:p w14:paraId="39FD084F" w14:textId="77777777" w:rsidR="007D7C8F" w:rsidRPr="00A754DC" w:rsidRDefault="004958C5" w:rsidP="004958C5">
            <w:pPr>
              <w:spacing w:before="0" w:after="60" w:line="276" w:lineRule="auto"/>
              <w:ind w:left="426" w:hanging="505"/>
              <w:rPr>
                <w:rFonts w:asciiTheme="majorHAnsi" w:hAnsiTheme="majorHAnsi"/>
                <w:noProof/>
                <w:sz w:val="22"/>
                <w:szCs w:val="20"/>
              </w:rPr>
            </w:pPr>
            <w:r w:rsidRPr="003C44CD">
              <w:rPr>
                <w:rFonts w:ascii="Calibri Light" w:hAnsi="Calibri Light"/>
                <w:sz w:val="22"/>
                <w:szCs w:val="20"/>
              </w:rPr>
              <w:t>15.</w:t>
            </w:r>
            <w:r w:rsidRPr="003C44CD">
              <w:rPr>
                <w:rFonts w:ascii="Calibri Light" w:hAnsi="Calibri Light"/>
                <w:sz w:val="22"/>
                <w:szCs w:val="20"/>
              </w:rPr>
              <w:tab/>
              <w:t>Při hodnocení tvorby prostředků z</w:t>
            </w:r>
            <w:r>
              <w:rPr>
                <w:rFonts w:ascii="Calibri Light" w:hAnsi="Calibri Light"/>
                <w:sz w:val="22"/>
                <w:szCs w:val="20"/>
              </w:rPr>
              <w:t> </w:t>
            </w:r>
            <w:r w:rsidRPr="003C44CD">
              <w:rPr>
                <w:rFonts w:ascii="Calibri Light" w:hAnsi="Calibri Light"/>
                <w:sz w:val="22"/>
                <w:szCs w:val="20"/>
              </w:rPr>
              <w:t>vodného a</w:t>
            </w:r>
            <w:r>
              <w:rPr>
                <w:rFonts w:ascii="Calibri Light" w:hAnsi="Calibri Light"/>
                <w:sz w:val="22"/>
                <w:szCs w:val="20"/>
              </w:rPr>
              <w:t> </w:t>
            </w:r>
            <w:r w:rsidRPr="003C44CD">
              <w:rPr>
                <w:rFonts w:ascii="Calibri Light" w:hAnsi="Calibri Light"/>
                <w:sz w:val="22"/>
                <w:szCs w:val="20"/>
              </w:rPr>
              <w:t>stočného a</w:t>
            </w:r>
            <w:r>
              <w:rPr>
                <w:rFonts w:ascii="Calibri Light" w:hAnsi="Calibri Light"/>
                <w:sz w:val="22"/>
                <w:szCs w:val="20"/>
              </w:rPr>
              <w:t> </w:t>
            </w:r>
            <w:r w:rsidRPr="003C44CD">
              <w:rPr>
                <w:rFonts w:ascii="Calibri Light" w:hAnsi="Calibri Light"/>
                <w:sz w:val="22"/>
                <w:szCs w:val="20"/>
              </w:rPr>
              <w:t xml:space="preserve">pokrytí minimální teoretické výše prostředků obnovy nelze zohlednit vliv toho, zda vlastník </w:t>
            </w:r>
            <w:r>
              <w:rPr>
                <w:rFonts w:ascii="Calibri Light" w:hAnsi="Calibri Light"/>
                <w:sz w:val="22"/>
                <w:szCs w:val="20"/>
              </w:rPr>
              <w:t xml:space="preserve">je </w:t>
            </w:r>
            <w:r w:rsidRPr="003C44CD">
              <w:rPr>
                <w:rFonts w:ascii="Calibri Light" w:hAnsi="Calibri Light"/>
                <w:sz w:val="22"/>
                <w:szCs w:val="20"/>
              </w:rPr>
              <w:t>plátce DPH či nikoliv.</w:t>
            </w:r>
          </w:p>
        </w:tc>
      </w:tr>
      <w:tr w:rsidR="007D7C8F" w:rsidRPr="00C62639" w14:paraId="10A393FE" w14:textId="77777777" w:rsidTr="00132C97">
        <w:trPr>
          <w:jc w:val="center"/>
        </w:trPr>
        <w:tc>
          <w:tcPr>
            <w:tcW w:w="5240" w:type="dxa"/>
            <w:tcBorders>
              <w:top w:val="single" w:sz="4" w:space="0" w:color="B2A1C7"/>
              <w:left w:val="single" w:sz="4" w:space="0" w:color="B2A1C7"/>
              <w:bottom w:val="single" w:sz="4" w:space="0" w:color="B2A1C7"/>
              <w:right w:val="single" w:sz="4" w:space="0" w:color="B2A1C7"/>
            </w:tcBorders>
            <w:shd w:val="clear" w:color="auto" w:fill="C4BC96"/>
            <w:hideMark/>
          </w:tcPr>
          <w:p w14:paraId="6820C218" w14:textId="77777777" w:rsidR="007D7C8F" w:rsidRPr="00C62639" w:rsidRDefault="007D7C8F" w:rsidP="0076588B">
            <w:pPr>
              <w:rPr>
                <w:rFonts w:asciiTheme="minorHAnsi" w:hAnsiTheme="minorHAnsi"/>
                <w:b/>
                <w:bCs/>
                <w:smallCaps/>
                <w:noProof/>
                <w:sz w:val="22"/>
                <w:szCs w:val="20"/>
              </w:rPr>
            </w:pPr>
            <w:r w:rsidRPr="00C62639">
              <w:rPr>
                <w:rFonts w:asciiTheme="minorHAnsi" w:hAnsiTheme="minorHAnsi"/>
                <w:b/>
                <w:bCs/>
                <w:smallCaps/>
                <w:noProof/>
                <w:sz w:val="22"/>
                <w:szCs w:val="20"/>
              </w:rPr>
              <w:lastRenderedPageBreak/>
              <w:t>Příležitosti</w:t>
            </w:r>
          </w:p>
        </w:tc>
        <w:tc>
          <w:tcPr>
            <w:tcW w:w="5177" w:type="dxa"/>
            <w:tcBorders>
              <w:top w:val="single" w:sz="4" w:space="0" w:color="B2A1C7"/>
              <w:left w:val="single" w:sz="4" w:space="0" w:color="B2A1C7"/>
              <w:bottom w:val="single" w:sz="4" w:space="0" w:color="B2A1C7"/>
              <w:right w:val="single" w:sz="4" w:space="0" w:color="B2A1C7"/>
            </w:tcBorders>
            <w:shd w:val="clear" w:color="auto" w:fill="C4BC96"/>
            <w:hideMark/>
          </w:tcPr>
          <w:p w14:paraId="4BC2F0FA" w14:textId="77777777" w:rsidR="007D7C8F" w:rsidRPr="00C62639" w:rsidRDefault="007D7C8F" w:rsidP="0076588B">
            <w:pPr>
              <w:rPr>
                <w:rFonts w:asciiTheme="minorHAnsi" w:hAnsiTheme="minorHAnsi"/>
                <w:b/>
                <w:smallCaps/>
                <w:noProof/>
                <w:sz w:val="22"/>
                <w:szCs w:val="20"/>
              </w:rPr>
            </w:pPr>
            <w:r w:rsidRPr="00C62639">
              <w:rPr>
                <w:rFonts w:asciiTheme="minorHAnsi" w:hAnsiTheme="minorHAnsi"/>
                <w:b/>
                <w:smallCaps/>
                <w:noProof/>
                <w:sz w:val="22"/>
                <w:szCs w:val="20"/>
              </w:rPr>
              <w:t>Hrozby</w:t>
            </w:r>
          </w:p>
        </w:tc>
      </w:tr>
      <w:tr w:rsidR="007D7C8F" w:rsidRPr="00C62639" w14:paraId="0AEAD501" w14:textId="77777777" w:rsidTr="00132C97">
        <w:trPr>
          <w:jc w:val="center"/>
        </w:trPr>
        <w:tc>
          <w:tcPr>
            <w:tcW w:w="5240" w:type="dxa"/>
            <w:tcBorders>
              <w:top w:val="single" w:sz="4" w:space="0" w:color="B2A1C7"/>
              <w:left w:val="single" w:sz="4" w:space="0" w:color="B2A1C7"/>
              <w:bottom w:val="single" w:sz="4" w:space="0" w:color="B2A1C7"/>
              <w:right w:val="single" w:sz="4" w:space="0" w:color="B2A1C7"/>
            </w:tcBorders>
            <w:shd w:val="clear" w:color="auto" w:fill="FFFFFF"/>
            <w:hideMark/>
          </w:tcPr>
          <w:p w14:paraId="6E7143B3" w14:textId="77777777" w:rsidR="004958C5" w:rsidRDefault="00A754DC" w:rsidP="004958C5">
            <w:pPr>
              <w:pStyle w:val="Odstavecseseznamem"/>
              <w:spacing w:before="0" w:after="60" w:line="276" w:lineRule="auto"/>
              <w:ind w:left="313" w:hanging="313"/>
              <w:rPr>
                <w:rFonts w:ascii="Calibri Light" w:hAnsi="Calibri Light"/>
                <w:b/>
                <w:sz w:val="22"/>
                <w:szCs w:val="20"/>
              </w:rPr>
            </w:pPr>
            <w:r w:rsidRPr="00A754DC">
              <w:rPr>
                <w:rFonts w:asciiTheme="majorHAnsi" w:hAnsiTheme="majorHAnsi"/>
                <w:noProof/>
                <w:sz w:val="22"/>
                <w:szCs w:val="20"/>
              </w:rPr>
              <w:t>1.</w:t>
            </w:r>
            <w:r w:rsidRPr="00A754DC">
              <w:rPr>
                <w:rFonts w:asciiTheme="majorHAnsi" w:hAnsiTheme="majorHAnsi"/>
                <w:noProof/>
                <w:sz w:val="22"/>
                <w:szCs w:val="20"/>
              </w:rPr>
              <w:tab/>
            </w:r>
            <w:r w:rsidR="004958C5" w:rsidRPr="003C44CD">
              <w:rPr>
                <w:rFonts w:ascii="Calibri Light" w:hAnsi="Calibri Light"/>
                <w:sz w:val="22"/>
                <w:szCs w:val="20"/>
              </w:rPr>
              <w:t>Dosažení sociálně únosné samofinancovatelnosti infrastruktury (splnění EU směrnic, nastavení zodpovědného financování sektoru s</w:t>
            </w:r>
            <w:r w:rsidR="004958C5">
              <w:rPr>
                <w:rFonts w:ascii="Calibri Light" w:hAnsi="Calibri Light"/>
                <w:sz w:val="22"/>
                <w:szCs w:val="20"/>
              </w:rPr>
              <w:t> </w:t>
            </w:r>
            <w:r w:rsidR="004958C5" w:rsidRPr="003C44CD">
              <w:rPr>
                <w:rFonts w:ascii="Calibri Light" w:hAnsi="Calibri Light"/>
                <w:sz w:val="22"/>
                <w:szCs w:val="20"/>
              </w:rPr>
              <w:t>ohledem na nezatěžování dalších generací).</w:t>
            </w:r>
          </w:p>
          <w:p w14:paraId="0A3F0E5C" w14:textId="77777777" w:rsidR="004958C5" w:rsidRPr="003C44CD" w:rsidRDefault="004958C5" w:rsidP="004958C5">
            <w:pPr>
              <w:pStyle w:val="Odstavecseseznamem"/>
              <w:spacing w:before="0" w:after="60" w:line="276" w:lineRule="auto"/>
              <w:ind w:left="313" w:hanging="313"/>
              <w:rPr>
                <w:rFonts w:ascii="Calibri Light" w:hAnsi="Calibri Light"/>
                <w:b/>
                <w:sz w:val="22"/>
                <w:szCs w:val="20"/>
              </w:rPr>
            </w:pPr>
            <w:r w:rsidRPr="003C44CD">
              <w:rPr>
                <w:rFonts w:ascii="Calibri Light" w:hAnsi="Calibri Light"/>
                <w:sz w:val="22"/>
                <w:szCs w:val="20"/>
              </w:rPr>
              <w:lastRenderedPageBreak/>
              <w:t>2.</w:t>
            </w:r>
            <w:r w:rsidRPr="003C44CD">
              <w:rPr>
                <w:rFonts w:ascii="Calibri Light" w:hAnsi="Calibri Light"/>
                <w:sz w:val="22"/>
                <w:szCs w:val="20"/>
              </w:rPr>
              <w:tab/>
              <w:t>Detailnější vypracování podmínek hospodaření s</w:t>
            </w:r>
            <w:r>
              <w:rPr>
                <w:rFonts w:ascii="Calibri Light" w:hAnsi="Calibri Light"/>
                <w:sz w:val="22"/>
                <w:szCs w:val="20"/>
              </w:rPr>
              <w:t> </w:t>
            </w:r>
            <w:r w:rsidRPr="003C44CD">
              <w:rPr>
                <w:rFonts w:ascii="Calibri Light" w:hAnsi="Calibri Light"/>
                <w:sz w:val="22"/>
                <w:szCs w:val="20"/>
              </w:rPr>
              <w:t xml:space="preserve">prostředky určenými pro </w:t>
            </w:r>
            <w:r>
              <w:rPr>
                <w:rFonts w:ascii="Calibri Light" w:hAnsi="Calibri Light"/>
                <w:sz w:val="22"/>
                <w:szCs w:val="20"/>
              </w:rPr>
              <w:t>PFO</w:t>
            </w:r>
            <w:r w:rsidRPr="003C44CD">
              <w:rPr>
                <w:rFonts w:ascii="Calibri Light" w:hAnsi="Calibri Light"/>
                <w:sz w:val="22"/>
                <w:szCs w:val="20"/>
              </w:rPr>
              <w:t>.</w:t>
            </w:r>
          </w:p>
          <w:p w14:paraId="30169B4A" w14:textId="77777777" w:rsidR="004958C5" w:rsidRPr="003C44CD" w:rsidRDefault="004958C5" w:rsidP="004958C5">
            <w:pPr>
              <w:pStyle w:val="Odstavecseseznamem"/>
              <w:spacing w:before="0" w:after="60" w:line="276" w:lineRule="auto"/>
              <w:ind w:left="313" w:hanging="313"/>
              <w:rPr>
                <w:rFonts w:ascii="Calibri Light" w:hAnsi="Calibri Light"/>
                <w:b/>
                <w:sz w:val="22"/>
                <w:szCs w:val="20"/>
              </w:rPr>
            </w:pPr>
            <w:r w:rsidRPr="003C44CD">
              <w:rPr>
                <w:rFonts w:ascii="Calibri Light" w:hAnsi="Calibri Light"/>
                <w:sz w:val="22"/>
                <w:szCs w:val="20"/>
              </w:rPr>
              <w:t>3.</w:t>
            </w:r>
            <w:r w:rsidRPr="003C44CD">
              <w:rPr>
                <w:rFonts w:ascii="Calibri Light" w:hAnsi="Calibri Light"/>
                <w:sz w:val="22"/>
                <w:szCs w:val="20"/>
              </w:rPr>
              <w:tab/>
              <w:t>Zavedení PFO jako investičního nástroje vlastníků VIM za účelem zefektivnění investiční činnosti.</w:t>
            </w:r>
          </w:p>
          <w:p w14:paraId="6E5044BD" w14:textId="77777777" w:rsidR="004958C5" w:rsidRPr="003C44CD" w:rsidRDefault="004958C5" w:rsidP="004958C5">
            <w:pPr>
              <w:pStyle w:val="Odstavecseseznamem"/>
              <w:spacing w:before="0" w:after="60" w:line="276" w:lineRule="auto"/>
              <w:ind w:left="313" w:hanging="313"/>
              <w:rPr>
                <w:rFonts w:ascii="Calibri Light" w:hAnsi="Calibri Light"/>
                <w:b/>
                <w:sz w:val="22"/>
                <w:szCs w:val="20"/>
              </w:rPr>
            </w:pPr>
            <w:r w:rsidRPr="003C44CD">
              <w:rPr>
                <w:rFonts w:ascii="Calibri Light" w:hAnsi="Calibri Light"/>
                <w:sz w:val="22"/>
                <w:szCs w:val="20"/>
              </w:rPr>
              <w:t>4.</w:t>
            </w:r>
            <w:r w:rsidRPr="003C44CD">
              <w:rPr>
                <w:rFonts w:ascii="Calibri Light" w:hAnsi="Calibri Light"/>
                <w:sz w:val="22"/>
                <w:szCs w:val="20"/>
              </w:rPr>
              <w:tab/>
              <w:t>Vypracování podrobné metodiky vyplňování ř. 20 Porovnání, který poskytuje informace o</w:t>
            </w:r>
            <w:r>
              <w:rPr>
                <w:rFonts w:ascii="Calibri Light" w:hAnsi="Calibri Light"/>
                <w:sz w:val="22"/>
                <w:szCs w:val="20"/>
              </w:rPr>
              <w:t> </w:t>
            </w:r>
            <w:r w:rsidRPr="003C44CD">
              <w:rPr>
                <w:rFonts w:ascii="Calibri Light" w:hAnsi="Calibri Light"/>
                <w:sz w:val="22"/>
                <w:szCs w:val="20"/>
              </w:rPr>
              <w:t>tvorbě a</w:t>
            </w:r>
            <w:r>
              <w:rPr>
                <w:rFonts w:ascii="Calibri Light" w:hAnsi="Calibri Light"/>
                <w:sz w:val="22"/>
                <w:szCs w:val="20"/>
              </w:rPr>
              <w:t> </w:t>
            </w:r>
            <w:r w:rsidRPr="003C44CD">
              <w:rPr>
                <w:rFonts w:ascii="Calibri Light" w:hAnsi="Calibri Light"/>
                <w:sz w:val="22"/>
                <w:szCs w:val="20"/>
              </w:rPr>
              <w:t>čerpání prostředků obnovy</w:t>
            </w:r>
          </w:p>
          <w:p w14:paraId="186A0537" w14:textId="77777777" w:rsidR="004958C5" w:rsidRPr="003C44CD" w:rsidRDefault="004958C5" w:rsidP="004958C5">
            <w:pPr>
              <w:pStyle w:val="Odstavecseseznamem"/>
              <w:spacing w:before="0" w:after="60" w:line="276" w:lineRule="auto"/>
              <w:ind w:left="313" w:hanging="313"/>
              <w:rPr>
                <w:rFonts w:ascii="Calibri Light" w:hAnsi="Calibri Light"/>
                <w:b/>
                <w:sz w:val="22"/>
                <w:szCs w:val="20"/>
              </w:rPr>
            </w:pPr>
            <w:r w:rsidRPr="003C44CD">
              <w:rPr>
                <w:rFonts w:ascii="Calibri Light" w:hAnsi="Calibri Light"/>
                <w:sz w:val="22"/>
                <w:szCs w:val="20"/>
              </w:rPr>
              <w:t>5.</w:t>
            </w:r>
            <w:r w:rsidRPr="003C44CD">
              <w:rPr>
                <w:rFonts w:ascii="Calibri Light" w:hAnsi="Calibri Light"/>
                <w:sz w:val="22"/>
                <w:szCs w:val="20"/>
              </w:rPr>
              <w:tab/>
              <w:t>Zvýšení informovanosti všech zúčastněných stran sektoru o</w:t>
            </w:r>
            <w:r>
              <w:rPr>
                <w:rFonts w:ascii="Calibri Light" w:hAnsi="Calibri Light"/>
                <w:sz w:val="22"/>
                <w:szCs w:val="20"/>
              </w:rPr>
              <w:t> </w:t>
            </w:r>
            <w:r w:rsidRPr="003C44CD">
              <w:rPr>
                <w:rFonts w:ascii="Calibri Light" w:hAnsi="Calibri Light"/>
                <w:sz w:val="22"/>
                <w:szCs w:val="20"/>
              </w:rPr>
              <w:t>jejich právech a</w:t>
            </w:r>
            <w:r>
              <w:rPr>
                <w:rFonts w:ascii="Calibri Light" w:hAnsi="Calibri Light"/>
                <w:sz w:val="22"/>
                <w:szCs w:val="20"/>
              </w:rPr>
              <w:t> </w:t>
            </w:r>
            <w:r w:rsidRPr="003C44CD">
              <w:rPr>
                <w:rFonts w:ascii="Calibri Light" w:hAnsi="Calibri Light"/>
                <w:sz w:val="22"/>
                <w:szCs w:val="20"/>
              </w:rPr>
              <w:t>povinnostech.</w:t>
            </w:r>
          </w:p>
          <w:p w14:paraId="3656E0E1" w14:textId="77777777" w:rsidR="004958C5" w:rsidRPr="003C44CD" w:rsidRDefault="004958C5" w:rsidP="004958C5">
            <w:pPr>
              <w:pStyle w:val="Odstavecseseznamem"/>
              <w:spacing w:before="0" w:after="60" w:line="276" w:lineRule="auto"/>
              <w:ind w:left="313" w:hanging="313"/>
              <w:rPr>
                <w:rFonts w:ascii="Calibri Light" w:hAnsi="Calibri Light"/>
                <w:b/>
                <w:sz w:val="22"/>
                <w:szCs w:val="20"/>
              </w:rPr>
            </w:pPr>
            <w:r w:rsidRPr="003C44CD">
              <w:rPr>
                <w:rFonts w:ascii="Calibri Light" w:hAnsi="Calibri Light"/>
                <w:sz w:val="22"/>
                <w:szCs w:val="20"/>
              </w:rPr>
              <w:t>6.</w:t>
            </w:r>
            <w:r w:rsidRPr="003C44CD">
              <w:rPr>
                <w:rFonts w:ascii="Calibri Light" w:hAnsi="Calibri Light"/>
                <w:sz w:val="22"/>
                <w:szCs w:val="20"/>
              </w:rPr>
              <w:tab/>
              <w:t>Zavedení pomocných nástrojů pro úpravu vztahu mezi vlastníky a</w:t>
            </w:r>
            <w:r>
              <w:rPr>
                <w:rFonts w:ascii="Calibri Light" w:hAnsi="Calibri Light"/>
                <w:sz w:val="22"/>
                <w:szCs w:val="20"/>
              </w:rPr>
              <w:t> </w:t>
            </w:r>
            <w:r w:rsidRPr="003C44CD">
              <w:rPr>
                <w:rFonts w:ascii="Calibri Light" w:hAnsi="Calibri Light"/>
                <w:sz w:val="22"/>
                <w:szCs w:val="20"/>
              </w:rPr>
              <w:t>provozovateli VIM, zejména doporučené obsahové náležitosti servisní smlouvy a</w:t>
            </w:r>
            <w:r>
              <w:rPr>
                <w:rFonts w:ascii="Calibri Light" w:hAnsi="Calibri Light"/>
                <w:sz w:val="22"/>
                <w:szCs w:val="20"/>
              </w:rPr>
              <w:t> </w:t>
            </w:r>
            <w:r w:rsidRPr="003C44CD">
              <w:rPr>
                <w:rFonts w:ascii="Calibri Light" w:hAnsi="Calibri Light"/>
                <w:sz w:val="22"/>
                <w:szCs w:val="20"/>
              </w:rPr>
              <w:t>smlouvy s</w:t>
            </w:r>
            <w:r>
              <w:rPr>
                <w:rFonts w:ascii="Calibri Light" w:hAnsi="Calibri Light"/>
                <w:sz w:val="22"/>
                <w:szCs w:val="20"/>
              </w:rPr>
              <w:t> </w:t>
            </w:r>
            <w:r w:rsidRPr="003C44CD">
              <w:rPr>
                <w:rFonts w:ascii="Calibri Light" w:hAnsi="Calibri Light"/>
                <w:sz w:val="22"/>
                <w:szCs w:val="20"/>
              </w:rPr>
              <w:t>odborným zástupcem.</w:t>
            </w:r>
          </w:p>
          <w:p w14:paraId="3DFDDFAB" w14:textId="77777777" w:rsidR="004958C5" w:rsidRPr="003C44CD" w:rsidRDefault="004958C5" w:rsidP="004958C5">
            <w:pPr>
              <w:pStyle w:val="Odstavecseseznamem"/>
              <w:spacing w:before="0" w:after="60" w:line="276" w:lineRule="auto"/>
              <w:ind w:left="313" w:hanging="313"/>
              <w:rPr>
                <w:rFonts w:ascii="Calibri Light" w:hAnsi="Calibri Light"/>
                <w:b/>
                <w:sz w:val="22"/>
                <w:szCs w:val="20"/>
              </w:rPr>
            </w:pPr>
            <w:r>
              <w:rPr>
                <w:rFonts w:ascii="Calibri Light" w:hAnsi="Calibri Light"/>
                <w:sz w:val="22"/>
                <w:szCs w:val="20"/>
              </w:rPr>
              <w:t>7</w:t>
            </w:r>
            <w:r w:rsidRPr="003C44CD">
              <w:rPr>
                <w:rFonts w:ascii="Calibri Light" w:hAnsi="Calibri Light"/>
                <w:sz w:val="22"/>
                <w:szCs w:val="20"/>
              </w:rPr>
              <w:t>.</w:t>
            </w:r>
            <w:r w:rsidRPr="003C44CD">
              <w:rPr>
                <w:rFonts w:ascii="Calibri Light" w:hAnsi="Calibri Light"/>
                <w:sz w:val="22"/>
                <w:szCs w:val="20"/>
              </w:rPr>
              <w:tab/>
              <w:t>Dosažení cenové úrovně, která by zabezpečila co nejvyšší stupeň samofinancovatelnosti a</w:t>
            </w:r>
            <w:r>
              <w:rPr>
                <w:rFonts w:ascii="Calibri Light" w:hAnsi="Calibri Light"/>
                <w:sz w:val="22"/>
                <w:szCs w:val="20"/>
              </w:rPr>
              <w:t> </w:t>
            </w:r>
            <w:r w:rsidRPr="003C44CD">
              <w:rPr>
                <w:rFonts w:ascii="Calibri Light" w:hAnsi="Calibri Light"/>
                <w:sz w:val="22"/>
                <w:szCs w:val="20"/>
              </w:rPr>
              <w:t>zároveň nepřekročila sociálně únosnou cenu.</w:t>
            </w:r>
          </w:p>
          <w:p w14:paraId="4F7A8B59" w14:textId="77777777" w:rsidR="004958C5" w:rsidRPr="003C44CD" w:rsidRDefault="004958C5" w:rsidP="004958C5">
            <w:pPr>
              <w:pStyle w:val="Odstavecseseznamem"/>
              <w:spacing w:before="0" w:after="60" w:line="276" w:lineRule="auto"/>
              <w:ind w:left="313" w:hanging="313"/>
              <w:rPr>
                <w:rFonts w:ascii="Calibri Light" w:hAnsi="Calibri Light"/>
                <w:b/>
                <w:sz w:val="22"/>
                <w:szCs w:val="20"/>
              </w:rPr>
            </w:pPr>
            <w:r>
              <w:rPr>
                <w:rFonts w:ascii="Calibri Light" w:hAnsi="Calibri Light"/>
                <w:sz w:val="22"/>
                <w:szCs w:val="20"/>
              </w:rPr>
              <w:t>8</w:t>
            </w:r>
            <w:r w:rsidRPr="003C44CD">
              <w:rPr>
                <w:rFonts w:ascii="Calibri Light" w:hAnsi="Calibri Light"/>
                <w:sz w:val="22"/>
                <w:szCs w:val="20"/>
              </w:rPr>
              <w:t>.</w:t>
            </w:r>
            <w:r w:rsidRPr="003C44CD">
              <w:rPr>
                <w:rFonts w:ascii="Calibri Light" w:hAnsi="Calibri Light"/>
                <w:sz w:val="22"/>
                <w:szCs w:val="20"/>
              </w:rPr>
              <w:tab/>
              <w:t>Větší možnost využívání úspor z</w:t>
            </w:r>
            <w:r>
              <w:rPr>
                <w:rFonts w:ascii="Calibri Light" w:hAnsi="Calibri Light"/>
                <w:sz w:val="22"/>
                <w:szCs w:val="20"/>
              </w:rPr>
              <w:t> </w:t>
            </w:r>
            <w:r w:rsidRPr="003C44CD">
              <w:rPr>
                <w:rFonts w:ascii="Calibri Light" w:hAnsi="Calibri Light"/>
                <w:sz w:val="22"/>
                <w:szCs w:val="20"/>
              </w:rPr>
              <w:t>rozsahu v</w:t>
            </w:r>
            <w:r>
              <w:rPr>
                <w:rFonts w:ascii="Calibri Light" w:hAnsi="Calibri Light"/>
                <w:sz w:val="22"/>
                <w:szCs w:val="20"/>
              </w:rPr>
              <w:t> </w:t>
            </w:r>
            <w:r w:rsidRPr="003C44CD">
              <w:rPr>
                <w:rFonts w:ascii="Calibri Light" w:hAnsi="Calibri Light"/>
                <w:sz w:val="22"/>
                <w:szCs w:val="20"/>
              </w:rPr>
              <w:t>případě snížení atomizace trhu, které by sebou neslo i</w:t>
            </w:r>
            <w:r>
              <w:rPr>
                <w:rFonts w:ascii="Calibri Light" w:hAnsi="Calibri Light"/>
                <w:sz w:val="22"/>
                <w:szCs w:val="20"/>
              </w:rPr>
              <w:t> </w:t>
            </w:r>
            <w:r w:rsidRPr="003C44CD">
              <w:rPr>
                <w:rFonts w:ascii="Calibri Light" w:hAnsi="Calibri Light"/>
                <w:sz w:val="22"/>
                <w:szCs w:val="20"/>
              </w:rPr>
              <w:t>zvýšení odborné úrovně provozování VIM.</w:t>
            </w:r>
          </w:p>
          <w:p w14:paraId="2B40A236" w14:textId="77777777" w:rsidR="004958C5" w:rsidRDefault="004958C5" w:rsidP="004958C5">
            <w:pPr>
              <w:pStyle w:val="Odstavecseseznamem"/>
              <w:spacing w:before="0" w:after="60" w:line="276" w:lineRule="auto"/>
              <w:ind w:left="313" w:hanging="313"/>
              <w:rPr>
                <w:rFonts w:ascii="Calibri Light" w:hAnsi="Calibri Light"/>
                <w:sz w:val="22"/>
                <w:szCs w:val="20"/>
              </w:rPr>
            </w:pPr>
            <w:r>
              <w:rPr>
                <w:rFonts w:ascii="Calibri Light" w:hAnsi="Calibri Light"/>
                <w:sz w:val="22"/>
                <w:szCs w:val="20"/>
              </w:rPr>
              <w:t>9</w:t>
            </w:r>
            <w:r w:rsidRPr="003C44CD">
              <w:rPr>
                <w:rFonts w:ascii="Calibri Light" w:hAnsi="Calibri Light"/>
                <w:sz w:val="22"/>
                <w:szCs w:val="20"/>
              </w:rPr>
              <w:t>.</w:t>
            </w:r>
            <w:r w:rsidRPr="003C44CD">
              <w:rPr>
                <w:rFonts w:ascii="Calibri Light" w:hAnsi="Calibri Light"/>
                <w:sz w:val="22"/>
                <w:szCs w:val="20"/>
              </w:rPr>
              <w:tab/>
              <w:t>Zvyšování kvality dat, spolupráce se subjekty. Zavedení přesn</w:t>
            </w:r>
            <w:r>
              <w:rPr>
                <w:rFonts w:ascii="Calibri Light" w:hAnsi="Calibri Light"/>
                <w:sz w:val="22"/>
                <w:szCs w:val="20"/>
              </w:rPr>
              <w:t>ých</w:t>
            </w:r>
            <w:r w:rsidRPr="003C44CD">
              <w:rPr>
                <w:rFonts w:ascii="Calibri Light" w:hAnsi="Calibri Light"/>
                <w:sz w:val="22"/>
                <w:szCs w:val="20"/>
              </w:rPr>
              <w:t xml:space="preserve"> definic některých </w:t>
            </w:r>
            <w:r>
              <w:rPr>
                <w:rFonts w:ascii="Calibri Light" w:hAnsi="Calibri Light"/>
                <w:sz w:val="22"/>
                <w:szCs w:val="20"/>
              </w:rPr>
              <w:t>pojmů</w:t>
            </w:r>
            <w:r w:rsidRPr="003C44CD">
              <w:rPr>
                <w:rFonts w:ascii="Calibri Light" w:hAnsi="Calibri Light"/>
                <w:sz w:val="22"/>
                <w:szCs w:val="20"/>
              </w:rPr>
              <w:t xml:space="preserve"> např. obnova, oprava, porucha atd.</w:t>
            </w:r>
          </w:p>
          <w:p w14:paraId="626EA8F7" w14:textId="77777777" w:rsidR="007D7C8F" w:rsidRDefault="004958C5" w:rsidP="004958C5">
            <w:pPr>
              <w:pStyle w:val="Odstavecseseznamem"/>
              <w:spacing w:before="0" w:after="60" w:line="276" w:lineRule="auto"/>
              <w:ind w:left="313" w:hanging="313"/>
              <w:rPr>
                <w:rFonts w:ascii="Calibri Light" w:hAnsi="Calibri Light"/>
                <w:sz w:val="22"/>
                <w:szCs w:val="20"/>
              </w:rPr>
            </w:pPr>
            <w:r>
              <w:rPr>
                <w:rFonts w:ascii="Calibri Light" w:hAnsi="Calibri Light"/>
                <w:sz w:val="22"/>
                <w:szCs w:val="20"/>
              </w:rPr>
              <w:t>10</w:t>
            </w:r>
            <w:r w:rsidRPr="003C44CD">
              <w:rPr>
                <w:rFonts w:ascii="Calibri Light" w:hAnsi="Calibri Light"/>
                <w:sz w:val="22"/>
                <w:szCs w:val="20"/>
              </w:rPr>
              <w:t>.</w:t>
            </w:r>
            <w:r>
              <w:rPr>
                <w:rFonts w:ascii="Calibri Light" w:hAnsi="Calibri Light"/>
                <w:sz w:val="22"/>
                <w:szCs w:val="20"/>
              </w:rPr>
              <w:t xml:space="preserve"> </w:t>
            </w:r>
            <w:r w:rsidRPr="003C44CD">
              <w:rPr>
                <w:rFonts w:ascii="Calibri Light" w:hAnsi="Calibri Light"/>
                <w:sz w:val="22"/>
                <w:szCs w:val="20"/>
              </w:rPr>
              <w:t>Zvýšení úrovně znalostí vlastníků o</w:t>
            </w:r>
            <w:r>
              <w:rPr>
                <w:rFonts w:ascii="Calibri Light" w:hAnsi="Calibri Light"/>
                <w:sz w:val="22"/>
                <w:szCs w:val="20"/>
              </w:rPr>
              <w:t> </w:t>
            </w:r>
            <w:r w:rsidRPr="003C44CD">
              <w:rPr>
                <w:rFonts w:ascii="Calibri Light" w:hAnsi="Calibri Light"/>
                <w:sz w:val="22"/>
                <w:szCs w:val="20"/>
              </w:rPr>
              <w:t>investičním procesu z</w:t>
            </w:r>
            <w:r>
              <w:rPr>
                <w:rFonts w:ascii="Calibri Light" w:hAnsi="Calibri Light"/>
                <w:sz w:val="22"/>
                <w:szCs w:val="20"/>
              </w:rPr>
              <w:t> </w:t>
            </w:r>
            <w:r w:rsidRPr="003C44CD">
              <w:rPr>
                <w:rFonts w:ascii="Calibri Light" w:hAnsi="Calibri Light"/>
                <w:sz w:val="22"/>
                <w:szCs w:val="20"/>
              </w:rPr>
              <w:t>hlediska prodloužení životního cyklu VIM.</w:t>
            </w:r>
          </w:p>
          <w:p w14:paraId="699BB307" w14:textId="223700BB" w:rsidR="00E8744A" w:rsidRPr="00A754DC" w:rsidRDefault="00E8744A" w:rsidP="004958C5">
            <w:pPr>
              <w:pStyle w:val="Odstavecseseznamem"/>
              <w:spacing w:before="0" w:after="60" w:line="276" w:lineRule="auto"/>
              <w:ind w:left="313" w:hanging="313"/>
              <w:rPr>
                <w:rFonts w:asciiTheme="majorHAnsi" w:hAnsiTheme="majorHAnsi"/>
                <w:noProof/>
                <w:sz w:val="22"/>
                <w:szCs w:val="20"/>
              </w:rPr>
            </w:pPr>
            <w:r>
              <w:rPr>
                <w:rFonts w:ascii="Calibri Light" w:hAnsi="Calibri Light"/>
                <w:sz w:val="22"/>
                <w:szCs w:val="20"/>
              </w:rPr>
              <w:t xml:space="preserve">11. Je plánováno zavedení nového informačního systému IS VaK, který bude umožňovat vkládání dat přes webové rozhraní. </w:t>
            </w:r>
          </w:p>
        </w:tc>
        <w:tc>
          <w:tcPr>
            <w:tcW w:w="5177" w:type="dxa"/>
            <w:tcBorders>
              <w:top w:val="single" w:sz="4" w:space="0" w:color="B2A1C7"/>
              <w:left w:val="single" w:sz="4" w:space="0" w:color="B2A1C7"/>
              <w:bottom w:val="single" w:sz="4" w:space="0" w:color="B2A1C7"/>
              <w:right w:val="single" w:sz="4" w:space="0" w:color="B2A1C7"/>
            </w:tcBorders>
            <w:shd w:val="clear" w:color="auto" w:fill="auto"/>
            <w:hideMark/>
          </w:tcPr>
          <w:p w14:paraId="15300357" w14:textId="77777777" w:rsidR="004958C5" w:rsidRDefault="00A754DC" w:rsidP="004958C5">
            <w:pPr>
              <w:pStyle w:val="Odstavecseseznamem"/>
              <w:spacing w:before="0" w:after="60" w:line="276" w:lineRule="auto"/>
              <w:ind w:left="313" w:hanging="313"/>
              <w:rPr>
                <w:rFonts w:ascii="Calibri Light" w:hAnsi="Calibri Light"/>
                <w:sz w:val="22"/>
                <w:szCs w:val="20"/>
              </w:rPr>
            </w:pPr>
            <w:r w:rsidRPr="00A754DC">
              <w:rPr>
                <w:rFonts w:asciiTheme="majorHAnsi" w:hAnsiTheme="majorHAnsi"/>
                <w:noProof/>
                <w:sz w:val="22"/>
                <w:szCs w:val="20"/>
              </w:rPr>
              <w:lastRenderedPageBreak/>
              <w:t>1.</w:t>
            </w:r>
            <w:r w:rsidRPr="00A754DC">
              <w:rPr>
                <w:rFonts w:asciiTheme="majorHAnsi" w:hAnsiTheme="majorHAnsi"/>
                <w:noProof/>
                <w:sz w:val="22"/>
                <w:szCs w:val="20"/>
              </w:rPr>
              <w:tab/>
            </w:r>
            <w:r w:rsidR="004958C5" w:rsidRPr="003C44CD">
              <w:rPr>
                <w:rFonts w:ascii="Calibri Light" w:hAnsi="Calibri Light"/>
                <w:sz w:val="22"/>
                <w:szCs w:val="20"/>
              </w:rPr>
              <w:tab/>
              <w:t>Zhoršující se vodní bilance v</w:t>
            </w:r>
            <w:r w:rsidR="004958C5">
              <w:rPr>
                <w:rFonts w:ascii="Calibri Light" w:hAnsi="Calibri Light"/>
                <w:sz w:val="22"/>
                <w:szCs w:val="20"/>
              </w:rPr>
              <w:t> </w:t>
            </w:r>
            <w:r w:rsidR="004958C5" w:rsidRPr="003C44CD">
              <w:rPr>
                <w:rFonts w:ascii="Calibri Light" w:hAnsi="Calibri Light"/>
                <w:sz w:val="22"/>
                <w:szCs w:val="20"/>
              </w:rPr>
              <w:t>ČR a</w:t>
            </w:r>
            <w:r w:rsidR="004958C5">
              <w:rPr>
                <w:rFonts w:ascii="Calibri Light" w:hAnsi="Calibri Light"/>
                <w:sz w:val="22"/>
                <w:szCs w:val="20"/>
              </w:rPr>
              <w:t> </w:t>
            </w:r>
            <w:r w:rsidR="004958C5" w:rsidRPr="003C44CD">
              <w:rPr>
                <w:rFonts w:ascii="Calibri Light" w:hAnsi="Calibri Light"/>
                <w:sz w:val="22"/>
                <w:szCs w:val="20"/>
              </w:rPr>
              <w:t>snižující se zásoby vody</w:t>
            </w:r>
            <w:r w:rsidR="004958C5">
              <w:rPr>
                <w:rFonts w:ascii="Calibri Light" w:hAnsi="Calibri Light"/>
                <w:sz w:val="22"/>
                <w:szCs w:val="20"/>
              </w:rPr>
              <w:t>.</w:t>
            </w:r>
          </w:p>
          <w:p w14:paraId="6DFCD461" w14:textId="77777777" w:rsidR="004958C5" w:rsidRDefault="004958C5" w:rsidP="004958C5">
            <w:pPr>
              <w:pStyle w:val="Odstavecseseznamem"/>
              <w:spacing w:before="0" w:after="60" w:line="276" w:lineRule="auto"/>
              <w:ind w:left="313" w:hanging="313"/>
              <w:rPr>
                <w:rFonts w:ascii="Calibri Light" w:hAnsi="Calibri Light"/>
                <w:sz w:val="22"/>
                <w:szCs w:val="20"/>
              </w:rPr>
            </w:pPr>
            <w:r w:rsidRPr="003C44CD">
              <w:rPr>
                <w:rFonts w:ascii="Calibri Light" w:hAnsi="Calibri Light"/>
                <w:sz w:val="22"/>
                <w:szCs w:val="20"/>
              </w:rPr>
              <w:lastRenderedPageBreak/>
              <w:t>2.</w:t>
            </w:r>
            <w:r w:rsidRPr="003C44CD">
              <w:rPr>
                <w:rFonts w:ascii="Calibri Light" w:hAnsi="Calibri Light"/>
                <w:sz w:val="22"/>
                <w:szCs w:val="20"/>
              </w:rPr>
              <w:tab/>
              <w:t>Neexistence smluv provozně souvisejících vodovodů</w:t>
            </w:r>
            <w:r>
              <w:rPr>
                <w:rFonts w:ascii="Calibri Light" w:hAnsi="Calibri Light"/>
                <w:sz w:val="22"/>
                <w:szCs w:val="20"/>
              </w:rPr>
              <w:t xml:space="preserve"> u všech povinných</w:t>
            </w:r>
            <w:r w:rsidRPr="003C44CD">
              <w:rPr>
                <w:rFonts w:ascii="Calibri Light" w:hAnsi="Calibri Light"/>
                <w:sz w:val="22"/>
                <w:szCs w:val="20"/>
              </w:rPr>
              <w:t xml:space="preserve"> vlastníků VIM </w:t>
            </w:r>
            <w:r>
              <w:rPr>
                <w:rFonts w:ascii="Calibri Light" w:hAnsi="Calibri Light"/>
                <w:sz w:val="22"/>
                <w:szCs w:val="20"/>
              </w:rPr>
              <w:t>ze zákona</w:t>
            </w:r>
            <w:r w:rsidRPr="003C44CD">
              <w:rPr>
                <w:rFonts w:ascii="Calibri Light" w:hAnsi="Calibri Light"/>
                <w:sz w:val="22"/>
                <w:szCs w:val="20"/>
              </w:rPr>
              <w:t xml:space="preserve"> o</w:t>
            </w:r>
            <w:r>
              <w:rPr>
                <w:rFonts w:ascii="Calibri Light" w:hAnsi="Calibri Light"/>
                <w:sz w:val="22"/>
                <w:szCs w:val="20"/>
              </w:rPr>
              <w:t> </w:t>
            </w:r>
            <w:r w:rsidRPr="003C44CD">
              <w:rPr>
                <w:rFonts w:ascii="Calibri Light" w:hAnsi="Calibri Light"/>
                <w:sz w:val="22"/>
                <w:szCs w:val="20"/>
              </w:rPr>
              <w:t>vodovodech a</w:t>
            </w:r>
            <w:r>
              <w:rPr>
                <w:rFonts w:ascii="Calibri Light" w:hAnsi="Calibri Light"/>
                <w:sz w:val="22"/>
                <w:szCs w:val="20"/>
              </w:rPr>
              <w:t> </w:t>
            </w:r>
            <w:r w:rsidRPr="003C44CD">
              <w:rPr>
                <w:rFonts w:ascii="Calibri Light" w:hAnsi="Calibri Light"/>
                <w:sz w:val="22"/>
                <w:szCs w:val="20"/>
              </w:rPr>
              <w:t>kanalizacích č. 274/2001 Sb.</w:t>
            </w:r>
          </w:p>
          <w:p w14:paraId="176C7AC9" w14:textId="77777777" w:rsidR="004958C5" w:rsidRPr="003C44CD" w:rsidRDefault="004958C5" w:rsidP="004958C5">
            <w:pPr>
              <w:pStyle w:val="Odstavecseseznamem"/>
              <w:spacing w:before="0" w:after="60" w:line="276" w:lineRule="auto"/>
              <w:ind w:left="313" w:hanging="313"/>
              <w:rPr>
                <w:rFonts w:ascii="Calibri Light" w:hAnsi="Calibri Light"/>
                <w:sz w:val="22"/>
                <w:szCs w:val="20"/>
              </w:rPr>
            </w:pPr>
            <w:r>
              <w:rPr>
                <w:rFonts w:ascii="Calibri Light" w:hAnsi="Calibri Light"/>
                <w:sz w:val="22"/>
                <w:szCs w:val="20"/>
              </w:rPr>
              <w:t>3.</w:t>
            </w:r>
            <w:r w:rsidRPr="003C44CD">
              <w:rPr>
                <w:rFonts w:ascii="Calibri Light" w:hAnsi="Calibri Light"/>
                <w:sz w:val="22"/>
                <w:szCs w:val="20"/>
              </w:rPr>
              <w:t xml:space="preserve"> </w:t>
            </w:r>
            <w:r w:rsidRPr="003C44CD">
              <w:rPr>
                <w:rFonts w:ascii="Calibri Light" w:hAnsi="Calibri Light"/>
                <w:sz w:val="22"/>
                <w:szCs w:val="20"/>
              </w:rPr>
              <w:tab/>
              <w:t>Nejednotné chápání termínů (obnova, oprava, porucha</w:t>
            </w:r>
            <w:r>
              <w:rPr>
                <w:rFonts w:ascii="Calibri Light" w:hAnsi="Calibri Light"/>
                <w:sz w:val="22"/>
                <w:szCs w:val="20"/>
              </w:rPr>
              <w:t xml:space="preserve"> apod.</w:t>
            </w:r>
            <w:r w:rsidRPr="003C44CD">
              <w:rPr>
                <w:rFonts w:ascii="Calibri Light" w:hAnsi="Calibri Light"/>
                <w:sz w:val="22"/>
                <w:szCs w:val="20"/>
              </w:rPr>
              <w:t>) a</w:t>
            </w:r>
            <w:r>
              <w:rPr>
                <w:rFonts w:ascii="Calibri Light" w:hAnsi="Calibri Light"/>
                <w:sz w:val="22"/>
                <w:szCs w:val="20"/>
              </w:rPr>
              <w:t> </w:t>
            </w:r>
            <w:r w:rsidRPr="003C44CD">
              <w:rPr>
                <w:rFonts w:ascii="Calibri Light" w:hAnsi="Calibri Light"/>
                <w:sz w:val="22"/>
                <w:szCs w:val="20"/>
              </w:rPr>
              <w:t>nízká úroveň kvality stávajících dat, včetně neznalosti např. informací týkajících se stáří a</w:t>
            </w:r>
            <w:r>
              <w:rPr>
                <w:rFonts w:ascii="Calibri Light" w:hAnsi="Calibri Light"/>
                <w:sz w:val="22"/>
                <w:szCs w:val="20"/>
              </w:rPr>
              <w:t> </w:t>
            </w:r>
            <w:r w:rsidRPr="003C44CD">
              <w:rPr>
                <w:rFonts w:ascii="Calibri Light" w:hAnsi="Calibri Light"/>
                <w:sz w:val="22"/>
                <w:szCs w:val="20"/>
              </w:rPr>
              <w:t>opotřebení VIM mohou zapříčinit chybné rozhodnutí regulátora.</w:t>
            </w:r>
          </w:p>
          <w:p w14:paraId="37AF3A13" w14:textId="77777777" w:rsidR="004958C5" w:rsidRPr="003C44CD" w:rsidRDefault="004958C5" w:rsidP="004958C5">
            <w:pPr>
              <w:pStyle w:val="Odstavecseseznamem"/>
              <w:spacing w:before="0" w:after="60" w:line="276" w:lineRule="auto"/>
              <w:ind w:left="313" w:hanging="313"/>
              <w:rPr>
                <w:rFonts w:ascii="Calibri Light" w:hAnsi="Calibri Light"/>
                <w:sz w:val="22"/>
                <w:szCs w:val="20"/>
              </w:rPr>
            </w:pPr>
            <w:r>
              <w:rPr>
                <w:rFonts w:ascii="Calibri Light" w:hAnsi="Calibri Light"/>
                <w:sz w:val="22"/>
                <w:szCs w:val="20"/>
              </w:rPr>
              <w:t>4</w:t>
            </w:r>
            <w:r w:rsidRPr="003C44CD">
              <w:rPr>
                <w:rFonts w:ascii="Calibri Light" w:hAnsi="Calibri Light"/>
                <w:sz w:val="22"/>
                <w:szCs w:val="20"/>
              </w:rPr>
              <w:t>.</w:t>
            </w:r>
            <w:r w:rsidRPr="003C44CD">
              <w:rPr>
                <w:rFonts w:ascii="Calibri Light" w:hAnsi="Calibri Light"/>
                <w:sz w:val="22"/>
                <w:szCs w:val="20"/>
              </w:rPr>
              <w:tab/>
              <w:t>Neexistující legislativní úprava možností využití zisku z</w:t>
            </w:r>
            <w:r>
              <w:rPr>
                <w:rFonts w:ascii="Calibri Light" w:hAnsi="Calibri Light"/>
                <w:sz w:val="22"/>
                <w:szCs w:val="20"/>
              </w:rPr>
              <w:t> </w:t>
            </w:r>
            <w:r w:rsidRPr="003C44CD">
              <w:rPr>
                <w:rFonts w:ascii="Calibri Light" w:hAnsi="Calibri Light"/>
                <w:sz w:val="22"/>
                <w:szCs w:val="20"/>
              </w:rPr>
              <w:t>regulované činnosti a</w:t>
            </w:r>
            <w:r>
              <w:rPr>
                <w:rFonts w:ascii="Calibri Light" w:hAnsi="Calibri Light"/>
                <w:sz w:val="22"/>
                <w:szCs w:val="20"/>
              </w:rPr>
              <w:t> </w:t>
            </w:r>
            <w:r w:rsidRPr="003C44CD">
              <w:rPr>
                <w:rFonts w:ascii="Calibri Light" w:hAnsi="Calibri Light"/>
                <w:sz w:val="22"/>
                <w:szCs w:val="20"/>
              </w:rPr>
              <w:t>přímého omezení možnost</w:t>
            </w:r>
            <w:r>
              <w:rPr>
                <w:rFonts w:ascii="Calibri Light" w:hAnsi="Calibri Light"/>
                <w:sz w:val="22"/>
                <w:szCs w:val="20"/>
              </w:rPr>
              <w:t>i</w:t>
            </w:r>
            <w:r w:rsidRPr="003C44CD">
              <w:rPr>
                <w:rFonts w:ascii="Calibri Light" w:hAnsi="Calibri Light"/>
                <w:sz w:val="22"/>
                <w:szCs w:val="20"/>
              </w:rPr>
              <w:t xml:space="preserve"> použití zisku plynoucí</w:t>
            </w:r>
            <w:r>
              <w:rPr>
                <w:rFonts w:ascii="Calibri Light" w:hAnsi="Calibri Light"/>
                <w:sz w:val="22"/>
                <w:szCs w:val="20"/>
              </w:rPr>
              <w:t>ho</w:t>
            </w:r>
            <w:r w:rsidRPr="003C44CD">
              <w:rPr>
                <w:rFonts w:ascii="Calibri Light" w:hAnsi="Calibri Light"/>
                <w:sz w:val="22"/>
                <w:szCs w:val="20"/>
              </w:rPr>
              <w:t xml:space="preserve"> z</w:t>
            </w:r>
            <w:r>
              <w:rPr>
                <w:rFonts w:ascii="Calibri Light" w:hAnsi="Calibri Light"/>
                <w:sz w:val="22"/>
                <w:szCs w:val="20"/>
              </w:rPr>
              <w:t> </w:t>
            </w:r>
            <w:r w:rsidRPr="003C44CD">
              <w:rPr>
                <w:rFonts w:ascii="Calibri Light" w:hAnsi="Calibri Light"/>
                <w:sz w:val="22"/>
                <w:szCs w:val="20"/>
              </w:rPr>
              <w:t>majetkových podílů vlastníků VIM v</w:t>
            </w:r>
            <w:r>
              <w:rPr>
                <w:rFonts w:ascii="Calibri Light" w:hAnsi="Calibri Light"/>
                <w:sz w:val="22"/>
                <w:szCs w:val="20"/>
              </w:rPr>
              <w:t> </w:t>
            </w:r>
            <w:r w:rsidRPr="003C44CD">
              <w:rPr>
                <w:rFonts w:ascii="Calibri Light" w:hAnsi="Calibri Light"/>
                <w:sz w:val="22"/>
                <w:szCs w:val="20"/>
              </w:rPr>
              <w:t>provozovatelských subjektech (Občanský zákoník a</w:t>
            </w:r>
            <w:r>
              <w:rPr>
                <w:rFonts w:ascii="Calibri Light" w:hAnsi="Calibri Light"/>
                <w:sz w:val="22"/>
                <w:szCs w:val="20"/>
              </w:rPr>
              <w:t> </w:t>
            </w:r>
            <w:r w:rsidRPr="003C44CD">
              <w:rPr>
                <w:rFonts w:ascii="Calibri Light" w:hAnsi="Calibri Light"/>
                <w:sz w:val="22"/>
                <w:szCs w:val="20"/>
              </w:rPr>
              <w:t>zákon o</w:t>
            </w:r>
            <w:r>
              <w:rPr>
                <w:rFonts w:ascii="Calibri Light" w:hAnsi="Calibri Light"/>
                <w:sz w:val="22"/>
                <w:szCs w:val="20"/>
              </w:rPr>
              <w:t> </w:t>
            </w:r>
            <w:r w:rsidRPr="003C44CD">
              <w:rPr>
                <w:rFonts w:ascii="Calibri Light" w:hAnsi="Calibri Light"/>
                <w:sz w:val="22"/>
                <w:szCs w:val="20"/>
              </w:rPr>
              <w:t>obchodních korporacích). Ideální stav - použití zisk</w:t>
            </w:r>
            <w:r>
              <w:rPr>
                <w:rFonts w:ascii="Calibri Light" w:hAnsi="Calibri Light"/>
                <w:sz w:val="22"/>
                <w:szCs w:val="20"/>
              </w:rPr>
              <w:t>u</w:t>
            </w:r>
            <w:r w:rsidRPr="003C44CD">
              <w:rPr>
                <w:rFonts w:ascii="Calibri Light" w:hAnsi="Calibri Light"/>
                <w:sz w:val="22"/>
                <w:szCs w:val="20"/>
              </w:rPr>
              <w:t xml:space="preserve"> z</w:t>
            </w:r>
            <w:r>
              <w:rPr>
                <w:rFonts w:ascii="Calibri Light" w:hAnsi="Calibri Light"/>
                <w:sz w:val="22"/>
                <w:szCs w:val="20"/>
              </w:rPr>
              <w:t> </w:t>
            </w:r>
            <w:r w:rsidRPr="003C44CD">
              <w:rPr>
                <w:rFonts w:ascii="Calibri Light" w:hAnsi="Calibri Light"/>
                <w:sz w:val="22"/>
                <w:szCs w:val="20"/>
              </w:rPr>
              <w:t xml:space="preserve">regulované činnosti </w:t>
            </w:r>
            <w:r>
              <w:rPr>
                <w:rFonts w:ascii="Calibri Light" w:hAnsi="Calibri Light"/>
                <w:sz w:val="22"/>
                <w:szCs w:val="20"/>
              </w:rPr>
              <w:t xml:space="preserve">je </w:t>
            </w:r>
            <w:r w:rsidRPr="003C44CD">
              <w:rPr>
                <w:rFonts w:ascii="Calibri Light" w:hAnsi="Calibri Light"/>
                <w:sz w:val="22"/>
                <w:szCs w:val="20"/>
              </w:rPr>
              <w:t>zákonem účelově vázáno na zabezpečení samofinancovatelnosti VIM.</w:t>
            </w:r>
          </w:p>
          <w:p w14:paraId="5853C890" w14:textId="77777777" w:rsidR="004958C5" w:rsidRDefault="004958C5" w:rsidP="004958C5">
            <w:pPr>
              <w:pStyle w:val="Odstavecseseznamem"/>
              <w:spacing w:before="0" w:after="60" w:line="276" w:lineRule="auto"/>
              <w:ind w:left="313" w:hanging="313"/>
              <w:rPr>
                <w:rFonts w:ascii="Calibri Light" w:hAnsi="Calibri Light"/>
                <w:sz w:val="22"/>
                <w:szCs w:val="20"/>
              </w:rPr>
            </w:pPr>
            <w:r>
              <w:rPr>
                <w:rFonts w:ascii="Calibri Light" w:hAnsi="Calibri Light"/>
                <w:sz w:val="22"/>
                <w:szCs w:val="20"/>
              </w:rPr>
              <w:t>5</w:t>
            </w:r>
            <w:r w:rsidRPr="003C44CD">
              <w:rPr>
                <w:rFonts w:ascii="Calibri Light" w:hAnsi="Calibri Light"/>
                <w:sz w:val="22"/>
                <w:szCs w:val="20"/>
              </w:rPr>
              <w:t>.</w:t>
            </w:r>
            <w:r w:rsidRPr="003C44CD">
              <w:rPr>
                <w:rFonts w:ascii="Calibri Light" w:hAnsi="Calibri Light"/>
                <w:sz w:val="22"/>
                <w:szCs w:val="20"/>
              </w:rPr>
              <w:tab/>
              <w:t>Působení dotací EU na cenotvorbu, kdy musí být v</w:t>
            </w:r>
            <w:r>
              <w:rPr>
                <w:rFonts w:ascii="Calibri Light" w:hAnsi="Calibri Light"/>
                <w:sz w:val="22"/>
                <w:szCs w:val="20"/>
              </w:rPr>
              <w:t> </w:t>
            </w:r>
            <w:r w:rsidRPr="003C44CD">
              <w:rPr>
                <w:rFonts w:ascii="Calibri Light" w:hAnsi="Calibri Light"/>
                <w:sz w:val="22"/>
                <w:szCs w:val="20"/>
              </w:rPr>
              <w:t xml:space="preserve">kalkulaci </w:t>
            </w:r>
            <w:r>
              <w:rPr>
                <w:rFonts w:ascii="Calibri Light" w:hAnsi="Calibri Light"/>
                <w:sz w:val="22"/>
                <w:szCs w:val="20"/>
              </w:rPr>
              <w:t>ceny pro</w:t>
            </w:r>
            <w:r w:rsidRPr="003C44CD">
              <w:rPr>
                <w:rFonts w:ascii="Calibri Light" w:hAnsi="Calibri Light"/>
                <w:sz w:val="22"/>
                <w:szCs w:val="20"/>
              </w:rPr>
              <w:t xml:space="preserve"> určité období použit záporný kalkulační zisk. Dochází </w:t>
            </w:r>
            <w:r>
              <w:rPr>
                <w:rFonts w:ascii="Calibri Light" w:hAnsi="Calibri Light"/>
                <w:sz w:val="22"/>
                <w:szCs w:val="20"/>
              </w:rPr>
              <w:t xml:space="preserve">tak </w:t>
            </w:r>
            <w:r w:rsidRPr="003C44CD">
              <w:rPr>
                <w:rFonts w:ascii="Calibri Light" w:hAnsi="Calibri Light"/>
                <w:sz w:val="22"/>
                <w:szCs w:val="20"/>
              </w:rPr>
              <w:t>k</w:t>
            </w:r>
            <w:r>
              <w:rPr>
                <w:rFonts w:ascii="Calibri Light" w:hAnsi="Calibri Light"/>
                <w:sz w:val="22"/>
                <w:szCs w:val="20"/>
              </w:rPr>
              <w:t> </w:t>
            </w:r>
            <w:r w:rsidRPr="003C44CD">
              <w:rPr>
                <w:rFonts w:ascii="Calibri Light" w:hAnsi="Calibri Light"/>
                <w:sz w:val="22"/>
                <w:szCs w:val="20"/>
              </w:rPr>
              <w:t>deformaci cen pro vodné a</w:t>
            </w:r>
            <w:r>
              <w:rPr>
                <w:rFonts w:ascii="Calibri Light" w:hAnsi="Calibri Light"/>
                <w:sz w:val="22"/>
                <w:szCs w:val="20"/>
              </w:rPr>
              <w:t> </w:t>
            </w:r>
            <w:r w:rsidRPr="003C44CD">
              <w:rPr>
                <w:rFonts w:ascii="Calibri Light" w:hAnsi="Calibri Light"/>
                <w:sz w:val="22"/>
                <w:szCs w:val="20"/>
              </w:rPr>
              <w:t>stočné.</w:t>
            </w:r>
          </w:p>
          <w:p w14:paraId="2142181A" w14:textId="77777777" w:rsidR="004958C5" w:rsidRDefault="004958C5" w:rsidP="004958C5">
            <w:pPr>
              <w:pStyle w:val="Odstavecseseznamem"/>
              <w:spacing w:before="0" w:after="60" w:line="276" w:lineRule="auto"/>
              <w:ind w:left="313" w:hanging="313"/>
              <w:rPr>
                <w:rFonts w:ascii="Calibri Light" w:hAnsi="Calibri Light"/>
                <w:sz w:val="22"/>
                <w:szCs w:val="20"/>
              </w:rPr>
            </w:pPr>
            <w:r>
              <w:rPr>
                <w:rFonts w:ascii="Calibri Light" w:hAnsi="Calibri Light"/>
                <w:sz w:val="22"/>
                <w:szCs w:val="20"/>
              </w:rPr>
              <w:t>6</w:t>
            </w:r>
            <w:r w:rsidRPr="003C44CD">
              <w:rPr>
                <w:rFonts w:ascii="Calibri Light" w:hAnsi="Calibri Light"/>
                <w:sz w:val="22"/>
                <w:szCs w:val="20"/>
              </w:rPr>
              <w:t>.</w:t>
            </w:r>
            <w:r w:rsidRPr="003C44CD">
              <w:rPr>
                <w:rFonts w:ascii="Calibri Light" w:hAnsi="Calibri Light"/>
                <w:sz w:val="22"/>
                <w:szCs w:val="20"/>
              </w:rPr>
              <w:tab/>
              <w:t>Rozdíln</w:t>
            </w:r>
            <w:r>
              <w:rPr>
                <w:rFonts w:ascii="Calibri Light" w:hAnsi="Calibri Light"/>
                <w:sz w:val="22"/>
                <w:szCs w:val="20"/>
              </w:rPr>
              <w:t>á</w:t>
            </w:r>
            <w:r w:rsidRPr="003C44CD">
              <w:rPr>
                <w:rFonts w:ascii="Calibri Light" w:hAnsi="Calibri Light"/>
                <w:sz w:val="22"/>
                <w:szCs w:val="20"/>
              </w:rPr>
              <w:t xml:space="preserve"> p</w:t>
            </w:r>
            <w:r>
              <w:rPr>
                <w:rFonts w:ascii="Calibri Light" w:hAnsi="Calibri Light"/>
                <w:sz w:val="22"/>
                <w:szCs w:val="20"/>
              </w:rPr>
              <w:t>ravidla</w:t>
            </w:r>
            <w:r w:rsidRPr="003C44CD">
              <w:rPr>
                <w:rFonts w:ascii="Calibri Light" w:hAnsi="Calibri Light"/>
                <w:sz w:val="22"/>
                <w:szCs w:val="20"/>
              </w:rPr>
              <w:t xml:space="preserve"> účtování </w:t>
            </w:r>
            <w:r>
              <w:rPr>
                <w:rFonts w:ascii="Calibri Light" w:hAnsi="Calibri Light"/>
                <w:sz w:val="22"/>
                <w:szCs w:val="20"/>
              </w:rPr>
              <w:t xml:space="preserve">pořízení a odepisování dlouhodobého majetku pořízeného z dotačních prostředků mezi podnikatelskými </w:t>
            </w:r>
            <w:r w:rsidRPr="003C44CD">
              <w:rPr>
                <w:rFonts w:ascii="Calibri Light" w:hAnsi="Calibri Light"/>
                <w:sz w:val="22"/>
                <w:szCs w:val="20"/>
              </w:rPr>
              <w:t>subjekt</w:t>
            </w:r>
            <w:r>
              <w:rPr>
                <w:rFonts w:ascii="Calibri Light" w:hAnsi="Calibri Light"/>
                <w:sz w:val="22"/>
                <w:szCs w:val="20"/>
              </w:rPr>
              <w:t>y a municipalitami, což má za následek nemožnost využití informací o pořizovací hodnotě majetku z účetní evidence.</w:t>
            </w:r>
          </w:p>
          <w:p w14:paraId="7FA36479" w14:textId="77777777" w:rsidR="004958C5" w:rsidRPr="003C44CD" w:rsidRDefault="004958C5" w:rsidP="004958C5">
            <w:pPr>
              <w:pStyle w:val="Odstavecseseznamem"/>
              <w:spacing w:before="0" w:after="60" w:line="276" w:lineRule="auto"/>
              <w:ind w:left="313" w:hanging="313"/>
              <w:rPr>
                <w:rFonts w:ascii="Calibri Light" w:hAnsi="Calibri Light"/>
                <w:sz w:val="22"/>
                <w:szCs w:val="20"/>
              </w:rPr>
            </w:pPr>
            <w:r>
              <w:rPr>
                <w:rFonts w:ascii="Calibri Light" w:hAnsi="Calibri Light"/>
                <w:sz w:val="22"/>
                <w:szCs w:val="20"/>
              </w:rPr>
              <w:t>7</w:t>
            </w:r>
            <w:r w:rsidRPr="003C44CD">
              <w:rPr>
                <w:rFonts w:ascii="Calibri Light" w:hAnsi="Calibri Light"/>
                <w:sz w:val="22"/>
                <w:szCs w:val="20"/>
              </w:rPr>
              <w:t>.</w:t>
            </w:r>
            <w:r w:rsidRPr="003C44CD">
              <w:rPr>
                <w:rFonts w:ascii="Calibri Light" w:hAnsi="Calibri Light"/>
                <w:sz w:val="22"/>
                <w:szCs w:val="20"/>
              </w:rPr>
              <w:tab/>
              <w:t>Ustanovení §6</w:t>
            </w:r>
            <w:r>
              <w:rPr>
                <w:rFonts w:ascii="Calibri Light" w:hAnsi="Calibri Light"/>
                <w:sz w:val="22"/>
                <w:szCs w:val="20"/>
              </w:rPr>
              <w:t> </w:t>
            </w:r>
            <w:r w:rsidRPr="003C44CD">
              <w:rPr>
                <w:rFonts w:ascii="Calibri Light" w:hAnsi="Calibri Light"/>
                <w:sz w:val="22"/>
                <w:szCs w:val="20"/>
              </w:rPr>
              <w:t>odst. 6</w:t>
            </w:r>
            <w:r>
              <w:rPr>
                <w:rFonts w:ascii="Calibri Light" w:hAnsi="Calibri Light"/>
                <w:sz w:val="22"/>
                <w:szCs w:val="20"/>
              </w:rPr>
              <w:t> </w:t>
            </w:r>
            <w:r w:rsidRPr="003C44CD">
              <w:rPr>
                <w:rFonts w:ascii="Calibri Light" w:hAnsi="Calibri Light"/>
                <w:sz w:val="22"/>
                <w:szCs w:val="20"/>
              </w:rPr>
              <w:t>zák. č. 274/2001 Sb., umožňující získání povolení k</w:t>
            </w:r>
            <w:r>
              <w:rPr>
                <w:rFonts w:ascii="Calibri Light" w:hAnsi="Calibri Light"/>
                <w:sz w:val="22"/>
                <w:szCs w:val="20"/>
              </w:rPr>
              <w:t> </w:t>
            </w:r>
            <w:r w:rsidRPr="003C44CD">
              <w:rPr>
                <w:rFonts w:ascii="Calibri Light" w:hAnsi="Calibri Light"/>
                <w:sz w:val="22"/>
                <w:szCs w:val="20"/>
              </w:rPr>
              <w:t>provozování bez živnostenského oprávnění</w:t>
            </w:r>
            <w:r>
              <w:rPr>
                <w:rFonts w:ascii="Calibri Light" w:hAnsi="Calibri Light"/>
                <w:sz w:val="22"/>
                <w:szCs w:val="20"/>
              </w:rPr>
              <w:t xml:space="preserve"> </w:t>
            </w:r>
            <w:r w:rsidRPr="003C44CD">
              <w:rPr>
                <w:rFonts w:ascii="Calibri Light" w:hAnsi="Calibri Light"/>
                <w:sz w:val="22"/>
                <w:szCs w:val="20"/>
              </w:rPr>
              <w:t>obc</w:t>
            </w:r>
            <w:r>
              <w:rPr>
                <w:rFonts w:ascii="Calibri Light" w:hAnsi="Calibri Light"/>
                <w:sz w:val="22"/>
                <w:szCs w:val="20"/>
              </w:rPr>
              <w:t>ím</w:t>
            </w:r>
            <w:r w:rsidRPr="003C44CD">
              <w:rPr>
                <w:rFonts w:ascii="Calibri Light" w:hAnsi="Calibri Light"/>
                <w:sz w:val="22"/>
                <w:szCs w:val="20"/>
              </w:rPr>
              <w:t>, organizační</w:t>
            </w:r>
            <w:r>
              <w:rPr>
                <w:rFonts w:ascii="Calibri Light" w:hAnsi="Calibri Light"/>
                <w:sz w:val="22"/>
                <w:szCs w:val="20"/>
              </w:rPr>
              <w:t>m</w:t>
            </w:r>
            <w:r w:rsidRPr="003C44CD">
              <w:rPr>
                <w:rFonts w:ascii="Calibri Light" w:hAnsi="Calibri Light"/>
                <w:sz w:val="22"/>
                <w:szCs w:val="20"/>
              </w:rPr>
              <w:t xml:space="preserve"> složk</w:t>
            </w:r>
            <w:r>
              <w:rPr>
                <w:rFonts w:ascii="Calibri Light" w:hAnsi="Calibri Light"/>
                <w:sz w:val="22"/>
                <w:szCs w:val="20"/>
              </w:rPr>
              <w:t>ám</w:t>
            </w:r>
            <w:r w:rsidRPr="003C44CD">
              <w:rPr>
                <w:rFonts w:ascii="Calibri Light" w:hAnsi="Calibri Light"/>
                <w:sz w:val="22"/>
                <w:szCs w:val="20"/>
              </w:rPr>
              <w:t xml:space="preserve"> státu nebo sdružením vlastníků vodovodů a</w:t>
            </w:r>
            <w:r>
              <w:rPr>
                <w:rFonts w:ascii="Calibri Light" w:hAnsi="Calibri Light"/>
                <w:sz w:val="22"/>
                <w:szCs w:val="20"/>
              </w:rPr>
              <w:t> </w:t>
            </w:r>
            <w:r w:rsidRPr="003C44CD">
              <w:rPr>
                <w:rFonts w:ascii="Calibri Light" w:hAnsi="Calibri Light"/>
                <w:sz w:val="22"/>
                <w:szCs w:val="20"/>
              </w:rPr>
              <w:t>kanalizací, které jsou právnickými osobami, pokud neprovozují vodovod nebo kanalizaci za účelem dosažení zisku, znemožňuje využití kalkulačního zisku pro generování prostředků na obnovu. Uvedené ustanovení je vlastníky různě chápáno a</w:t>
            </w:r>
            <w:r>
              <w:rPr>
                <w:rFonts w:ascii="Calibri Light" w:hAnsi="Calibri Light"/>
                <w:sz w:val="22"/>
                <w:szCs w:val="20"/>
              </w:rPr>
              <w:t> </w:t>
            </w:r>
            <w:r w:rsidRPr="003C44CD">
              <w:rPr>
                <w:rFonts w:ascii="Calibri Light" w:hAnsi="Calibri Light"/>
                <w:sz w:val="22"/>
                <w:szCs w:val="20"/>
              </w:rPr>
              <w:t>komplikuje dosažení samofinancovatelnosti VIM (záměr regulátora)</w:t>
            </w:r>
            <w:r>
              <w:rPr>
                <w:rFonts w:ascii="Calibri Light" w:hAnsi="Calibri Light"/>
                <w:sz w:val="22"/>
                <w:szCs w:val="20"/>
              </w:rPr>
              <w:t>.</w:t>
            </w:r>
          </w:p>
          <w:p w14:paraId="3A527DA7" w14:textId="77777777" w:rsidR="004958C5" w:rsidRPr="003C44CD" w:rsidRDefault="004958C5" w:rsidP="004958C5">
            <w:pPr>
              <w:pStyle w:val="Odstavecseseznamem"/>
              <w:spacing w:before="0" w:after="60" w:line="276" w:lineRule="auto"/>
              <w:ind w:left="313" w:hanging="313"/>
              <w:rPr>
                <w:rFonts w:ascii="Calibri Light" w:hAnsi="Calibri Light"/>
                <w:sz w:val="22"/>
                <w:szCs w:val="20"/>
              </w:rPr>
            </w:pPr>
            <w:r>
              <w:rPr>
                <w:rFonts w:ascii="Calibri Light" w:hAnsi="Calibri Light"/>
                <w:sz w:val="22"/>
                <w:szCs w:val="20"/>
              </w:rPr>
              <w:t>8</w:t>
            </w:r>
            <w:r w:rsidRPr="003C44CD">
              <w:rPr>
                <w:rFonts w:ascii="Calibri Light" w:hAnsi="Calibri Light"/>
                <w:sz w:val="22"/>
                <w:szCs w:val="20"/>
              </w:rPr>
              <w:t>.</w:t>
            </w:r>
            <w:r w:rsidRPr="003C44CD">
              <w:rPr>
                <w:rFonts w:ascii="Calibri Light" w:hAnsi="Calibri Light"/>
                <w:sz w:val="22"/>
                <w:szCs w:val="20"/>
              </w:rPr>
              <w:tab/>
            </w:r>
            <w:r>
              <w:rPr>
                <w:rFonts w:ascii="Calibri Light" w:hAnsi="Calibri Light"/>
                <w:sz w:val="22"/>
                <w:szCs w:val="20"/>
              </w:rPr>
              <w:t xml:space="preserve"> Příliš dlouhá doba potřebná k </w:t>
            </w:r>
            <w:r w:rsidRPr="003C44CD">
              <w:rPr>
                <w:rFonts w:ascii="Calibri Light" w:hAnsi="Calibri Light"/>
                <w:sz w:val="22"/>
                <w:szCs w:val="20"/>
              </w:rPr>
              <w:t>dosažení samofinancovatelnosti</w:t>
            </w:r>
            <w:r>
              <w:rPr>
                <w:rFonts w:ascii="Calibri Light" w:hAnsi="Calibri Light"/>
                <w:sz w:val="22"/>
                <w:szCs w:val="20"/>
              </w:rPr>
              <w:t xml:space="preserve"> </w:t>
            </w:r>
            <w:r w:rsidRPr="003C44CD">
              <w:rPr>
                <w:rFonts w:ascii="Calibri Light" w:hAnsi="Calibri Light"/>
                <w:sz w:val="22"/>
                <w:szCs w:val="20"/>
              </w:rPr>
              <w:t>může vést k</w:t>
            </w:r>
            <w:r>
              <w:rPr>
                <w:rFonts w:ascii="Calibri Light" w:hAnsi="Calibri Light"/>
                <w:sz w:val="22"/>
                <w:szCs w:val="20"/>
              </w:rPr>
              <w:t> </w:t>
            </w:r>
            <w:r w:rsidRPr="003C44CD">
              <w:rPr>
                <w:rFonts w:ascii="Calibri Light" w:hAnsi="Calibri Light"/>
                <w:sz w:val="22"/>
                <w:szCs w:val="20"/>
              </w:rPr>
              <w:t xml:space="preserve">opětovnému tlaku sektoru na dotace (na obnovu) </w:t>
            </w:r>
            <w:r>
              <w:rPr>
                <w:rFonts w:ascii="Calibri Light" w:hAnsi="Calibri Light"/>
                <w:sz w:val="22"/>
                <w:szCs w:val="20"/>
              </w:rPr>
              <w:t xml:space="preserve">nebo </w:t>
            </w:r>
            <w:r w:rsidRPr="003C44CD">
              <w:rPr>
                <w:rFonts w:ascii="Calibri Light" w:hAnsi="Calibri Light"/>
                <w:sz w:val="22"/>
                <w:szCs w:val="20"/>
              </w:rPr>
              <w:t>ke skokovým nárůstům cen vodného a</w:t>
            </w:r>
            <w:r>
              <w:rPr>
                <w:rFonts w:ascii="Calibri Light" w:hAnsi="Calibri Light"/>
                <w:sz w:val="22"/>
                <w:szCs w:val="20"/>
              </w:rPr>
              <w:t> </w:t>
            </w:r>
            <w:r w:rsidRPr="003C44CD">
              <w:rPr>
                <w:rFonts w:ascii="Calibri Light" w:hAnsi="Calibri Light"/>
                <w:sz w:val="22"/>
                <w:szCs w:val="20"/>
              </w:rPr>
              <w:t>stočného, které mohou být za sociální únosností. Tento postup může znamenat významné ekonomické zatížení budoucích generací, případně snížení kvality služeb.</w:t>
            </w:r>
          </w:p>
          <w:p w14:paraId="09AB47B6" w14:textId="77777777" w:rsidR="007D7C8F" w:rsidRPr="00A754DC" w:rsidRDefault="004958C5" w:rsidP="004958C5">
            <w:pPr>
              <w:spacing w:before="0" w:after="60" w:line="276" w:lineRule="auto"/>
              <w:ind w:left="426" w:hanging="505"/>
              <w:rPr>
                <w:rFonts w:asciiTheme="majorHAnsi" w:hAnsiTheme="majorHAnsi"/>
                <w:noProof/>
                <w:sz w:val="22"/>
                <w:szCs w:val="20"/>
              </w:rPr>
            </w:pPr>
            <w:r>
              <w:rPr>
                <w:rFonts w:ascii="Calibri Light" w:hAnsi="Calibri Light"/>
                <w:sz w:val="22"/>
                <w:szCs w:val="20"/>
              </w:rPr>
              <w:lastRenderedPageBreak/>
              <w:t>9</w:t>
            </w:r>
            <w:r w:rsidRPr="003C44CD">
              <w:rPr>
                <w:rFonts w:ascii="Calibri Light" w:hAnsi="Calibri Light"/>
                <w:sz w:val="22"/>
                <w:szCs w:val="20"/>
              </w:rPr>
              <w:t>.</w:t>
            </w:r>
            <w:r w:rsidRPr="003C44CD">
              <w:rPr>
                <w:rFonts w:ascii="Calibri Light" w:hAnsi="Calibri Light"/>
                <w:sz w:val="22"/>
                <w:szCs w:val="20"/>
              </w:rPr>
              <w:tab/>
              <w:t>Neúčelové</w:t>
            </w:r>
            <w:r>
              <w:rPr>
                <w:rFonts w:ascii="Calibri Light" w:hAnsi="Calibri Light"/>
                <w:sz w:val="22"/>
                <w:szCs w:val="20"/>
              </w:rPr>
              <w:t xml:space="preserve"> použití </w:t>
            </w:r>
            <w:r w:rsidRPr="003C44CD">
              <w:rPr>
                <w:rFonts w:ascii="Calibri Light" w:hAnsi="Calibri Light"/>
                <w:sz w:val="22"/>
                <w:szCs w:val="20"/>
              </w:rPr>
              <w:t xml:space="preserve">prostředků </w:t>
            </w:r>
            <w:r>
              <w:rPr>
                <w:rFonts w:ascii="Calibri Light" w:hAnsi="Calibri Light"/>
                <w:sz w:val="22"/>
                <w:szCs w:val="20"/>
              </w:rPr>
              <w:t xml:space="preserve">z vodného a stočného </w:t>
            </w:r>
            <w:r w:rsidRPr="003C44CD">
              <w:rPr>
                <w:rFonts w:ascii="Calibri Light" w:hAnsi="Calibri Light"/>
                <w:sz w:val="22"/>
                <w:szCs w:val="20"/>
              </w:rPr>
              <w:t>(jakožto veřejných zdrojů) v</w:t>
            </w:r>
            <w:r>
              <w:rPr>
                <w:rFonts w:ascii="Calibri Light" w:hAnsi="Calibri Light"/>
                <w:sz w:val="22"/>
                <w:szCs w:val="20"/>
              </w:rPr>
              <w:t> </w:t>
            </w:r>
            <w:r w:rsidRPr="003C44CD">
              <w:rPr>
                <w:rFonts w:ascii="Calibri Light" w:hAnsi="Calibri Light"/>
                <w:sz w:val="22"/>
                <w:szCs w:val="20"/>
              </w:rPr>
              <w:t>důsledku</w:t>
            </w:r>
            <w:r>
              <w:rPr>
                <w:rFonts w:ascii="Calibri Light" w:hAnsi="Calibri Light"/>
                <w:sz w:val="22"/>
                <w:szCs w:val="20"/>
              </w:rPr>
              <w:t xml:space="preserve"> neexistence detailních pravidel</w:t>
            </w:r>
            <w:r w:rsidRPr="003C44CD">
              <w:rPr>
                <w:rFonts w:ascii="Calibri Light" w:hAnsi="Calibri Light"/>
                <w:sz w:val="22"/>
                <w:szCs w:val="20"/>
              </w:rPr>
              <w:t xml:space="preserve"> pro hospodaření s</w:t>
            </w:r>
            <w:r>
              <w:rPr>
                <w:rFonts w:ascii="Calibri Light" w:hAnsi="Calibri Light"/>
                <w:sz w:val="22"/>
                <w:szCs w:val="20"/>
              </w:rPr>
              <w:t> </w:t>
            </w:r>
            <w:r w:rsidRPr="003C44CD">
              <w:rPr>
                <w:rFonts w:ascii="Calibri Light" w:hAnsi="Calibri Light"/>
                <w:sz w:val="22"/>
                <w:szCs w:val="20"/>
              </w:rPr>
              <w:t>nimi.</w:t>
            </w:r>
          </w:p>
        </w:tc>
      </w:tr>
    </w:tbl>
    <w:p w14:paraId="6DFA5091" w14:textId="6E69729C" w:rsidR="007D7C8F" w:rsidRPr="00C62639" w:rsidRDefault="007D7C8F" w:rsidP="007D7C8F">
      <w:pPr>
        <w:pStyle w:val="Nadpis3"/>
        <w:rPr>
          <w:rFonts w:asciiTheme="minorHAnsi" w:hAnsiTheme="minorHAnsi"/>
          <w:noProof/>
        </w:rPr>
      </w:pPr>
      <w:bookmarkStart w:id="43" w:name="_Toc502677214"/>
      <w:bookmarkStart w:id="44" w:name="_Toc495564887"/>
      <w:bookmarkStart w:id="45" w:name="_Toc459133209"/>
      <w:bookmarkStart w:id="46" w:name="_Toc3292004"/>
      <w:r w:rsidRPr="00C62639">
        <w:rPr>
          <w:rFonts w:asciiTheme="minorHAnsi" w:hAnsiTheme="minorHAnsi"/>
          <w:noProof/>
        </w:rPr>
        <w:lastRenderedPageBreak/>
        <w:t>Závěr, zhodnocení a návrh dalšího postupu</w:t>
      </w:r>
      <w:bookmarkEnd w:id="43"/>
      <w:bookmarkEnd w:id="44"/>
      <w:bookmarkEnd w:id="45"/>
      <w:bookmarkEnd w:id="46"/>
    </w:p>
    <w:p w14:paraId="36F1B646" w14:textId="77777777" w:rsidR="004958C5" w:rsidRDefault="004958C5" w:rsidP="004958C5">
      <w:pPr>
        <w:pStyle w:val="normlntextvodstavcch"/>
        <w:spacing w:line="264" w:lineRule="auto"/>
        <w:rPr>
          <w:i/>
        </w:rPr>
      </w:pPr>
      <w:r w:rsidRPr="005B510E">
        <w:rPr>
          <w:i/>
        </w:rPr>
        <w:t>Na základě výsledků benchmarkingu vlastnických subjektů, provedené analýzy SWOT,</w:t>
      </w:r>
      <w:r>
        <w:rPr>
          <w:i/>
        </w:rPr>
        <w:t xml:space="preserve"> informací </w:t>
      </w:r>
      <w:r w:rsidRPr="005B510E">
        <w:rPr>
          <w:i/>
        </w:rPr>
        <w:t>o</w:t>
      </w:r>
      <w:r>
        <w:rPr>
          <w:i/>
        </w:rPr>
        <w:t> </w:t>
      </w:r>
      <w:r w:rsidRPr="005B510E">
        <w:rPr>
          <w:i/>
        </w:rPr>
        <w:t>přijatých stížnostech a</w:t>
      </w:r>
      <w:r>
        <w:rPr>
          <w:i/>
        </w:rPr>
        <w:t> </w:t>
      </w:r>
      <w:r w:rsidRPr="005B510E">
        <w:rPr>
          <w:i/>
        </w:rPr>
        <w:t>nálezech z</w:t>
      </w:r>
      <w:r>
        <w:rPr>
          <w:i/>
        </w:rPr>
        <w:t> </w:t>
      </w:r>
      <w:r w:rsidRPr="005B510E">
        <w:rPr>
          <w:i/>
        </w:rPr>
        <w:t>realizovaných kontrol u</w:t>
      </w:r>
      <w:r>
        <w:rPr>
          <w:i/>
        </w:rPr>
        <w:t> </w:t>
      </w:r>
      <w:r w:rsidRPr="005B510E">
        <w:rPr>
          <w:i/>
        </w:rPr>
        <w:t>vlastníků a</w:t>
      </w:r>
      <w:r>
        <w:rPr>
          <w:i/>
        </w:rPr>
        <w:t> </w:t>
      </w:r>
      <w:r w:rsidRPr="005B510E">
        <w:rPr>
          <w:i/>
        </w:rPr>
        <w:t>provozovatelů VIM a</w:t>
      </w:r>
      <w:r>
        <w:rPr>
          <w:i/>
        </w:rPr>
        <w:t> </w:t>
      </w:r>
      <w:r w:rsidRPr="005B510E">
        <w:rPr>
          <w:i/>
        </w:rPr>
        <w:t>s</w:t>
      </w:r>
      <w:r>
        <w:rPr>
          <w:i/>
        </w:rPr>
        <w:t> </w:t>
      </w:r>
      <w:r w:rsidRPr="005B510E">
        <w:rPr>
          <w:i/>
        </w:rPr>
        <w:t>přihlédnutím ke stanoveným dlouhodobým cílům regulace by se měl regulátor zaměřit na podrobnější úpravu legislativních podmínek fungování oboru vodovodů a</w:t>
      </w:r>
      <w:r>
        <w:rPr>
          <w:i/>
        </w:rPr>
        <w:t> </w:t>
      </w:r>
      <w:r w:rsidRPr="005B510E">
        <w:rPr>
          <w:i/>
        </w:rPr>
        <w:t>kanalizací tak, aby bylo zefektivňováno vymáhání plnění definovaných povinností vlastníků VIM (bez ohledu na</w:t>
      </w:r>
      <w:r>
        <w:rPr>
          <w:i/>
        </w:rPr>
        <w:t> </w:t>
      </w:r>
      <w:r w:rsidRPr="005B510E">
        <w:rPr>
          <w:i/>
        </w:rPr>
        <w:t>aplikovaný model provozování).</w:t>
      </w:r>
    </w:p>
    <w:p w14:paraId="71EA6EF9" w14:textId="77777777" w:rsidR="004958C5" w:rsidRPr="005B510E" w:rsidRDefault="004958C5" w:rsidP="004958C5">
      <w:pPr>
        <w:pStyle w:val="normlntextvodstavcch"/>
        <w:spacing w:line="264" w:lineRule="auto"/>
        <w:rPr>
          <w:i/>
        </w:rPr>
      </w:pPr>
      <w:r w:rsidRPr="005B510E">
        <w:rPr>
          <w:i/>
        </w:rPr>
        <w:t>Vzhledem k</w:t>
      </w:r>
      <w:r>
        <w:rPr>
          <w:i/>
        </w:rPr>
        <w:t> </w:t>
      </w:r>
      <w:r w:rsidRPr="005B510E">
        <w:rPr>
          <w:i/>
        </w:rPr>
        <w:t>dopadům sucha v</w:t>
      </w:r>
      <w:r>
        <w:rPr>
          <w:i/>
        </w:rPr>
        <w:t> </w:t>
      </w:r>
      <w:r w:rsidRPr="005B510E">
        <w:rPr>
          <w:i/>
        </w:rPr>
        <w:t>uplynulých letech na vodní bilanci ČR a</w:t>
      </w:r>
      <w:r>
        <w:rPr>
          <w:i/>
        </w:rPr>
        <w:t> </w:t>
      </w:r>
      <w:r w:rsidRPr="005B510E">
        <w:rPr>
          <w:i/>
        </w:rPr>
        <w:t>ne příliš optimistickým výhledům do budoucna je za předpokladu splnění technických a</w:t>
      </w:r>
      <w:r>
        <w:rPr>
          <w:i/>
        </w:rPr>
        <w:t> </w:t>
      </w:r>
      <w:r w:rsidRPr="005B510E">
        <w:rPr>
          <w:i/>
        </w:rPr>
        <w:t>kapacitních požadavků nutné vytvořit podmínky pro zvýšení napojenosti menších vlastníků vodovodů na</w:t>
      </w:r>
      <w:r>
        <w:rPr>
          <w:i/>
        </w:rPr>
        <w:t> </w:t>
      </w:r>
      <w:r w:rsidRPr="005B510E">
        <w:rPr>
          <w:i/>
        </w:rPr>
        <w:t>oblastní vodovody. Toto napojení zvýší zajištění dostatečné úrovně kvality služeb (pozn.: záměr regulace - zabezpečení stálé dodávky pitné vody v</w:t>
      </w:r>
      <w:r>
        <w:rPr>
          <w:i/>
        </w:rPr>
        <w:t> </w:t>
      </w:r>
      <w:r w:rsidRPr="005B510E">
        <w:rPr>
          <w:i/>
        </w:rPr>
        <w:t>požadovaném množství a</w:t>
      </w:r>
      <w:r>
        <w:rPr>
          <w:i/>
        </w:rPr>
        <w:t> </w:t>
      </w:r>
      <w:r w:rsidRPr="005B510E">
        <w:rPr>
          <w:i/>
        </w:rPr>
        <w:t>kvalitě). Pokud se budou místní vodní zdroje využívat jen jako doplňkové, nemělo by docházet k</w:t>
      </w:r>
      <w:r>
        <w:rPr>
          <w:i/>
        </w:rPr>
        <w:t> </w:t>
      </w:r>
      <w:r w:rsidRPr="005B510E">
        <w:rPr>
          <w:i/>
        </w:rPr>
        <w:t>situacím, kdy vodárenské systémy bez vlastního zdroje vody</w:t>
      </w:r>
      <w:r>
        <w:rPr>
          <w:i/>
        </w:rPr>
        <w:t xml:space="preserve"> </w:t>
      </w:r>
      <w:r w:rsidRPr="005B510E">
        <w:rPr>
          <w:i/>
        </w:rPr>
        <w:t>jsou závislé na technicky souvisejících systémech v</w:t>
      </w:r>
      <w:r>
        <w:rPr>
          <w:i/>
        </w:rPr>
        <w:t> </w:t>
      </w:r>
      <w:r w:rsidRPr="005B510E">
        <w:rPr>
          <w:i/>
        </w:rPr>
        <w:t>majetku</w:t>
      </w:r>
      <w:r>
        <w:rPr>
          <w:i/>
        </w:rPr>
        <w:t xml:space="preserve"> </w:t>
      </w:r>
      <w:r w:rsidRPr="005B510E">
        <w:rPr>
          <w:i/>
        </w:rPr>
        <w:t>jiného vlastníka VIM. Současně dojde ke zlepšení kontroly kvality vyráběné a</w:t>
      </w:r>
      <w:r>
        <w:rPr>
          <w:i/>
        </w:rPr>
        <w:t> </w:t>
      </w:r>
      <w:r w:rsidRPr="005B510E">
        <w:rPr>
          <w:i/>
        </w:rPr>
        <w:t>dodávané pitné vody.</w:t>
      </w:r>
    </w:p>
    <w:p w14:paraId="49B0349A" w14:textId="77777777" w:rsidR="004958C5" w:rsidRDefault="004958C5" w:rsidP="004958C5">
      <w:pPr>
        <w:pStyle w:val="normlntextvodstavcch"/>
        <w:spacing w:line="264" w:lineRule="auto"/>
        <w:rPr>
          <w:i/>
        </w:rPr>
      </w:pPr>
      <w:r w:rsidRPr="005B510E">
        <w:rPr>
          <w:i/>
        </w:rPr>
        <w:t>Pro oblast obnovy by měl regulátor vypracovat ve spolupráci s</w:t>
      </w:r>
      <w:r>
        <w:rPr>
          <w:i/>
        </w:rPr>
        <w:t> </w:t>
      </w:r>
      <w:r w:rsidRPr="005B510E">
        <w:rPr>
          <w:i/>
        </w:rPr>
        <w:t>MF jednoznačnou metodiku zpracování a</w:t>
      </w:r>
      <w:r>
        <w:rPr>
          <w:i/>
        </w:rPr>
        <w:t> </w:t>
      </w:r>
      <w:r w:rsidRPr="005B510E">
        <w:rPr>
          <w:i/>
        </w:rPr>
        <w:t>používání PFO tak, aby bylo ze zákona povinné vyplňovat PFO dle reálných potřeb obnovy a</w:t>
      </w:r>
      <w:r>
        <w:rPr>
          <w:i/>
        </w:rPr>
        <w:t> </w:t>
      </w:r>
      <w:r w:rsidRPr="005B510E">
        <w:rPr>
          <w:i/>
        </w:rPr>
        <w:t>bylo tak umožněno používat jej jako podstatnou součást investičního procesu vlastníka VIM, která poskytuje informace o</w:t>
      </w:r>
      <w:r>
        <w:rPr>
          <w:i/>
        </w:rPr>
        <w:t> </w:t>
      </w:r>
      <w:r w:rsidRPr="005B510E">
        <w:rPr>
          <w:i/>
        </w:rPr>
        <w:t>způsobu financování obnovy. Regulátor by se měl dále zaměřit na kontrolu plnění PFO a</w:t>
      </w:r>
      <w:r>
        <w:rPr>
          <w:i/>
        </w:rPr>
        <w:t> </w:t>
      </w:r>
      <w:r w:rsidRPr="005B510E">
        <w:rPr>
          <w:i/>
        </w:rPr>
        <w:t>stanovit jasná pravidla evidence (např. na zvláštním účtu) a</w:t>
      </w:r>
      <w:r>
        <w:rPr>
          <w:i/>
        </w:rPr>
        <w:t> </w:t>
      </w:r>
      <w:r w:rsidRPr="005B510E">
        <w:rPr>
          <w:i/>
        </w:rPr>
        <w:t>použití finančních prostředků získaných za účelem obnovy VIM s</w:t>
      </w:r>
      <w:r>
        <w:rPr>
          <w:i/>
        </w:rPr>
        <w:t> </w:t>
      </w:r>
      <w:r w:rsidRPr="005B510E">
        <w:rPr>
          <w:i/>
        </w:rPr>
        <w:t>přihlédnutím k</w:t>
      </w:r>
      <w:r>
        <w:rPr>
          <w:i/>
        </w:rPr>
        <w:t> </w:t>
      </w:r>
      <w:r w:rsidRPr="005B510E">
        <w:rPr>
          <w:i/>
        </w:rPr>
        <w:t>typu finančního zdroje. Regulátor by měl následně sledovat, jakým způsobem a</w:t>
      </w:r>
      <w:r>
        <w:rPr>
          <w:i/>
        </w:rPr>
        <w:t> </w:t>
      </w:r>
      <w:r w:rsidRPr="005B510E">
        <w:rPr>
          <w:i/>
        </w:rPr>
        <w:t>k</w:t>
      </w:r>
      <w:r>
        <w:rPr>
          <w:i/>
        </w:rPr>
        <w:t> </w:t>
      </w:r>
      <w:r w:rsidRPr="005B510E">
        <w:rPr>
          <w:i/>
        </w:rPr>
        <w:t>jakým účelům jsou</w:t>
      </w:r>
      <w:r>
        <w:rPr>
          <w:i/>
        </w:rPr>
        <w:t xml:space="preserve"> </w:t>
      </w:r>
      <w:r w:rsidRPr="005B510E">
        <w:rPr>
          <w:i/>
        </w:rPr>
        <w:t>tyto prostředky skutečně využity. Metodika by měla jednoznačně řešit, jak bude s</w:t>
      </w:r>
      <w:r>
        <w:rPr>
          <w:i/>
        </w:rPr>
        <w:t> </w:t>
      </w:r>
      <w:r w:rsidRPr="005B510E">
        <w:rPr>
          <w:i/>
        </w:rPr>
        <w:t>vytvořenými finančními prostředky nakládáno po dobu, kdy dočasně nebudou využívány k</w:t>
      </w:r>
      <w:r>
        <w:rPr>
          <w:i/>
        </w:rPr>
        <w:t> </w:t>
      </w:r>
      <w:r w:rsidRPr="005B510E">
        <w:rPr>
          <w:i/>
        </w:rPr>
        <w:t>financování obnovy VIM (např.</w:t>
      </w:r>
      <w:r>
        <w:rPr>
          <w:i/>
        </w:rPr>
        <w:t xml:space="preserve"> </w:t>
      </w:r>
      <w:r w:rsidRPr="005B510E">
        <w:rPr>
          <w:i/>
        </w:rPr>
        <w:t>u</w:t>
      </w:r>
      <w:r>
        <w:rPr>
          <w:i/>
        </w:rPr>
        <w:t> </w:t>
      </w:r>
      <w:r w:rsidRPr="005B510E">
        <w:rPr>
          <w:i/>
        </w:rPr>
        <w:t>nové nebo zrekonstruované VIM), a</w:t>
      </w:r>
      <w:r>
        <w:rPr>
          <w:i/>
        </w:rPr>
        <w:t> </w:t>
      </w:r>
      <w:r w:rsidRPr="005B510E">
        <w:rPr>
          <w:i/>
        </w:rPr>
        <w:t>dále jednoznačně definovat postup vykazování tvorby a</w:t>
      </w:r>
      <w:r>
        <w:rPr>
          <w:i/>
        </w:rPr>
        <w:t> </w:t>
      </w:r>
      <w:r w:rsidRPr="005B510E">
        <w:rPr>
          <w:i/>
        </w:rPr>
        <w:t>použití prostředků na obnovu z</w:t>
      </w:r>
      <w:r>
        <w:rPr>
          <w:i/>
        </w:rPr>
        <w:t> </w:t>
      </w:r>
      <w:r w:rsidRPr="005B510E">
        <w:rPr>
          <w:i/>
        </w:rPr>
        <w:t>jiných finančních zdrojů než z</w:t>
      </w:r>
      <w:r>
        <w:rPr>
          <w:i/>
        </w:rPr>
        <w:t> </w:t>
      </w:r>
      <w:r w:rsidRPr="005B510E">
        <w:rPr>
          <w:i/>
        </w:rPr>
        <w:t>vodného a</w:t>
      </w:r>
      <w:r>
        <w:rPr>
          <w:i/>
        </w:rPr>
        <w:t> </w:t>
      </w:r>
      <w:r w:rsidRPr="005B510E">
        <w:rPr>
          <w:i/>
        </w:rPr>
        <w:t>stočného (např. úvěry, půjčky, jiné příjmy vlastníka VIM apod.).</w:t>
      </w:r>
    </w:p>
    <w:p w14:paraId="07DED263" w14:textId="77777777" w:rsidR="004958C5" w:rsidRPr="005B510E" w:rsidRDefault="004958C5" w:rsidP="004958C5">
      <w:pPr>
        <w:pStyle w:val="normlntextvodstavcch"/>
        <w:spacing w:line="264" w:lineRule="auto"/>
        <w:rPr>
          <w:i/>
        </w:rPr>
      </w:pPr>
      <w:r w:rsidRPr="005B510E">
        <w:rPr>
          <w:i/>
        </w:rPr>
        <w:t>Z</w:t>
      </w:r>
      <w:r>
        <w:rPr>
          <w:i/>
        </w:rPr>
        <w:t> </w:t>
      </w:r>
      <w:r w:rsidRPr="005B510E">
        <w:rPr>
          <w:i/>
        </w:rPr>
        <w:t>výsledků analýzy za rok 2017 i</w:t>
      </w:r>
      <w:r>
        <w:rPr>
          <w:i/>
        </w:rPr>
        <w:t> </w:t>
      </w:r>
      <w:r w:rsidRPr="005B510E">
        <w:rPr>
          <w:i/>
        </w:rPr>
        <w:t>z</w:t>
      </w:r>
      <w:r>
        <w:rPr>
          <w:i/>
        </w:rPr>
        <w:t> </w:t>
      </w:r>
      <w:r w:rsidRPr="005B510E">
        <w:rPr>
          <w:i/>
        </w:rPr>
        <w:t>analýz let předchozích jednoznačně plyne, že problémy související s</w:t>
      </w:r>
      <w:r>
        <w:rPr>
          <w:i/>
        </w:rPr>
        <w:t> </w:t>
      </w:r>
      <w:r w:rsidRPr="005B510E">
        <w:rPr>
          <w:i/>
        </w:rPr>
        <w:t>nízkou tvorbou prostředků na obnovu jsou přímým důsledkem vysokého stupně atomizace trhu. Tyto problémy</w:t>
      </w:r>
      <w:r>
        <w:rPr>
          <w:i/>
        </w:rPr>
        <w:t xml:space="preserve"> </w:t>
      </w:r>
      <w:r w:rsidRPr="005B510E">
        <w:rPr>
          <w:i/>
        </w:rPr>
        <w:t>byly identifikovány zejména u</w:t>
      </w:r>
      <w:r>
        <w:rPr>
          <w:i/>
        </w:rPr>
        <w:t> </w:t>
      </w:r>
      <w:r w:rsidRPr="005B510E">
        <w:rPr>
          <w:i/>
        </w:rPr>
        <w:t>v</w:t>
      </w:r>
      <w:r>
        <w:rPr>
          <w:i/>
        </w:rPr>
        <w:t>lastníků s nižší hodnotou VIM a </w:t>
      </w:r>
      <w:r w:rsidRPr="005B510E">
        <w:rPr>
          <w:i/>
        </w:rPr>
        <w:t>menším počtem připojených spotřebitelů. Z</w:t>
      </w:r>
      <w:r>
        <w:rPr>
          <w:i/>
        </w:rPr>
        <w:t> </w:t>
      </w:r>
      <w:r w:rsidRPr="005B510E">
        <w:rPr>
          <w:i/>
        </w:rPr>
        <w:t>tohoto důvodu by měl regulátor v</w:t>
      </w:r>
      <w:r>
        <w:rPr>
          <w:i/>
        </w:rPr>
        <w:t> </w:t>
      </w:r>
      <w:r w:rsidRPr="005B510E">
        <w:rPr>
          <w:i/>
        </w:rPr>
        <w:t>sektoru vytvářet podmínky motivující ke vzniku větších vlastnických celků. Kromě úspor z</w:t>
      </w:r>
      <w:r>
        <w:rPr>
          <w:i/>
        </w:rPr>
        <w:t> </w:t>
      </w:r>
      <w:r w:rsidRPr="005B510E">
        <w:rPr>
          <w:i/>
        </w:rPr>
        <w:t>rozsahu tak bude dosaženo i</w:t>
      </w:r>
      <w:r>
        <w:rPr>
          <w:i/>
        </w:rPr>
        <w:t> </w:t>
      </w:r>
      <w:r w:rsidRPr="005B510E">
        <w:rPr>
          <w:i/>
        </w:rPr>
        <w:t>zvýšení odborné úrovně</w:t>
      </w:r>
      <w:r>
        <w:rPr>
          <w:i/>
        </w:rPr>
        <w:t xml:space="preserve"> </w:t>
      </w:r>
      <w:r w:rsidRPr="005B510E">
        <w:rPr>
          <w:i/>
        </w:rPr>
        <w:t>v</w:t>
      </w:r>
      <w:r>
        <w:rPr>
          <w:i/>
        </w:rPr>
        <w:t> </w:t>
      </w:r>
      <w:r w:rsidRPr="005B510E">
        <w:rPr>
          <w:i/>
        </w:rPr>
        <w:t>oblasti správy majetku a</w:t>
      </w:r>
      <w:r>
        <w:rPr>
          <w:i/>
        </w:rPr>
        <w:t> </w:t>
      </w:r>
      <w:r w:rsidRPr="005B510E">
        <w:rPr>
          <w:i/>
        </w:rPr>
        <w:t xml:space="preserve">jeho provozování. Podmínky pro snižování atomizace trhu by měly motivovat vlastníky VIM ke vkládání majetku </w:t>
      </w:r>
      <w:r w:rsidRPr="005B510E">
        <w:rPr>
          <w:i/>
        </w:rPr>
        <w:lastRenderedPageBreak/>
        <w:t>do specializovaných právnických osob, které by měly být majetkově ovládány výhradně vlastn</w:t>
      </w:r>
      <w:r>
        <w:rPr>
          <w:i/>
        </w:rPr>
        <w:t>íky VIM.</w:t>
      </w:r>
    </w:p>
    <w:p w14:paraId="0A39DCA9" w14:textId="77777777" w:rsidR="004958C5" w:rsidRPr="005B510E" w:rsidRDefault="004958C5" w:rsidP="004958C5">
      <w:pPr>
        <w:pStyle w:val="normlntextvodstavcch"/>
        <w:spacing w:line="264" w:lineRule="auto"/>
        <w:rPr>
          <w:i/>
        </w:rPr>
      </w:pPr>
      <w:r w:rsidRPr="005B510E">
        <w:rPr>
          <w:i/>
        </w:rPr>
        <w:t>Proces snižování atomizace trhu by mohlo</w:t>
      </w:r>
      <w:r>
        <w:rPr>
          <w:i/>
        </w:rPr>
        <w:t xml:space="preserve"> </w:t>
      </w:r>
      <w:r w:rsidRPr="005B510E">
        <w:rPr>
          <w:i/>
        </w:rPr>
        <w:t>podpořit stanovení pravidel výpočtu minimální výše nájemného</w:t>
      </w:r>
      <w:r>
        <w:rPr>
          <w:i/>
        </w:rPr>
        <w:t xml:space="preserve"> </w:t>
      </w:r>
      <w:r w:rsidRPr="005B510E">
        <w:rPr>
          <w:i/>
        </w:rPr>
        <w:t>VIM (v</w:t>
      </w:r>
      <w:r>
        <w:rPr>
          <w:i/>
        </w:rPr>
        <w:t> </w:t>
      </w:r>
      <w:r w:rsidRPr="005B510E">
        <w:rPr>
          <w:i/>
        </w:rPr>
        <w:t>případě oddílného modelu) a</w:t>
      </w:r>
      <w:r>
        <w:rPr>
          <w:i/>
        </w:rPr>
        <w:t> </w:t>
      </w:r>
      <w:r w:rsidRPr="005B510E">
        <w:rPr>
          <w:i/>
        </w:rPr>
        <w:t>minimální výše ceny pro vodné a</w:t>
      </w:r>
      <w:r>
        <w:rPr>
          <w:i/>
        </w:rPr>
        <w:t> </w:t>
      </w:r>
      <w:r w:rsidRPr="005B510E">
        <w:rPr>
          <w:i/>
        </w:rPr>
        <w:t>stočn</w:t>
      </w:r>
      <w:r>
        <w:rPr>
          <w:i/>
        </w:rPr>
        <w:t>é (v případě smíšeného modelu).</w:t>
      </w:r>
    </w:p>
    <w:p w14:paraId="68D2F7D0" w14:textId="77777777" w:rsidR="004958C5" w:rsidRPr="005B510E" w:rsidRDefault="004958C5" w:rsidP="004958C5">
      <w:pPr>
        <w:pStyle w:val="normlntextvodstavcch"/>
        <w:spacing w:line="264" w:lineRule="auto"/>
        <w:rPr>
          <w:i/>
        </w:rPr>
      </w:pPr>
      <w:r w:rsidRPr="005B510E">
        <w:rPr>
          <w:i/>
        </w:rPr>
        <w:t>Regulátor by se měl dále podrobněji zabývat vlastníky, kteří již při sestavování plánované kalkulace ceny pro vodné a</w:t>
      </w:r>
      <w:r>
        <w:rPr>
          <w:i/>
        </w:rPr>
        <w:t> </w:t>
      </w:r>
      <w:r w:rsidRPr="005B510E">
        <w:rPr>
          <w:i/>
        </w:rPr>
        <w:t>stočné počítali se záporným kalkulačním ziskem (tzn. dotací ceny). V</w:t>
      </w:r>
      <w:r>
        <w:rPr>
          <w:i/>
        </w:rPr>
        <w:t> </w:t>
      </w:r>
      <w:r w:rsidRPr="005B510E">
        <w:rPr>
          <w:i/>
        </w:rPr>
        <w:t>tomto případě by se měl zaměřit na příčiny takovéto cenové politiky, ekonomickou situaci</w:t>
      </w:r>
      <w:r>
        <w:rPr>
          <w:i/>
        </w:rPr>
        <w:t xml:space="preserve"> </w:t>
      </w:r>
      <w:r w:rsidRPr="005B510E">
        <w:rPr>
          <w:i/>
        </w:rPr>
        <w:t>vlastníků a</w:t>
      </w:r>
      <w:r>
        <w:rPr>
          <w:i/>
        </w:rPr>
        <w:t> </w:t>
      </w:r>
      <w:r w:rsidRPr="005B510E">
        <w:rPr>
          <w:i/>
        </w:rPr>
        <w:t>na úroveň plnění povinností v</w:t>
      </w:r>
      <w:r>
        <w:rPr>
          <w:i/>
        </w:rPr>
        <w:t> </w:t>
      </w:r>
      <w:r w:rsidRPr="005B510E">
        <w:rPr>
          <w:i/>
        </w:rPr>
        <w:t>oblasti obnovy VIM.</w:t>
      </w:r>
    </w:p>
    <w:p w14:paraId="0079DE27" w14:textId="77777777" w:rsidR="004958C5" w:rsidRDefault="004958C5" w:rsidP="004958C5">
      <w:pPr>
        <w:pStyle w:val="normlntextvodstavcch"/>
        <w:spacing w:line="264" w:lineRule="auto"/>
        <w:rPr>
          <w:i/>
        </w:rPr>
      </w:pPr>
      <w:r w:rsidRPr="005B510E">
        <w:rPr>
          <w:i/>
        </w:rPr>
        <w:t>Přetrvávajícím problémem je nižší důvěryhodnost informací, které jsou na MZe shromažďovány. Při analýzách bylo opět častým jevem, že zpracovatel zřejmě ne zcela správně pochopil, co a</w:t>
      </w:r>
      <w:r>
        <w:rPr>
          <w:i/>
        </w:rPr>
        <w:t> </w:t>
      </w:r>
      <w:r w:rsidRPr="005B510E">
        <w:rPr>
          <w:i/>
        </w:rPr>
        <w:t>jak má vlastně vykazovat. Při komunikaci se zpracovateli hlášení se MZe setkalo s</w:t>
      </w:r>
      <w:r>
        <w:rPr>
          <w:i/>
        </w:rPr>
        <w:t> </w:t>
      </w:r>
      <w:r w:rsidRPr="005B510E">
        <w:rPr>
          <w:i/>
        </w:rPr>
        <w:t>problémem nedostatečného předávání informací nejen mezi vlastníky a</w:t>
      </w:r>
      <w:r>
        <w:rPr>
          <w:i/>
        </w:rPr>
        <w:t> </w:t>
      </w:r>
      <w:r w:rsidRPr="005B510E">
        <w:rPr>
          <w:i/>
        </w:rPr>
        <w:t>zpracovateli, ale i</w:t>
      </w:r>
      <w:r>
        <w:rPr>
          <w:i/>
        </w:rPr>
        <w:t> </w:t>
      </w:r>
      <w:r w:rsidRPr="005B510E">
        <w:rPr>
          <w:i/>
        </w:rPr>
        <w:t xml:space="preserve">mezi zpracovateli jednotlivých hlášení, </w:t>
      </w:r>
      <w:r>
        <w:rPr>
          <w:i/>
        </w:rPr>
        <w:t>tj.</w:t>
      </w:r>
      <w:r w:rsidRPr="005B510E">
        <w:rPr>
          <w:i/>
        </w:rPr>
        <w:t xml:space="preserve"> majetkové a</w:t>
      </w:r>
      <w:r>
        <w:rPr>
          <w:i/>
        </w:rPr>
        <w:t> </w:t>
      </w:r>
      <w:r w:rsidRPr="005B510E">
        <w:rPr>
          <w:i/>
        </w:rPr>
        <w:t>provozní evidence a</w:t>
      </w:r>
      <w:r>
        <w:rPr>
          <w:i/>
        </w:rPr>
        <w:t> </w:t>
      </w:r>
      <w:r w:rsidRPr="005B510E">
        <w:rPr>
          <w:i/>
        </w:rPr>
        <w:t>Porovnání. Jednou možností, jak tento stav změnit, je realizace edukativní činnosti v</w:t>
      </w:r>
      <w:r>
        <w:rPr>
          <w:i/>
        </w:rPr>
        <w:t> </w:t>
      </w:r>
      <w:r w:rsidRPr="005B510E">
        <w:rPr>
          <w:i/>
        </w:rPr>
        <w:t>této oblasti napříč oborem. Další možností je vylepšení jednotlivých funkcionalit aplikací dat sloužících na sběr dat se zaměřením na kontrolu kvality.</w:t>
      </w:r>
    </w:p>
    <w:p w14:paraId="5E4C2DBF" w14:textId="77777777" w:rsidR="007D7C8F" w:rsidRPr="00C62639" w:rsidRDefault="004958C5" w:rsidP="004958C5">
      <w:pPr>
        <w:pStyle w:val="NORMLN0"/>
        <w:spacing w:line="264" w:lineRule="auto"/>
        <w:rPr>
          <w:rFonts w:asciiTheme="minorHAnsi" w:hAnsiTheme="minorHAnsi"/>
          <w:i/>
          <w:noProof/>
        </w:rPr>
      </w:pPr>
      <w:r>
        <w:rPr>
          <w:i/>
        </w:rPr>
        <w:t>Závěrem j</w:t>
      </w:r>
      <w:r w:rsidRPr="005B510E">
        <w:rPr>
          <w:i/>
        </w:rPr>
        <w:t>e nutné upozornit, že v</w:t>
      </w:r>
      <w:r>
        <w:rPr>
          <w:i/>
        </w:rPr>
        <w:t> </w:t>
      </w:r>
      <w:r w:rsidRPr="005B510E">
        <w:rPr>
          <w:i/>
        </w:rPr>
        <w:t>zájmu zvýšení vypovídací schopnosti výsledků benchmarkingu, které jsou podkladem pro rozhodovací proces regulátora</w:t>
      </w:r>
      <w:r>
        <w:rPr>
          <w:i/>
        </w:rPr>
        <w:t>,</w:t>
      </w:r>
      <w:r w:rsidRPr="005B510E">
        <w:rPr>
          <w:i/>
        </w:rPr>
        <w:t xml:space="preserve"> a</w:t>
      </w:r>
      <w:r>
        <w:rPr>
          <w:i/>
        </w:rPr>
        <w:t> </w:t>
      </w:r>
      <w:r w:rsidRPr="005B510E">
        <w:rPr>
          <w:i/>
        </w:rPr>
        <w:t>v</w:t>
      </w:r>
      <w:r>
        <w:rPr>
          <w:i/>
        </w:rPr>
        <w:t> </w:t>
      </w:r>
      <w:r w:rsidRPr="005B510E">
        <w:rPr>
          <w:i/>
        </w:rPr>
        <w:t>zájmu zlepšení informovanosti odběratele o</w:t>
      </w:r>
      <w:r>
        <w:rPr>
          <w:i/>
        </w:rPr>
        <w:t> </w:t>
      </w:r>
      <w:r w:rsidRPr="005B510E">
        <w:rPr>
          <w:i/>
        </w:rPr>
        <w:t>skutečné ceně služeb by mělo MZe zpřísnit dohled nad plněním ustanovení §35a, odst. 7, vyhlášky č. 428/2001 Sb., tj. započítat (resp.</w:t>
      </w:r>
      <w:r>
        <w:rPr>
          <w:i/>
        </w:rPr>
        <w:t> </w:t>
      </w:r>
      <w:r w:rsidRPr="005B510E">
        <w:rPr>
          <w:i/>
        </w:rPr>
        <w:t>uvést) všechny skutečné náklady související s</w:t>
      </w:r>
      <w:r>
        <w:rPr>
          <w:i/>
        </w:rPr>
        <w:t> </w:t>
      </w:r>
      <w:r w:rsidRPr="005B510E">
        <w:rPr>
          <w:i/>
        </w:rPr>
        <w:t>poskytováním regulovaných služeb v</w:t>
      </w:r>
      <w:r>
        <w:rPr>
          <w:i/>
        </w:rPr>
        <w:t> </w:t>
      </w:r>
      <w:r w:rsidRPr="005B510E">
        <w:rPr>
          <w:i/>
        </w:rPr>
        <w:t>oboru vodovodů a</w:t>
      </w:r>
      <w:r>
        <w:rPr>
          <w:i/>
        </w:rPr>
        <w:t> </w:t>
      </w:r>
      <w:r w:rsidRPr="005B510E">
        <w:rPr>
          <w:i/>
        </w:rPr>
        <w:t>kanalizací do ceny pro vodné a</w:t>
      </w:r>
      <w:r>
        <w:rPr>
          <w:i/>
        </w:rPr>
        <w:t> </w:t>
      </w:r>
      <w:r w:rsidRPr="005B510E">
        <w:rPr>
          <w:i/>
        </w:rPr>
        <w:t xml:space="preserve">pro stočné. Jinak bude muset regulátor respektovat fakt, že </w:t>
      </w:r>
      <w:r>
        <w:rPr>
          <w:i/>
        </w:rPr>
        <w:t>neúplné informace mohou snižovat</w:t>
      </w:r>
      <w:r w:rsidRPr="005B510E">
        <w:rPr>
          <w:i/>
        </w:rPr>
        <w:t xml:space="preserve"> relev</w:t>
      </w:r>
      <w:r>
        <w:rPr>
          <w:i/>
        </w:rPr>
        <w:t>antnost výstupů benchmarkingu a ovlivňovat tak negativně e</w:t>
      </w:r>
      <w:r w:rsidRPr="005B510E">
        <w:rPr>
          <w:i/>
        </w:rPr>
        <w:t>fektivnost</w:t>
      </w:r>
      <w:r>
        <w:rPr>
          <w:i/>
        </w:rPr>
        <w:t xml:space="preserve"> a </w:t>
      </w:r>
      <w:r w:rsidRPr="005B510E">
        <w:rPr>
          <w:i/>
        </w:rPr>
        <w:t>účinnost jeho rozhodnutí.</w:t>
      </w:r>
    </w:p>
    <w:p w14:paraId="2B83DF57" w14:textId="77777777" w:rsidR="00C1539B" w:rsidRPr="00C62639" w:rsidRDefault="00C1539B" w:rsidP="00E1478C">
      <w:pPr>
        <w:spacing w:before="0" w:after="40" w:line="276" w:lineRule="auto"/>
        <w:ind w:firstLine="360"/>
        <w:contextualSpacing w:val="0"/>
        <w:rPr>
          <w:rFonts w:asciiTheme="minorHAnsi" w:hAnsiTheme="minorHAnsi"/>
          <w:i/>
          <w:noProof/>
        </w:rPr>
      </w:pPr>
      <w:r w:rsidRPr="00C62639">
        <w:rPr>
          <w:rFonts w:asciiTheme="minorHAnsi" w:hAnsiTheme="minorHAnsi"/>
          <w:i/>
          <w:noProof/>
        </w:rPr>
        <w:br w:type="page"/>
      </w:r>
    </w:p>
    <w:p w14:paraId="7D1BE192" w14:textId="77777777" w:rsidR="00E9122F" w:rsidRPr="00C62639" w:rsidRDefault="00F7523D" w:rsidP="00F7523D">
      <w:pPr>
        <w:pStyle w:val="Nadpis1"/>
        <w:rPr>
          <w:rFonts w:asciiTheme="minorHAnsi" w:eastAsia="Calibri" w:hAnsiTheme="minorHAnsi"/>
          <w:noProof/>
        </w:rPr>
      </w:pPr>
      <w:bookmarkStart w:id="47" w:name="_Toc3292005"/>
      <w:r w:rsidRPr="00C62639">
        <w:rPr>
          <w:rFonts w:asciiTheme="minorHAnsi" w:eastAsia="Calibri" w:hAnsiTheme="minorHAnsi"/>
          <w:noProof/>
        </w:rPr>
        <w:lastRenderedPageBreak/>
        <w:t>Benchmarking provozovatelských subjektů 201</w:t>
      </w:r>
      <w:r w:rsidR="004F7129">
        <w:rPr>
          <w:rFonts w:asciiTheme="minorHAnsi" w:eastAsia="Calibri" w:hAnsiTheme="minorHAnsi"/>
          <w:noProof/>
        </w:rPr>
        <w:t>7</w:t>
      </w:r>
      <w:bookmarkEnd w:id="47"/>
    </w:p>
    <w:p w14:paraId="31A99D7E" w14:textId="77777777" w:rsidR="00E9122F" w:rsidRPr="00C62639" w:rsidRDefault="0099530A" w:rsidP="0099530A">
      <w:pPr>
        <w:pStyle w:val="Nadpis2"/>
        <w:rPr>
          <w:rFonts w:asciiTheme="minorHAnsi" w:eastAsia="Calibri" w:hAnsiTheme="minorHAnsi"/>
          <w:noProof/>
        </w:rPr>
      </w:pPr>
      <w:bookmarkStart w:id="48" w:name="_Toc3292006"/>
      <w:r w:rsidRPr="00C62639">
        <w:rPr>
          <w:rFonts w:asciiTheme="minorHAnsi" w:eastAsia="Calibri" w:hAnsiTheme="minorHAnsi"/>
          <w:noProof/>
        </w:rPr>
        <w:t>Cíl zprávy</w:t>
      </w:r>
      <w:bookmarkEnd w:id="48"/>
    </w:p>
    <w:p w14:paraId="530BC390" w14:textId="77777777" w:rsidR="008B1EDC" w:rsidRDefault="00FF50B3">
      <w:pPr>
        <w:pStyle w:val="NORMLN0"/>
      </w:pPr>
      <w:r>
        <w:t>Benchmarking provozovatelských subjektů má za cíl posoudit</w:t>
      </w:r>
      <w:r w:rsidR="00BD3619" w:rsidRPr="00E27252">
        <w:t xml:space="preserve">, zda </w:t>
      </w:r>
      <w:r>
        <w:t xml:space="preserve">provozování </w:t>
      </w:r>
      <w:r w:rsidR="00C46A27">
        <w:t>VIM, bylo</w:t>
      </w:r>
      <w:r>
        <w:t xml:space="preserve"> realizováno </w:t>
      </w:r>
      <w:r w:rsidR="00BD3619" w:rsidRPr="00E27252">
        <w:t>způsobem, který z dlouhodobého hlediska sleduje plnění záměrů regulace oboru VaK</w:t>
      </w:r>
      <w:r w:rsidR="004C3A4C" w:rsidRPr="00E27252">
        <w:t>. Tyto informace se týkají</w:t>
      </w:r>
      <w:r w:rsidR="00BD3619" w:rsidRPr="00E27252">
        <w:t xml:space="preserve"> zejména cenotvorby, kvality poskytovaných služeb a ochrany životního p</w:t>
      </w:r>
      <w:r w:rsidR="00E27252">
        <w:t>r</w:t>
      </w:r>
      <w:r w:rsidR="00BD3619" w:rsidRPr="00E27252">
        <w:t>ostředí</w:t>
      </w:r>
      <w:r w:rsidR="004C3A4C" w:rsidRPr="00E27252">
        <w:t>.</w:t>
      </w:r>
      <w:r w:rsidR="00BD3619" w:rsidRPr="00E27252">
        <w:t xml:space="preserve"> </w:t>
      </w:r>
      <w:r w:rsidR="004C3A4C" w:rsidRPr="00E27252">
        <w:t>B</w:t>
      </w:r>
      <w:r w:rsidR="00BD3619" w:rsidRPr="00E27252">
        <w:t>enchmarking provozovatelských subjektů</w:t>
      </w:r>
      <w:r w:rsidR="004C3A4C" w:rsidRPr="00E27252">
        <w:t xml:space="preserve"> obsahuje</w:t>
      </w:r>
      <w:r w:rsidR="00BD3619" w:rsidRPr="00E27252">
        <w:t xml:space="preserve"> řadu ukazatelů, které sleduje pro každé Porovnání zvlášť. </w:t>
      </w:r>
      <w:r>
        <w:t xml:space="preserve">Na základě zjištěných hodnot ukazatelů byla </w:t>
      </w:r>
      <w:r w:rsidR="004F7129">
        <w:t>popsána a vy</w:t>
      </w:r>
      <w:r>
        <w:t xml:space="preserve">hodnocena činnost </w:t>
      </w:r>
      <w:r w:rsidR="002F0233">
        <w:t xml:space="preserve">provozovatelských subjektů </w:t>
      </w:r>
      <w:r w:rsidR="002371C2">
        <w:t xml:space="preserve">za rok 2017 </w:t>
      </w:r>
      <w:r w:rsidR="002F0233">
        <w:t xml:space="preserve">z pohledu odběratele a regulátora v jednotlivých velikostních skupinách se zaměřením na ekonomické, výrobní, personální a popřípadě environmentální ukazatele. </w:t>
      </w:r>
    </w:p>
    <w:p w14:paraId="055A4E85" w14:textId="77777777" w:rsidR="008B1EDC" w:rsidRDefault="00FF50B3">
      <w:pPr>
        <w:pStyle w:val="NORMLN0"/>
      </w:pPr>
      <w:r>
        <w:t>V</w:t>
      </w:r>
      <w:r w:rsidR="002F0233">
        <w:t xml:space="preserve"> jednotlivých skupinách provozovatelských subjektů </w:t>
      </w:r>
      <w:r>
        <w:t>byl</w:t>
      </w:r>
      <w:r w:rsidR="004F7129">
        <w:t>a</w:t>
      </w:r>
      <w:r>
        <w:t xml:space="preserve"> </w:t>
      </w:r>
      <w:r w:rsidR="002F0233">
        <w:t>identifikován</w:t>
      </w:r>
      <w:r w:rsidR="004F7129">
        <w:t>a</w:t>
      </w:r>
      <w:r w:rsidR="002F0233">
        <w:t xml:space="preserve"> Porovnání, kter</w:t>
      </w:r>
      <w:r w:rsidR="004F7129">
        <w:t>á</w:t>
      </w:r>
      <w:r w:rsidR="002F0233">
        <w:t xml:space="preserve"> </w:t>
      </w:r>
      <w:r w:rsidR="004F7129">
        <w:t xml:space="preserve">splňovala </w:t>
      </w:r>
      <w:r w:rsidR="002F0233">
        <w:t>kritéria</w:t>
      </w:r>
      <w:r>
        <w:t xml:space="preserve"> </w:t>
      </w:r>
      <w:r w:rsidR="002F0233">
        <w:t xml:space="preserve">zohledňující plnění záměrů </w:t>
      </w:r>
      <w:r>
        <w:t>regulace a</w:t>
      </w:r>
      <w:r w:rsidRPr="00E27252">
        <w:t xml:space="preserve"> zároveň</w:t>
      </w:r>
      <w:r w:rsidR="00BD3619" w:rsidRPr="00E27252">
        <w:t xml:space="preserve"> </w:t>
      </w:r>
      <w:r>
        <w:t xml:space="preserve">byly </w:t>
      </w:r>
      <w:r w:rsidR="00BD3619" w:rsidRPr="00E27252">
        <w:t>identifikov</w:t>
      </w:r>
      <w:r>
        <w:t>ány</w:t>
      </w:r>
      <w:r w:rsidR="00BD3619" w:rsidRPr="00E27252">
        <w:t xml:space="preserve"> subjekty,</w:t>
      </w:r>
      <w:r w:rsidR="004F7129">
        <w:t xml:space="preserve"> resp. Porovnání,</w:t>
      </w:r>
      <w:r w:rsidR="00BD3619" w:rsidRPr="00E27252">
        <w:t xml:space="preserve"> jejichž výsledky lze považovat za anomálie ve vztahu ke středním hodnotám (průměr, popř. medián) skupiny.</w:t>
      </w:r>
    </w:p>
    <w:p w14:paraId="74830AAC" w14:textId="77777777" w:rsidR="0099530A" w:rsidRPr="00C62639" w:rsidRDefault="0099530A" w:rsidP="008D2461">
      <w:pPr>
        <w:pStyle w:val="Nadpis2"/>
        <w:rPr>
          <w:rFonts w:asciiTheme="minorHAnsi" w:hAnsiTheme="minorHAnsi"/>
          <w:noProof/>
        </w:rPr>
      </w:pPr>
      <w:bookmarkStart w:id="49" w:name="_Toc3292007"/>
      <w:r w:rsidRPr="00C62639">
        <w:rPr>
          <w:rFonts w:asciiTheme="minorHAnsi" w:hAnsiTheme="minorHAnsi"/>
          <w:noProof/>
        </w:rPr>
        <w:t>Identifikované anomálie</w:t>
      </w:r>
      <w:bookmarkEnd w:id="49"/>
    </w:p>
    <w:p w14:paraId="623D57D3" w14:textId="0127FDA4" w:rsidR="008B1EDC" w:rsidRDefault="001B3150">
      <w:pPr>
        <w:pStyle w:val="NORMLN0"/>
        <w:rPr>
          <w:noProof/>
        </w:rPr>
      </w:pPr>
      <w:r>
        <w:rPr>
          <w:noProof/>
        </w:rPr>
        <w:t xml:space="preserve">V rámci analýzy </w:t>
      </w:r>
      <w:r w:rsidR="00BD3619">
        <w:rPr>
          <w:noProof/>
        </w:rPr>
        <w:t xml:space="preserve">byla </w:t>
      </w:r>
      <w:r>
        <w:rPr>
          <w:noProof/>
        </w:rPr>
        <w:t>provedeno zhodnocení výsledků činnosti provozování</w:t>
      </w:r>
      <w:r w:rsidR="00BC03D3">
        <w:rPr>
          <w:noProof/>
        </w:rPr>
        <w:t xml:space="preserve"> </w:t>
      </w:r>
      <w:r>
        <w:rPr>
          <w:noProof/>
        </w:rPr>
        <w:t>z pohledu odběratele v návaznosti na plnění dlouhodobých záměrů regulace. Výsledkem byl</w:t>
      </w:r>
      <w:r w:rsidR="004F7129">
        <w:rPr>
          <w:noProof/>
        </w:rPr>
        <w:t>a</w:t>
      </w:r>
      <w:r>
        <w:rPr>
          <w:noProof/>
        </w:rPr>
        <w:t xml:space="preserve"> </w:t>
      </w:r>
      <w:r w:rsidR="00BD3619">
        <w:rPr>
          <w:noProof/>
        </w:rPr>
        <w:t>identifikace anomálií</w:t>
      </w:r>
      <w:r w:rsidR="00BD3619" w:rsidRPr="00FB2074">
        <w:rPr>
          <w:noProof/>
        </w:rPr>
        <w:t xml:space="preserve"> týkající</w:t>
      </w:r>
      <w:r>
        <w:rPr>
          <w:noProof/>
        </w:rPr>
        <w:t>ch se</w:t>
      </w:r>
      <w:r w:rsidR="00BD3619" w:rsidRPr="00FB2074">
        <w:rPr>
          <w:noProof/>
        </w:rPr>
        <w:t xml:space="preserve"> výrobní, personální, ekonomick</w:t>
      </w:r>
      <w:r w:rsidR="001E60C1">
        <w:rPr>
          <w:noProof/>
        </w:rPr>
        <w:t>é</w:t>
      </w:r>
      <w:r>
        <w:rPr>
          <w:noProof/>
        </w:rPr>
        <w:t xml:space="preserve"> a environmentální</w:t>
      </w:r>
      <w:r w:rsidR="00BD3619" w:rsidRPr="00FB2074">
        <w:rPr>
          <w:noProof/>
        </w:rPr>
        <w:t xml:space="preserve"> oblast</w:t>
      </w:r>
      <w:r w:rsidR="001E60C1">
        <w:rPr>
          <w:noProof/>
        </w:rPr>
        <w:t>i</w:t>
      </w:r>
      <w:r w:rsidR="00BD3619" w:rsidRPr="00FB2074">
        <w:rPr>
          <w:noProof/>
        </w:rPr>
        <w:t xml:space="preserve"> </w:t>
      </w:r>
      <w:r>
        <w:rPr>
          <w:noProof/>
        </w:rPr>
        <w:t>činnosti provozovatele (vi</w:t>
      </w:r>
      <w:r w:rsidR="004F7129">
        <w:rPr>
          <w:noProof/>
        </w:rPr>
        <w:t>z</w:t>
      </w:r>
      <w:r>
        <w:rPr>
          <w:noProof/>
        </w:rPr>
        <w:t xml:space="preserve"> bod 1.1.4)</w:t>
      </w:r>
      <w:r w:rsidR="00CE581A">
        <w:rPr>
          <w:noProof/>
        </w:rPr>
        <w:t>.</w:t>
      </w:r>
      <w:r w:rsidR="00BD3619" w:rsidRPr="00FB2074">
        <w:rPr>
          <w:noProof/>
        </w:rPr>
        <w:t xml:space="preserve"> </w:t>
      </w:r>
    </w:p>
    <w:p w14:paraId="665F36DB" w14:textId="77777777" w:rsidR="008B1EDC" w:rsidRDefault="00BD3619">
      <w:pPr>
        <w:pStyle w:val="NORMLN0"/>
        <w:rPr>
          <w:rFonts w:asciiTheme="minorHAnsi" w:hAnsiTheme="minorHAnsi"/>
          <w:noProof/>
          <w:color w:val="833C0B" w:themeColor="accent2" w:themeShade="80"/>
        </w:rPr>
      </w:pPr>
      <w:r w:rsidRPr="00FB2074">
        <w:rPr>
          <w:noProof/>
        </w:rPr>
        <w:t>Detailnější specifikace a zhodnocení četnosti výskytu jednotlivých anomálií j</w:t>
      </w:r>
      <w:r w:rsidR="001E60C1">
        <w:rPr>
          <w:noProof/>
        </w:rPr>
        <w:t>sou</w:t>
      </w:r>
      <w:r w:rsidRPr="00FB2074">
        <w:rPr>
          <w:noProof/>
        </w:rPr>
        <w:t xml:space="preserve"> uveden</w:t>
      </w:r>
      <w:r w:rsidR="001E60C1">
        <w:rPr>
          <w:noProof/>
        </w:rPr>
        <w:t>y</w:t>
      </w:r>
      <w:r w:rsidRPr="00FB2074">
        <w:rPr>
          <w:noProof/>
        </w:rPr>
        <w:t xml:space="preserve"> samostatně pro vodovod a kanalizaci.</w:t>
      </w:r>
    </w:p>
    <w:p w14:paraId="6DC85D67" w14:textId="77777777" w:rsidR="0099530A" w:rsidRPr="00C62639" w:rsidRDefault="008D2461" w:rsidP="00650859">
      <w:pPr>
        <w:pStyle w:val="Nadpis3"/>
        <w:rPr>
          <w:rFonts w:asciiTheme="minorHAnsi" w:eastAsia="Calibri Light" w:hAnsiTheme="minorHAnsi"/>
          <w:noProof/>
        </w:rPr>
      </w:pPr>
      <w:bookmarkStart w:id="50" w:name="_Toc3292008"/>
      <w:r w:rsidRPr="00C62639">
        <w:rPr>
          <w:rFonts w:asciiTheme="minorHAnsi" w:eastAsia="Calibri Light" w:hAnsiTheme="minorHAnsi"/>
          <w:noProof/>
        </w:rPr>
        <w:t>Vodovod</w:t>
      </w:r>
      <w:bookmarkEnd w:id="50"/>
    </w:p>
    <w:p w14:paraId="3AB41D32" w14:textId="30CE20B6" w:rsidR="008B1EDC" w:rsidRDefault="00BD3619">
      <w:pPr>
        <w:pStyle w:val="NORMLN0"/>
        <w:rPr>
          <w:noProof/>
        </w:rPr>
      </w:pPr>
      <w:r w:rsidRPr="00FB2074">
        <w:rPr>
          <w:noProof/>
        </w:rPr>
        <w:t>V</w:t>
      </w:r>
      <w:r w:rsidR="006E1FA2">
        <w:rPr>
          <w:noProof/>
        </w:rPr>
        <w:t> této části</w:t>
      </w:r>
      <w:r w:rsidRPr="00FB2074">
        <w:rPr>
          <w:noProof/>
        </w:rPr>
        <w:t xml:space="preserve"> benchmark</w:t>
      </w:r>
      <w:r>
        <w:rPr>
          <w:noProof/>
        </w:rPr>
        <w:t>ingu provozovatelských subjektů</w:t>
      </w:r>
      <w:r w:rsidRPr="00FB2074">
        <w:rPr>
          <w:noProof/>
        </w:rPr>
        <w:t xml:space="preserve"> bylo posuzováno </w:t>
      </w:r>
      <w:r w:rsidR="001B3150">
        <w:rPr>
          <w:noProof/>
        </w:rPr>
        <w:t>1 697</w:t>
      </w:r>
      <w:r w:rsidRPr="00FB2074">
        <w:rPr>
          <w:noProof/>
        </w:rPr>
        <w:t xml:space="preserve"> Porovnání, která </w:t>
      </w:r>
      <w:r>
        <w:rPr>
          <w:noProof/>
        </w:rPr>
        <w:t xml:space="preserve">představují </w:t>
      </w:r>
      <w:r w:rsidR="001B3150">
        <w:rPr>
          <w:noProof/>
        </w:rPr>
        <w:t>97,50</w:t>
      </w:r>
      <w:r w:rsidRPr="00FB2074">
        <w:rPr>
          <w:noProof/>
        </w:rPr>
        <w:t xml:space="preserve">% podíl trhu určený na základě množství vody fakturované (tj. </w:t>
      </w:r>
      <w:r w:rsidR="001B3150">
        <w:rPr>
          <w:noProof/>
        </w:rPr>
        <w:t>461,36</w:t>
      </w:r>
      <w:r w:rsidRPr="00FB2074">
        <w:rPr>
          <w:noProof/>
        </w:rPr>
        <w:t xml:space="preserve"> </w:t>
      </w:r>
      <w:r w:rsidR="00E27252">
        <w:rPr>
          <w:noProof/>
        </w:rPr>
        <w:t>mil. m</w:t>
      </w:r>
      <w:r w:rsidR="00E27252" w:rsidRPr="00E27252">
        <w:rPr>
          <w:noProof/>
          <w:vertAlign w:val="superscript"/>
        </w:rPr>
        <w:t>3</w:t>
      </w:r>
      <w:r w:rsidRPr="00FB2074">
        <w:rPr>
          <w:noProof/>
        </w:rPr>
        <w:t xml:space="preserve"> z celkových </w:t>
      </w:r>
      <w:r w:rsidR="001B3150">
        <w:rPr>
          <w:noProof/>
        </w:rPr>
        <w:t>473,2</w:t>
      </w:r>
      <w:r w:rsidRPr="00FB2074">
        <w:rPr>
          <w:noProof/>
        </w:rPr>
        <w:t xml:space="preserve"> </w:t>
      </w:r>
      <w:r w:rsidR="00E27252">
        <w:rPr>
          <w:noProof/>
        </w:rPr>
        <w:t>mil. m</w:t>
      </w:r>
      <w:r w:rsidR="00E27252" w:rsidRPr="00E27252">
        <w:rPr>
          <w:noProof/>
          <w:vertAlign w:val="superscript"/>
        </w:rPr>
        <w:t>3</w:t>
      </w:r>
      <w:r w:rsidRPr="00FB2074">
        <w:rPr>
          <w:noProof/>
        </w:rPr>
        <w:t>).</w:t>
      </w:r>
      <w:r w:rsidR="00B26631">
        <w:rPr>
          <w:noProof/>
        </w:rPr>
        <w:t xml:space="preserve"> </w:t>
      </w:r>
      <w:r w:rsidR="004F7129">
        <w:rPr>
          <w:noProof/>
        </w:rPr>
        <w:t>A</w:t>
      </w:r>
      <w:r>
        <w:rPr>
          <w:noProof/>
        </w:rPr>
        <w:t>lespoň jedna anomálie</w:t>
      </w:r>
      <w:r w:rsidRPr="00FB2074">
        <w:rPr>
          <w:noProof/>
        </w:rPr>
        <w:t xml:space="preserve"> </w:t>
      </w:r>
      <w:r w:rsidR="004F7129">
        <w:rPr>
          <w:noProof/>
        </w:rPr>
        <w:t>se vyskytuje u</w:t>
      </w:r>
      <w:r w:rsidR="00BC03D3">
        <w:rPr>
          <w:noProof/>
        </w:rPr>
        <w:t xml:space="preserve"> </w:t>
      </w:r>
      <w:r w:rsidR="007B5F63">
        <w:rPr>
          <w:noProof/>
        </w:rPr>
        <w:t>60,10</w:t>
      </w:r>
      <w:r w:rsidR="00CE581A">
        <w:rPr>
          <w:noProof/>
        </w:rPr>
        <w:t xml:space="preserve"> </w:t>
      </w:r>
      <w:r w:rsidRPr="00FB2074">
        <w:rPr>
          <w:noProof/>
        </w:rPr>
        <w:t xml:space="preserve">% analyzovaných Porovnání, tj. </w:t>
      </w:r>
      <w:r w:rsidR="006B4295">
        <w:rPr>
          <w:noProof/>
        </w:rPr>
        <w:t>1</w:t>
      </w:r>
      <w:r w:rsidR="00CE581A">
        <w:rPr>
          <w:noProof/>
        </w:rPr>
        <w:t xml:space="preserve"> </w:t>
      </w:r>
      <w:r w:rsidR="006B4295">
        <w:rPr>
          <w:noProof/>
        </w:rPr>
        <w:t>2</w:t>
      </w:r>
      <w:r w:rsidR="007B5F63">
        <w:rPr>
          <w:noProof/>
        </w:rPr>
        <w:t>62</w:t>
      </w:r>
      <w:r w:rsidRPr="00FB2074">
        <w:rPr>
          <w:noProof/>
        </w:rPr>
        <w:t xml:space="preserve"> Porovnání. Z hledis</w:t>
      </w:r>
      <w:r>
        <w:rPr>
          <w:noProof/>
        </w:rPr>
        <w:t>ka o</w:t>
      </w:r>
      <w:r w:rsidR="00E27252">
        <w:rPr>
          <w:noProof/>
        </w:rPr>
        <w:t>b</w:t>
      </w:r>
      <w:r>
        <w:rPr>
          <w:noProof/>
        </w:rPr>
        <w:t>jemu pitné vody fakturované</w:t>
      </w:r>
      <w:r w:rsidRPr="00FB2074">
        <w:rPr>
          <w:noProof/>
        </w:rPr>
        <w:t xml:space="preserve"> je anomáliemi </w:t>
      </w:r>
      <w:r w:rsidR="006B4295">
        <w:rPr>
          <w:noProof/>
        </w:rPr>
        <w:t>ovlivněn</w:t>
      </w:r>
      <w:r w:rsidRPr="00FB2074">
        <w:rPr>
          <w:noProof/>
        </w:rPr>
        <w:t xml:space="preserve"> </w:t>
      </w:r>
      <w:r w:rsidR="00184F09">
        <w:rPr>
          <w:noProof/>
        </w:rPr>
        <w:t>60,</w:t>
      </w:r>
      <w:r w:rsidR="007B5F63">
        <w:rPr>
          <w:noProof/>
        </w:rPr>
        <w:t>10</w:t>
      </w:r>
      <w:r w:rsidRPr="00FB2074">
        <w:rPr>
          <w:noProof/>
        </w:rPr>
        <w:t>% podíl analyzovaného trhu (</w:t>
      </w:r>
      <w:r w:rsidR="007B5F63">
        <w:rPr>
          <w:noProof/>
        </w:rPr>
        <w:t>277,</w:t>
      </w:r>
      <w:r w:rsidR="00635BFD">
        <w:rPr>
          <w:noProof/>
        </w:rPr>
        <w:t>28</w:t>
      </w:r>
      <w:r w:rsidRPr="00FB2074">
        <w:rPr>
          <w:noProof/>
        </w:rPr>
        <w:t xml:space="preserve"> </w:t>
      </w:r>
      <w:r w:rsidR="00E27252">
        <w:rPr>
          <w:noProof/>
        </w:rPr>
        <w:t>mil. m</w:t>
      </w:r>
      <w:r w:rsidR="00E27252" w:rsidRPr="00E27252">
        <w:rPr>
          <w:noProof/>
          <w:vertAlign w:val="superscript"/>
        </w:rPr>
        <w:t>3</w:t>
      </w:r>
      <w:r w:rsidR="004F7129">
        <w:rPr>
          <w:noProof/>
        </w:rPr>
        <w:t xml:space="preserve"> fakturované vody</w:t>
      </w:r>
      <w:r w:rsidRPr="00FB2074">
        <w:rPr>
          <w:noProof/>
        </w:rPr>
        <w:t>).</w:t>
      </w:r>
      <w:r>
        <w:rPr>
          <w:noProof/>
        </w:rPr>
        <w:t xml:space="preserve"> </w:t>
      </w:r>
    </w:p>
    <w:p w14:paraId="2AD0ECD8" w14:textId="77777777" w:rsidR="00570A00" w:rsidRDefault="007B5F63" w:rsidP="0049509D">
      <w:pPr>
        <w:pStyle w:val="NORMLN0"/>
        <w:rPr>
          <w:rStyle w:val="NormlnzprvaChar"/>
        </w:rPr>
      </w:pPr>
      <w:r>
        <w:rPr>
          <w:noProof/>
          <w:lang w:eastAsia="cs-CZ"/>
        </w:rPr>
        <w:lastRenderedPageBreak/>
        <w:drawing>
          <wp:anchor distT="0" distB="0" distL="114300" distR="114300" simplePos="0" relativeHeight="251678720" behindDoc="0" locked="0" layoutInCell="1" allowOverlap="1" wp14:anchorId="3849E8CA" wp14:editId="0674583D">
            <wp:simplePos x="0" y="0"/>
            <wp:positionH relativeFrom="margin">
              <wp:align>center</wp:align>
            </wp:positionH>
            <wp:positionV relativeFrom="paragraph">
              <wp:posOffset>527</wp:posOffset>
            </wp:positionV>
            <wp:extent cx="5262113" cy="3614468"/>
            <wp:effectExtent l="0" t="0" r="0" b="5080"/>
            <wp:wrapTopAndBottom/>
            <wp:docPr id="38" name="Graf 3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C80FD2F1-2D37-4F68-AC0E-E1188C54C9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2C1AE09A" w14:textId="77777777" w:rsidR="00E75738" w:rsidRDefault="00D234AD" w:rsidP="001E60C1">
      <w:pPr>
        <w:pStyle w:val="NORMLN0"/>
        <w:rPr>
          <w:rStyle w:val="NormlnzprvaChar"/>
        </w:rPr>
      </w:pPr>
      <w:r w:rsidRPr="00D234AD">
        <w:rPr>
          <w:rStyle w:val="NormlnzprvaChar"/>
          <w:noProof/>
          <w:szCs w:val="20"/>
          <w:lang w:eastAsia="cs-CZ"/>
        </w:rPr>
        <w:drawing>
          <wp:anchor distT="0" distB="0" distL="114300" distR="114300" simplePos="0" relativeHeight="251679744" behindDoc="0" locked="0" layoutInCell="1" allowOverlap="1" wp14:anchorId="3869E13F" wp14:editId="50F2F37F">
            <wp:simplePos x="0" y="0"/>
            <wp:positionH relativeFrom="margin">
              <wp:align>center</wp:align>
            </wp:positionH>
            <wp:positionV relativeFrom="paragraph">
              <wp:posOffset>445135</wp:posOffset>
            </wp:positionV>
            <wp:extent cx="6595110" cy="4538345"/>
            <wp:effectExtent l="0" t="0" r="0" b="0"/>
            <wp:wrapTopAndBottom/>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95110" cy="4538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5738" w:rsidRPr="00E27252">
        <w:rPr>
          <w:rStyle w:val="NormlnzprvaChar"/>
        </w:rPr>
        <w:t xml:space="preserve">Následující tabulka </w:t>
      </w:r>
      <w:r w:rsidR="00E75738" w:rsidRPr="001E60C1">
        <w:rPr>
          <w:rStyle w:val="NormlnzprvaChar"/>
          <w:szCs w:val="20"/>
        </w:rPr>
        <w:t>uvádí</w:t>
      </w:r>
      <w:r w:rsidR="00E75738" w:rsidRPr="00E27252">
        <w:rPr>
          <w:rStyle w:val="NormlnzprvaChar"/>
        </w:rPr>
        <w:t xml:space="preserve"> četnost výskytu jednotlivých </w:t>
      </w:r>
      <w:r w:rsidR="004F7129">
        <w:rPr>
          <w:rStyle w:val="NormlnzprvaChar"/>
        </w:rPr>
        <w:t>a</w:t>
      </w:r>
      <w:r w:rsidR="00184F09">
        <w:rPr>
          <w:rStyle w:val="NormlnzprvaChar"/>
        </w:rPr>
        <w:t xml:space="preserve">nomálií </w:t>
      </w:r>
      <w:r w:rsidR="00E75738" w:rsidRPr="00E27252">
        <w:rPr>
          <w:rStyle w:val="NormlnzprvaChar"/>
        </w:rPr>
        <w:t>u analyzovaných Porovnání</w:t>
      </w:r>
      <w:r w:rsidR="004F7129">
        <w:rPr>
          <w:rStyle w:val="NormlnzprvaChar"/>
        </w:rPr>
        <w:t>.</w:t>
      </w:r>
    </w:p>
    <w:p w14:paraId="1E274E63" w14:textId="574A1199" w:rsidR="00824322" w:rsidRDefault="0049509D">
      <w:pPr>
        <w:pStyle w:val="NORMLN0"/>
      </w:pPr>
      <w:r w:rsidRPr="00FB2074">
        <w:lastRenderedPageBreak/>
        <w:t>Z hlediska objem</w:t>
      </w:r>
      <w:r>
        <w:t>u</w:t>
      </w:r>
      <w:r w:rsidRPr="00FB2074">
        <w:t xml:space="preserve"> fakturované </w:t>
      </w:r>
      <w:r w:rsidR="003E74EE">
        <w:t xml:space="preserve">vody </w:t>
      </w:r>
      <w:r w:rsidRPr="00FB2074">
        <w:t xml:space="preserve">je </w:t>
      </w:r>
      <w:r w:rsidR="00AF11F9">
        <w:t xml:space="preserve">lze za významný označit </w:t>
      </w:r>
      <w:r w:rsidR="00EA1BAB">
        <w:t xml:space="preserve">výskyt </w:t>
      </w:r>
      <w:r w:rsidRPr="00FB2074">
        <w:t>anomálie</w:t>
      </w:r>
      <w:r w:rsidR="00EA1BAB">
        <w:t xml:space="preserve"> </w:t>
      </w:r>
      <w:r w:rsidR="00570A00" w:rsidRPr="00570A00">
        <w:rPr>
          <w:b/>
        </w:rPr>
        <w:t>vysoké ztráty vody na 1 km přepočtené délky vodov</w:t>
      </w:r>
      <w:r w:rsidR="00570A00">
        <w:rPr>
          <w:b/>
        </w:rPr>
        <w:t>o</w:t>
      </w:r>
      <w:r w:rsidR="00570A00" w:rsidRPr="00570A00">
        <w:rPr>
          <w:b/>
        </w:rPr>
        <w:t>dního řadu na den</w:t>
      </w:r>
      <w:r w:rsidR="00570A00">
        <w:t xml:space="preserve">, která ovlivňuje </w:t>
      </w:r>
      <w:r w:rsidR="00AF11F9">
        <w:t>23,28</w:t>
      </w:r>
      <w:r w:rsidR="00570A00">
        <w:t>% podíl analyzovaného trhu (</w:t>
      </w:r>
      <w:r w:rsidR="00AF11F9">
        <w:t>78</w:t>
      </w:r>
      <w:r w:rsidR="00570A00">
        <w:t xml:space="preserve"> Porovnání; </w:t>
      </w:r>
      <w:r w:rsidR="00AF11F9">
        <w:t>107,39</w:t>
      </w:r>
      <w:r w:rsidR="00570A00">
        <w:t xml:space="preserve"> m</w:t>
      </w:r>
      <w:r w:rsidR="00570A00" w:rsidRPr="00570A00">
        <w:rPr>
          <w:vertAlign w:val="superscript"/>
        </w:rPr>
        <w:t>3</w:t>
      </w:r>
      <w:r w:rsidR="00570A00">
        <w:t xml:space="preserve"> fakturované vody). Anomálie byla nalezena </w:t>
      </w:r>
      <w:r w:rsidR="001E60C1">
        <w:t>kromě</w:t>
      </w:r>
      <w:r w:rsidR="00570A00">
        <w:t xml:space="preserve"> II. </w:t>
      </w:r>
      <w:r w:rsidR="001E60C1">
        <w:t>s</w:t>
      </w:r>
      <w:r w:rsidR="00570A00">
        <w:t xml:space="preserve">kupiny ve všech </w:t>
      </w:r>
      <w:r w:rsidR="006E1FA2">
        <w:t>os</w:t>
      </w:r>
      <w:r w:rsidR="001E60C1">
        <w:t>ta</w:t>
      </w:r>
      <w:r w:rsidR="006E1FA2">
        <w:t>t</w:t>
      </w:r>
      <w:r w:rsidR="001E60C1">
        <w:t>ních</w:t>
      </w:r>
      <w:r w:rsidR="00570A00">
        <w:t xml:space="preserve"> skupinách. </w:t>
      </w:r>
      <w:r w:rsidR="005D7161" w:rsidRPr="005D7161">
        <w:rPr>
          <w:b/>
        </w:rPr>
        <w:t>Vysoký p</w:t>
      </w:r>
      <w:r w:rsidR="009F1F50" w:rsidRPr="005D7161">
        <w:rPr>
          <w:b/>
        </w:rPr>
        <w:t>odíl ztrát na vodě určené k</w:t>
      </w:r>
      <w:r w:rsidR="005D7161">
        <w:rPr>
          <w:b/>
        </w:rPr>
        <w:t> </w:t>
      </w:r>
      <w:r w:rsidR="00AF11F9" w:rsidRPr="005D7161">
        <w:rPr>
          <w:b/>
        </w:rPr>
        <w:t>realizaci</w:t>
      </w:r>
      <w:r w:rsidR="00AF11F9">
        <w:rPr>
          <w:b/>
        </w:rPr>
        <w:t xml:space="preserve"> (%)</w:t>
      </w:r>
      <w:r w:rsidR="00AF11F9">
        <w:t xml:space="preserve"> přímo</w:t>
      </w:r>
      <w:r w:rsidR="009F1F50">
        <w:t xml:space="preserve"> souvisí s předchozím ukazatelem</w:t>
      </w:r>
      <w:r w:rsidR="005D7161">
        <w:t xml:space="preserve"> a poukazuje na problém s technickým stavem infrastruktury. Anomálie byla nalezena u </w:t>
      </w:r>
      <w:r w:rsidR="00AF11F9">
        <w:t>63</w:t>
      </w:r>
      <w:r w:rsidR="005D7161">
        <w:t xml:space="preserve"> Porovnání (</w:t>
      </w:r>
      <w:r w:rsidR="00AF11F9">
        <w:t>71,41</w:t>
      </w:r>
      <w:r w:rsidR="005D7161">
        <w:t xml:space="preserve"> mil. m</w:t>
      </w:r>
      <w:r w:rsidR="005D7161" w:rsidRPr="00FC0EC8">
        <w:rPr>
          <w:vertAlign w:val="superscript"/>
        </w:rPr>
        <w:t>3</w:t>
      </w:r>
      <w:r w:rsidR="005D7161">
        <w:t xml:space="preserve"> fakturované vody; tj. </w:t>
      </w:r>
      <w:r w:rsidR="00AF11F9">
        <w:t>15,48</w:t>
      </w:r>
      <w:r w:rsidR="005D7161">
        <w:t xml:space="preserve">% podíl analyzovaného trhu). </w:t>
      </w:r>
      <w:r w:rsidR="001E60C1">
        <w:t>Při sledování výše ztrát byl</w:t>
      </w:r>
      <w:r w:rsidR="006E1FA2">
        <w:t>o</w:t>
      </w:r>
      <w:r w:rsidR="001E60C1">
        <w:t xml:space="preserve"> </w:t>
      </w:r>
      <w:r w:rsidR="00AF11F9">
        <w:t>identifikováno 260</w:t>
      </w:r>
      <w:r w:rsidR="005D7161">
        <w:t xml:space="preserve"> Porovnání </w:t>
      </w:r>
      <w:r w:rsidR="001E60C1">
        <w:t xml:space="preserve">s </w:t>
      </w:r>
      <w:r w:rsidR="001E60C1">
        <w:rPr>
          <w:b/>
        </w:rPr>
        <w:t>nulovými ztrátami vody vykázanými v souvisejících VÚPE</w:t>
      </w:r>
      <w:r w:rsidR="001E60C1">
        <w:t xml:space="preserve">. Tato Porovnání </w:t>
      </w:r>
      <w:r w:rsidR="002501C7">
        <w:t>se vyskytují</w:t>
      </w:r>
      <w:r w:rsidR="005D7161">
        <w:t xml:space="preserve"> v V. až VIII. provozovatelské skupině</w:t>
      </w:r>
      <w:r w:rsidR="001E60C1">
        <w:t xml:space="preserve"> a představují</w:t>
      </w:r>
      <w:r w:rsidR="005D7161">
        <w:t xml:space="preserve"> 1,03% podíl analyzovaného trhu (4,76 mil. m</w:t>
      </w:r>
      <w:r w:rsidR="005D7161" w:rsidRPr="00A061F4">
        <w:rPr>
          <w:vertAlign w:val="superscript"/>
        </w:rPr>
        <w:t>3</w:t>
      </w:r>
      <w:r w:rsidR="005D7161">
        <w:t xml:space="preserve"> fakturované vody). I když se jedná o anomálii s m</w:t>
      </w:r>
      <w:r w:rsidR="00824322">
        <w:t>a</w:t>
      </w:r>
      <w:r w:rsidR="005D7161">
        <w:t>lým vlivem na analyzovaný trh, svědčí o nesystematickém přístupu provozovatelů k ú</w:t>
      </w:r>
      <w:r w:rsidR="005D7161" w:rsidRPr="00FB2074">
        <w:t xml:space="preserve">držbě a opravám VIM </w:t>
      </w:r>
      <w:r w:rsidR="005D7161">
        <w:t xml:space="preserve">a nesledování stavu VIM. </w:t>
      </w:r>
    </w:p>
    <w:p w14:paraId="64F6E8A8" w14:textId="31FE1C8A" w:rsidR="00570A00" w:rsidRDefault="005D7161" w:rsidP="006E1FA2">
      <w:pPr>
        <w:pStyle w:val="NORMLN0"/>
        <w:tabs>
          <w:tab w:val="left" w:pos="3261"/>
        </w:tabs>
      </w:pPr>
      <w:r>
        <w:t>Další ukazatel, který upozorňuje na problémy související s technickým stavem VIM</w:t>
      </w:r>
      <w:r w:rsidR="002F4C99">
        <w:t>,</w:t>
      </w:r>
      <w:r>
        <w:t xml:space="preserve"> způsobem provozování </w:t>
      </w:r>
      <w:r w:rsidR="002F4C99">
        <w:t>a kvalitou měření vyrobené a dodané vody</w:t>
      </w:r>
      <w:r w:rsidR="00C914A3">
        <w:t>,</w:t>
      </w:r>
      <w:r w:rsidR="002F4C99">
        <w:t xml:space="preserve"> je </w:t>
      </w:r>
      <w:r w:rsidR="002F4C99" w:rsidRPr="002F4C99">
        <w:rPr>
          <w:b/>
        </w:rPr>
        <w:t>vysoká hodnota</w:t>
      </w:r>
      <w:r w:rsidR="002F4C99">
        <w:t xml:space="preserve"> </w:t>
      </w:r>
      <w:r w:rsidR="00EA1BAB">
        <w:rPr>
          <w:b/>
        </w:rPr>
        <w:t>vod</w:t>
      </w:r>
      <w:r w:rsidR="002501C7">
        <w:rPr>
          <w:b/>
        </w:rPr>
        <w:t>y</w:t>
      </w:r>
      <w:r w:rsidR="00EA1BAB">
        <w:rPr>
          <w:b/>
        </w:rPr>
        <w:t xml:space="preserve"> nefakturovaná na 1 km př</w:t>
      </w:r>
      <w:r w:rsidR="00EA1BAB" w:rsidRPr="00EA1BAB">
        <w:rPr>
          <w:b/>
        </w:rPr>
        <w:t xml:space="preserve">epočtené délky vodovodního </w:t>
      </w:r>
      <w:r w:rsidR="00EA1BAB">
        <w:rPr>
          <w:b/>
        </w:rPr>
        <w:t>ř</w:t>
      </w:r>
      <w:r w:rsidR="00EA1BAB" w:rsidRPr="00EA1BAB">
        <w:rPr>
          <w:b/>
        </w:rPr>
        <w:t>ádu na den</w:t>
      </w:r>
      <w:r w:rsidR="00824322">
        <w:rPr>
          <w:b/>
        </w:rPr>
        <w:t>.</w:t>
      </w:r>
      <w:r w:rsidR="00824322">
        <w:t xml:space="preserve"> Porovnání</w:t>
      </w:r>
      <w:r w:rsidR="00C914A3">
        <w:t>, u kterých</w:t>
      </w:r>
      <w:r w:rsidR="006E1FA2">
        <w:t xml:space="preserve"> byla tato anomálie identifikována</w:t>
      </w:r>
      <w:r w:rsidR="00C914A3">
        <w:t>,</w:t>
      </w:r>
      <w:r w:rsidR="006E1FA2">
        <w:t xml:space="preserve"> tvoří</w:t>
      </w:r>
      <w:r w:rsidR="00EA1BAB">
        <w:t xml:space="preserve"> </w:t>
      </w:r>
      <w:r w:rsidR="002501C7">
        <w:t>6,01</w:t>
      </w:r>
      <w:r w:rsidR="00EA1BAB">
        <w:t xml:space="preserve">% podíl analyzovaného trhu </w:t>
      </w:r>
      <w:r w:rsidR="006D6608">
        <w:t>(</w:t>
      </w:r>
      <w:r w:rsidR="002501C7">
        <w:t>102</w:t>
      </w:r>
      <w:r w:rsidR="006D6608">
        <w:t xml:space="preserve"> Porovnání; </w:t>
      </w:r>
      <w:r w:rsidR="002501C7">
        <w:t>27,75</w:t>
      </w:r>
      <w:r w:rsidR="006D6608">
        <w:t xml:space="preserve"> mil. m</w:t>
      </w:r>
      <w:r w:rsidR="006D6608" w:rsidRPr="00EA1BAB">
        <w:rPr>
          <w:vertAlign w:val="superscript"/>
        </w:rPr>
        <w:t>3</w:t>
      </w:r>
      <w:r w:rsidR="006D6608">
        <w:t xml:space="preserve"> fakturované vody)</w:t>
      </w:r>
      <w:r w:rsidR="00EA1BAB">
        <w:t xml:space="preserve">. Anomálie byla nalezena </w:t>
      </w:r>
      <w:r w:rsidR="002F4C99">
        <w:t xml:space="preserve">v III. až VIII. </w:t>
      </w:r>
      <w:r w:rsidR="00EA1BAB">
        <w:t>provozovatelsk</w:t>
      </w:r>
      <w:r w:rsidR="002F4C99">
        <w:t>é</w:t>
      </w:r>
      <w:r w:rsidR="00EA1BAB">
        <w:t xml:space="preserve"> skupin</w:t>
      </w:r>
      <w:r w:rsidR="002F4C99">
        <w:t>ě</w:t>
      </w:r>
      <w:r w:rsidR="00EA1BAB">
        <w:t>.</w:t>
      </w:r>
      <w:r w:rsidR="00491939">
        <w:t xml:space="preserve"> </w:t>
      </w:r>
      <w:r w:rsidR="00362280">
        <w:t>Blíže je problematika an</w:t>
      </w:r>
      <w:r w:rsidR="006E1FA2">
        <w:t>aly</w:t>
      </w:r>
      <w:r w:rsidR="00362280">
        <w:t>zována v kapitole 6.2.4.</w:t>
      </w:r>
    </w:p>
    <w:p w14:paraId="6F4853D0" w14:textId="37EA593D" w:rsidR="008B1EDC" w:rsidRDefault="00FF00AE" w:rsidP="00160E49">
      <w:pPr>
        <w:pStyle w:val="NORMLN0"/>
        <w:tabs>
          <w:tab w:val="left" w:pos="3119"/>
        </w:tabs>
      </w:pPr>
      <w:r>
        <w:t xml:space="preserve">Další skupina </w:t>
      </w:r>
      <w:r w:rsidR="00824322">
        <w:t xml:space="preserve">anomálií </w:t>
      </w:r>
      <w:r>
        <w:t>se týk</w:t>
      </w:r>
      <w:r w:rsidR="00824322">
        <w:t>á</w:t>
      </w:r>
      <w:r>
        <w:t xml:space="preserve"> cenotvo</w:t>
      </w:r>
      <w:r w:rsidR="00FA03E3">
        <w:t>r</w:t>
      </w:r>
      <w:r w:rsidR="0044627E">
        <w:t xml:space="preserve">by a výsledku hospodaření. Z hlediska objemu fakturované vody se u </w:t>
      </w:r>
      <w:r w:rsidR="002501C7">
        <w:t>0,54</w:t>
      </w:r>
      <w:r w:rsidR="0044627E">
        <w:t>% podílu analyzovaného trhu (</w:t>
      </w:r>
      <w:r w:rsidR="002501C7">
        <w:t>2,47</w:t>
      </w:r>
      <w:r w:rsidR="0044627E">
        <w:t xml:space="preserve"> mil. </w:t>
      </w:r>
      <w:r w:rsidR="0044627E" w:rsidRPr="0044627E">
        <w:t>m</w:t>
      </w:r>
      <w:r w:rsidR="0044627E" w:rsidRPr="0044627E">
        <w:rPr>
          <w:vertAlign w:val="superscript"/>
        </w:rPr>
        <w:t>3</w:t>
      </w:r>
      <w:r w:rsidR="0044627E">
        <w:t>)</w:t>
      </w:r>
      <w:r w:rsidR="00AD2FB6">
        <w:t xml:space="preserve"> </w:t>
      </w:r>
      <w:r w:rsidR="0044627E" w:rsidRPr="0044627E">
        <w:t>vyskytuje</w:t>
      </w:r>
      <w:r w:rsidR="0044627E">
        <w:t xml:space="preserve"> </w:t>
      </w:r>
      <w:r w:rsidR="0044627E">
        <w:rPr>
          <w:b/>
        </w:rPr>
        <w:t xml:space="preserve">vysoká cena pro vodné. </w:t>
      </w:r>
      <w:r w:rsidR="00AD5947" w:rsidRPr="00AD5947">
        <w:t>Vysoká cena</w:t>
      </w:r>
      <w:r w:rsidR="00AD5947">
        <w:rPr>
          <w:b/>
        </w:rPr>
        <w:t xml:space="preserve"> </w:t>
      </w:r>
      <w:r w:rsidR="00AD5947">
        <w:t xml:space="preserve">může být </w:t>
      </w:r>
      <w:r w:rsidR="002F6B9F">
        <w:t>také důsledkem atomizace sektoru</w:t>
      </w:r>
      <w:r w:rsidR="00E36051">
        <w:t>,</w:t>
      </w:r>
      <w:r w:rsidR="00AD5947">
        <w:t xml:space="preserve"> </w:t>
      </w:r>
      <w:r w:rsidR="00AD2FB6">
        <w:t xml:space="preserve">kdy se fixní náklady spojené s údržbou a provozováním </w:t>
      </w:r>
      <w:r w:rsidR="002501C7">
        <w:t>VIM rozpočítávají</w:t>
      </w:r>
      <w:r w:rsidR="00824322">
        <w:t xml:space="preserve"> na malý objem fakturované vody.</w:t>
      </w:r>
      <w:r w:rsidR="00AC2184">
        <w:t xml:space="preserve"> </w:t>
      </w:r>
      <w:r w:rsidR="002501C7">
        <w:t xml:space="preserve">Nasvědčuje tomu i skutečnost, že se anomálie vyskytuje v V. až VIII. skupině. </w:t>
      </w:r>
    </w:p>
    <w:p w14:paraId="44C44A26" w14:textId="3F8075CB" w:rsidR="00DC706D" w:rsidRPr="00331754" w:rsidRDefault="002F4C99" w:rsidP="002F4C99">
      <w:pPr>
        <w:pStyle w:val="NORMLN0"/>
      </w:pPr>
      <w:r>
        <w:t>V některých případech l</w:t>
      </w:r>
      <w:r w:rsidR="0044627E">
        <w:t xml:space="preserve">ze usuzovat, že </w:t>
      </w:r>
      <w:r w:rsidR="00331754">
        <w:t xml:space="preserve">původ </w:t>
      </w:r>
      <w:r>
        <w:t xml:space="preserve">vysoké ceny </w:t>
      </w:r>
      <w:r w:rsidR="00331754">
        <w:t xml:space="preserve">spočívá </w:t>
      </w:r>
      <w:r>
        <w:t xml:space="preserve">také </w:t>
      </w:r>
      <w:r w:rsidR="00331754">
        <w:t xml:space="preserve">ve výši kalkulovaného zisku. Nasvědčuje tomu anomálie </w:t>
      </w:r>
      <w:r w:rsidR="00C914A3" w:rsidRPr="00284ED7">
        <w:rPr>
          <w:b/>
        </w:rPr>
        <w:t xml:space="preserve">vysoký </w:t>
      </w:r>
      <w:r w:rsidR="00331754">
        <w:rPr>
          <w:b/>
        </w:rPr>
        <w:t xml:space="preserve">podíl kalkulačního zisku k rozdělení na </w:t>
      </w:r>
      <w:r w:rsidR="00824322">
        <w:rPr>
          <w:b/>
        </w:rPr>
        <w:t>ÚVN</w:t>
      </w:r>
      <w:r w:rsidR="00331754">
        <w:rPr>
          <w:b/>
        </w:rPr>
        <w:t xml:space="preserve">. </w:t>
      </w:r>
      <w:r w:rsidR="00331754">
        <w:t xml:space="preserve">Anomálie se vyskytuje u </w:t>
      </w:r>
      <w:r w:rsidR="002501C7">
        <w:t>136</w:t>
      </w:r>
      <w:r w:rsidR="00331754">
        <w:t xml:space="preserve"> Porovnání a z hlediska objemu</w:t>
      </w:r>
      <w:r w:rsidR="002A0246">
        <w:t xml:space="preserve"> </w:t>
      </w:r>
      <w:r w:rsidR="00331754">
        <w:t xml:space="preserve">fakturované vody ovlivňuje </w:t>
      </w:r>
      <w:r w:rsidR="002501C7">
        <w:t>23,43</w:t>
      </w:r>
      <w:r w:rsidR="00331754">
        <w:t>% podíl analyzovaného trhu (</w:t>
      </w:r>
      <w:r w:rsidR="002501C7">
        <w:t>108,11</w:t>
      </w:r>
      <w:r w:rsidR="00331754">
        <w:t xml:space="preserve"> mil.</w:t>
      </w:r>
      <w:r w:rsidR="000B6162">
        <w:t xml:space="preserve"> </w:t>
      </w:r>
      <w:r w:rsidR="00331754">
        <w:t>m</w:t>
      </w:r>
      <w:r w:rsidR="00331754" w:rsidRPr="00331754">
        <w:rPr>
          <w:vertAlign w:val="superscript"/>
        </w:rPr>
        <w:t>3</w:t>
      </w:r>
      <w:r w:rsidR="00331754">
        <w:t xml:space="preserve">). </w:t>
      </w:r>
      <w:r w:rsidR="00B2549F">
        <w:t xml:space="preserve">Tato anomálie se vyskytuje průřezově ve všech provozovatelských skupinách. </w:t>
      </w:r>
      <w:r w:rsidR="00607DF5">
        <w:t>Poměrně vysoký podíl</w:t>
      </w:r>
      <w:r w:rsidR="00B2549F">
        <w:t xml:space="preserve"> ovlivněného trhu je </w:t>
      </w:r>
      <w:r w:rsidR="00607DF5">
        <w:t>dán tím, že je tvořen</w:t>
      </w:r>
      <w:r w:rsidR="00B2549F">
        <w:t xml:space="preserve"> </w:t>
      </w:r>
      <w:r w:rsidR="00607DF5">
        <w:t xml:space="preserve">zejména </w:t>
      </w:r>
      <w:r w:rsidR="003C0472">
        <w:t>čty</w:t>
      </w:r>
      <w:r w:rsidR="00607DF5">
        <w:t>ř</w:t>
      </w:r>
      <w:r w:rsidR="003C0472">
        <w:t xml:space="preserve">mi Porovnáními </w:t>
      </w:r>
      <w:r w:rsidR="00B2549F">
        <w:t>s vysokým objemem fakturované vody</w:t>
      </w:r>
      <w:r w:rsidR="003C0472">
        <w:t xml:space="preserve"> (z I. až IV. provozovatelské skupiny)</w:t>
      </w:r>
      <w:r w:rsidR="00B2549F">
        <w:t xml:space="preserve">, </w:t>
      </w:r>
      <w:r w:rsidR="00607DF5">
        <w:t>u kterých</w:t>
      </w:r>
      <w:r w:rsidR="00B2549F" w:rsidRPr="00722DC0">
        <w:t xml:space="preserve"> dochází k tzv. úsporám z rozsahu a cena </w:t>
      </w:r>
      <w:r w:rsidR="000B6162">
        <w:t xml:space="preserve">zde </w:t>
      </w:r>
      <w:r w:rsidR="00B2549F" w:rsidRPr="00722DC0">
        <w:t>výrazně nepřevyšuje průměr</w:t>
      </w:r>
      <w:r w:rsidR="00AC2184" w:rsidRPr="00722DC0">
        <w:t xml:space="preserve"> skupiny</w:t>
      </w:r>
      <w:r w:rsidR="00722DC0" w:rsidRPr="00722DC0">
        <w:t>.</w:t>
      </w:r>
    </w:p>
    <w:p w14:paraId="395D69C0" w14:textId="346E3F98" w:rsidR="0049509D" w:rsidRPr="00FB2074" w:rsidRDefault="00A061F4" w:rsidP="0018766C">
      <w:pPr>
        <w:pStyle w:val="NORMLN0"/>
      </w:pPr>
      <w:r>
        <w:t>817</w:t>
      </w:r>
      <w:r w:rsidR="0049509D" w:rsidRPr="00FB2074">
        <w:t xml:space="preserve"> Porovnání</w:t>
      </w:r>
      <w:r w:rsidR="00607DF5">
        <w:t xml:space="preserve"> (tj. </w:t>
      </w:r>
      <w:r>
        <w:t>6,24</w:t>
      </w:r>
      <w:r w:rsidR="0049509D" w:rsidRPr="00FB2074">
        <w:t>% podíl analyzovaného trhu</w:t>
      </w:r>
      <w:r w:rsidR="00607DF5">
        <w:t xml:space="preserve">; </w:t>
      </w:r>
      <w:r>
        <w:t>28,79</w:t>
      </w:r>
      <w:r w:rsidR="0049509D" w:rsidRPr="00FB2074">
        <w:t xml:space="preserve"> mil.</w:t>
      </w:r>
      <w:r w:rsidR="00E27252">
        <w:t xml:space="preserve"> m</w:t>
      </w:r>
      <w:r w:rsidR="00E27252" w:rsidRPr="00E27252">
        <w:rPr>
          <w:vertAlign w:val="superscript"/>
        </w:rPr>
        <w:t>3</w:t>
      </w:r>
      <w:r w:rsidR="0049509D" w:rsidRPr="00FB2074">
        <w:t>), vykazuj</w:t>
      </w:r>
      <w:r w:rsidR="00607DF5">
        <w:t>e</w:t>
      </w:r>
      <w:r w:rsidR="0049509D" w:rsidRPr="00FB2074">
        <w:t xml:space="preserve"> použív</w:t>
      </w:r>
      <w:r w:rsidR="000B6162">
        <w:t>á</w:t>
      </w:r>
      <w:r w:rsidR="0049509D" w:rsidRPr="00FB2074">
        <w:t xml:space="preserve">ní </w:t>
      </w:r>
      <w:r w:rsidR="0049509D" w:rsidRPr="00FB2074">
        <w:rPr>
          <w:b/>
        </w:rPr>
        <w:t xml:space="preserve">záporného kalkulačního zisku. </w:t>
      </w:r>
      <w:r w:rsidR="0049509D" w:rsidRPr="00FB2074">
        <w:t>Tato anomálie indikuje možnost existe</w:t>
      </w:r>
      <w:r w:rsidR="0049509D">
        <w:t xml:space="preserve">nce stavu, kdy kalkulace </w:t>
      </w:r>
      <w:r w:rsidR="0049509D" w:rsidRPr="00FB2074">
        <w:t>ceny pro vodné nepočítá s po</w:t>
      </w:r>
      <w:r w:rsidR="0049509D">
        <w:t>krytím veškerých ekonomicky oprá</w:t>
      </w:r>
      <w:r w:rsidR="0049509D" w:rsidRPr="00FB2074">
        <w:t>vněných nákladů související</w:t>
      </w:r>
      <w:r w:rsidR="00E27252">
        <w:t>c</w:t>
      </w:r>
      <w:r w:rsidR="0049509D" w:rsidRPr="00FB2074">
        <w:t>h s provozem a správou</w:t>
      </w:r>
      <w:r w:rsidR="004B1720">
        <w:t xml:space="preserve"> VIM</w:t>
      </w:r>
      <w:r w:rsidR="0049509D" w:rsidRPr="00FB2074">
        <w:t xml:space="preserve"> v plné výši (</w:t>
      </w:r>
      <w:r w:rsidR="002501C7" w:rsidRPr="00FB2074">
        <w:t>t</w:t>
      </w:r>
      <w:r w:rsidR="002501C7">
        <w:t>zn</w:t>
      </w:r>
      <w:r w:rsidR="002501C7" w:rsidRPr="00FB2074">
        <w:t>., dochází</w:t>
      </w:r>
      <w:r w:rsidR="0049509D" w:rsidRPr="00FB2074">
        <w:t xml:space="preserve"> k</w:t>
      </w:r>
      <w:r w:rsidR="00362280">
        <w:t xml:space="preserve"> plánovanému </w:t>
      </w:r>
      <w:r w:rsidR="0049509D" w:rsidRPr="00FB2074">
        <w:t>dotování nák</w:t>
      </w:r>
      <w:r w:rsidR="00E27252">
        <w:t>l</w:t>
      </w:r>
      <w:r w:rsidR="0049509D" w:rsidRPr="00FB2074">
        <w:t xml:space="preserve">adů na provoz </w:t>
      </w:r>
      <w:r w:rsidR="004B1720">
        <w:t xml:space="preserve">a obnovu VIM </w:t>
      </w:r>
      <w:r w:rsidR="0049509D" w:rsidRPr="00FB2074">
        <w:t>z jiných zdrojů)</w:t>
      </w:r>
      <w:r w:rsidR="0049509D">
        <w:t>, popř. se v daném roce vyskytly některé neočekávané skutečnosti</w:t>
      </w:r>
      <w:r w:rsidR="002F4C99">
        <w:t xml:space="preserve"> vedoucí k</w:t>
      </w:r>
      <w:r w:rsidR="00362280">
        <w:t xml:space="preserve"> neplánovanému </w:t>
      </w:r>
      <w:r w:rsidR="002F4C99">
        <w:t>ztrátovému hospodaření</w:t>
      </w:r>
      <w:r w:rsidR="0049509D" w:rsidRPr="00FB2074">
        <w:t>.</w:t>
      </w:r>
      <w:r w:rsidR="002F4C99">
        <w:t xml:space="preserve"> Problému </w:t>
      </w:r>
      <w:r w:rsidR="00362280">
        <w:t>byla blíže věnována kapitola</w:t>
      </w:r>
      <w:r w:rsidR="0018766C">
        <w:t xml:space="preserve"> 5.3.2. </w:t>
      </w:r>
    </w:p>
    <w:p w14:paraId="4FAEAB56" w14:textId="61147428" w:rsidR="0049509D" w:rsidRDefault="0049509D" w:rsidP="008F4301">
      <w:pPr>
        <w:pStyle w:val="NORMLN0"/>
        <w:rPr>
          <w:noProof/>
        </w:rPr>
      </w:pPr>
      <w:r w:rsidRPr="00FB2074">
        <w:t>Kvalitu provozu a poskytovaných služeb lze sledovat i pomocí dalších ukazatelů</w:t>
      </w:r>
      <w:r>
        <w:t>, kterými jsou</w:t>
      </w:r>
      <w:r w:rsidRPr="00FB2074">
        <w:t xml:space="preserve"> </w:t>
      </w:r>
      <w:r w:rsidRPr="00FB2074">
        <w:rPr>
          <w:b/>
        </w:rPr>
        <w:t>podíl</w:t>
      </w:r>
      <w:r w:rsidR="00B26631">
        <w:rPr>
          <w:b/>
        </w:rPr>
        <w:t xml:space="preserve"> </w:t>
      </w:r>
      <w:r w:rsidRPr="00FB2074">
        <w:rPr>
          <w:b/>
        </w:rPr>
        <w:t>nevyhovují</w:t>
      </w:r>
      <w:r>
        <w:rPr>
          <w:b/>
        </w:rPr>
        <w:t>cích fyzikálně chemických vzorků</w:t>
      </w:r>
      <w:r w:rsidRPr="00FB2074">
        <w:rPr>
          <w:b/>
        </w:rPr>
        <w:t xml:space="preserve"> a podílu nevyho</w:t>
      </w:r>
      <w:r w:rsidR="00E27252">
        <w:rPr>
          <w:b/>
        </w:rPr>
        <w:t>vujících mikrobiologických a bi</w:t>
      </w:r>
      <w:r w:rsidRPr="00FB2074">
        <w:rPr>
          <w:b/>
        </w:rPr>
        <w:t>o</w:t>
      </w:r>
      <w:r w:rsidR="00E27252">
        <w:rPr>
          <w:b/>
        </w:rPr>
        <w:t>lo</w:t>
      </w:r>
      <w:r w:rsidRPr="00FB2074">
        <w:rPr>
          <w:b/>
        </w:rPr>
        <w:t>gických vzor</w:t>
      </w:r>
      <w:r>
        <w:rPr>
          <w:b/>
        </w:rPr>
        <w:t>ků</w:t>
      </w:r>
      <w:r w:rsidRPr="00FB2074">
        <w:rPr>
          <w:b/>
        </w:rPr>
        <w:t>.</w:t>
      </w:r>
      <w:r w:rsidRPr="00FB2074">
        <w:t xml:space="preserve"> V případě, že podíl </w:t>
      </w:r>
      <w:r w:rsidR="00362280">
        <w:t>jednoho nebo druhého ukazatele dosahuje</w:t>
      </w:r>
      <w:r w:rsidRPr="00FB2074">
        <w:t xml:space="preserve"> více než 20</w:t>
      </w:r>
      <w:r>
        <w:t xml:space="preserve"> </w:t>
      </w:r>
      <w:r w:rsidRPr="00FB2074">
        <w:t>%, lze uvažovat o možném</w:t>
      </w:r>
      <w:r w:rsidRPr="00FB2074">
        <w:rPr>
          <w:noProof/>
        </w:rPr>
        <w:t xml:space="preserve"> výskytu problémů buď v rámci samotného procesu pr</w:t>
      </w:r>
      <w:r>
        <w:rPr>
          <w:noProof/>
        </w:rPr>
        <w:t>ovozování, nebo se může jednat o</w:t>
      </w:r>
      <w:r w:rsidRPr="00FB2074">
        <w:rPr>
          <w:noProof/>
        </w:rPr>
        <w:t> výrazné kolísaní kvality surové vody.</w:t>
      </w:r>
      <w:r w:rsidR="00B26631">
        <w:rPr>
          <w:noProof/>
        </w:rPr>
        <w:t xml:space="preserve"> </w:t>
      </w:r>
      <w:r w:rsidRPr="00FB2074">
        <w:rPr>
          <w:noProof/>
        </w:rPr>
        <w:t>Podle výsledků analýzy musel</w:t>
      </w:r>
      <w:r>
        <w:rPr>
          <w:noProof/>
        </w:rPr>
        <w:t>i</w:t>
      </w:r>
      <w:r w:rsidRPr="00FB2074">
        <w:rPr>
          <w:noProof/>
        </w:rPr>
        <w:t xml:space="preserve"> provozovatelé více řešit kvalitu vody </w:t>
      </w:r>
      <w:r w:rsidR="000B6162">
        <w:rPr>
          <w:noProof/>
        </w:rPr>
        <w:t xml:space="preserve">zejména </w:t>
      </w:r>
      <w:r w:rsidRPr="00FB2074">
        <w:rPr>
          <w:noProof/>
        </w:rPr>
        <w:t>z hlediska fyzikálně chemických limitů (1</w:t>
      </w:r>
      <w:r w:rsidR="00061A88">
        <w:rPr>
          <w:noProof/>
        </w:rPr>
        <w:t>,11</w:t>
      </w:r>
      <w:r w:rsidRPr="00FB2074">
        <w:rPr>
          <w:noProof/>
        </w:rPr>
        <w:t xml:space="preserve">% podíl analyzovaného trhu; </w:t>
      </w:r>
      <w:r w:rsidR="00061A88">
        <w:rPr>
          <w:noProof/>
        </w:rPr>
        <w:t>5,11</w:t>
      </w:r>
      <w:r w:rsidRPr="00FB2074">
        <w:rPr>
          <w:noProof/>
        </w:rPr>
        <w:t xml:space="preserve"> </w:t>
      </w:r>
      <w:r w:rsidR="00E27252">
        <w:rPr>
          <w:noProof/>
        </w:rPr>
        <w:t>mil. m</w:t>
      </w:r>
      <w:r w:rsidR="00E27252" w:rsidRPr="00E27252">
        <w:rPr>
          <w:noProof/>
          <w:vertAlign w:val="superscript"/>
        </w:rPr>
        <w:t>3</w:t>
      </w:r>
      <w:r w:rsidRPr="00FB2074">
        <w:rPr>
          <w:noProof/>
        </w:rPr>
        <w:t>, výskyt u 1</w:t>
      </w:r>
      <w:r w:rsidR="00061A88">
        <w:rPr>
          <w:noProof/>
        </w:rPr>
        <w:t>96</w:t>
      </w:r>
      <w:r w:rsidRPr="00FB2074">
        <w:rPr>
          <w:noProof/>
        </w:rPr>
        <w:t xml:space="preserve"> </w:t>
      </w:r>
      <w:r w:rsidRPr="00FB2074">
        <w:rPr>
          <w:noProof/>
        </w:rPr>
        <w:lastRenderedPageBreak/>
        <w:t>Porovnání)</w:t>
      </w:r>
      <w:r w:rsidR="00160E49">
        <w:rPr>
          <w:noProof/>
        </w:rPr>
        <w:t xml:space="preserve">. </w:t>
      </w:r>
      <w:r w:rsidR="0018766C">
        <w:rPr>
          <w:noProof/>
        </w:rPr>
        <w:t>Nízké procento podílu trhu ovlivněného uvedenými ukazatel</w:t>
      </w:r>
      <w:r w:rsidR="00BF7324">
        <w:rPr>
          <w:noProof/>
        </w:rPr>
        <w:t xml:space="preserve">i </w:t>
      </w:r>
      <w:r w:rsidR="0018766C">
        <w:rPr>
          <w:noProof/>
        </w:rPr>
        <w:t xml:space="preserve">vypovídá o </w:t>
      </w:r>
      <w:r w:rsidR="00BF7324">
        <w:rPr>
          <w:noProof/>
        </w:rPr>
        <w:t xml:space="preserve">poměrně </w:t>
      </w:r>
      <w:r w:rsidR="0018766C">
        <w:rPr>
          <w:noProof/>
        </w:rPr>
        <w:t xml:space="preserve">vysoké kvalitě dodávané pitné vody. </w:t>
      </w:r>
    </w:p>
    <w:p w14:paraId="7AEFF21B" w14:textId="77777777" w:rsidR="00AE2049" w:rsidRDefault="0049509D" w:rsidP="008F4301">
      <w:pPr>
        <w:pStyle w:val="NORMLN0"/>
        <w:rPr>
          <w:noProof/>
        </w:rPr>
      </w:pPr>
      <w:r>
        <w:rPr>
          <w:noProof/>
        </w:rPr>
        <w:t>Ostatní identifikované anomálie</w:t>
      </w:r>
      <w:r w:rsidRPr="00FB2074">
        <w:rPr>
          <w:noProof/>
        </w:rPr>
        <w:t xml:space="preserve"> se týkají výskytu chyb ve vykazování</w:t>
      </w:r>
      <w:r>
        <w:rPr>
          <w:noProof/>
        </w:rPr>
        <w:t>,</w:t>
      </w:r>
      <w:r w:rsidRPr="00FB2074">
        <w:rPr>
          <w:noProof/>
        </w:rPr>
        <w:t xml:space="preserve"> případně nesledování </w:t>
      </w:r>
      <w:r>
        <w:rPr>
          <w:noProof/>
        </w:rPr>
        <w:t xml:space="preserve">některých </w:t>
      </w:r>
      <w:r w:rsidRPr="00FB2074">
        <w:rPr>
          <w:noProof/>
        </w:rPr>
        <w:t>údajů. V následujícím grafu jsou</w:t>
      </w:r>
      <w:r>
        <w:rPr>
          <w:noProof/>
        </w:rPr>
        <w:t xml:space="preserve"> znázorněny jednotlivé anomálie</w:t>
      </w:r>
      <w:r w:rsidR="008F4301">
        <w:rPr>
          <w:noProof/>
        </w:rPr>
        <w:t>.</w:t>
      </w:r>
    </w:p>
    <w:p w14:paraId="6227FD47" w14:textId="77777777" w:rsidR="00D234AD" w:rsidRDefault="004165F8" w:rsidP="008F4301">
      <w:pPr>
        <w:pStyle w:val="NORMLN0"/>
        <w:rPr>
          <w:noProof/>
        </w:rPr>
      </w:pPr>
      <w:r>
        <w:rPr>
          <w:noProof/>
          <w:lang w:eastAsia="cs-CZ"/>
        </w:rPr>
        <w:drawing>
          <wp:anchor distT="0" distB="0" distL="114300" distR="114300" simplePos="0" relativeHeight="251680768" behindDoc="0" locked="0" layoutInCell="1" allowOverlap="1" wp14:anchorId="13741F2A" wp14:editId="68DC416F">
            <wp:simplePos x="0" y="0"/>
            <wp:positionH relativeFrom="margin">
              <wp:posOffset>-154891</wp:posOffset>
            </wp:positionH>
            <wp:positionV relativeFrom="paragraph">
              <wp:posOffset>214581</wp:posOffset>
            </wp:positionV>
            <wp:extent cx="5894070" cy="7524750"/>
            <wp:effectExtent l="0" t="0" r="0" b="0"/>
            <wp:wrapTopAndBottom/>
            <wp:docPr id="40" name="Graf 4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F17947B6-CF11-4C8F-8F5E-254F119FD4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332C7638" w14:textId="77777777" w:rsidR="00CF6D59" w:rsidRPr="00C62639" w:rsidRDefault="000D7E91" w:rsidP="008D2461">
      <w:pPr>
        <w:pStyle w:val="Nadpis3"/>
        <w:rPr>
          <w:rFonts w:asciiTheme="minorHAnsi" w:hAnsiTheme="minorHAnsi"/>
          <w:noProof/>
        </w:rPr>
      </w:pPr>
      <w:bookmarkStart w:id="51" w:name="_Toc3292009"/>
      <w:r w:rsidRPr="000D7E91">
        <w:rPr>
          <w:noProof/>
          <w:lang w:eastAsia="cs-CZ"/>
        </w:rPr>
        <w:lastRenderedPageBreak/>
        <w:drawing>
          <wp:anchor distT="0" distB="0" distL="114300" distR="114300" simplePos="0" relativeHeight="251681792" behindDoc="0" locked="0" layoutInCell="1" allowOverlap="1" wp14:anchorId="64C71B7C" wp14:editId="45764DEC">
            <wp:simplePos x="0" y="0"/>
            <wp:positionH relativeFrom="margin">
              <wp:align>center</wp:align>
            </wp:positionH>
            <wp:positionV relativeFrom="paragraph">
              <wp:posOffset>341630</wp:posOffset>
            </wp:positionV>
            <wp:extent cx="6097270" cy="2147570"/>
            <wp:effectExtent l="0" t="0" r="0" b="5080"/>
            <wp:wrapTopAndBottom/>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97270" cy="2147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6D59" w:rsidRPr="00C62639">
        <w:rPr>
          <w:rFonts w:asciiTheme="minorHAnsi" w:hAnsiTheme="minorHAnsi"/>
          <w:noProof/>
        </w:rPr>
        <w:t>Výskyt anomálii v jednotlivých skupinách provozovatelů</w:t>
      </w:r>
      <w:bookmarkEnd w:id="51"/>
      <w:r w:rsidR="00CF6D59" w:rsidRPr="00C62639">
        <w:rPr>
          <w:rFonts w:asciiTheme="minorHAnsi" w:hAnsiTheme="minorHAnsi"/>
          <w:noProof/>
        </w:rPr>
        <w:t xml:space="preserve"> </w:t>
      </w:r>
    </w:p>
    <w:p w14:paraId="4BC00BA0" w14:textId="77777777" w:rsidR="009C440F" w:rsidRDefault="009C440F" w:rsidP="00CF6D59">
      <w:pPr>
        <w:rPr>
          <w:rFonts w:asciiTheme="minorHAnsi" w:hAnsiTheme="minorHAnsi"/>
        </w:rPr>
      </w:pPr>
    </w:p>
    <w:p w14:paraId="218AC554" w14:textId="77777777" w:rsidR="00BA08C0" w:rsidRDefault="00BA08C0" w:rsidP="008F4301">
      <w:pPr>
        <w:pStyle w:val="NORMLN0"/>
      </w:pPr>
      <w:r>
        <w:t xml:space="preserve">Nejvíce rizikovou skupinou podle počtu výskytu anomálií </w:t>
      </w:r>
      <w:r w:rsidR="00802AC2">
        <w:t xml:space="preserve">se jeví </w:t>
      </w:r>
      <w:r w:rsidR="00152079">
        <w:t xml:space="preserve">VIII. </w:t>
      </w:r>
      <w:r w:rsidR="00802AC2">
        <w:t>skupina</w:t>
      </w:r>
      <w:r>
        <w:t xml:space="preserve">. </w:t>
      </w:r>
      <w:r w:rsidRPr="002D05F7">
        <w:t>Dalšími skupinami, u kterých n</w:t>
      </w:r>
      <w:r>
        <w:t>alezené anomálie ovlivňují více</w:t>
      </w:r>
      <w:r w:rsidRPr="002D05F7">
        <w:t xml:space="preserve"> než 50% podíl objemu vody fakturované ve skupině, jsou V</w:t>
      </w:r>
      <w:r w:rsidR="00617E75">
        <w:t>I</w:t>
      </w:r>
      <w:r w:rsidRPr="002D05F7">
        <w:t>I.</w:t>
      </w:r>
      <w:r w:rsidR="008F4301">
        <w:t xml:space="preserve">, V. </w:t>
      </w:r>
      <w:r w:rsidRPr="002D05F7">
        <w:t xml:space="preserve">a </w:t>
      </w:r>
      <w:r w:rsidR="00617E75">
        <w:t xml:space="preserve">I. </w:t>
      </w:r>
      <w:r w:rsidRPr="002D05F7">
        <w:t xml:space="preserve">skupina provozovatelů. </w:t>
      </w:r>
      <w:r w:rsidR="00152079">
        <w:t>V VI. skupině je sice</w:t>
      </w:r>
      <w:r w:rsidR="004343E4">
        <w:t xml:space="preserve"> </w:t>
      </w:r>
      <w:r w:rsidR="00DF6C57">
        <w:t>podíl anomáliemi ovlivněn</w:t>
      </w:r>
      <w:r w:rsidR="004343E4">
        <w:t>ého</w:t>
      </w:r>
      <w:r w:rsidR="00DF6C57">
        <w:t xml:space="preserve"> objem</w:t>
      </w:r>
      <w:r w:rsidR="004343E4">
        <w:t>u</w:t>
      </w:r>
      <w:r w:rsidR="00DF6C57">
        <w:t xml:space="preserve"> fakturované vody</w:t>
      </w:r>
      <w:r w:rsidR="004343E4">
        <w:t xml:space="preserve"> níz</w:t>
      </w:r>
      <w:r w:rsidR="00382CAA">
        <w:t>ký</w:t>
      </w:r>
      <w:r w:rsidR="00DF6C57">
        <w:t xml:space="preserve">, ale </w:t>
      </w:r>
      <w:r w:rsidR="00EE6636">
        <w:t xml:space="preserve">počet výskytů anomálií </w:t>
      </w:r>
      <w:r w:rsidR="00DF6C57">
        <w:t xml:space="preserve">ve skupině </w:t>
      </w:r>
      <w:r w:rsidR="00EE6636">
        <w:t xml:space="preserve">činí </w:t>
      </w:r>
      <w:r w:rsidR="00DF6C57">
        <w:t>3</w:t>
      </w:r>
      <w:r w:rsidR="00C82799">
        <w:t>3</w:t>
      </w:r>
      <w:r w:rsidR="008F4301">
        <w:t>9</w:t>
      </w:r>
      <w:r w:rsidR="00DF6C57">
        <w:t xml:space="preserve">. </w:t>
      </w:r>
    </w:p>
    <w:p w14:paraId="63C0F6F0" w14:textId="048A7A2C" w:rsidR="00BA08C0" w:rsidRPr="008F4301" w:rsidRDefault="008F4301" w:rsidP="008F4301">
      <w:pPr>
        <w:pStyle w:val="NORMLN0"/>
      </w:pPr>
      <w:r>
        <w:t>Níže</w:t>
      </w:r>
      <w:r w:rsidR="00BA08C0">
        <w:t xml:space="preserve"> uvedená</w:t>
      </w:r>
      <w:r w:rsidR="00B26631">
        <w:t xml:space="preserve"> </w:t>
      </w:r>
      <w:r w:rsidR="00BA08C0" w:rsidRPr="006E7581">
        <w:t>tabulka poskytuje přehled výskytu jednotlivých sledovaných anomálií u</w:t>
      </w:r>
      <w:r w:rsidR="000B6162">
        <w:t> </w:t>
      </w:r>
      <w:r w:rsidR="00BA08C0" w:rsidRPr="006E7581">
        <w:t xml:space="preserve">skupin, </w:t>
      </w:r>
      <w:r w:rsidR="00802AC2">
        <w:t xml:space="preserve">ve kterých </w:t>
      </w:r>
      <w:r w:rsidR="00BA08C0" w:rsidRPr="006E7581">
        <w:t>bylo nalezeno více než sto anomálií.</w:t>
      </w:r>
      <w:r w:rsidR="00B26631">
        <w:t xml:space="preserve"> </w:t>
      </w:r>
      <w:r w:rsidR="00BA08C0" w:rsidRPr="006E7581">
        <w:t xml:space="preserve">Jedná se o </w:t>
      </w:r>
      <w:r w:rsidR="00BA08C0" w:rsidRPr="00C335D9">
        <w:rPr>
          <w:b/>
        </w:rPr>
        <w:t>VI., VII. a VIII. skupinu</w:t>
      </w:r>
      <w:r w:rsidR="00BA08C0" w:rsidRPr="006E7581">
        <w:t xml:space="preserve"> provoz</w:t>
      </w:r>
      <w:r w:rsidR="00BA08C0">
        <w:t>ovatelů</w:t>
      </w:r>
      <w:r w:rsidR="00BA08C0" w:rsidRPr="006E7581">
        <w:t>.</w:t>
      </w:r>
      <w:r w:rsidR="00B26631">
        <w:t xml:space="preserve"> </w:t>
      </w:r>
      <w:r w:rsidR="00BA08C0">
        <w:t>Celkem za tyto</w:t>
      </w:r>
      <w:r w:rsidR="00B26631">
        <w:t xml:space="preserve"> </w:t>
      </w:r>
      <w:r w:rsidR="00BA08C0">
        <w:t>tř</w:t>
      </w:r>
      <w:r w:rsidR="00802AC2">
        <w:t>i</w:t>
      </w:r>
      <w:r w:rsidR="00BA08C0" w:rsidRPr="006E7581">
        <w:t xml:space="preserve"> skupin</w:t>
      </w:r>
      <w:r w:rsidR="00BA08C0">
        <w:t xml:space="preserve">y je pitnou vodou zásobeno </w:t>
      </w:r>
      <w:r w:rsidR="00BA08C0" w:rsidRPr="006E7581">
        <w:t>1,</w:t>
      </w:r>
      <w:r w:rsidR="00617E75">
        <w:t>35</w:t>
      </w:r>
      <w:r w:rsidR="00BA08C0" w:rsidRPr="006E7581">
        <w:t xml:space="preserve"> mil. obyvatel, kterým bylo v roce 201</w:t>
      </w:r>
      <w:r w:rsidR="00617E75">
        <w:t>7</w:t>
      </w:r>
      <w:r w:rsidR="00BA08C0" w:rsidRPr="006E7581">
        <w:t xml:space="preserve"> fakturováno </w:t>
      </w:r>
      <w:r w:rsidR="00617E75">
        <w:t>58,18</w:t>
      </w:r>
      <w:r w:rsidR="00BA08C0" w:rsidRPr="006E7581">
        <w:t xml:space="preserve"> </w:t>
      </w:r>
      <w:r w:rsidR="00E27252">
        <w:t>mil. m</w:t>
      </w:r>
      <w:r w:rsidR="00E27252" w:rsidRPr="00E27252">
        <w:rPr>
          <w:vertAlign w:val="superscript"/>
        </w:rPr>
        <w:t>3</w:t>
      </w:r>
      <w:r w:rsidR="00BA08C0" w:rsidRPr="006E7581">
        <w:t xml:space="preserve"> pitné vody (tj. </w:t>
      </w:r>
      <w:r w:rsidR="00617E75">
        <w:t>12,61</w:t>
      </w:r>
      <w:r w:rsidR="00BA08C0" w:rsidRPr="006E7581">
        <w:t xml:space="preserve">% podíl analyzovaného trhu </w:t>
      </w:r>
      <w:r w:rsidR="00617E75">
        <w:t>461,35</w:t>
      </w:r>
      <w:r w:rsidR="00BA08C0" w:rsidRPr="006E7581">
        <w:t xml:space="preserve"> </w:t>
      </w:r>
      <w:r w:rsidR="00E27252">
        <w:t>mil. m</w:t>
      </w:r>
      <w:r w:rsidR="00E27252" w:rsidRPr="00E27252">
        <w:rPr>
          <w:vertAlign w:val="superscript"/>
        </w:rPr>
        <w:t>3</w:t>
      </w:r>
      <w:r w:rsidR="00BA08C0" w:rsidRPr="006E7581">
        <w:t>).</w:t>
      </w:r>
      <w:r w:rsidR="00BA7035">
        <w:t xml:space="preserve"> V uvedených třech skupinách se vyskytuje </w:t>
      </w:r>
      <w:r w:rsidRPr="008F4301">
        <w:t>96,</w:t>
      </w:r>
      <w:r w:rsidR="00C82799">
        <w:t>96</w:t>
      </w:r>
      <w:r w:rsidR="00BF7324">
        <w:t xml:space="preserve"> </w:t>
      </w:r>
      <w:r w:rsidR="00BA7035" w:rsidRPr="008F4301">
        <w:t xml:space="preserve">% </w:t>
      </w:r>
      <w:r>
        <w:br/>
      </w:r>
      <w:r w:rsidR="00BA7035" w:rsidRPr="008F4301">
        <w:t>(</w:t>
      </w:r>
      <w:r w:rsidR="00BF7324">
        <w:t xml:space="preserve">tj. </w:t>
      </w:r>
      <w:r w:rsidR="00C82799">
        <w:t>2 168</w:t>
      </w:r>
      <w:r w:rsidR="00BF7324">
        <w:t xml:space="preserve"> </w:t>
      </w:r>
      <w:r w:rsidR="008D6493">
        <w:t>výskyty</w:t>
      </w:r>
      <w:r w:rsidR="00BA7035" w:rsidRPr="008F4301">
        <w:t>)</w:t>
      </w:r>
      <w:r w:rsidR="00BF7324">
        <w:t xml:space="preserve"> </w:t>
      </w:r>
      <w:r w:rsidR="00BA7035">
        <w:t xml:space="preserve">z celkového počtu </w:t>
      </w:r>
      <w:r w:rsidR="00BA7035" w:rsidRPr="008F4301">
        <w:t>2 </w:t>
      </w:r>
      <w:r w:rsidR="00C82799">
        <w:t>236</w:t>
      </w:r>
      <w:r w:rsidR="00BA7035" w:rsidRPr="008F4301">
        <w:t xml:space="preserve"> výskytů </w:t>
      </w:r>
      <w:r w:rsidR="00382CAA">
        <w:t xml:space="preserve">všech </w:t>
      </w:r>
      <w:r w:rsidR="00BA7035" w:rsidRPr="008F4301">
        <w:t>anomálií.</w:t>
      </w:r>
    </w:p>
    <w:p w14:paraId="7CCE43B4" w14:textId="77777777" w:rsidR="00BA7035" w:rsidRPr="006E7581" w:rsidRDefault="00BA7035" w:rsidP="00BA08C0">
      <w:pPr>
        <w:pStyle w:val="Normlnzprva"/>
        <w:rPr>
          <w:noProof/>
        </w:rPr>
      </w:pPr>
    </w:p>
    <w:p w14:paraId="10084D86" w14:textId="77777777" w:rsidR="00F14B2F" w:rsidRDefault="00F14B2F">
      <w:pPr>
        <w:spacing w:before="0" w:after="0"/>
        <w:contextualSpacing w:val="0"/>
        <w:jc w:val="left"/>
        <w:rPr>
          <w:rFonts w:asciiTheme="minorHAnsi" w:hAnsiTheme="minorHAnsi"/>
          <w:noProof/>
          <w:color w:val="833C0B" w:themeColor="accent2" w:themeShade="80"/>
        </w:rPr>
        <w:sectPr w:rsidR="00F14B2F" w:rsidSect="00210122">
          <w:footerReference w:type="default" r:id="rId37"/>
          <w:pgSz w:w="11906" w:h="16838"/>
          <w:pgMar w:top="1418" w:right="1418" w:bottom="1418" w:left="1418" w:header="709" w:footer="709" w:gutter="0"/>
          <w:cols w:space="708"/>
          <w:docGrid w:linePitch="360"/>
        </w:sectPr>
      </w:pPr>
    </w:p>
    <w:p w14:paraId="2992CE58" w14:textId="77777777" w:rsidR="00CE4AF0" w:rsidRDefault="001C24D2" w:rsidP="00C12A31">
      <w:pPr>
        <w:spacing w:before="0" w:after="0"/>
        <w:contextualSpacing w:val="0"/>
        <w:rPr>
          <w:rFonts w:asciiTheme="minorHAnsi" w:hAnsiTheme="minorHAnsi"/>
          <w:noProof/>
          <w:color w:val="833C0B" w:themeColor="accent2" w:themeShade="80"/>
        </w:rPr>
      </w:pPr>
      <w:r w:rsidRPr="001C24D2">
        <w:rPr>
          <w:noProof/>
          <w:lang w:eastAsia="cs-CZ"/>
        </w:rPr>
        <w:lastRenderedPageBreak/>
        <w:drawing>
          <wp:anchor distT="0" distB="0" distL="114300" distR="114300" simplePos="0" relativeHeight="251682816" behindDoc="0" locked="0" layoutInCell="1" allowOverlap="1" wp14:anchorId="66982375" wp14:editId="75953FB4">
            <wp:simplePos x="0" y="0"/>
            <wp:positionH relativeFrom="margin">
              <wp:align>center</wp:align>
            </wp:positionH>
            <wp:positionV relativeFrom="paragraph">
              <wp:posOffset>74295</wp:posOffset>
            </wp:positionV>
            <wp:extent cx="9578340" cy="5253355"/>
            <wp:effectExtent l="0" t="0" r="3810" b="4445"/>
            <wp:wrapTopAndBottom/>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78340" cy="5253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2D672" w14:textId="77777777" w:rsidR="00CE4AF0" w:rsidRDefault="00CE4AF0" w:rsidP="00C12A31">
      <w:pPr>
        <w:spacing w:before="0" w:after="0"/>
        <w:contextualSpacing w:val="0"/>
        <w:rPr>
          <w:rFonts w:asciiTheme="minorHAnsi" w:hAnsiTheme="minorHAnsi"/>
          <w:noProof/>
          <w:color w:val="833C0B" w:themeColor="accent2" w:themeShade="80"/>
        </w:rPr>
      </w:pPr>
    </w:p>
    <w:p w14:paraId="07E98A0A" w14:textId="77777777" w:rsidR="008C1B55" w:rsidRDefault="008C1B55" w:rsidP="00C12A31">
      <w:pPr>
        <w:spacing w:before="0" w:after="0"/>
        <w:contextualSpacing w:val="0"/>
        <w:rPr>
          <w:rFonts w:asciiTheme="minorHAnsi" w:hAnsiTheme="minorHAnsi"/>
          <w:noProof/>
          <w:color w:val="833C0B" w:themeColor="accent2" w:themeShade="80"/>
        </w:rPr>
        <w:sectPr w:rsidR="008C1B55" w:rsidSect="00210122">
          <w:footerReference w:type="default" r:id="rId39"/>
          <w:pgSz w:w="16838" w:h="11906" w:orient="landscape"/>
          <w:pgMar w:top="1418" w:right="1418" w:bottom="1418" w:left="1418" w:header="709" w:footer="709" w:gutter="0"/>
          <w:cols w:space="708"/>
          <w:docGrid w:linePitch="360"/>
        </w:sectPr>
      </w:pPr>
    </w:p>
    <w:p w14:paraId="25616512" w14:textId="77777777" w:rsidR="00D765A7" w:rsidRDefault="006E1513" w:rsidP="001A67BE">
      <w:pPr>
        <w:pStyle w:val="NORMLN0"/>
        <w:rPr>
          <w:noProof/>
        </w:rPr>
      </w:pPr>
      <w:r>
        <w:rPr>
          <w:noProof/>
        </w:rPr>
        <w:lastRenderedPageBreak/>
        <w:t>Podle počtu výskytů anomáli</w:t>
      </w:r>
      <w:r w:rsidR="008D6493">
        <w:rPr>
          <w:noProof/>
        </w:rPr>
        <w:t>í</w:t>
      </w:r>
      <w:r>
        <w:rPr>
          <w:noProof/>
        </w:rPr>
        <w:t xml:space="preserve"> je nejvíce ovlivněnou skupinou VIII. skupina. Ve všech třech </w:t>
      </w:r>
      <w:r w:rsidR="008D6493">
        <w:rPr>
          <w:noProof/>
        </w:rPr>
        <w:t>nejrizikovějších</w:t>
      </w:r>
      <w:r>
        <w:rPr>
          <w:noProof/>
        </w:rPr>
        <w:t xml:space="preserve"> skupinách se nejčastěji vyskytuje </w:t>
      </w:r>
      <w:r w:rsidR="00D765A7">
        <w:rPr>
          <w:noProof/>
        </w:rPr>
        <w:t xml:space="preserve">používání </w:t>
      </w:r>
      <w:r w:rsidR="00B34CEE" w:rsidRPr="00896DC7">
        <w:rPr>
          <w:b/>
          <w:noProof/>
        </w:rPr>
        <w:t>záporného kalkulačního zisku</w:t>
      </w:r>
      <w:r w:rsidR="00B34CEE" w:rsidRPr="00CF46DF">
        <w:rPr>
          <w:noProof/>
        </w:rPr>
        <w:t xml:space="preserve">. </w:t>
      </w:r>
      <w:r w:rsidR="006D7883">
        <w:rPr>
          <w:noProof/>
        </w:rPr>
        <w:t>Např. v</w:t>
      </w:r>
      <w:r w:rsidR="009842AA">
        <w:rPr>
          <w:noProof/>
        </w:rPr>
        <w:t> VII</w:t>
      </w:r>
      <w:r w:rsidR="006D7883">
        <w:rPr>
          <w:noProof/>
        </w:rPr>
        <w:t>I</w:t>
      </w:r>
      <w:r w:rsidR="009842AA">
        <w:rPr>
          <w:noProof/>
        </w:rPr>
        <w:t xml:space="preserve">. skupině ovlivňuje více než </w:t>
      </w:r>
      <w:r w:rsidR="006D7883">
        <w:rPr>
          <w:noProof/>
        </w:rPr>
        <w:t>59</w:t>
      </w:r>
      <w:r w:rsidR="009842AA">
        <w:rPr>
          <w:noProof/>
        </w:rPr>
        <w:t>% podíl</w:t>
      </w:r>
      <w:r w:rsidR="008D6493">
        <w:rPr>
          <w:noProof/>
        </w:rPr>
        <w:t xml:space="preserve"> vody fakturované ve skupině</w:t>
      </w:r>
      <w:r w:rsidR="00CC0176">
        <w:rPr>
          <w:noProof/>
        </w:rPr>
        <w:t xml:space="preserve"> (</w:t>
      </w:r>
      <w:r w:rsidR="006D7883">
        <w:rPr>
          <w:noProof/>
        </w:rPr>
        <w:t>4,08</w:t>
      </w:r>
      <w:r w:rsidR="00ED6DD0">
        <w:rPr>
          <w:noProof/>
        </w:rPr>
        <w:t> </w:t>
      </w:r>
      <w:r w:rsidR="00CC0176">
        <w:rPr>
          <w:noProof/>
        </w:rPr>
        <w:t>mil.</w:t>
      </w:r>
      <w:r w:rsidR="00ED6DD0">
        <w:rPr>
          <w:noProof/>
        </w:rPr>
        <w:t> </w:t>
      </w:r>
      <w:r w:rsidR="00CC0176" w:rsidRPr="00ED6DD0">
        <w:rPr>
          <w:noProof/>
        </w:rPr>
        <w:t>m</w:t>
      </w:r>
      <w:r w:rsidR="00CC0176" w:rsidRPr="00ED6DD0">
        <w:rPr>
          <w:noProof/>
          <w:vertAlign w:val="superscript"/>
        </w:rPr>
        <w:t>3</w:t>
      </w:r>
      <w:r w:rsidR="00ED6DD0">
        <w:rPr>
          <w:noProof/>
        </w:rPr>
        <w:t xml:space="preserve">). </w:t>
      </w:r>
      <w:r w:rsidR="00E87D2A" w:rsidRPr="00ED6DD0">
        <w:rPr>
          <w:noProof/>
        </w:rPr>
        <w:t>Z</w:t>
      </w:r>
      <w:r w:rsidR="00E87D2A">
        <w:rPr>
          <w:noProof/>
        </w:rPr>
        <w:t xml:space="preserve"> </w:t>
      </w:r>
      <w:r w:rsidR="009842AA">
        <w:rPr>
          <w:noProof/>
        </w:rPr>
        <w:t xml:space="preserve">výsledkům analýz </w:t>
      </w:r>
      <w:r w:rsidR="00E87D2A">
        <w:rPr>
          <w:noProof/>
        </w:rPr>
        <w:t xml:space="preserve">plyne, že </w:t>
      </w:r>
      <w:r w:rsidR="00CC0176">
        <w:rPr>
          <w:noProof/>
        </w:rPr>
        <w:t xml:space="preserve">častý </w:t>
      </w:r>
      <w:r w:rsidR="009842AA">
        <w:rPr>
          <w:noProof/>
        </w:rPr>
        <w:t xml:space="preserve">výskyt </w:t>
      </w:r>
      <w:r w:rsidR="008D6493">
        <w:rPr>
          <w:noProof/>
        </w:rPr>
        <w:t xml:space="preserve">této </w:t>
      </w:r>
      <w:r w:rsidR="009842AA">
        <w:rPr>
          <w:noProof/>
        </w:rPr>
        <w:t xml:space="preserve">anomálie </w:t>
      </w:r>
      <w:r w:rsidR="00E87D2A">
        <w:rPr>
          <w:noProof/>
        </w:rPr>
        <w:t>(</w:t>
      </w:r>
      <w:r w:rsidR="00ED6DD0">
        <w:rPr>
          <w:noProof/>
        </w:rPr>
        <w:t xml:space="preserve">způsobený </w:t>
      </w:r>
      <w:r w:rsidR="006D7883">
        <w:rPr>
          <w:noProof/>
        </w:rPr>
        <w:t>nízk</w:t>
      </w:r>
      <w:r w:rsidR="00ED6DD0">
        <w:rPr>
          <w:noProof/>
        </w:rPr>
        <w:t>ou</w:t>
      </w:r>
      <w:r w:rsidR="00E87D2A">
        <w:rPr>
          <w:noProof/>
        </w:rPr>
        <w:t xml:space="preserve"> cen</w:t>
      </w:r>
      <w:r w:rsidR="00ED6DD0">
        <w:rPr>
          <w:noProof/>
        </w:rPr>
        <w:t>ou</w:t>
      </w:r>
      <w:r w:rsidR="006D7883">
        <w:rPr>
          <w:noProof/>
        </w:rPr>
        <w:t xml:space="preserve"> nebo nízk</w:t>
      </w:r>
      <w:r w:rsidR="00ED6DD0">
        <w:rPr>
          <w:noProof/>
        </w:rPr>
        <w:t>ým</w:t>
      </w:r>
      <w:r w:rsidR="006D7883">
        <w:rPr>
          <w:noProof/>
        </w:rPr>
        <w:t xml:space="preserve"> fakturovan</w:t>
      </w:r>
      <w:r w:rsidR="00ED6DD0">
        <w:rPr>
          <w:noProof/>
        </w:rPr>
        <w:t>ým</w:t>
      </w:r>
      <w:r w:rsidR="00E87D2A">
        <w:rPr>
          <w:noProof/>
        </w:rPr>
        <w:t xml:space="preserve"> množství</w:t>
      </w:r>
      <w:r w:rsidR="00ED6DD0">
        <w:rPr>
          <w:noProof/>
        </w:rPr>
        <w:t>m</w:t>
      </w:r>
      <w:r w:rsidR="00E87D2A">
        <w:rPr>
          <w:noProof/>
        </w:rPr>
        <w:t xml:space="preserve">) je </w:t>
      </w:r>
      <w:r w:rsidR="00ED6DD0">
        <w:rPr>
          <w:noProof/>
        </w:rPr>
        <w:t>dán</w:t>
      </w:r>
      <w:r w:rsidR="00E87D2A">
        <w:rPr>
          <w:noProof/>
        </w:rPr>
        <w:t xml:space="preserve"> zejména</w:t>
      </w:r>
      <w:r w:rsidR="00CC0176">
        <w:rPr>
          <w:noProof/>
        </w:rPr>
        <w:t xml:space="preserve"> atomiz</w:t>
      </w:r>
      <w:r w:rsidR="00E87D2A">
        <w:rPr>
          <w:noProof/>
        </w:rPr>
        <w:t>ací trhu a s ní souvisejícím vlivem komunálního způsobu řízení a rozhodování</w:t>
      </w:r>
      <w:r w:rsidR="00CC0176">
        <w:rPr>
          <w:noProof/>
        </w:rPr>
        <w:t xml:space="preserve"> </w:t>
      </w:r>
      <w:r w:rsidR="00E87D2A">
        <w:rPr>
          <w:noProof/>
        </w:rPr>
        <w:t>ve smíšeném a vlastnickém modelu provozování.</w:t>
      </w:r>
    </w:p>
    <w:p w14:paraId="246F3722" w14:textId="48695EA1" w:rsidR="00D765A7" w:rsidRPr="00D765A7" w:rsidRDefault="00D765A7" w:rsidP="001A67BE">
      <w:pPr>
        <w:pStyle w:val="NORMLN0"/>
      </w:pPr>
      <w:r>
        <w:t>Dalšími anomáliemi s výraznějším vlivem v</w:t>
      </w:r>
      <w:r w:rsidR="00E87D2A">
        <w:t> rizikových skupinách</w:t>
      </w:r>
      <w:r>
        <w:t xml:space="preserve"> jsou anomálie poukazující na nedostatečný stav VIM</w:t>
      </w:r>
      <w:r w:rsidR="000006C8">
        <w:t>,</w:t>
      </w:r>
      <w:r>
        <w:t xml:space="preserve"> </w:t>
      </w:r>
      <w:r w:rsidR="000006C8">
        <w:t xml:space="preserve">na nesystematickou technickou péči o provozovaný VIM </w:t>
      </w:r>
      <w:r>
        <w:t xml:space="preserve">a nesledování ztrát. </w:t>
      </w:r>
      <w:r w:rsidRPr="00896DC7">
        <w:t xml:space="preserve">V VIII. skupině </w:t>
      </w:r>
      <w:r w:rsidR="00E87D2A">
        <w:t xml:space="preserve">se vyskytuje 191 Porovnání s </w:t>
      </w:r>
      <w:r w:rsidRPr="00896DC7">
        <w:rPr>
          <w:b/>
        </w:rPr>
        <w:t>nulov</w:t>
      </w:r>
      <w:r w:rsidR="00E87D2A">
        <w:rPr>
          <w:b/>
        </w:rPr>
        <w:t>ými</w:t>
      </w:r>
      <w:r w:rsidRPr="00896DC7">
        <w:rPr>
          <w:b/>
        </w:rPr>
        <w:t xml:space="preserve"> ztrát</w:t>
      </w:r>
      <w:r w:rsidR="00E87D2A">
        <w:rPr>
          <w:b/>
        </w:rPr>
        <w:t>ami</w:t>
      </w:r>
      <w:r w:rsidRPr="00896DC7">
        <w:rPr>
          <w:b/>
        </w:rPr>
        <w:t xml:space="preserve"> vody</w:t>
      </w:r>
      <w:r w:rsidRPr="00896DC7">
        <w:t xml:space="preserve"> (</w:t>
      </w:r>
      <w:r w:rsidR="00E87D2A">
        <w:t>35,95% podíl fakturované vody</w:t>
      </w:r>
      <w:r w:rsidRPr="00896DC7">
        <w:t>; 2,</w:t>
      </w:r>
      <w:r>
        <w:t>47</w:t>
      </w:r>
      <w:r w:rsidR="00E87D2A">
        <w:t> </w:t>
      </w:r>
      <w:r>
        <w:t>mil. m</w:t>
      </w:r>
      <w:r w:rsidRPr="00E27252">
        <w:rPr>
          <w:vertAlign w:val="superscript"/>
        </w:rPr>
        <w:t>3</w:t>
      </w:r>
      <w:r w:rsidRPr="00896DC7">
        <w:t xml:space="preserve"> fakturované vody</w:t>
      </w:r>
      <w:r w:rsidR="00F037EC">
        <w:t>)</w:t>
      </w:r>
      <w:r>
        <w:t>.</w:t>
      </w:r>
      <w:r w:rsidR="00F037EC">
        <w:t xml:space="preserve"> U dalších dvou skupin je vliv této anomálie vzhledem k ovlivněnému podílu fakturované vody ve skupině</w:t>
      </w:r>
      <w:r w:rsidR="00E87D2A">
        <w:t xml:space="preserve"> </w:t>
      </w:r>
      <w:r w:rsidR="00F037EC">
        <w:t xml:space="preserve">méně významný. </w:t>
      </w:r>
      <w:r w:rsidR="000006C8">
        <w:t xml:space="preserve">V </w:t>
      </w:r>
      <w:r w:rsidR="00F037EC" w:rsidRPr="00F037EC">
        <w:t>VIII.</w:t>
      </w:r>
      <w:r w:rsidR="00F037EC">
        <w:rPr>
          <w:b/>
        </w:rPr>
        <w:t xml:space="preserve"> </w:t>
      </w:r>
      <w:r w:rsidR="00F037EC" w:rsidRPr="00F037EC">
        <w:t>skupin</w:t>
      </w:r>
      <w:r w:rsidR="000006C8">
        <w:t>ě</w:t>
      </w:r>
      <w:r w:rsidR="00F037EC">
        <w:rPr>
          <w:b/>
        </w:rPr>
        <w:t xml:space="preserve"> </w:t>
      </w:r>
      <w:r w:rsidR="000006C8" w:rsidRPr="00284ED7">
        <w:t>by</w:t>
      </w:r>
      <w:r w:rsidR="00ED6DD0" w:rsidRPr="00284ED7">
        <w:t>la identifikována jako významná</w:t>
      </w:r>
      <w:r w:rsidR="000006C8" w:rsidRPr="00284ED7">
        <w:t xml:space="preserve"> anomálie</w:t>
      </w:r>
      <w:r w:rsidR="000006C8">
        <w:rPr>
          <w:b/>
        </w:rPr>
        <w:t xml:space="preserve"> </w:t>
      </w:r>
      <w:r w:rsidR="00F037EC" w:rsidRPr="00ED6DD0">
        <w:rPr>
          <w:b/>
        </w:rPr>
        <w:t>vysoké hodnota</w:t>
      </w:r>
      <w:r w:rsidR="00F037EC">
        <w:t xml:space="preserve"> </w:t>
      </w:r>
      <w:r w:rsidR="000006C8">
        <w:rPr>
          <w:b/>
        </w:rPr>
        <w:t>vody</w:t>
      </w:r>
      <w:r w:rsidR="000006C8" w:rsidRPr="00D765A7">
        <w:rPr>
          <w:b/>
        </w:rPr>
        <w:t xml:space="preserve"> nefakturovan</w:t>
      </w:r>
      <w:r w:rsidR="000006C8">
        <w:rPr>
          <w:b/>
        </w:rPr>
        <w:t>é</w:t>
      </w:r>
      <w:r w:rsidR="000006C8" w:rsidRPr="00D765A7">
        <w:rPr>
          <w:b/>
        </w:rPr>
        <w:t xml:space="preserve"> na 1</w:t>
      </w:r>
      <w:r w:rsidR="000006C8">
        <w:rPr>
          <w:b/>
        </w:rPr>
        <w:t xml:space="preserve"> </w:t>
      </w:r>
      <w:r w:rsidR="000006C8" w:rsidRPr="00D765A7">
        <w:rPr>
          <w:b/>
        </w:rPr>
        <w:t>km přepočtené délky vodovodního řádu na den</w:t>
      </w:r>
      <w:r w:rsidR="000006C8">
        <w:t>, která</w:t>
      </w:r>
      <w:r w:rsidR="00F037EC">
        <w:t xml:space="preserve"> ovlivňuje </w:t>
      </w:r>
      <w:r w:rsidR="003B0A57">
        <w:t>23%</w:t>
      </w:r>
      <w:r w:rsidR="00F037EC">
        <w:t xml:space="preserve"> podíl fakturované vody v</w:t>
      </w:r>
      <w:r w:rsidR="000006C8">
        <w:t>e</w:t>
      </w:r>
      <w:r w:rsidR="00F037EC">
        <w:t> skupině. Ta</w:t>
      </w:r>
      <w:r w:rsidR="00ED6DD0">
        <w:t>k</w:t>
      </w:r>
      <w:r w:rsidR="00F037EC">
        <w:t>to vysok</w:t>
      </w:r>
      <w:r w:rsidR="000B6162">
        <w:t>ý</w:t>
      </w:r>
      <w:r w:rsidR="00F037EC">
        <w:t xml:space="preserve"> </w:t>
      </w:r>
      <w:r w:rsidR="00ED6DD0">
        <w:t>podíl</w:t>
      </w:r>
      <w:r w:rsidR="001F2A35">
        <w:t xml:space="preserve"> zasaženého množství fakturované vody</w:t>
      </w:r>
      <w:r w:rsidR="00F037EC">
        <w:t xml:space="preserve"> v kombinaci s vlivem </w:t>
      </w:r>
      <w:r w:rsidR="001F2A35">
        <w:t xml:space="preserve">vykázaných </w:t>
      </w:r>
      <w:r w:rsidR="00F037EC">
        <w:t>nulových ztrát</w:t>
      </w:r>
      <w:r w:rsidR="000006C8">
        <w:t xml:space="preserve"> vody</w:t>
      </w:r>
      <w:r w:rsidR="001F2A35">
        <w:t xml:space="preserve"> svědčí </w:t>
      </w:r>
      <w:r w:rsidR="00F037EC">
        <w:t xml:space="preserve">o problémech provozovatelů řádně využívat postupy pro snižování nefakturované vody </w:t>
      </w:r>
      <w:r w:rsidR="000006C8">
        <w:t xml:space="preserve">a ztrát </w:t>
      </w:r>
      <w:r w:rsidR="00F037EC">
        <w:t xml:space="preserve">při provozování VIM a při péči o technický stav provozovaného VIM (otázka spolupráce provozovatele a vlastníka VIM, </w:t>
      </w:r>
      <w:r w:rsidR="000006C8">
        <w:t xml:space="preserve">jejíž </w:t>
      </w:r>
      <w:r w:rsidR="00F037EC">
        <w:t xml:space="preserve">možnosti </w:t>
      </w:r>
      <w:r w:rsidR="000006C8">
        <w:t xml:space="preserve">řešení </w:t>
      </w:r>
      <w:r w:rsidR="00F037EC">
        <w:t>jsou vysoce limitované ek</w:t>
      </w:r>
      <w:r w:rsidR="000006C8">
        <w:t>o</w:t>
      </w:r>
      <w:r w:rsidR="00F037EC">
        <w:t>nomickou vý</w:t>
      </w:r>
      <w:r w:rsidR="001F2A35">
        <w:t xml:space="preserve">konností provozovaného vodovodu, což je </w:t>
      </w:r>
      <w:r w:rsidR="00F037EC">
        <w:t xml:space="preserve">další projev atomizace trhu). </w:t>
      </w:r>
      <w:r w:rsidR="003B0A57">
        <w:t xml:space="preserve">Na potřebu věnovat se snižování ztrát vody zejména v VI. skupině upozorňuje i </w:t>
      </w:r>
      <w:r w:rsidR="009F240B">
        <w:t>anomálie</w:t>
      </w:r>
      <w:r w:rsidR="00BC03D3">
        <w:t xml:space="preserve"> </w:t>
      </w:r>
      <w:r w:rsidR="003B0A57">
        <w:t>vysoké ztráty vody na 1 km přepočtené délky vodovodního řádu na den, kde ovlivňuje 10,69% podíl vody fakturované ve skupině (4,134 mil. m</w:t>
      </w:r>
      <w:r w:rsidR="003B0A57" w:rsidRPr="003B0A57">
        <w:rPr>
          <w:vertAlign w:val="superscript"/>
        </w:rPr>
        <w:t>3</w:t>
      </w:r>
      <w:r w:rsidR="003B0A57">
        <w:t>) a také hodnota podílu ztrát vody na vodě určené k realizaci (</w:t>
      </w:r>
      <w:r w:rsidR="009F240B">
        <w:t xml:space="preserve">tj. </w:t>
      </w:r>
      <w:r w:rsidR="003B0A57">
        <w:t>5,07</w:t>
      </w:r>
      <w:r w:rsidR="009F240B">
        <w:t> </w:t>
      </w:r>
      <w:r w:rsidR="003B0A57">
        <w:t xml:space="preserve">%). </w:t>
      </w:r>
    </w:p>
    <w:p w14:paraId="59A2DAAF" w14:textId="77777777" w:rsidR="00A8387B" w:rsidRDefault="001A67BE" w:rsidP="001A67BE">
      <w:pPr>
        <w:pStyle w:val="NORMLN0"/>
      </w:pPr>
      <w:r>
        <w:t>Nejvíce problém</w:t>
      </w:r>
      <w:r w:rsidR="000006C8">
        <w:t>ů</w:t>
      </w:r>
      <w:r w:rsidR="00A1537B">
        <w:t xml:space="preserve"> s dodržová</w:t>
      </w:r>
      <w:r>
        <w:t>ním kvality dodávané vody se objevilo také v VIII. skupině. Nemusí se jednat jen o případné nesprávné postupy provozování</w:t>
      </w:r>
      <w:r w:rsidR="000006C8">
        <w:t>,</w:t>
      </w:r>
      <w:r>
        <w:t xml:space="preserve"> protože výsledn</w:t>
      </w:r>
      <w:r w:rsidR="000006C8">
        <w:t>á</w:t>
      </w:r>
      <w:r>
        <w:t xml:space="preserve"> kvalita vody úzce souvisí </w:t>
      </w:r>
      <w:r w:rsidR="00A8387B">
        <w:t xml:space="preserve">i se stavem VIM. </w:t>
      </w:r>
      <w:r w:rsidR="0057567D" w:rsidRPr="0057567D">
        <w:rPr>
          <w:b/>
        </w:rPr>
        <w:t>P</w:t>
      </w:r>
      <w:r w:rsidR="00A8387B" w:rsidRPr="00896DC7">
        <w:rPr>
          <w:b/>
        </w:rPr>
        <w:t xml:space="preserve">odíl nevyhovujících fyzikálně chemických </w:t>
      </w:r>
      <w:r w:rsidR="000006C8">
        <w:rPr>
          <w:b/>
        </w:rPr>
        <w:t>nebo</w:t>
      </w:r>
      <w:r w:rsidR="00A8387B" w:rsidRPr="00896DC7">
        <w:rPr>
          <w:b/>
        </w:rPr>
        <w:t xml:space="preserve"> mikrobi</w:t>
      </w:r>
      <w:r w:rsidR="00A8387B">
        <w:rPr>
          <w:b/>
        </w:rPr>
        <w:t>ologických a biologických vzorků</w:t>
      </w:r>
      <w:r w:rsidR="008A359C">
        <w:rPr>
          <w:b/>
        </w:rPr>
        <w:t xml:space="preserve"> </w:t>
      </w:r>
      <w:r w:rsidR="00AF7D88">
        <w:rPr>
          <w:b/>
        </w:rPr>
        <w:t xml:space="preserve">vyšší než 20 % </w:t>
      </w:r>
      <w:r w:rsidR="0057567D" w:rsidRPr="0057567D">
        <w:t>se</w:t>
      </w:r>
      <w:r w:rsidR="0057567D">
        <w:rPr>
          <w:b/>
        </w:rPr>
        <w:t xml:space="preserve"> </w:t>
      </w:r>
      <w:r w:rsidR="008A359C">
        <w:t>v VIII. skupině</w:t>
      </w:r>
      <w:r w:rsidR="0057567D">
        <w:t xml:space="preserve"> vyskytl u 111 Porovnání a ovlivnil 15,90% podíl fakturované vody ve skupině. </w:t>
      </w:r>
      <w:r w:rsidR="00CA0DCA">
        <w:t>U</w:t>
      </w:r>
      <w:r w:rsidR="0057567D">
        <w:t xml:space="preserve"> </w:t>
      </w:r>
      <w:r w:rsidR="00AF7D88">
        <w:t>ostatní</w:t>
      </w:r>
      <w:r w:rsidR="00CA0DCA">
        <w:t>ch</w:t>
      </w:r>
      <w:r w:rsidR="00AF7D88">
        <w:t xml:space="preserve"> </w:t>
      </w:r>
      <w:r w:rsidR="00CA0DCA">
        <w:t>rizikových</w:t>
      </w:r>
      <w:r w:rsidR="00AF7D88">
        <w:t xml:space="preserve"> </w:t>
      </w:r>
      <w:r w:rsidR="0057567D">
        <w:t xml:space="preserve">skupin </w:t>
      </w:r>
      <w:r w:rsidR="00CA0DCA">
        <w:t xml:space="preserve">měl </w:t>
      </w:r>
      <w:r w:rsidR="0057567D">
        <w:t xml:space="preserve">méně významný vliv. </w:t>
      </w:r>
    </w:p>
    <w:p w14:paraId="57AC426A" w14:textId="7D112D20" w:rsidR="00B34CEE" w:rsidRDefault="00961B0F" w:rsidP="001A67BE">
      <w:pPr>
        <w:pStyle w:val="NORMLN0"/>
      </w:pPr>
      <w:r w:rsidRPr="00E27252">
        <w:t>Zajímavý je nález</w:t>
      </w:r>
      <w:r w:rsidR="00B26631" w:rsidRPr="00E27252">
        <w:t xml:space="preserve"> </w:t>
      </w:r>
      <w:r w:rsidR="00DB0111" w:rsidRPr="00DB0111">
        <w:rPr>
          <w:b/>
        </w:rPr>
        <w:t>vysokého</w:t>
      </w:r>
      <w:r w:rsidR="00DB0111">
        <w:t xml:space="preserve"> </w:t>
      </w:r>
      <w:r w:rsidR="00DB0111" w:rsidRPr="00DB0111">
        <w:rPr>
          <w:b/>
        </w:rPr>
        <w:t>podíl</w:t>
      </w:r>
      <w:r w:rsidR="00DB0111">
        <w:rPr>
          <w:b/>
        </w:rPr>
        <w:t>u</w:t>
      </w:r>
      <w:r w:rsidR="00DB0111" w:rsidRPr="00DB0111">
        <w:rPr>
          <w:b/>
        </w:rPr>
        <w:t xml:space="preserve"> kalkulačního zisku k rozdělení na ÚVN (bez části na rozvoj a obnovu)</w:t>
      </w:r>
      <w:r w:rsidR="00DB0111">
        <w:rPr>
          <w:b/>
        </w:rPr>
        <w:t xml:space="preserve"> </w:t>
      </w:r>
      <w:r w:rsidR="00DB0111" w:rsidRPr="00DB0111">
        <w:t>a</w:t>
      </w:r>
      <w:r w:rsidR="00DB0111">
        <w:rPr>
          <w:b/>
        </w:rPr>
        <w:t xml:space="preserve"> </w:t>
      </w:r>
      <w:r w:rsidR="00DB0111" w:rsidRPr="00DB0111">
        <w:rPr>
          <w:b/>
        </w:rPr>
        <w:t>vysok</w:t>
      </w:r>
      <w:r w:rsidR="00CA0DCA">
        <w:rPr>
          <w:b/>
        </w:rPr>
        <w:t>é</w:t>
      </w:r>
      <w:r w:rsidR="00DB0111" w:rsidRPr="00DB0111">
        <w:rPr>
          <w:b/>
        </w:rPr>
        <w:t xml:space="preserve"> cen</w:t>
      </w:r>
      <w:r w:rsidR="00CA0DCA">
        <w:rPr>
          <w:b/>
        </w:rPr>
        <w:t>y</w:t>
      </w:r>
      <w:r w:rsidR="00DB0111" w:rsidRPr="00DB0111">
        <w:rPr>
          <w:b/>
        </w:rPr>
        <w:t xml:space="preserve"> pro vodné</w:t>
      </w:r>
      <w:r w:rsidR="00B34CEE" w:rsidRPr="00E27252">
        <w:t>.</w:t>
      </w:r>
      <w:r w:rsidRPr="00E27252">
        <w:t xml:space="preserve"> Tyto anomálie svědčí o rozmanitosti </w:t>
      </w:r>
      <w:r w:rsidR="00E12CD2" w:rsidRPr="00E27252">
        <w:t>přístupů k cenotvorbě po</w:t>
      </w:r>
      <w:r w:rsidR="00E27252">
        <w:t>p</w:t>
      </w:r>
      <w:r w:rsidR="00E12CD2" w:rsidRPr="00E27252">
        <w:t xml:space="preserve">řípadě i vykazování údajů v Porovnání </w:t>
      </w:r>
      <w:r w:rsidRPr="00E27252">
        <w:t>u všech tří posuzovaných skupin.</w:t>
      </w:r>
      <w:r w:rsidR="00B26631" w:rsidRPr="00E27252">
        <w:t xml:space="preserve"> </w:t>
      </w:r>
      <w:r w:rsidR="00B34CEE" w:rsidRPr="00E27252">
        <w:t xml:space="preserve">Vysoký podíl zisku </w:t>
      </w:r>
      <w:r w:rsidR="00F92D72">
        <w:t xml:space="preserve">k rozdělení </w:t>
      </w:r>
      <w:r w:rsidR="00B34CEE" w:rsidRPr="00E27252">
        <w:t xml:space="preserve">na </w:t>
      </w:r>
      <w:r w:rsidR="00CA0DCA">
        <w:t>ÚVN</w:t>
      </w:r>
      <w:r w:rsidR="00B34CEE" w:rsidRPr="00E27252">
        <w:t xml:space="preserve"> </w:t>
      </w:r>
      <w:r w:rsidR="00CB3779" w:rsidRPr="00E27252">
        <w:t>se z pohle</w:t>
      </w:r>
      <w:r w:rsidR="00E27252">
        <w:t>du objemu fakturované vody nejví</w:t>
      </w:r>
      <w:r w:rsidR="00CB3779" w:rsidRPr="00E27252">
        <w:t>ce projevil v</w:t>
      </w:r>
      <w:r w:rsidR="00CA0DCA">
        <w:t>e</w:t>
      </w:r>
      <w:r w:rsidR="00CB3779" w:rsidRPr="00E27252">
        <w:t> VI. skupině, kde zasáhl</w:t>
      </w:r>
      <w:r w:rsidR="00B34CEE" w:rsidRPr="00E27252">
        <w:t xml:space="preserve"> </w:t>
      </w:r>
      <w:r w:rsidR="003B0A57">
        <w:t>3,087</w:t>
      </w:r>
      <w:r w:rsidR="00B34CEE" w:rsidRPr="00E27252">
        <w:t xml:space="preserve"> </w:t>
      </w:r>
      <w:r w:rsidR="00E27252">
        <w:t>mil. m</w:t>
      </w:r>
      <w:r w:rsidR="00E27252" w:rsidRPr="00E27252">
        <w:rPr>
          <w:vertAlign w:val="superscript"/>
        </w:rPr>
        <w:t>3</w:t>
      </w:r>
      <w:r w:rsidR="00B34CEE" w:rsidRPr="00E27252">
        <w:t xml:space="preserve"> </w:t>
      </w:r>
      <w:r w:rsidR="00F92D72" w:rsidRPr="00E27252">
        <w:t xml:space="preserve">vody pitné fakturované </w:t>
      </w:r>
      <w:r w:rsidR="00B34CEE" w:rsidRPr="00E27252">
        <w:t>(</w:t>
      </w:r>
      <w:r w:rsidR="003B0A57">
        <w:t>7,98</w:t>
      </w:r>
      <w:r w:rsidR="00B34CEE" w:rsidRPr="00E27252">
        <w:t xml:space="preserve">% podíl </w:t>
      </w:r>
      <w:r w:rsidR="00CA0DCA">
        <w:t xml:space="preserve">fakturované </w:t>
      </w:r>
      <w:r w:rsidR="00B34CEE" w:rsidRPr="00E27252">
        <w:t>vody ve skupině).</w:t>
      </w:r>
      <w:r w:rsidR="00B26631" w:rsidRPr="00E27252">
        <w:t xml:space="preserve"> </w:t>
      </w:r>
      <w:r w:rsidR="00CA0DCA">
        <w:t>Nejvyšší</w:t>
      </w:r>
      <w:r w:rsidR="00E12CD2" w:rsidRPr="00E27252">
        <w:t xml:space="preserve"> četnost výskytu v</w:t>
      </w:r>
      <w:r w:rsidR="00E27252">
        <w:t xml:space="preserve">ysokého </w:t>
      </w:r>
      <w:r w:rsidR="003B0A57">
        <w:t>podílu zisku</w:t>
      </w:r>
      <w:r w:rsidR="00E27252">
        <w:t xml:space="preserve"> na</w:t>
      </w:r>
      <w:r w:rsidR="00CA0DCA">
        <w:t xml:space="preserve"> ÚVN </w:t>
      </w:r>
      <w:r w:rsidR="00E12CD2" w:rsidRPr="00E27252">
        <w:t>je</w:t>
      </w:r>
      <w:r w:rsidR="00B34CEE" w:rsidRPr="00E27252">
        <w:t xml:space="preserve"> </w:t>
      </w:r>
      <w:r w:rsidR="00CA0DCA">
        <w:t>v</w:t>
      </w:r>
      <w:r w:rsidR="00B34CEE" w:rsidRPr="00E27252">
        <w:t xml:space="preserve"> VII. provozovatelsk</w:t>
      </w:r>
      <w:r w:rsidR="00CA0DCA">
        <w:t>é</w:t>
      </w:r>
      <w:r w:rsidR="00B34CEE" w:rsidRPr="00E27252">
        <w:t xml:space="preserve"> skupin</w:t>
      </w:r>
      <w:r w:rsidR="00CA0DCA">
        <w:t>ě (</w:t>
      </w:r>
      <w:r w:rsidR="003B0A57">
        <w:t>56</w:t>
      </w:r>
      <w:r w:rsidR="00B34CEE" w:rsidRPr="00E27252">
        <w:t xml:space="preserve"> Porovnání</w:t>
      </w:r>
      <w:r w:rsidR="00CA0DCA">
        <w:t>)</w:t>
      </w:r>
      <w:r w:rsidR="00B34CEE" w:rsidRPr="00E27252">
        <w:t>.</w:t>
      </w:r>
      <w:r w:rsidR="00B26631" w:rsidRPr="00E27252">
        <w:t xml:space="preserve"> </w:t>
      </w:r>
      <w:r w:rsidR="00F92D72">
        <w:t xml:space="preserve">Kalkulační zisk </w:t>
      </w:r>
      <w:r w:rsidR="00CA0DCA">
        <w:t>k</w:t>
      </w:r>
      <w:r w:rsidR="00F92D72">
        <w:t xml:space="preserve"> rozdělení </w:t>
      </w:r>
      <w:r w:rsidR="00CA0DCA">
        <w:t xml:space="preserve">slouží k úhradě ekonomicky neoprávněných nákladů nebo </w:t>
      </w:r>
      <w:r w:rsidR="00F92D72">
        <w:t>představuj</w:t>
      </w:r>
      <w:r w:rsidR="00CA0DCA">
        <w:t>e</w:t>
      </w:r>
      <w:r w:rsidR="00F92D72">
        <w:t xml:space="preserve"> odměnu </w:t>
      </w:r>
      <w:r w:rsidR="009F240B">
        <w:t>příjemce</w:t>
      </w:r>
      <w:r w:rsidR="00F92D72">
        <w:t xml:space="preserve"> za poskytování služeb. O </w:t>
      </w:r>
      <w:r w:rsidR="004800EE">
        <w:t xml:space="preserve">použití </w:t>
      </w:r>
      <w:r w:rsidR="00F92D72">
        <w:t>těchto finančních zdroj</w:t>
      </w:r>
      <w:r w:rsidR="004800EE">
        <w:t xml:space="preserve">ů rozhoduje </w:t>
      </w:r>
      <w:r w:rsidR="00CA0DCA">
        <w:t>příjemce vodného,</w:t>
      </w:r>
      <w:r w:rsidR="004800EE">
        <w:t xml:space="preserve"> a </w:t>
      </w:r>
      <w:r w:rsidR="00CA0DCA">
        <w:t>přestože</w:t>
      </w:r>
      <w:r w:rsidR="004800EE">
        <w:t xml:space="preserve"> jsou vygenerovány v rámci ceny pro vodné</w:t>
      </w:r>
      <w:r w:rsidR="00CA0DCA">
        <w:t>,</w:t>
      </w:r>
      <w:r w:rsidR="004800EE">
        <w:t xml:space="preserve"> nemusí být použity na zlepšování stavu VIM a procesů provozování. </w:t>
      </w:r>
      <w:r w:rsidR="00E12CD2" w:rsidRPr="00E27252">
        <w:t>Zde je tře</w:t>
      </w:r>
      <w:r w:rsidR="00E27252">
        <w:t>ba opět zopakovat, že výskyt vys</w:t>
      </w:r>
      <w:r w:rsidR="00E12CD2" w:rsidRPr="00E27252">
        <w:t xml:space="preserve">okého podílu kalkulačního zisku </w:t>
      </w:r>
      <w:r w:rsidR="003300AA">
        <w:t xml:space="preserve">k rozdělení </w:t>
      </w:r>
      <w:r w:rsidR="00E12CD2" w:rsidRPr="00E27252">
        <w:t xml:space="preserve">na </w:t>
      </w:r>
      <w:r w:rsidR="00CA0DCA">
        <w:t>ÚVN může být ovlivněn</w:t>
      </w:r>
      <w:r w:rsidR="00E12CD2" w:rsidRPr="00E27252">
        <w:t xml:space="preserve"> </w:t>
      </w:r>
      <w:r w:rsidR="00802AC2" w:rsidRPr="00E27252">
        <w:t>ne</w:t>
      </w:r>
      <w:r w:rsidR="00B23DB8">
        <w:t>vykazováním</w:t>
      </w:r>
      <w:r w:rsidR="00E12CD2" w:rsidRPr="00E27252">
        <w:t xml:space="preserve"> ekonomicky oprávněných nákladů v plné výši</w:t>
      </w:r>
      <w:r w:rsidR="003A6341" w:rsidRPr="00E27252">
        <w:t>.</w:t>
      </w:r>
    </w:p>
    <w:p w14:paraId="067CCA5B" w14:textId="77777777" w:rsidR="004501A7" w:rsidRDefault="00B34CEE" w:rsidP="00284ED7">
      <w:pPr>
        <w:pStyle w:val="NORMLN0"/>
        <w:rPr>
          <w:noProof/>
        </w:rPr>
      </w:pPr>
      <w:r w:rsidRPr="00896DC7">
        <w:rPr>
          <w:noProof/>
        </w:rPr>
        <w:t>Pro ucelení přehledu</w:t>
      </w:r>
      <w:r w:rsidR="00CA0DCA">
        <w:rPr>
          <w:noProof/>
        </w:rPr>
        <w:t xml:space="preserve"> výskytu anomálií</w:t>
      </w:r>
      <w:r w:rsidRPr="00896DC7">
        <w:rPr>
          <w:noProof/>
        </w:rPr>
        <w:t xml:space="preserve"> uvádíme graf znázorňující situaci v rámci skupin.</w:t>
      </w:r>
    </w:p>
    <w:p w14:paraId="7C6BC378" w14:textId="77777777" w:rsidR="001C24D2" w:rsidRPr="00896DC7" w:rsidRDefault="001C24D2" w:rsidP="00B23DB8">
      <w:pPr>
        <w:pStyle w:val="NORMLN0"/>
        <w:ind w:firstLine="0"/>
        <w:rPr>
          <w:noProof/>
        </w:rPr>
      </w:pPr>
      <w:r>
        <w:rPr>
          <w:noProof/>
          <w:lang w:eastAsia="cs-CZ"/>
        </w:rPr>
        <w:lastRenderedPageBreak/>
        <w:drawing>
          <wp:inline distT="0" distB="0" distL="0" distR="0" wp14:anchorId="79B9D46C" wp14:editId="69173323">
            <wp:extent cx="6359857" cy="8939284"/>
            <wp:effectExtent l="0" t="0" r="3175" b="0"/>
            <wp:docPr id="45" name="Graf 4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174D3E55-F979-40F4-90B6-440C8374B9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D36DE8F" w14:textId="77777777" w:rsidR="00FB78FA" w:rsidRPr="00152198" w:rsidRDefault="006E24D8" w:rsidP="006E24D8">
      <w:pPr>
        <w:pStyle w:val="Nadpis3"/>
        <w:rPr>
          <w:rFonts w:asciiTheme="minorHAnsi" w:hAnsiTheme="minorHAnsi"/>
          <w:bCs/>
          <w:noProof/>
        </w:rPr>
      </w:pPr>
      <w:bookmarkStart w:id="52" w:name="_Toc3292010"/>
      <w:r w:rsidRPr="00152198">
        <w:rPr>
          <w:rFonts w:asciiTheme="minorHAnsi" w:hAnsiTheme="minorHAnsi"/>
          <w:bCs/>
          <w:noProof/>
        </w:rPr>
        <w:lastRenderedPageBreak/>
        <w:t>Porovnání</w:t>
      </w:r>
      <w:r w:rsidR="002A0852">
        <w:rPr>
          <w:rFonts w:asciiTheme="minorHAnsi" w:hAnsiTheme="minorHAnsi"/>
          <w:bCs/>
          <w:noProof/>
        </w:rPr>
        <w:t xml:space="preserve"> průměrných hodnot</w:t>
      </w:r>
      <w:r w:rsidRPr="00152198">
        <w:rPr>
          <w:rFonts w:asciiTheme="minorHAnsi" w:hAnsiTheme="minorHAnsi"/>
          <w:bCs/>
          <w:noProof/>
        </w:rPr>
        <w:t xml:space="preserve"> sledovaných ukazatelů </w:t>
      </w:r>
      <w:r w:rsidR="004343E4">
        <w:rPr>
          <w:rFonts w:asciiTheme="minorHAnsi" w:hAnsiTheme="minorHAnsi"/>
          <w:bCs/>
          <w:noProof/>
        </w:rPr>
        <w:t>z</w:t>
      </w:r>
      <w:r w:rsidR="002A0852">
        <w:rPr>
          <w:rFonts w:asciiTheme="minorHAnsi" w:hAnsiTheme="minorHAnsi"/>
          <w:bCs/>
          <w:noProof/>
        </w:rPr>
        <w:t xml:space="preserve"> Porovnání splňujících daná kritéria</w:t>
      </w:r>
      <w:bookmarkEnd w:id="52"/>
      <w:r w:rsidR="004343E4">
        <w:rPr>
          <w:rFonts w:asciiTheme="minorHAnsi" w:hAnsiTheme="minorHAnsi"/>
          <w:bCs/>
          <w:noProof/>
        </w:rPr>
        <w:t xml:space="preserve"> </w:t>
      </w:r>
    </w:p>
    <w:p w14:paraId="4D04F97A" w14:textId="77777777" w:rsidR="00472A24" w:rsidRPr="00C62639" w:rsidRDefault="00472A24" w:rsidP="003A6341">
      <w:pPr>
        <w:pStyle w:val="Normlnzprva"/>
      </w:pPr>
      <w:r w:rsidRPr="00C62639">
        <w:t>V </w:t>
      </w:r>
      <w:r w:rsidR="00B71E5E">
        <w:t>následující tabulce jsou uvedeny</w:t>
      </w:r>
      <w:r w:rsidRPr="00C62639">
        <w:t xml:space="preserve"> </w:t>
      </w:r>
      <w:r w:rsidR="00CB3F9D">
        <w:t xml:space="preserve">průměry </w:t>
      </w:r>
      <w:r w:rsidRPr="00C62639">
        <w:t xml:space="preserve">hodnot </w:t>
      </w:r>
      <w:r w:rsidR="00B71E5E">
        <w:t>vybraných</w:t>
      </w:r>
      <w:r w:rsidRPr="00C62639">
        <w:t xml:space="preserve"> ukazatelů </w:t>
      </w:r>
      <w:r w:rsidR="00CB3F9D">
        <w:t>Porovnání splňujících stanovené hodnoty pro jednotlivé skupiny provozovatelů</w:t>
      </w:r>
      <w:r w:rsidRPr="00C62639">
        <w:t>.</w:t>
      </w:r>
      <w:r w:rsidR="00B26631">
        <w:t xml:space="preserve"> </w:t>
      </w:r>
      <w:r w:rsidRPr="00C62639">
        <w:t>Při jejich výpočtu se postupovalo v souladu s platnou metodikou a postupy uvedenými v bodě 3.</w:t>
      </w:r>
      <w:r w:rsidR="00655941">
        <w:t>4</w:t>
      </w:r>
      <w:r w:rsidR="003A6341">
        <w:t>.</w:t>
      </w:r>
    </w:p>
    <w:p w14:paraId="52E39BE1" w14:textId="77777777" w:rsidR="00472A24" w:rsidRPr="00C62639" w:rsidRDefault="00472A24" w:rsidP="003A6341">
      <w:pPr>
        <w:pStyle w:val="Normlnzprva"/>
      </w:pPr>
    </w:p>
    <w:p w14:paraId="00DFE96C" w14:textId="77777777" w:rsidR="00472A24" w:rsidRPr="00C62639" w:rsidRDefault="00472A24" w:rsidP="003A6341">
      <w:pPr>
        <w:pStyle w:val="Normlnzprva"/>
      </w:pPr>
      <w:r w:rsidRPr="00C62639">
        <w:t>Podle průměrných hodnot je možné se pokusit velice zjednodušeně specifikovat charakteristiky provozovatel</w:t>
      </w:r>
      <w:r w:rsidR="00E5088E">
        <w:t>ů nejvíce se blížících plnění jednotlivých záměrů regulace</w:t>
      </w:r>
      <w:r w:rsidRPr="00C62639">
        <w:t xml:space="preserve"> pro celý obor vodovodů.</w:t>
      </w:r>
      <w:r w:rsidR="00B26631">
        <w:t xml:space="preserve"> </w:t>
      </w:r>
    </w:p>
    <w:p w14:paraId="290A902E" w14:textId="77777777" w:rsidR="005B4273" w:rsidRPr="00C62639" w:rsidRDefault="005B4273" w:rsidP="005B4273">
      <w:pPr>
        <w:rPr>
          <w:rFonts w:asciiTheme="minorHAnsi" w:hAnsiTheme="minorHAnsi"/>
          <w:noProof/>
        </w:rPr>
      </w:pPr>
    </w:p>
    <w:tbl>
      <w:tblPr>
        <w:tblW w:w="5939" w:type="pct"/>
        <w:jc w:val="center"/>
        <w:tblCellMar>
          <w:left w:w="70" w:type="dxa"/>
          <w:right w:w="70" w:type="dxa"/>
        </w:tblCellMar>
        <w:tblLook w:val="04A0" w:firstRow="1" w:lastRow="0" w:firstColumn="1" w:lastColumn="0" w:noHBand="0" w:noVBand="1"/>
      </w:tblPr>
      <w:tblGrid>
        <w:gridCol w:w="2584"/>
        <w:gridCol w:w="1115"/>
        <w:gridCol w:w="842"/>
        <w:gridCol w:w="1662"/>
        <w:gridCol w:w="2028"/>
        <w:gridCol w:w="1279"/>
        <w:gridCol w:w="1257"/>
      </w:tblGrid>
      <w:tr w:rsidR="006379AB" w:rsidRPr="00C62639" w14:paraId="69B4C06E" w14:textId="77777777" w:rsidTr="004A7C01">
        <w:trPr>
          <w:trHeight w:val="1409"/>
          <w:jc w:val="center"/>
        </w:trPr>
        <w:tc>
          <w:tcPr>
            <w:tcW w:w="1200" w:type="pct"/>
            <w:tcBorders>
              <w:top w:val="nil"/>
              <w:left w:val="nil"/>
              <w:bottom w:val="single" w:sz="12" w:space="0" w:color="FFFFFF"/>
              <w:right w:val="single" w:sz="4" w:space="0" w:color="FFFFFF"/>
            </w:tcBorders>
            <w:shd w:val="clear" w:color="5B9BD5" w:fill="5B9BD5"/>
            <w:vAlign w:val="center"/>
            <w:hideMark/>
          </w:tcPr>
          <w:p w14:paraId="1549F42E" w14:textId="77777777" w:rsidR="006379AB" w:rsidRPr="00C62639" w:rsidRDefault="00587A6B"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UKAZATEL</w:t>
            </w:r>
          </w:p>
        </w:tc>
        <w:tc>
          <w:tcPr>
            <w:tcW w:w="518" w:type="pct"/>
            <w:tcBorders>
              <w:top w:val="nil"/>
              <w:left w:val="single" w:sz="4" w:space="0" w:color="FFFFFF"/>
              <w:bottom w:val="single" w:sz="12" w:space="0" w:color="FFFFFF"/>
              <w:right w:val="single" w:sz="4" w:space="0" w:color="FFFFFF"/>
            </w:tcBorders>
            <w:shd w:val="clear" w:color="5B9BD5" w:fill="5B9BD5"/>
            <w:vAlign w:val="center"/>
            <w:hideMark/>
          </w:tcPr>
          <w:p w14:paraId="512941EB" w14:textId="77777777" w:rsidR="006379AB" w:rsidRPr="00C62639" w:rsidRDefault="00587A6B"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OPERAČNÍ KOEFICIENT</w:t>
            </w:r>
          </w:p>
        </w:tc>
        <w:tc>
          <w:tcPr>
            <w:tcW w:w="391" w:type="pct"/>
            <w:tcBorders>
              <w:top w:val="nil"/>
              <w:left w:val="single" w:sz="4" w:space="0" w:color="FFFFFF"/>
              <w:bottom w:val="single" w:sz="12" w:space="0" w:color="FFFFFF"/>
              <w:right w:val="single" w:sz="4" w:space="0" w:color="FFFFFF"/>
            </w:tcBorders>
            <w:shd w:val="clear" w:color="5B9BD5" w:fill="5B9BD5"/>
            <w:vAlign w:val="center"/>
            <w:hideMark/>
          </w:tcPr>
          <w:p w14:paraId="36D2B538" w14:textId="77777777" w:rsidR="006379AB" w:rsidRPr="00C62639" w:rsidRDefault="00587A6B" w:rsidP="007E6A2D">
            <w:pPr>
              <w:spacing w:before="0" w:after="0"/>
              <w:contextualSpacing w:val="0"/>
              <w:jc w:val="center"/>
              <w:rPr>
                <w:rFonts w:asciiTheme="minorHAnsi" w:eastAsia="Times New Roman" w:hAnsiTheme="minorHAnsi"/>
                <w:b/>
                <w:bCs/>
                <w:color w:val="FFFFFF"/>
                <w:sz w:val="20"/>
                <w:lang w:eastAsia="cs-CZ"/>
              </w:rPr>
            </w:pPr>
            <w:r w:rsidRPr="006379AB">
              <w:rPr>
                <w:rFonts w:asciiTheme="minorHAnsi" w:eastAsia="Times New Roman" w:hAnsiTheme="minorHAnsi"/>
                <w:b/>
                <w:bCs/>
                <w:color w:val="FFFFFF"/>
                <w:sz w:val="20"/>
                <w:lang w:eastAsia="cs-CZ"/>
              </w:rPr>
              <w:t>CENA PRO VODNÉ (KČ/M3)</w:t>
            </w:r>
          </w:p>
        </w:tc>
        <w:tc>
          <w:tcPr>
            <w:tcW w:w="772" w:type="pct"/>
            <w:tcBorders>
              <w:top w:val="nil"/>
              <w:left w:val="single" w:sz="4" w:space="0" w:color="FFFFFF"/>
              <w:bottom w:val="single" w:sz="12" w:space="0" w:color="FFFFFF"/>
              <w:right w:val="single" w:sz="4" w:space="0" w:color="FFFFFF"/>
            </w:tcBorders>
            <w:shd w:val="clear" w:color="5B9BD5" w:fill="5B9BD5"/>
            <w:vAlign w:val="center"/>
            <w:hideMark/>
          </w:tcPr>
          <w:p w14:paraId="4C7EE33C" w14:textId="77777777" w:rsidR="006379AB" w:rsidRPr="00C62639" w:rsidRDefault="00587A6B" w:rsidP="007E6A2D">
            <w:pPr>
              <w:spacing w:before="0" w:after="0"/>
              <w:contextualSpacing w:val="0"/>
              <w:jc w:val="center"/>
              <w:rPr>
                <w:rFonts w:asciiTheme="minorHAnsi" w:eastAsia="Times New Roman" w:hAnsiTheme="minorHAnsi"/>
                <w:b/>
                <w:bCs/>
                <w:color w:val="FFFFFF"/>
                <w:sz w:val="20"/>
                <w:lang w:eastAsia="cs-CZ"/>
              </w:rPr>
            </w:pPr>
            <w:r w:rsidRPr="006379AB">
              <w:rPr>
                <w:rFonts w:asciiTheme="minorHAnsi" w:eastAsia="Times New Roman" w:hAnsiTheme="minorHAnsi"/>
                <w:b/>
                <w:bCs/>
                <w:color w:val="FFFFFF"/>
                <w:sz w:val="20"/>
                <w:lang w:eastAsia="cs-CZ"/>
              </w:rPr>
              <w:t>NEFAKTUROVANÁ VODA V M3 NA KM PŘEPOČTENÉ DÉLKY ZA DEN</w:t>
            </w:r>
          </w:p>
        </w:tc>
        <w:tc>
          <w:tcPr>
            <w:tcW w:w="942" w:type="pct"/>
            <w:tcBorders>
              <w:top w:val="nil"/>
              <w:left w:val="single" w:sz="4" w:space="0" w:color="FFFFFF"/>
              <w:bottom w:val="single" w:sz="12" w:space="0" w:color="FFFFFF"/>
              <w:right w:val="single" w:sz="4" w:space="0" w:color="FFFFFF"/>
            </w:tcBorders>
            <w:shd w:val="clear" w:color="5B9BD5" w:fill="5B9BD5"/>
            <w:vAlign w:val="center"/>
            <w:hideMark/>
          </w:tcPr>
          <w:p w14:paraId="3AE04FFC" w14:textId="77777777" w:rsidR="006379AB" w:rsidRPr="00C62639" w:rsidRDefault="00587A6B" w:rsidP="007E6A2D">
            <w:pPr>
              <w:spacing w:before="0" w:after="0"/>
              <w:contextualSpacing w:val="0"/>
              <w:jc w:val="center"/>
              <w:rPr>
                <w:rFonts w:asciiTheme="minorHAnsi" w:eastAsia="Times New Roman" w:hAnsiTheme="minorHAnsi"/>
                <w:b/>
                <w:bCs/>
                <w:color w:val="FFFFFF"/>
                <w:sz w:val="20"/>
                <w:lang w:eastAsia="cs-CZ"/>
              </w:rPr>
            </w:pPr>
            <w:r w:rsidRPr="00C62639">
              <w:rPr>
                <w:rFonts w:asciiTheme="minorHAnsi" w:eastAsia="Times New Roman" w:hAnsiTheme="minorHAnsi"/>
                <w:b/>
                <w:bCs/>
                <w:color w:val="FFFFFF"/>
                <w:sz w:val="20"/>
                <w:lang w:eastAsia="cs-CZ"/>
              </w:rPr>
              <w:t xml:space="preserve">PODÍL GENEROVANÝCH PROSTŘEDKŮ NA </w:t>
            </w:r>
            <w:r w:rsidR="004A7C01">
              <w:rPr>
                <w:rFonts w:asciiTheme="minorHAnsi" w:eastAsia="Times New Roman" w:hAnsiTheme="minorHAnsi"/>
                <w:b/>
                <w:bCs/>
                <w:color w:val="FFFFFF"/>
                <w:sz w:val="20"/>
                <w:lang w:eastAsia="cs-CZ"/>
              </w:rPr>
              <w:t xml:space="preserve">OBNOVU A ROZVOJ K HODNOTĚ VIM V </w:t>
            </w:r>
            <w:r w:rsidRPr="00C62639">
              <w:rPr>
                <w:rFonts w:asciiTheme="minorHAnsi" w:eastAsia="Times New Roman" w:hAnsiTheme="minorHAnsi"/>
                <w:b/>
                <w:bCs/>
                <w:color w:val="FFFFFF"/>
                <w:sz w:val="20"/>
                <w:lang w:eastAsia="cs-CZ"/>
              </w:rPr>
              <w:t>%</w:t>
            </w:r>
          </w:p>
        </w:tc>
        <w:tc>
          <w:tcPr>
            <w:tcW w:w="594" w:type="pct"/>
            <w:tcBorders>
              <w:top w:val="nil"/>
              <w:left w:val="single" w:sz="4" w:space="0" w:color="FFFFFF"/>
              <w:bottom w:val="single" w:sz="12" w:space="0" w:color="FFFFFF"/>
              <w:right w:val="single" w:sz="4" w:space="0" w:color="FFFFFF"/>
            </w:tcBorders>
            <w:shd w:val="clear" w:color="5B9BD5" w:fill="5B9BD5"/>
            <w:vAlign w:val="center"/>
            <w:hideMark/>
          </w:tcPr>
          <w:p w14:paraId="4A69528F" w14:textId="77777777" w:rsidR="006379AB" w:rsidRPr="00C62639" w:rsidRDefault="00587A6B" w:rsidP="007E6A2D">
            <w:pPr>
              <w:spacing w:before="0" w:after="0"/>
              <w:contextualSpacing w:val="0"/>
              <w:jc w:val="center"/>
              <w:rPr>
                <w:rFonts w:asciiTheme="minorHAnsi" w:eastAsia="Times New Roman" w:hAnsiTheme="minorHAnsi"/>
                <w:b/>
                <w:bCs/>
                <w:color w:val="FFFFFF"/>
                <w:sz w:val="20"/>
                <w:lang w:eastAsia="cs-CZ"/>
              </w:rPr>
            </w:pPr>
            <w:r w:rsidRPr="006379AB">
              <w:rPr>
                <w:rFonts w:asciiTheme="minorHAnsi" w:eastAsia="Times New Roman" w:hAnsiTheme="minorHAnsi"/>
                <w:b/>
                <w:bCs/>
                <w:color w:val="FFFFFF"/>
                <w:sz w:val="20"/>
                <w:lang w:eastAsia="cs-CZ"/>
              </w:rPr>
              <w:t>POČET ZÁSOBENÝCH OBYVATEL NA 1 PRACOVNÍKA SPOLEČNOSTI</w:t>
            </w:r>
          </w:p>
        </w:tc>
        <w:tc>
          <w:tcPr>
            <w:tcW w:w="584" w:type="pct"/>
            <w:tcBorders>
              <w:top w:val="nil"/>
              <w:left w:val="single" w:sz="4" w:space="0" w:color="FFFFFF"/>
              <w:bottom w:val="single" w:sz="12" w:space="0" w:color="FFFFFF"/>
              <w:right w:val="single" w:sz="4" w:space="0" w:color="FFFFFF"/>
            </w:tcBorders>
            <w:shd w:val="clear" w:color="5B9BD5" w:fill="5B9BD5"/>
            <w:vAlign w:val="center"/>
            <w:hideMark/>
          </w:tcPr>
          <w:p w14:paraId="459113E3" w14:textId="77777777" w:rsidR="006379AB" w:rsidRPr="00C62639" w:rsidRDefault="00587A6B" w:rsidP="007E6A2D">
            <w:pPr>
              <w:spacing w:before="0" w:after="0"/>
              <w:contextualSpacing w:val="0"/>
              <w:jc w:val="center"/>
              <w:rPr>
                <w:rFonts w:asciiTheme="minorHAnsi" w:eastAsia="Times New Roman" w:hAnsiTheme="minorHAnsi"/>
                <w:b/>
                <w:bCs/>
                <w:color w:val="FFFFFF"/>
                <w:sz w:val="20"/>
                <w:lang w:eastAsia="cs-CZ"/>
              </w:rPr>
            </w:pPr>
            <w:r w:rsidRPr="006379AB">
              <w:rPr>
                <w:rFonts w:asciiTheme="minorHAnsi" w:eastAsia="Times New Roman" w:hAnsiTheme="minorHAnsi"/>
                <w:b/>
                <w:bCs/>
                <w:color w:val="FFFFFF"/>
                <w:sz w:val="20"/>
                <w:lang w:eastAsia="cs-CZ"/>
              </w:rPr>
              <w:t>JEDNOTKOVÉ NÁKLADY (KČ/M3)</w:t>
            </w:r>
          </w:p>
        </w:tc>
      </w:tr>
      <w:tr w:rsidR="00587A6B" w:rsidRPr="00C62639" w14:paraId="49BC5D15" w14:textId="77777777" w:rsidTr="004A7C01">
        <w:trPr>
          <w:trHeight w:val="312"/>
          <w:jc w:val="center"/>
        </w:trPr>
        <w:tc>
          <w:tcPr>
            <w:tcW w:w="1200" w:type="pct"/>
            <w:tcBorders>
              <w:top w:val="single" w:sz="4" w:space="0" w:color="FFFFFF"/>
              <w:left w:val="nil"/>
              <w:bottom w:val="single" w:sz="4" w:space="0" w:color="FFFFFF"/>
              <w:right w:val="single" w:sz="4" w:space="0" w:color="FFFFFF"/>
            </w:tcBorders>
            <w:shd w:val="clear" w:color="BDD7EE" w:fill="BDD7EE"/>
            <w:noWrap/>
            <w:vAlign w:val="center"/>
            <w:hideMark/>
          </w:tcPr>
          <w:p w14:paraId="56473B6A" w14:textId="77777777" w:rsidR="00587A6B" w:rsidRPr="00587A6B" w:rsidRDefault="00587A6B">
            <w:pPr>
              <w:rPr>
                <w:color w:val="000000"/>
                <w:sz w:val="20"/>
              </w:rPr>
            </w:pPr>
            <w:r w:rsidRPr="00587A6B">
              <w:rPr>
                <w:color w:val="000000"/>
                <w:sz w:val="20"/>
              </w:rPr>
              <w:t>I.SKUPINA (&gt;500 000 PŘ.OB.)</w:t>
            </w:r>
          </w:p>
        </w:tc>
        <w:tc>
          <w:tcPr>
            <w:tcW w:w="518" w:type="pct"/>
            <w:tcBorders>
              <w:top w:val="single" w:sz="4" w:space="0" w:color="FFFFFF"/>
              <w:left w:val="nil"/>
              <w:bottom w:val="single" w:sz="4" w:space="0" w:color="FFFFFF"/>
              <w:right w:val="single" w:sz="4" w:space="0" w:color="FFFFFF"/>
            </w:tcBorders>
            <w:shd w:val="clear" w:color="BDD7EE" w:fill="BDD7EE"/>
            <w:noWrap/>
            <w:vAlign w:val="center"/>
            <w:hideMark/>
          </w:tcPr>
          <w:p w14:paraId="05BF2A3A" w14:textId="77777777" w:rsidR="00587A6B" w:rsidRPr="006379AB" w:rsidRDefault="00587A6B" w:rsidP="006379AB">
            <w:pPr>
              <w:jc w:val="center"/>
              <w:rPr>
                <w:rFonts w:ascii="Calibri Light" w:hAnsi="Calibri Light"/>
                <w:sz w:val="20"/>
              </w:rPr>
            </w:pPr>
            <w:r w:rsidRPr="006379AB">
              <w:rPr>
                <w:rFonts w:ascii="Calibri Light" w:hAnsi="Calibri Light"/>
                <w:sz w:val="20"/>
              </w:rPr>
              <w:t>1,17</w:t>
            </w:r>
          </w:p>
        </w:tc>
        <w:tc>
          <w:tcPr>
            <w:tcW w:w="391" w:type="pct"/>
            <w:tcBorders>
              <w:top w:val="single" w:sz="4" w:space="0" w:color="FFFFFF"/>
              <w:left w:val="nil"/>
              <w:bottom w:val="single" w:sz="4" w:space="0" w:color="FFFFFF"/>
              <w:right w:val="single" w:sz="4" w:space="0" w:color="FFFFFF"/>
            </w:tcBorders>
            <w:shd w:val="clear" w:color="BDD7EE" w:fill="BDD7EE"/>
            <w:noWrap/>
            <w:vAlign w:val="center"/>
            <w:hideMark/>
          </w:tcPr>
          <w:p w14:paraId="11C3A8F2" w14:textId="77777777" w:rsidR="00587A6B" w:rsidRPr="006379AB" w:rsidRDefault="00587A6B" w:rsidP="006379AB">
            <w:pPr>
              <w:jc w:val="center"/>
              <w:rPr>
                <w:rFonts w:ascii="Calibri Light" w:hAnsi="Calibri Light"/>
                <w:sz w:val="20"/>
              </w:rPr>
            </w:pPr>
            <w:r w:rsidRPr="006379AB">
              <w:rPr>
                <w:rFonts w:ascii="Calibri Light" w:hAnsi="Calibri Light"/>
                <w:sz w:val="20"/>
              </w:rPr>
              <w:t>39,95</w:t>
            </w:r>
          </w:p>
        </w:tc>
        <w:tc>
          <w:tcPr>
            <w:tcW w:w="772" w:type="pct"/>
            <w:tcBorders>
              <w:top w:val="single" w:sz="4" w:space="0" w:color="FFFFFF"/>
              <w:left w:val="nil"/>
              <w:bottom w:val="single" w:sz="4" w:space="0" w:color="FFFFFF"/>
              <w:right w:val="single" w:sz="4" w:space="0" w:color="FFFFFF"/>
            </w:tcBorders>
            <w:shd w:val="clear" w:color="BDD7EE" w:fill="BDD7EE"/>
            <w:noWrap/>
            <w:vAlign w:val="center"/>
            <w:hideMark/>
          </w:tcPr>
          <w:p w14:paraId="1A351665" w14:textId="77777777" w:rsidR="00587A6B" w:rsidRPr="006379AB" w:rsidRDefault="00587A6B" w:rsidP="006379AB">
            <w:pPr>
              <w:jc w:val="center"/>
              <w:rPr>
                <w:rFonts w:ascii="Calibri Light" w:hAnsi="Calibri Light"/>
                <w:sz w:val="20"/>
              </w:rPr>
            </w:pPr>
            <w:r w:rsidRPr="006379AB">
              <w:rPr>
                <w:rFonts w:ascii="Calibri Light" w:hAnsi="Calibri Light"/>
                <w:sz w:val="20"/>
              </w:rPr>
              <w:t>6,42</w:t>
            </w:r>
          </w:p>
        </w:tc>
        <w:tc>
          <w:tcPr>
            <w:tcW w:w="942" w:type="pct"/>
            <w:tcBorders>
              <w:top w:val="single" w:sz="4" w:space="0" w:color="FFFFFF"/>
              <w:left w:val="nil"/>
              <w:bottom w:val="single" w:sz="4" w:space="0" w:color="FFFFFF"/>
              <w:right w:val="single" w:sz="4" w:space="0" w:color="FFFFFF"/>
            </w:tcBorders>
            <w:shd w:val="clear" w:color="BDD7EE" w:fill="BDD7EE"/>
            <w:noWrap/>
            <w:vAlign w:val="center"/>
            <w:hideMark/>
          </w:tcPr>
          <w:p w14:paraId="01A8E94D" w14:textId="77777777" w:rsidR="00587A6B" w:rsidRPr="006379AB" w:rsidRDefault="00587A6B" w:rsidP="006379AB">
            <w:pPr>
              <w:jc w:val="center"/>
              <w:rPr>
                <w:rFonts w:ascii="Calibri Light" w:hAnsi="Calibri Light"/>
                <w:sz w:val="20"/>
              </w:rPr>
            </w:pPr>
            <w:r w:rsidRPr="006379AB">
              <w:rPr>
                <w:rFonts w:ascii="Calibri Light" w:hAnsi="Calibri Light"/>
                <w:sz w:val="20"/>
              </w:rPr>
              <w:t>2,45</w:t>
            </w:r>
          </w:p>
        </w:tc>
        <w:tc>
          <w:tcPr>
            <w:tcW w:w="594" w:type="pct"/>
            <w:tcBorders>
              <w:top w:val="single" w:sz="4" w:space="0" w:color="FFFFFF"/>
              <w:left w:val="nil"/>
              <w:bottom w:val="single" w:sz="4" w:space="0" w:color="FFFFFF"/>
              <w:right w:val="single" w:sz="4" w:space="0" w:color="FFFFFF"/>
            </w:tcBorders>
            <w:shd w:val="clear" w:color="BDD7EE" w:fill="BDD7EE"/>
            <w:noWrap/>
            <w:vAlign w:val="center"/>
            <w:hideMark/>
          </w:tcPr>
          <w:p w14:paraId="480AE2D3" w14:textId="77777777" w:rsidR="00587A6B" w:rsidRPr="006379AB" w:rsidRDefault="00587A6B" w:rsidP="006379AB">
            <w:pPr>
              <w:jc w:val="center"/>
              <w:rPr>
                <w:rFonts w:ascii="Calibri Light" w:hAnsi="Calibri Light"/>
                <w:sz w:val="20"/>
              </w:rPr>
            </w:pPr>
            <w:r w:rsidRPr="006379AB">
              <w:rPr>
                <w:rFonts w:ascii="Calibri Light" w:hAnsi="Calibri Light"/>
                <w:sz w:val="20"/>
              </w:rPr>
              <w:t>1</w:t>
            </w:r>
            <w:r>
              <w:rPr>
                <w:rFonts w:ascii="Calibri Light" w:hAnsi="Calibri Light"/>
                <w:sz w:val="20"/>
              </w:rPr>
              <w:t xml:space="preserve"> </w:t>
            </w:r>
            <w:r w:rsidRPr="006379AB">
              <w:rPr>
                <w:rFonts w:ascii="Calibri Light" w:hAnsi="Calibri Light"/>
                <w:sz w:val="20"/>
              </w:rPr>
              <w:t>952,84</w:t>
            </w:r>
          </w:p>
        </w:tc>
        <w:tc>
          <w:tcPr>
            <w:tcW w:w="584" w:type="pct"/>
            <w:tcBorders>
              <w:top w:val="single" w:sz="4" w:space="0" w:color="FFFFFF"/>
              <w:left w:val="nil"/>
              <w:bottom w:val="single" w:sz="4" w:space="0" w:color="FFFFFF"/>
              <w:right w:val="single" w:sz="4" w:space="0" w:color="FFFFFF"/>
            </w:tcBorders>
            <w:shd w:val="clear" w:color="BDD7EE" w:fill="BDD7EE"/>
            <w:noWrap/>
            <w:vAlign w:val="center"/>
            <w:hideMark/>
          </w:tcPr>
          <w:p w14:paraId="64AC86CD" w14:textId="77777777" w:rsidR="00587A6B" w:rsidRPr="006379AB" w:rsidRDefault="00587A6B" w:rsidP="006379AB">
            <w:pPr>
              <w:jc w:val="center"/>
              <w:rPr>
                <w:rFonts w:ascii="Calibri Light" w:hAnsi="Calibri Light"/>
                <w:sz w:val="20"/>
              </w:rPr>
            </w:pPr>
            <w:r w:rsidRPr="006379AB">
              <w:rPr>
                <w:rFonts w:ascii="Calibri Light" w:hAnsi="Calibri Light"/>
                <w:sz w:val="20"/>
              </w:rPr>
              <w:t>34,47</w:t>
            </w:r>
          </w:p>
        </w:tc>
      </w:tr>
      <w:tr w:rsidR="00587A6B" w:rsidRPr="00C62639" w14:paraId="3ADE48F9" w14:textId="77777777" w:rsidTr="004A7C01">
        <w:trPr>
          <w:trHeight w:val="297"/>
          <w:jc w:val="center"/>
        </w:trPr>
        <w:tc>
          <w:tcPr>
            <w:tcW w:w="1200" w:type="pct"/>
            <w:tcBorders>
              <w:top w:val="nil"/>
              <w:left w:val="nil"/>
              <w:bottom w:val="single" w:sz="4" w:space="0" w:color="FFFFFF"/>
              <w:right w:val="single" w:sz="4" w:space="0" w:color="FFFFFF"/>
            </w:tcBorders>
            <w:shd w:val="clear" w:color="DDEBF7" w:fill="DDEBF7"/>
            <w:noWrap/>
            <w:vAlign w:val="center"/>
            <w:hideMark/>
          </w:tcPr>
          <w:p w14:paraId="5A4BDD12" w14:textId="77777777" w:rsidR="00587A6B" w:rsidRPr="00587A6B" w:rsidRDefault="00587A6B">
            <w:pPr>
              <w:rPr>
                <w:color w:val="000000"/>
                <w:sz w:val="20"/>
              </w:rPr>
            </w:pPr>
            <w:r w:rsidRPr="00587A6B">
              <w:rPr>
                <w:color w:val="000000"/>
                <w:sz w:val="20"/>
              </w:rPr>
              <w:t>II.SKUPINA (&gt;200 000 PŘ.OB.)</w:t>
            </w:r>
          </w:p>
        </w:tc>
        <w:tc>
          <w:tcPr>
            <w:tcW w:w="518" w:type="pct"/>
            <w:tcBorders>
              <w:top w:val="nil"/>
              <w:left w:val="nil"/>
              <w:bottom w:val="single" w:sz="4" w:space="0" w:color="FFFFFF"/>
              <w:right w:val="single" w:sz="4" w:space="0" w:color="FFFFFF"/>
            </w:tcBorders>
            <w:shd w:val="clear" w:color="DDEBF7" w:fill="DDEBF7"/>
            <w:noWrap/>
            <w:vAlign w:val="center"/>
            <w:hideMark/>
          </w:tcPr>
          <w:p w14:paraId="2B6CF1B4" w14:textId="77777777" w:rsidR="00587A6B" w:rsidRPr="006379AB" w:rsidRDefault="00587A6B" w:rsidP="006379AB">
            <w:pPr>
              <w:jc w:val="center"/>
              <w:rPr>
                <w:rFonts w:ascii="Calibri Light" w:hAnsi="Calibri Light"/>
                <w:sz w:val="20"/>
              </w:rPr>
            </w:pPr>
            <w:r w:rsidRPr="006379AB">
              <w:rPr>
                <w:rFonts w:ascii="Calibri Light" w:hAnsi="Calibri Light"/>
                <w:sz w:val="20"/>
              </w:rPr>
              <w:t>1,09</w:t>
            </w:r>
          </w:p>
        </w:tc>
        <w:tc>
          <w:tcPr>
            <w:tcW w:w="391" w:type="pct"/>
            <w:tcBorders>
              <w:top w:val="nil"/>
              <w:left w:val="nil"/>
              <w:bottom w:val="single" w:sz="4" w:space="0" w:color="FFFFFF"/>
              <w:right w:val="single" w:sz="4" w:space="0" w:color="FFFFFF"/>
            </w:tcBorders>
            <w:shd w:val="clear" w:color="DDEBF7" w:fill="DDEBF7"/>
            <w:noWrap/>
            <w:vAlign w:val="center"/>
            <w:hideMark/>
          </w:tcPr>
          <w:p w14:paraId="0D814B07" w14:textId="77777777" w:rsidR="00587A6B" w:rsidRPr="006379AB" w:rsidRDefault="00587A6B" w:rsidP="006379AB">
            <w:pPr>
              <w:jc w:val="center"/>
              <w:rPr>
                <w:rFonts w:ascii="Calibri Light" w:hAnsi="Calibri Light"/>
                <w:sz w:val="20"/>
              </w:rPr>
            </w:pPr>
            <w:r w:rsidRPr="006379AB">
              <w:rPr>
                <w:rFonts w:ascii="Calibri Light" w:hAnsi="Calibri Light"/>
                <w:sz w:val="20"/>
              </w:rPr>
              <w:t>37,00</w:t>
            </w:r>
          </w:p>
        </w:tc>
        <w:tc>
          <w:tcPr>
            <w:tcW w:w="772" w:type="pct"/>
            <w:tcBorders>
              <w:top w:val="nil"/>
              <w:left w:val="nil"/>
              <w:bottom w:val="single" w:sz="4" w:space="0" w:color="FFFFFF"/>
              <w:right w:val="single" w:sz="4" w:space="0" w:color="FFFFFF"/>
            </w:tcBorders>
            <w:shd w:val="clear" w:color="DDEBF7" w:fill="DDEBF7"/>
            <w:noWrap/>
            <w:vAlign w:val="center"/>
            <w:hideMark/>
          </w:tcPr>
          <w:p w14:paraId="34280DB5" w14:textId="77777777" w:rsidR="00587A6B" w:rsidRPr="006379AB" w:rsidRDefault="00587A6B" w:rsidP="006379AB">
            <w:pPr>
              <w:jc w:val="center"/>
              <w:rPr>
                <w:rFonts w:ascii="Calibri Light" w:hAnsi="Calibri Light"/>
                <w:sz w:val="20"/>
              </w:rPr>
            </w:pPr>
            <w:r w:rsidRPr="006379AB">
              <w:rPr>
                <w:rFonts w:ascii="Calibri Light" w:hAnsi="Calibri Light"/>
                <w:sz w:val="20"/>
              </w:rPr>
              <w:t>5,86</w:t>
            </w:r>
          </w:p>
        </w:tc>
        <w:tc>
          <w:tcPr>
            <w:tcW w:w="942" w:type="pct"/>
            <w:tcBorders>
              <w:top w:val="nil"/>
              <w:left w:val="nil"/>
              <w:bottom w:val="single" w:sz="4" w:space="0" w:color="FFFFFF"/>
              <w:right w:val="single" w:sz="4" w:space="0" w:color="FFFFFF"/>
            </w:tcBorders>
            <w:shd w:val="clear" w:color="DDEBF7" w:fill="DDEBF7"/>
            <w:noWrap/>
            <w:vAlign w:val="center"/>
            <w:hideMark/>
          </w:tcPr>
          <w:p w14:paraId="7FA29B23" w14:textId="77777777" w:rsidR="00587A6B" w:rsidRPr="006379AB" w:rsidRDefault="00587A6B" w:rsidP="006379AB">
            <w:pPr>
              <w:jc w:val="center"/>
              <w:rPr>
                <w:rFonts w:ascii="Calibri Light" w:hAnsi="Calibri Light"/>
                <w:sz w:val="20"/>
              </w:rPr>
            </w:pPr>
            <w:r w:rsidRPr="006379AB">
              <w:rPr>
                <w:rFonts w:ascii="Calibri Light" w:hAnsi="Calibri Light"/>
                <w:sz w:val="20"/>
              </w:rPr>
              <w:t>3,45</w:t>
            </w:r>
          </w:p>
        </w:tc>
        <w:tc>
          <w:tcPr>
            <w:tcW w:w="594" w:type="pct"/>
            <w:tcBorders>
              <w:top w:val="nil"/>
              <w:left w:val="nil"/>
              <w:bottom w:val="single" w:sz="4" w:space="0" w:color="FFFFFF"/>
              <w:right w:val="single" w:sz="4" w:space="0" w:color="FFFFFF"/>
            </w:tcBorders>
            <w:shd w:val="clear" w:color="DDEBF7" w:fill="DDEBF7"/>
            <w:noWrap/>
            <w:vAlign w:val="center"/>
            <w:hideMark/>
          </w:tcPr>
          <w:p w14:paraId="1C268B5F" w14:textId="77777777" w:rsidR="00587A6B" w:rsidRPr="006379AB" w:rsidRDefault="00587A6B" w:rsidP="006379AB">
            <w:pPr>
              <w:jc w:val="center"/>
              <w:rPr>
                <w:rFonts w:ascii="Calibri Light" w:hAnsi="Calibri Light"/>
                <w:sz w:val="20"/>
              </w:rPr>
            </w:pPr>
            <w:r w:rsidRPr="006379AB">
              <w:rPr>
                <w:rFonts w:ascii="Calibri Light" w:hAnsi="Calibri Light"/>
                <w:sz w:val="20"/>
              </w:rPr>
              <w:t>1</w:t>
            </w:r>
            <w:r>
              <w:rPr>
                <w:rFonts w:ascii="Calibri Light" w:hAnsi="Calibri Light"/>
                <w:sz w:val="20"/>
              </w:rPr>
              <w:t xml:space="preserve"> </w:t>
            </w:r>
            <w:r w:rsidRPr="006379AB">
              <w:rPr>
                <w:rFonts w:ascii="Calibri Light" w:hAnsi="Calibri Light"/>
                <w:sz w:val="20"/>
              </w:rPr>
              <w:t>502,14</w:t>
            </w:r>
          </w:p>
        </w:tc>
        <w:tc>
          <w:tcPr>
            <w:tcW w:w="584" w:type="pct"/>
            <w:tcBorders>
              <w:top w:val="nil"/>
              <w:left w:val="nil"/>
              <w:bottom w:val="single" w:sz="4" w:space="0" w:color="FFFFFF"/>
              <w:right w:val="single" w:sz="4" w:space="0" w:color="FFFFFF"/>
            </w:tcBorders>
            <w:shd w:val="clear" w:color="DDEBF7" w:fill="DDEBF7"/>
            <w:noWrap/>
            <w:vAlign w:val="center"/>
            <w:hideMark/>
          </w:tcPr>
          <w:p w14:paraId="0DBD8685" w14:textId="77777777" w:rsidR="00587A6B" w:rsidRPr="006379AB" w:rsidRDefault="00587A6B" w:rsidP="006379AB">
            <w:pPr>
              <w:jc w:val="center"/>
              <w:rPr>
                <w:rFonts w:ascii="Calibri Light" w:hAnsi="Calibri Light"/>
                <w:sz w:val="20"/>
              </w:rPr>
            </w:pPr>
            <w:r w:rsidRPr="006379AB">
              <w:rPr>
                <w:rFonts w:ascii="Calibri Light" w:hAnsi="Calibri Light"/>
                <w:sz w:val="20"/>
              </w:rPr>
              <w:t>33,79</w:t>
            </w:r>
          </w:p>
        </w:tc>
      </w:tr>
      <w:tr w:rsidR="00587A6B" w:rsidRPr="00C62639" w14:paraId="4828E8AC" w14:textId="77777777" w:rsidTr="004A7C01">
        <w:trPr>
          <w:trHeight w:val="297"/>
          <w:jc w:val="center"/>
        </w:trPr>
        <w:tc>
          <w:tcPr>
            <w:tcW w:w="1200" w:type="pct"/>
            <w:tcBorders>
              <w:top w:val="nil"/>
              <w:left w:val="nil"/>
              <w:bottom w:val="single" w:sz="4" w:space="0" w:color="FFFFFF"/>
              <w:right w:val="single" w:sz="4" w:space="0" w:color="FFFFFF"/>
            </w:tcBorders>
            <w:shd w:val="clear" w:color="BDD7EE" w:fill="BDD7EE"/>
            <w:noWrap/>
            <w:vAlign w:val="center"/>
            <w:hideMark/>
          </w:tcPr>
          <w:p w14:paraId="7CA25C2F" w14:textId="77777777" w:rsidR="00587A6B" w:rsidRPr="00587A6B" w:rsidRDefault="00587A6B">
            <w:pPr>
              <w:rPr>
                <w:color w:val="000000"/>
                <w:sz w:val="20"/>
              </w:rPr>
            </w:pPr>
            <w:r w:rsidRPr="00587A6B">
              <w:rPr>
                <w:color w:val="000000"/>
                <w:sz w:val="20"/>
              </w:rPr>
              <w:t>III.SKUPINA (&gt;100 000 PŘ.OB.)</w:t>
            </w:r>
          </w:p>
        </w:tc>
        <w:tc>
          <w:tcPr>
            <w:tcW w:w="518" w:type="pct"/>
            <w:tcBorders>
              <w:top w:val="nil"/>
              <w:left w:val="nil"/>
              <w:bottom w:val="single" w:sz="4" w:space="0" w:color="FFFFFF"/>
              <w:right w:val="single" w:sz="4" w:space="0" w:color="FFFFFF"/>
            </w:tcBorders>
            <w:shd w:val="clear" w:color="BDD7EE" w:fill="BDD7EE"/>
            <w:noWrap/>
            <w:vAlign w:val="center"/>
            <w:hideMark/>
          </w:tcPr>
          <w:p w14:paraId="7BB76E35" w14:textId="77777777" w:rsidR="00587A6B" w:rsidRPr="006379AB" w:rsidRDefault="00587A6B" w:rsidP="006379AB">
            <w:pPr>
              <w:jc w:val="center"/>
              <w:rPr>
                <w:rFonts w:ascii="Calibri Light" w:hAnsi="Calibri Light"/>
                <w:sz w:val="20"/>
              </w:rPr>
            </w:pPr>
            <w:r w:rsidRPr="006379AB">
              <w:rPr>
                <w:rFonts w:ascii="Calibri Light" w:hAnsi="Calibri Light"/>
                <w:sz w:val="20"/>
              </w:rPr>
              <w:t>1,04</w:t>
            </w:r>
          </w:p>
        </w:tc>
        <w:tc>
          <w:tcPr>
            <w:tcW w:w="391" w:type="pct"/>
            <w:tcBorders>
              <w:top w:val="nil"/>
              <w:left w:val="nil"/>
              <w:bottom w:val="single" w:sz="4" w:space="0" w:color="FFFFFF"/>
              <w:right w:val="single" w:sz="4" w:space="0" w:color="FFFFFF"/>
            </w:tcBorders>
            <w:shd w:val="clear" w:color="BDD7EE" w:fill="BDD7EE"/>
            <w:noWrap/>
            <w:vAlign w:val="center"/>
            <w:hideMark/>
          </w:tcPr>
          <w:p w14:paraId="470BE043" w14:textId="77777777" w:rsidR="00587A6B" w:rsidRPr="006379AB" w:rsidRDefault="00587A6B" w:rsidP="006379AB">
            <w:pPr>
              <w:jc w:val="center"/>
              <w:rPr>
                <w:rFonts w:ascii="Calibri Light" w:hAnsi="Calibri Light"/>
                <w:sz w:val="20"/>
              </w:rPr>
            </w:pPr>
            <w:r w:rsidRPr="006379AB">
              <w:rPr>
                <w:rFonts w:ascii="Calibri Light" w:hAnsi="Calibri Light"/>
                <w:sz w:val="20"/>
              </w:rPr>
              <w:t>37,22</w:t>
            </w:r>
          </w:p>
        </w:tc>
        <w:tc>
          <w:tcPr>
            <w:tcW w:w="772" w:type="pct"/>
            <w:tcBorders>
              <w:top w:val="nil"/>
              <w:left w:val="nil"/>
              <w:bottom w:val="single" w:sz="4" w:space="0" w:color="FFFFFF"/>
              <w:right w:val="single" w:sz="4" w:space="0" w:color="FFFFFF"/>
            </w:tcBorders>
            <w:shd w:val="clear" w:color="BDD7EE" w:fill="BDD7EE"/>
            <w:noWrap/>
            <w:vAlign w:val="center"/>
            <w:hideMark/>
          </w:tcPr>
          <w:p w14:paraId="2DA751AB" w14:textId="77777777" w:rsidR="00587A6B" w:rsidRPr="006379AB" w:rsidRDefault="00587A6B" w:rsidP="006379AB">
            <w:pPr>
              <w:jc w:val="center"/>
              <w:rPr>
                <w:rFonts w:ascii="Calibri Light" w:hAnsi="Calibri Light"/>
                <w:sz w:val="20"/>
              </w:rPr>
            </w:pPr>
            <w:r w:rsidRPr="006379AB">
              <w:rPr>
                <w:rFonts w:ascii="Calibri Light" w:hAnsi="Calibri Light"/>
                <w:sz w:val="20"/>
              </w:rPr>
              <w:t>4,25</w:t>
            </w:r>
          </w:p>
        </w:tc>
        <w:tc>
          <w:tcPr>
            <w:tcW w:w="942" w:type="pct"/>
            <w:tcBorders>
              <w:top w:val="nil"/>
              <w:left w:val="nil"/>
              <w:bottom w:val="single" w:sz="4" w:space="0" w:color="FFFFFF"/>
              <w:right w:val="single" w:sz="4" w:space="0" w:color="FFFFFF"/>
            </w:tcBorders>
            <w:shd w:val="clear" w:color="BDD7EE" w:fill="BDD7EE"/>
            <w:noWrap/>
            <w:vAlign w:val="center"/>
            <w:hideMark/>
          </w:tcPr>
          <w:p w14:paraId="06F4D31C" w14:textId="77777777" w:rsidR="00587A6B" w:rsidRPr="006379AB" w:rsidRDefault="00587A6B" w:rsidP="006379AB">
            <w:pPr>
              <w:jc w:val="center"/>
              <w:rPr>
                <w:rFonts w:ascii="Calibri Light" w:hAnsi="Calibri Light"/>
                <w:sz w:val="20"/>
              </w:rPr>
            </w:pPr>
            <w:r w:rsidRPr="006379AB">
              <w:rPr>
                <w:rFonts w:ascii="Calibri Light" w:hAnsi="Calibri Light"/>
                <w:sz w:val="20"/>
              </w:rPr>
              <w:t>2,27</w:t>
            </w:r>
          </w:p>
        </w:tc>
        <w:tc>
          <w:tcPr>
            <w:tcW w:w="594" w:type="pct"/>
            <w:tcBorders>
              <w:top w:val="nil"/>
              <w:left w:val="nil"/>
              <w:bottom w:val="single" w:sz="4" w:space="0" w:color="FFFFFF"/>
              <w:right w:val="single" w:sz="4" w:space="0" w:color="FFFFFF"/>
            </w:tcBorders>
            <w:shd w:val="clear" w:color="BDD7EE" w:fill="BDD7EE"/>
            <w:noWrap/>
            <w:vAlign w:val="center"/>
            <w:hideMark/>
          </w:tcPr>
          <w:p w14:paraId="79537F4F" w14:textId="77777777" w:rsidR="00587A6B" w:rsidRPr="006379AB" w:rsidRDefault="00587A6B" w:rsidP="006379AB">
            <w:pPr>
              <w:jc w:val="center"/>
              <w:rPr>
                <w:rFonts w:ascii="Calibri Light" w:hAnsi="Calibri Light"/>
                <w:sz w:val="20"/>
              </w:rPr>
            </w:pPr>
            <w:r w:rsidRPr="006379AB">
              <w:rPr>
                <w:rFonts w:ascii="Calibri Light" w:hAnsi="Calibri Light"/>
                <w:sz w:val="20"/>
              </w:rPr>
              <w:t>1 199,70</w:t>
            </w:r>
          </w:p>
        </w:tc>
        <w:tc>
          <w:tcPr>
            <w:tcW w:w="584" w:type="pct"/>
            <w:tcBorders>
              <w:top w:val="nil"/>
              <w:left w:val="nil"/>
              <w:bottom w:val="single" w:sz="4" w:space="0" w:color="FFFFFF"/>
              <w:right w:val="single" w:sz="4" w:space="0" w:color="FFFFFF"/>
            </w:tcBorders>
            <w:shd w:val="clear" w:color="BDD7EE" w:fill="BDD7EE"/>
            <w:noWrap/>
            <w:vAlign w:val="center"/>
            <w:hideMark/>
          </w:tcPr>
          <w:p w14:paraId="1347E500" w14:textId="77777777" w:rsidR="00587A6B" w:rsidRPr="006379AB" w:rsidRDefault="00587A6B" w:rsidP="006379AB">
            <w:pPr>
              <w:jc w:val="center"/>
              <w:rPr>
                <w:rFonts w:ascii="Calibri Light" w:hAnsi="Calibri Light"/>
                <w:sz w:val="20"/>
              </w:rPr>
            </w:pPr>
            <w:r w:rsidRPr="006379AB">
              <w:rPr>
                <w:rFonts w:ascii="Calibri Light" w:hAnsi="Calibri Light"/>
                <w:sz w:val="20"/>
              </w:rPr>
              <w:t>35,84</w:t>
            </w:r>
          </w:p>
        </w:tc>
      </w:tr>
      <w:tr w:rsidR="00587A6B" w:rsidRPr="00C62639" w14:paraId="5C91FA08" w14:textId="77777777" w:rsidTr="004A7C01">
        <w:trPr>
          <w:trHeight w:val="297"/>
          <w:jc w:val="center"/>
        </w:trPr>
        <w:tc>
          <w:tcPr>
            <w:tcW w:w="1200" w:type="pct"/>
            <w:tcBorders>
              <w:top w:val="nil"/>
              <w:left w:val="nil"/>
              <w:bottom w:val="single" w:sz="4" w:space="0" w:color="FFFFFF"/>
              <w:right w:val="single" w:sz="4" w:space="0" w:color="FFFFFF"/>
            </w:tcBorders>
            <w:shd w:val="clear" w:color="DDEBF7" w:fill="DDEBF7"/>
            <w:noWrap/>
            <w:vAlign w:val="center"/>
            <w:hideMark/>
          </w:tcPr>
          <w:p w14:paraId="6472E6BF" w14:textId="77777777" w:rsidR="00587A6B" w:rsidRPr="00587A6B" w:rsidRDefault="00587A6B">
            <w:pPr>
              <w:rPr>
                <w:color w:val="000000"/>
                <w:sz w:val="20"/>
              </w:rPr>
            </w:pPr>
            <w:r w:rsidRPr="00587A6B">
              <w:rPr>
                <w:color w:val="000000"/>
                <w:sz w:val="20"/>
              </w:rPr>
              <w:t>IV.SKUPINA (&gt;50 000 PŘ.OB.)</w:t>
            </w:r>
          </w:p>
        </w:tc>
        <w:tc>
          <w:tcPr>
            <w:tcW w:w="518" w:type="pct"/>
            <w:tcBorders>
              <w:top w:val="nil"/>
              <w:left w:val="nil"/>
              <w:bottom w:val="single" w:sz="4" w:space="0" w:color="FFFFFF"/>
              <w:right w:val="single" w:sz="4" w:space="0" w:color="FFFFFF"/>
            </w:tcBorders>
            <w:shd w:val="clear" w:color="DDEBF7" w:fill="DDEBF7"/>
            <w:noWrap/>
            <w:vAlign w:val="center"/>
            <w:hideMark/>
          </w:tcPr>
          <w:p w14:paraId="270B2C8B" w14:textId="77777777" w:rsidR="00587A6B" w:rsidRPr="006379AB" w:rsidRDefault="00587A6B" w:rsidP="006379AB">
            <w:pPr>
              <w:jc w:val="center"/>
              <w:rPr>
                <w:rFonts w:ascii="Calibri Light" w:hAnsi="Calibri Light"/>
                <w:sz w:val="20"/>
              </w:rPr>
            </w:pPr>
            <w:r w:rsidRPr="006379AB">
              <w:rPr>
                <w:rFonts w:ascii="Calibri Light" w:hAnsi="Calibri Light"/>
                <w:sz w:val="20"/>
              </w:rPr>
              <w:t>1,05</w:t>
            </w:r>
          </w:p>
        </w:tc>
        <w:tc>
          <w:tcPr>
            <w:tcW w:w="391" w:type="pct"/>
            <w:tcBorders>
              <w:top w:val="nil"/>
              <w:left w:val="nil"/>
              <w:bottom w:val="single" w:sz="4" w:space="0" w:color="FFFFFF"/>
              <w:right w:val="single" w:sz="4" w:space="0" w:color="FFFFFF"/>
            </w:tcBorders>
            <w:shd w:val="clear" w:color="DDEBF7" w:fill="DDEBF7"/>
            <w:noWrap/>
            <w:vAlign w:val="center"/>
            <w:hideMark/>
          </w:tcPr>
          <w:p w14:paraId="72B88D56" w14:textId="77777777" w:rsidR="00587A6B" w:rsidRPr="006379AB" w:rsidRDefault="00587A6B" w:rsidP="006379AB">
            <w:pPr>
              <w:jc w:val="center"/>
              <w:rPr>
                <w:rFonts w:ascii="Calibri Light" w:hAnsi="Calibri Light"/>
                <w:sz w:val="20"/>
              </w:rPr>
            </w:pPr>
            <w:r w:rsidRPr="006379AB">
              <w:rPr>
                <w:rFonts w:ascii="Calibri Light" w:hAnsi="Calibri Light"/>
                <w:sz w:val="20"/>
              </w:rPr>
              <w:t>40,37</w:t>
            </w:r>
          </w:p>
        </w:tc>
        <w:tc>
          <w:tcPr>
            <w:tcW w:w="772" w:type="pct"/>
            <w:tcBorders>
              <w:top w:val="nil"/>
              <w:left w:val="nil"/>
              <w:bottom w:val="single" w:sz="4" w:space="0" w:color="FFFFFF"/>
              <w:right w:val="single" w:sz="4" w:space="0" w:color="FFFFFF"/>
            </w:tcBorders>
            <w:shd w:val="clear" w:color="DDEBF7" w:fill="DDEBF7"/>
            <w:noWrap/>
            <w:vAlign w:val="center"/>
            <w:hideMark/>
          </w:tcPr>
          <w:p w14:paraId="2D1308F7" w14:textId="77777777" w:rsidR="00587A6B" w:rsidRPr="006379AB" w:rsidRDefault="00587A6B" w:rsidP="006379AB">
            <w:pPr>
              <w:jc w:val="center"/>
              <w:rPr>
                <w:rFonts w:ascii="Calibri Light" w:hAnsi="Calibri Light"/>
                <w:sz w:val="20"/>
              </w:rPr>
            </w:pPr>
            <w:r w:rsidRPr="006379AB">
              <w:rPr>
                <w:rFonts w:ascii="Calibri Light" w:hAnsi="Calibri Light"/>
                <w:sz w:val="20"/>
              </w:rPr>
              <w:t>3,18</w:t>
            </w:r>
          </w:p>
        </w:tc>
        <w:tc>
          <w:tcPr>
            <w:tcW w:w="942" w:type="pct"/>
            <w:tcBorders>
              <w:top w:val="nil"/>
              <w:left w:val="nil"/>
              <w:bottom w:val="single" w:sz="4" w:space="0" w:color="FFFFFF"/>
              <w:right w:val="single" w:sz="4" w:space="0" w:color="FFFFFF"/>
            </w:tcBorders>
            <w:shd w:val="clear" w:color="DDEBF7" w:fill="DDEBF7"/>
            <w:noWrap/>
            <w:vAlign w:val="center"/>
            <w:hideMark/>
          </w:tcPr>
          <w:p w14:paraId="4E4BB4C9" w14:textId="77777777" w:rsidR="00587A6B" w:rsidRPr="006379AB" w:rsidRDefault="00587A6B" w:rsidP="006379AB">
            <w:pPr>
              <w:jc w:val="center"/>
              <w:rPr>
                <w:rFonts w:ascii="Calibri Light" w:hAnsi="Calibri Light"/>
                <w:sz w:val="20"/>
              </w:rPr>
            </w:pPr>
            <w:r w:rsidRPr="006379AB">
              <w:rPr>
                <w:rFonts w:ascii="Calibri Light" w:hAnsi="Calibri Light"/>
                <w:sz w:val="20"/>
              </w:rPr>
              <w:t>2,22</w:t>
            </w:r>
          </w:p>
        </w:tc>
        <w:tc>
          <w:tcPr>
            <w:tcW w:w="594" w:type="pct"/>
            <w:tcBorders>
              <w:top w:val="nil"/>
              <w:left w:val="nil"/>
              <w:bottom w:val="single" w:sz="4" w:space="0" w:color="FFFFFF"/>
              <w:right w:val="single" w:sz="4" w:space="0" w:color="FFFFFF"/>
            </w:tcBorders>
            <w:shd w:val="clear" w:color="DDEBF7" w:fill="DDEBF7"/>
            <w:noWrap/>
            <w:vAlign w:val="center"/>
            <w:hideMark/>
          </w:tcPr>
          <w:p w14:paraId="496360AE" w14:textId="77777777" w:rsidR="00587A6B" w:rsidRPr="006379AB" w:rsidRDefault="00587A6B" w:rsidP="006379AB">
            <w:pPr>
              <w:jc w:val="center"/>
              <w:rPr>
                <w:rFonts w:ascii="Calibri Light" w:hAnsi="Calibri Light"/>
                <w:sz w:val="20"/>
              </w:rPr>
            </w:pPr>
            <w:r w:rsidRPr="006379AB">
              <w:rPr>
                <w:rFonts w:ascii="Calibri Light" w:hAnsi="Calibri Light"/>
                <w:sz w:val="20"/>
              </w:rPr>
              <w:t>1 440,33</w:t>
            </w:r>
          </w:p>
        </w:tc>
        <w:tc>
          <w:tcPr>
            <w:tcW w:w="584" w:type="pct"/>
            <w:tcBorders>
              <w:top w:val="nil"/>
              <w:left w:val="nil"/>
              <w:bottom w:val="single" w:sz="4" w:space="0" w:color="FFFFFF"/>
              <w:right w:val="single" w:sz="4" w:space="0" w:color="FFFFFF"/>
            </w:tcBorders>
            <w:shd w:val="clear" w:color="DDEBF7" w:fill="DDEBF7"/>
            <w:noWrap/>
            <w:vAlign w:val="center"/>
            <w:hideMark/>
          </w:tcPr>
          <w:p w14:paraId="0480CF01" w14:textId="77777777" w:rsidR="00587A6B" w:rsidRPr="006379AB" w:rsidRDefault="00587A6B" w:rsidP="006379AB">
            <w:pPr>
              <w:jc w:val="center"/>
              <w:rPr>
                <w:rFonts w:ascii="Calibri Light" w:hAnsi="Calibri Light"/>
                <w:sz w:val="20"/>
              </w:rPr>
            </w:pPr>
            <w:r w:rsidRPr="006379AB">
              <w:rPr>
                <w:rFonts w:ascii="Calibri Light" w:hAnsi="Calibri Light"/>
                <w:sz w:val="20"/>
              </w:rPr>
              <w:t>38,44</w:t>
            </w:r>
          </w:p>
        </w:tc>
      </w:tr>
      <w:tr w:rsidR="00587A6B" w:rsidRPr="00C62639" w14:paraId="76A01750" w14:textId="77777777" w:rsidTr="004A7C01">
        <w:trPr>
          <w:trHeight w:val="297"/>
          <w:jc w:val="center"/>
        </w:trPr>
        <w:tc>
          <w:tcPr>
            <w:tcW w:w="1200" w:type="pct"/>
            <w:tcBorders>
              <w:top w:val="nil"/>
              <w:left w:val="nil"/>
              <w:bottom w:val="single" w:sz="4" w:space="0" w:color="FFFFFF"/>
              <w:right w:val="single" w:sz="4" w:space="0" w:color="FFFFFF"/>
            </w:tcBorders>
            <w:shd w:val="clear" w:color="BDD7EE" w:fill="BDD7EE"/>
            <w:noWrap/>
            <w:vAlign w:val="center"/>
            <w:hideMark/>
          </w:tcPr>
          <w:p w14:paraId="6731E63C" w14:textId="77777777" w:rsidR="00587A6B" w:rsidRPr="00587A6B" w:rsidRDefault="00587A6B">
            <w:pPr>
              <w:rPr>
                <w:color w:val="000000"/>
                <w:sz w:val="20"/>
              </w:rPr>
            </w:pPr>
            <w:r w:rsidRPr="00587A6B">
              <w:rPr>
                <w:color w:val="000000"/>
                <w:sz w:val="20"/>
              </w:rPr>
              <w:t>V.SKUPINA (&gt;10 000 PŘ.OB.)</w:t>
            </w:r>
          </w:p>
        </w:tc>
        <w:tc>
          <w:tcPr>
            <w:tcW w:w="518" w:type="pct"/>
            <w:tcBorders>
              <w:top w:val="nil"/>
              <w:left w:val="nil"/>
              <w:bottom w:val="single" w:sz="4" w:space="0" w:color="FFFFFF"/>
              <w:right w:val="single" w:sz="4" w:space="0" w:color="FFFFFF"/>
            </w:tcBorders>
            <w:shd w:val="clear" w:color="BDD7EE" w:fill="BDD7EE"/>
            <w:noWrap/>
            <w:vAlign w:val="center"/>
            <w:hideMark/>
          </w:tcPr>
          <w:p w14:paraId="005A8A21" w14:textId="77777777" w:rsidR="00587A6B" w:rsidRPr="006379AB" w:rsidRDefault="00587A6B" w:rsidP="006379AB">
            <w:pPr>
              <w:jc w:val="center"/>
              <w:rPr>
                <w:rFonts w:ascii="Calibri Light" w:hAnsi="Calibri Light"/>
                <w:sz w:val="20"/>
              </w:rPr>
            </w:pPr>
            <w:r w:rsidRPr="006379AB">
              <w:rPr>
                <w:rFonts w:ascii="Calibri Light" w:hAnsi="Calibri Light"/>
                <w:sz w:val="20"/>
              </w:rPr>
              <w:t>1,07</w:t>
            </w:r>
          </w:p>
        </w:tc>
        <w:tc>
          <w:tcPr>
            <w:tcW w:w="391" w:type="pct"/>
            <w:tcBorders>
              <w:top w:val="nil"/>
              <w:left w:val="nil"/>
              <w:bottom w:val="single" w:sz="4" w:space="0" w:color="FFFFFF"/>
              <w:right w:val="single" w:sz="4" w:space="0" w:color="FFFFFF"/>
            </w:tcBorders>
            <w:shd w:val="clear" w:color="BDD7EE" w:fill="BDD7EE"/>
            <w:noWrap/>
            <w:vAlign w:val="center"/>
            <w:hideMark/>
          </w:tcPr>
          <w:p w14:paraId="2C71D0E8" w14:textId="77777777" w:rsidR="00587A6B" w:rsidRPr="006379AB" w:rsidRDefault="00587A6B" w:rsidP="006379AB">
            <w:pPr>
              <w:jc w:val="center"/>
              <w:rPr>
                <w:rFonts w:ascii="Calibri Light" w:hAnsi="Calibri Light"/>
                <w:sz w:val="20"/>
              </w:rPr>
            </w:pPr>
            <w:r w:rsidRPr="006379AB">
              <w:rPr>
                <w:rFonts w:ascii="Calibri Light" w:hAnsi="Calibri Light"/>
                <w:sz w:val="20"/>
              </w:rPr>
              <w:t>35,42</w:t>
            </w:r>
          </w:p>
        </w:tc>
        <w:tc>
          <w:tcPr>
            <w:tcW w:w="772" w:type="pct"/>
            <w:tcBorders>
              <w:top w:val="nil"/>
              <w:left w:val="nil"/>
              <w:bottom w:val="single" w:sz="4" w:space="0" w:color="FFFFFF"/>
              <w:right w:val="single" w:sz="4" w:space="0" w:color="FFFFFF"/>
            </w:tcBorders>
            <w:shd w:val="clear" w:color="BDD7EE" w:fill="BDD7EE"/>
            <w:noWrap/>
            <w:vAlign w:val="center"/>
            <w:hideMark/>
          </w:tcPr>
          <w:p w14:paraId="2568219C" w14:textId="77777777" w:rsidR="00587A6B" w:rsidRPr="006379AB" w:rsidRDefault="00587A6B" w:rsidP="006379AB">
            <w:pPr>
              <w:jc w:val="center"/>
              <w:rPr>
                <w:rFonts w:ascii="Calibri Light" w:hAnsi="Calibri Light"/>
                <w:sz w:val="20"/>
              </w:rPr>
            </w:pPr>
            <w:r w:rsidRPr="006379AB">
              <w:rPr>
                <w:rFonts w:ascii="Calibri Light" w:hAnsi="Calibri Light"/>
                <w:sz w:val="20"/>
              </w:rPr>
              <w:t>3,35</w:t>
            </w:r>
          </w:p>
        </w:tc>
        <w:tc>
          <w:tcPr>
            <w:tcW w:w="942" w:type="pct"/>
            <w:tcBorders>
              <w:top w:val="nil"/>
              <w:left w:val="nil"/>
              <w:bottom w:val="single" w:sz="4" w:space="0" w:color="FFFFFF"/>
              <w:right w:val="single" w:sz="4" w:space="0" w:color="FFFFFF"/>
            </w:tcBorders>
            <w:shd w:val="clear" w:color="BDD7EE" w:fill="BDD7EE"/>
            <w:noWrap/>
            <w:vAlign w:val="center"/>
            <w:hideMark/>
          </w:tcPr>
          <w:p w14:paraId="26DE30EB" w14:textId="77777777" w:rsidR="00587A6B" w:rsidRPr="006379AB" w:rsidRDefault="00587A6B" w:rsidP="006379AB">
            <w:pPr>
              <w:jc w:val="center"/>
              <w:rPr>
                <w:rFonts w:ascii="Calibri Light" w:hAnsi="Calibri Light"/>
                <w:sz w:val="20"/>
              </w:rPr>
            </w:pPr>
            <w:r w:rsidRPr="006379AB">
              <w:rPr>
                <w:rFonts w:ascii="Calibri Light" w:hAnsi="Calibri Light"/>
                <w:sz w:val="20"/>
              </w:rPr>
              <w:t>2,16</w:t>
            </w:r>
          </w:p>
        </w:tc>
        <w:tc>
          <w:tcPr>
            <w:tcW w:w="594" w:type="pct"/>
            <w:tcBorders>
              <w:top w:val="nil"/>
              <w:left w:val="nil"/>
              <w:bottom w:val="single" w:sz="4" w:space="0" w:color="FFFFFF"/>
              <w:right w:val="single" w:sz="4" w:space="0" w:color="FFFFFF"/>
            </w:tcBorders>
            <w:shd w:val="clear" w:color="BDD7EE" w:fill="BDD7EE"/>
            <w:noWrap/>
            <w:vAlign w:val="center"/>
            <w:hideMark/>
          </w:tcPr>
          <w:p w14:paraId="350779A5" w14:textId="77777777" w:rsidR="00587A6B" w:rsidRPr="006379AB" w:rsidRDefault="00587A6B" w:rsidP="006379AB">
            <w:pPr>
              <w:jc w:val="center"/>
              <w:rPr>
                <w:rFonts w:ascii="Calibri Light" w:hAnsi="Calibri Light"/>
                <w:sz w:val="20"/>
              </w:rPr>
            </w:pPr>
            <w:r w:rsidRPr="006379AB">
              <w:rPr>
                <w:rFonts w:ascii="Calibri Light" w:hAnsi="Calibri Light"/>
                <w:sz w:val="20"/>
              </w:rPr>
              <w:t>1</w:t>
            </w:r>
            <w:r>
              <w:rPr>
                <w:rFonts w:ascii="Calibri Light" w:hAnsi="Calibri Light"/>
                <w:sz w:val="20"/>
              </w:rPr>
              <w:t xml:space="preserve"> </w:t>
            </w:r>
            <w:r w:rsidRPr="006379AB">
              <w:rPr>
                <w:rFonts w:ascii="Calibri Light" w:hAnsi="Calibri Light"/>
                <w:sz w:val="20"/>
              </w:rPr>
              <w:t>751,13</w:t>
            </w:r>
          </w:p>
        </w:tc>
        <w:tc>
          <w:tcPr>
            <w:tcW w:w="584" w:type="pct"/>
            <w:tcBorders>
              <w:top w:val="nil"/>
              <w:left w:val="nil"/>
              <w:bottom w:val="single" w:sz="4" w:space="0" w:color="FFFFFF"/>
              <w:right w:val="single" w:sz="4" w:space="0" w:color="FFFFFF"/>
            </w:tcBorders>
            <w:shd w:val="clear" w:color="BDD7EE" w:fill="BDD7EE"/>
            <w:noWrap/>
            <w:vAlign w:val="center"/>
            <w:hideMark/>
          </w:tcPr>
          <w:p w14:paraId="7AD27359" w14:textId="77777777" w:rsidR="00587A6B" w:rsidRPr="006379AB" w:rsidRDefault="00587A6B" w:rsidP="006379AB">
            <w:pPr>
              <w:jc w:val="center"/>
              <w:rPr>
                <w:rFonts w:ascii="Calibri Light" w:hAnsi="Calibri Light"/>
                <w:sz w:val="20"/>
              </w:rPr>
            </w:pPr>
            <w:r w:rsidRPr="006379AB">
              <w:rPr>
                <w:rFonts w:ascii="Calibri Light" w:hAnsi="Calibri Light"/>
                <w:sz w:val="20"/>
              </w:rPr>
              <w:t>33,15</w:t>
            </w:r>
          </w:p>
        </w:tc>
      </w:tr>
      <w:tr w:rsidR="00587A6B" w:rsidRPr="00C62639" w14:paraId="4F857BDF" w14:textId="77777777" w:rsidTr="004A7C01">
        <w:trPr>
          <w:trHeight w:val="297"/>
          <w:jc w:val="center"/>
        </w:trPr>
        <w:tc>
          <w:tcPr>
            <w:tcW w:w="1200" w:type="pct"/>
            <w:tcBorders>
              <w:top w:val="nil"/>
              <w:left w:val="nil"/>
              <w:bottom w:val="single" w:sz="4" w:space="0" w:color="FFFFFF"/>
              <w:right w:val="single" w:sz="4" w:space="0" w:color="FFFFFF"/>
            </w:tcBorders>
            <w:shd w:val="clear" w:color="DDEBF7" w:fill="DDEBF7"/>
            <w:noWrap/>
            <w:vAlign w:val="center"/>
            <w:hideMark/>
          </w:tcPr>
          <w:p w14:paraId="76AB4D2C" w14:textId="77777777" w:rsidR="00587A6B" w:rsidRPr="00587A6B" w:rsidRDefault="00587A6B">
            <w:pPr>
              <w:rPr>
                <w:color w:val="000000"/>
                <w:sz w:val="20"/>
              </w:rPr>
            </w:pPr>
            <w:r w:rsidRPr="00587A6B">
              <w:rPr>
                <w:color w:val="000000"/>
                <w:sz w:val="20"/>
              </w:rPr>
              <w:t>VI.SKUPINA (&gt;1 000 PŘ.OB.)</w:t>
            </w:r>
          </w:p>
        </w:tc>
        <w:tc>
          <w:tcPr>
            <w:tcW w:w="518" w:type="pct"/>
            <w:tcBorders>
              <w:top w:val="nil"/>
              <w:left w:val="nil"/>
              <w:bottom w:val="single" w:sz="4" w:space="0" w:color="FFFFFF"/>
              <w:right w:val="single" w:sz="4" w:space="0" w:color="FFFFFF"/>
            </w:tcBorders>
            <w:shd w:val="clear" w:color="DDEBF7" w:fill="DDEBF7"/>
            <w:noWrap/>
            <w:vAlign w:val="center"/>
            <w:hideMark/>
          </w:tcPr>
          <w:p w14:paraId="24BC8D98" w14:textId="77777777" w:rsidR="00587A6B" w:rsidRPr="006379AB" w:rsidRDefault="00587A6B" w:rsidP="006379AB">
            <w:pPr>
              <w:jc w:val="center"/>
              <w:rPr>
                <w:rFonts w:ascii="Calibri Light" w:hAnsi="Calibri Light"/>
                <w:sz w:val="20"/>
              </w:rPr>
            </w:pPr>
            <w:r w:rsidRPr="006379AB">
              <w:rPr>
                <w:rFonts w:ascii="Calibri Light" w:hAnsi="Calibri Light"/>
                <w:sz w:val="20"/>
              </w:rPr>
              <w:t>1,07</w:t>
            </w:r>
          </w:p>
        </w:tc>
        <w:tc>
          <w:tcPr>
            <w:tcW w:w="391" w:type="pct"/>
            <w:tcBorders>
              <w:top w:val="nil"/>
              <w:left w:val="nil"/>
              <w:bottom w:val="single" w:sz="4" w:space="0" w:color="FFFFFF"/>
              <w:right w:val="single" w:sz="4" w:space="0" w:color="FFFFFF"/>
            </w:tcBorders>
            <w:shd w:val="clear" w:color="DDEBF7" w:fill="DDEBF7"/>
            <w:noWrap/>
            <w:vAlign w:val="center"/>
            <w:hideMark/>
          </w:tcPr>
          <w:p w14:paraId="7090B664" w14:textId="77777777" w:rsidR="00587A6B" w:rsidRPr="006379AB" w:rsidRDefault="00587A6B" w:rsidP="006379AB">
            <w:pPr>
              <w:jc w:val="center"/>
              <w:rPr>
                <w:rFonts w:ascii="Calibri Light" w:hAnsi="Calibri Light"/>
                <w:sz w:val="20"/>
              </w:rPr>
            </w:pPr>
            <w:r w:rsidRPr="006379AB">
              <w:rPr>
                <w:rFonts w:ascii="Calibri Light" w:hAnsi="Calibri Light"/>
                <w:sz w:val="20"/>
              </w:rPr>
              <w:t>35,26</w:t>
            </w:r>
          </w:p>
        </w:tc>
        <w:tc>
          <w:tcPr>
            <w:tcW w:w="772" w:type="pct"/>
            <w:tcBorders>
              <w:top w:val="nil"/>
              <w:left w:val="nil"/>
              <w:bottom w:val="single" w:sz="4" w:space="0" w:color="FFFFFF"/>
              <w:right w:val="single" w:sz="4" w:space="0" w:color="FFFFFF"/>
            </w:tcBorders>
            <w:shd w:val="clear" w:color="DDEBF7" w:fill="DDEBF7"/>
            <w:noWrap/>
            <w:vAlign w:val="center"/>
            <w:hideMark/>
          </w:tcPr>
          <w:p w14:paraId="7AB200AD" w14:textId="77777777" w:rsidR="00587A6B" w:rsidRPr="006379AB" w:rsidRDefault="00587A6B" w:rsidP="006379AB">
            <w:pPr>
              <w:jc w:val="center"/>
              <w:rPr>
                <w:rFonts w:ascii="Calibri Light" w:hAnsi="Calibri Light"/>
                <w:sz w:val="20"/>
              </w:rPr>
            </w:pPr>
            <w:r w:rsidRPr="006379AB">
              <w:rPr>
                <w:rFonts w:ascii="Calibri Light" w:hAnsi="Calibri Light"/>
                <w:sz w:val="20"/>
              </w:rPr>
              <w:t>3,14</w:t>
            </w:r>
          </w:p>
        </w:tc>
        <w:tc>
          <w:tcPr>
            <w:tcW w:w="942" w:type="pct"/>
            <w:tcBorders>
              <w:top w:val="nil"/>
              <w:left w:val="nil"/>
              <w:bottom w:val="single" w:sz="4" w:space="0" w:color="FFFFFF"/>
              <w:right w:val="single" w:sz="4" w:space="0" w:color="FFFFFF"/>
            </w:tcBorders>
            <w:shd w:val="clear" w:color="DDEBF7" w:fill="DDEBF7"/>
            <w:noWrap/>
            <w:vAlign w:val="center"/>
            <w:hideMark/>
          </w:tcPr>
          <w:p w14:paraId="19D0F1D9" w14:textId="77777777" w:rsidR="00587A6B" w:rsidRPr="006379AB" w:rsidRDefault="00587A6B" w:rsidP="006379AB">
            <w:pPr>
              <w:jc w:val="center"/>
              <w:rPr>
                <w:rFonts w:ascii="Calibri Light" w:hAnsi="Calibri Light"/>
                <w:sz w:val="20"/>
              </w:rPr>
            </w:pPr>
            <w:r w:rsidRPr="006379AB">
              <w:rPr>
                <w:rFonts w:ascii="Calibri Light" w:hAnsi="Calibri Light"/>
                <w:sz w:val="20"/>
              </w:rPr>
              <w:t>1,42</w:t>
            </w:r>
          </w:p>
        </w:tc>
        <w:tc>
          <w:tcPr>
            <w:tcW w:w="594" w:type="pct"/>
            <w:tcBorders>
              <w:top w:val="nil"/>
              <w:left w:val="nil"/>
              <w:bottom w:val="single" w:sz="4" w:space="0" w:color="FFFFFF"/>
              <w:right w:val="single" w:sz="4" w:space="0" w:color="FFFFFF"/>
            </w:tcBorders>
            <w:shd w:val="clear" w:color="DDEBF7" w:fill="DDEBF7"/>
            <w:noWrap/>
            <w:vAlign w:val="center"/>
            <w:hideMark/>
          </w:tcPr>
          <w:p w14:paraId="7FDAD530" w14:textId="77777777" w:rsidR="00587A6B" w:rsidRPr="006379AB" w:rsidRDefault="00587A6B" w:rsidP="006379AB">
            <w:pPr>
              <w:jc w:val="center"/>
              <w:rPr>
                <w:rFonts w:ascii="Calibri Light" w:hAnsi="Calibri Light"/>
                <w:sz w:val="20"/>
              </w:rPr>
            </w:pPr>
            <w:r w:rsidRPr="006379AB">
              <w:rPr>
                <w:rFonts w:ascii="Calibri Light" w:hAnsi="Calibri Light"/>
                <w:sz w:val="20"/>
              </w:rPr>
              <w:t>1 777,04</w:t>
            </w:r>
          </w:p>
        </w:tc>
        <w:tc>
          <w:tcPr>
            <w:tcW w:w="584" w:type="pct"/>
            <w:tcBorders>
              <w:top w:val="nil"/>
              <w:left w:val="nil"/>
              <w:bottom w:val="single" w:sz="4" w:space="0" w:color="FFFFFF"/>
              <w:right w:val="single" w:sz="4" w:space="0" w:color="FFFFFF"/>
            </w:tcBorders>
            <w:shd w:val="clear" w:color="DDEBF7" w:fill="DDEBF7"/>
            <w:noWrap/>
            <w:vAlign w:val="center"/>
            <w:hideMark/>
          </w:tcPr>
          <w:p w14:paraId="09319DF5" w14:textId="77777777" w:rsidR="00587A6B" w:rsidRPr="006379AB" w:rsidRDefault="00587A6B" w:rsidP="006379AB">
            <w:pPr>
              <w:jc w:val="center"/>
              <w:rPr>
                <w:rFonts w:ascii="Calibri Light" w:hAnsi="Calibri Light"/>
                <w:sz w:val="20"/>
              </w:rPr>
            </w:pPr>
            <w:r w:rsidRPr="006379AB">
              <w:rPr>
                <w:rFonts w:ascii="Calibri Light" w:hAnsi="Calibri Light"/>
                <w:sz w:val="20"/>
              </w:rPr>
              <w:t>32,23</w:t>
            </w:r>
          </w:p>
        </w:tc>
      </w:tr>
      <w:tr w:rsidR="00587A6B" w:rsidRPr="00C62639" w14:paraId="3DCFB623" w14:textId="77777777" w:rsidTr="004A7C01">
        <w:trPr>
          <w:trHeight w:val="297"/>
          <w:jc w:val="center"/>
        </w:trPr>
        <w:tc>
          <w:tcPr>
            <w:tcW w:w="1200" w:type="pct"/>
            <w:tcBorders>
              <w:top w:val="nil"/>
              <w:left w:val="nil"/>
              <w:bottom w:val="single" w:sz="4" w:space="0" w:color="FFFFFF"/>
              <w:right w:val="single" w:sz="4" w:space="0" w:color="FFFFFF"/>
            </w:tcBorders>
            <w:shd w:val="clear" w:color="BDD7EE" w:fill="BDD7EE"/>
            <w:noWrap/>
            <w:vAlign w:val="center"/>
            <w:hideMark/>
          </w:tcPr>
          <w:p w14:paraId="4EEDF8DF" w14:textId="77777777" w:rsidR="00587A6B" w:rsidRPr="00587A6B" w:rsidRDefault="00587A6B">
            <w:pPr>
              <w:rPr>
                <w:color w:val="000000"/>
                <w:sz w:val="20"/>
              </w:rPr>
            </w:pPr>
            <w:r w:rsidRPr="00587A6B">
              <w:rPr>
                <w:color w:val="000000"/>
                <w:sz w:val="20"/>
              </w:rPr>
              <w:t>VII.SKUPINA (&gt;300 PŘ.OB.)</w:t>
            </w:r>
          </w:p>
        </w:tc>
        <w:tc>
          <w:tcPr>
            <w:tcW w:w="518" w:type="pct"/>
            <w:tcBorders>
              <w:top w:val="nil"/>
              <w:left w:val="nil"/>
              <w:bottom w:val="single" w:sz="4" w:space="0" w:color="FFFFFF"/>
              <w:right w:val="single" w:sz="4" w:space="0" w:color="FFFFFF"/>
            </w:tcBorders>
            <w:shd w:val="clear" w:color="BDD7EE" w:fill="BDD7EE"/>
            <w:noWrap/>
            <w:vAlign w:val="center"/>
            <w:hideMark/>
          </w:tcPr>
          <w:p w14:paraId="1A715B34" w14:textId="77777777" w:rsidR="00587A6B" w:rsidRPr="006379AB" w:rsidRDefault="00587A6B" w:rsidP="006379AB">
            <w:pPr>
              <w:jc w:val="center"/>
              <w:rPr>
                <w:rFonts w:ascii="Calibri Light" w:hAnsi="Calibri Light"/>
                <w:sz w:val="20"/>
              </w:rPr>
            </w:pPr>
            <w:r w:rsidRPr="006379AB">
              <w:rPr>
                <w:rFonts w:ascii="Calibri Light" w:hAnsi="Calibri Light"/>
                <w:sz w:val="20"/>
              </w:rPr>
              <w:t>1,06</w:t>
            </w:r>
          </w:p>
        </w:tc>
        <w:tc>
          <w:tcPr>
            <w:tcW w:w="391" w:type="pct"/>
            <w:tcBorders>
              <w:top w:val="nil"/>
              <w:left w:val="nil"/>
              <w:bottom w:val="single" w:sz="4" w:space="0" w:color="FFFFFF"/>
              <w:right w:val="single" w:sz="4" w:space="0" w:color="FFFFFF"/>
            </w:tcBorders>
            <w:shd w:val="clear" w:color="BDD7EE" w:fill="BDD7EE"/>
            <w:noWrap/>
            <w:vAlign w:val="center"/>
            <w:hideMark/>
          </w:tcPr>
          <w:p w14:paraId="09C4ABB7" w14:textId="77777777" w:rsidR="00587A6B" w:rsidRPr="006379AB" w:rsidRDefault="00587A6B" w:rsidP="006379AB">
            <w:pPr>
              <w:jc w:val="center"/>
              <w:rPr>
                <w:rFonts w:ascii="Calibri Light" w:hAnsi="Calibri Light"/>
                <w:sz w:val="20"/>
              </w:rPr>
            </w:pPr>
            <w:r w:rsidRPr="006379AB">
              <w:rPr>
                <w:rFonts w:ascii="Calibri Light" w:hAnsi="Calibri Light"/>
                <w:sz w:val="20"/>
              </w:rPr>
              <w:t>34</w:t>
            </w:r>
            <w:r w:rsidR="002A0852">
              <w:rPr>
                <w:rFonts w:ascii="Calibri Light" w:hAnsi="Calibri Light"/>
                <w:sz w:val="20"/>
              </w:rPr>
              <w:t>,00</w:t>
            </w:r>
          </w:p>
        </w:tc>
        <w:tc>
          <w:tcPr>
            <w:tcW w:w="772" w:type="pct"/>
            <w:tcBorders>
              <w:top w:val="nil"/>
              <w:left w:val="nil"/>
              <w:bottom w:val="single" w:sz="4" w:space="0" w:color="FFFFFF"/>
              <w:right w:val="single" w:sz="4" w:space="0" w:color="FFFFFF"/>
            </w:tcBorders>
            <w:shd w:val="clear" w:color="BDD7EE" w:fill="BDD7EE"/>
            <w:noWrap/>
            <w:vAlign w:val="center"/>
            <w:hideMark/>
          </w:tcPr>
          <w:p w14:paraId="58FC4C71" w14:textId="77777777" w:rsidR="00587A6B" w:rsidRPr="006379AB" w:rsidRDefault="00587A6B" w:rsidP="006379AB">
            <w:pPr>
              <w:jc w:val="center"/>
              <w:rPr>
                <w:rFonts w:ascii="Calibri Light" w:hAnsi="Calibri Light"/>
                <w:sz w:val="20"/>
              </w:rPr>
            </w:pPr>
            <w:r w:rsidRPr="006379AB">
              <w:rPr>
                <w:rFonts w:ascii="Calibri Light" w:hAnsi="Calibri Light"/>
                <w:sz w:val="20"/>
              </w:rPr>
              <w:t>2,03</w:t>
            </w:r>
          </w:p>
        </w:tc>
        <w:tc>
          <w:tcPr>
            <w:tcW w:w="942" w:type="pct"/>
            <w:tcBorders>
              <w:top w:val="nil"/>
              <w:left w:val="nil"/>
              <w:bottom w:val="single" w:sz="4" w:space="0" w:color="FFFFFF"/>
              <w:right w:val="single" w:sz="4" w:space="0" w:color="FFFFFF"/>
            </w:tcBorders>
            <w:shd w:val="clear" w:color="BDD7EE" w:fill="BDD7EE"/>
            <w:noWrap/>
            <w:vAlign w:val="center"/>
            <w:hideMark/>
          </w:tcPr>
          <w:p w14:paraId="620D7765" w14:textId="77777777" w:rsidR="00587A6B" w:rsidRPr="006379AB" w:rsidRDefault="00587A6B" w:rsidP="006379AB">
            <w:pPr>
              <w:jc w:val="center"/>
              <w:rPr>
                <w:rFonts w:ascii="Calibri Light" w:hAnsi="Calibri Light"/>
                <w:sz w:val="20"/>
              </w:rPr>
            </w:pPr>
            <w:r w:rsidRPr="006379AB">
              <w:rPr>
                <w:rFonts w:ascii="Calibri Light" w:hAnsi="Calibri Light"/>
                <w:sz w:val="20"/>
              </w:rPr>
              <w:t>1,46</w:t>
            </w:r>
          </w:p>
        </w:tc>
        <w:tc>
          <w:tcPr>
            <w:tcW w:w="594" w:type="pct"/>
            <w:tcBorders>
              <w:top w:val="nil"/>
              <w:left w:val="nil"/>
              <w:bottom w:val="single" w:sz="4" w:space="0" w:color="FFFFFF"/>
              <w:right w:val="single" w:sz="4" w:space="0" w:color="FFFFFF"/>
            </w:tcBorders>
            <w:shd w:val="clear" w:color="BDD7EE" w:fill="BDD7EE"/>
            <w:noWrap/>
            <w:vAlign w:val="center"/>
            <w:hideMark/>
          </w:tcPr>
          <w:p w14:paraId="39AA508F" w14:textId="77777777" w:rsidR="00587A6B" w:rsidRPr="006379AB" w:rsidRDefault="00587A6B" w:rsidP="006379AB">
            <w:pPr>
              <w:jc w:val="center"/>
              <w:rPr>
                <w:rFonts w:ascii="Calibri Light" w:hAnsi="Calibri Light"/>
                <w:sz w:val="20"/>
              </w:rPr>
            </w:pPr>
            <w:r w:rsidRPr="006379AB">
              <w:rPr>
                <w:rFonts w:ascii="Calibri Light" w:hAnsi="Calibri Light"/>
                <w:sz w:val="20"/>
              </w:rPr>
              <w:t>2 053,71</w:t>
            </w:r>
          </w:p>
        </w:tc>
        <w:tc>
          <w:tcPr>
            <w:tcW w:w="584" w:type="pct"/>
            <w:tcBorders>
              <w:top w:val="nil"/>
              <w:left w:val="nil"/>
              <w:bottom w:val="single" w:sz="4" w:space="0" w:color="FFFFFF"/>
              <w:right w:val="single" w:sz="4" w:space="0" w:color="FFFFFF"/>
            </w:tcBorders>
            <w:shd w:val="clear" w:color="BDD7EE" w:fill="BDD7EE"/>
            <w:noWrap/>
            <w:vAlign w:val="center"/>
            <w:hideMark/>
          </w:tcPr>
          <w:p w14:paraId="55E142E2" w14:textId="77777777" w:rsidR="00587A6B" w:rsidRPr="006379AB" w:rsidRDefault="00587A6B" w:rsidP="006379AB">
            <w:pPr>
              <w:jc w:val="center"/>
              <w:rPr>
                <w:rFonts w:ascii="Calibri Light" w:hAnsi="Calibri Light"/>
                <w:sz w:val="20"/>
              </w:rPr>
            </w:pPr>
            <w:r w:rsidRPr="006379AB">
              <w:rPr>
                <w:rFonts w:ascii="Calibri Light" w:hAnsi="Calibri Light"/>
                <w:sz w:val="20"/>
              </w:rPr>
              <w:t>30,74</w:t>
            </w:r>
          </w:p>
        </w:tc>
      </w:tr>
      <w:tr w:rsidR="00587A6B" w:rsidRPr="00C62639" w14:paraId="6F3499DF" w14:textId="77777777" w:rsidTr="004A7C01">
        <w:trPr>
          <w:trHeight w:val="312"/>
          <w:jc w:val="center"/>
        </w:trPr>
        <w:tc>
          <w:tcPr>
            <w:tcW w:w="1200" w:type="pct"/>
            <w:tcBorders>
              <w:top w:val="nil"/>
              <w:left w:val="nil"/>
              <w:bottom w:val="double" w:sz="6" w:space="0" w:color="auto"/>
              <w:right w:val="single" w:sz="4" w:space="0" w:color="FFFFFF"/>
            </w:tcBorders>
            <w:shd w:val="clear" w:color="DDEBF7" w:fill="DDEBF7"/>
            <w:noWrap/>
            <w:vAlign w:val="center"/>
            <w:hideMark/>
          </w:tcPr>
          <w:p w14:paraId="648B34FA" w14:textId="77777777" w:rsidR="00587A6B" w:rsidRPr="00587A6B" w:rsidRDefault="00587A6B">
            <w:pPr>
              <w:rPr>
                <w:color w:val="000000"/>
                <w:sz w:val="20"/>
              </w:rPr>
            </w:pPr>
            <w:r w:rsidRPr="00587A6B">
              <w:rPr>
                <w:color w:val="000000"/>
                <w:sz w:val="20"/>
              </w:rPr>
              <w:t>VIII.SKUPINA (&lt;300 PŘ.OB.)</w:t>
            </w:r>
          </w:p>
        </w:tc>
        <w:tc>
          <w:tcPr>
            <w:tcW w:w="518" w:type="pct"/>
            <w:tcBorders>
              <w:top w:val="nil"/>
              <w:left w:val="nil"/>
              <w:bottom w:val="double" w:sz="6" w:space="0" w:color="auto"/>
              <w:right w:val="single" w:sz="4" w:space="0" w:color="FFFFFF"/>
            </w:tcBorders>
            <w:shd w:val="clear" w:color="DDEBF7" w:fill="DDEBF7"/>
            <w:noWrap/>
            <w:vAlign w:val="center"/>
            <w:hideMark/>
          </w:tcPr>
          <w:p w14:paraId="4B7C59F9" w14:textId="77777777" w:rsidR="00587A6B" w:rsidRPr="006379AB" w:rsidRDefault="00587A6B" w:rsidP="006379AB">
            <w:pPr>
              <w:jc w:val="center"/>
              <w:rPr>
                <w:rFonts w:ascii="Calibri Light" w:hAnsi="Calibri Light"/>
                <w:sz w:val="20"/>
              </w:rPr>
            </w:pPr>
            <w:r w:rsidRPr="006379AB">
              <w:rPr>
                <w:rFonts w:ascii="Calibri Light" w:hAnsi="Calibri Light"/>
                <w:sz w:val="20"/>
              </w:rPr>
              <w:t>1,06</w:t>
            </w:r>
          </w:p>
        </w:tc>
        <w:tc>
          <w:tcPr>
            <w:tcW w:w="391" w:type="pct"/>
            <w:tcBorders>
              <w:top w:val="nil"/>
              <w:left w:val="nil"/>
              <w:bottom w:val="double" w:sz="6" w:space="0" w:color="auto"/>
              <w:right w:val="single" w:sz="4" w:space="0" w:color="FFFFFF"/>
            </w:tcBorders>
            <w:shd w:val="clear" w:color="DDEBF7" w:fill="DDEBF7"/>
            <w:noWrap/>
            <w:vAlign w:val="center"/>
            <w:hideMark/>
          </w:tcPr>
          <w:p w14:paraId="7C9488A9" w14:textId="77777777" w:rsidR="00587A6B" w:rsidRPr="006379AB" w:rsidRDefault="00587A6B" w:rsidP="006379AB">
            <w:pPr>
              <w:jc w:val="center"/>
              <w:rPr>
                <w:rFonts w:ascii="Calibri Light" w:hAnsi="Calibri Light"/>
                <w:sz w:val="20"/>
              </w:rPr>
            </w:pPr>
            <w:r w:rsidRPr="006379AB">
              <w:rPr>
                <w:rFonts w:ascii="Calibri Light" w:hAnsi="Calibri Light"/>
                <w:sz w:val="20"/>
              </w:rPr>
              <w:t>34,85</w:t>
            </w:r>
          </w:p>
        </w:tc>
        <w:tc>
          <w:tcPr>
            <w:tcW w:w="772" w:type="pct"/>
            <w:tcBorders>
              <w:top w:val="nil"/>
              <w:left w:val="nil"/>
              <w:bottom w:val="double" w:sz="6" w:space="0" w:color="auto"/>
              <w:right w:val="single" w:sz="4" w:space="0" w:color="FFFFFF"/>
            </w:tcBorders>
            <w:shd w:val="clear" w:color="DDEBF7" w:fill="DDEBF7"/>
            <w:noWrap/>
            <w:vAlign w:val="center"/>
            <w:hideMark/>
          </w:tcPr>
          <w:p w14:paraId="694BA81D" w14:textId="77777777" w:rsidR="00587A6B" w:rsidRPr="006379AB" w:rsidRDefault="00587A6B" w:rsidP="006379AB">
            <w:pPr>
              <w:jc w:val="center"/>
              <w:rPr>
                <w:rFonts w:ascii="Calibri Light" w:hAnsi="Calibri Light"/>
                <w:sz w:val="20"/>
              </w:rPr>
            </w:pPr>
            <w:r w:rsidRPr="006379AB">
              <w:rPr>
                <w:rFonts w:ascii="Calibri Light" w:hAnsi="Calibri Light"/>
                <w:sz w:val="20"/>
              </w:rPr>
              <w:t>0,92</w:t>
            </w:r>
          </w:p>
        </w:tc>
        <w:tc>
          <w:tcPr>
            <w:tcW w:w="942" w:type="pct"/>
            <w:tcBorders>
              <w:top w:val="nil"/>
              <w:left w:val="nil"/>
              <w:bottom w:val="double" w:sz="6" w:space="0" w:color="auto"/>
              <w:right w:val="single" w:sz="4" w:space="0" w:color="FFFFFF"/>
            </w:tcBorders>
            <w:shd w:val="clear" w:color="DDEBF7" w:fill="DDEBF7"/>
            <w:noWrap/>
            <w:vAlign w:val="center"/>
            <w:hideMark/>
          </w:tcPr>
          <w:p w14:paraId="167D4FF5" w14:textId="77777777" w:rsidR="00587A6B" w:rsidRPr="006379AB" w:rsidRDefault="00587A6B" w:rsidP="006379AB">
            <w:pPr>
              <w:jc w:val="center"/>
              <w:rPr>
                <w:rFonts w:ascii="Calibri Light" w:hAnsi="Calibri Light"/>
                <w:sz w:val="20"/>
              </w:rPr>
            </w:pPr>
            <w:r w:rsidRPr="006379AB">
              <w:rPr>
                <w:rFonts w:ascii="Calibri Light" w:hAnsi="Calibri Light"/>
                <w:sz w:val="20"/>
              </w:rPr>
              <w:t>2,31</w:t>
            </w:r>
          </w:p>
        </w:tc>
        <w:tc>
          <w:tcPr>
            <w:tcW w:w="594" w:type="pct"/>
            <w:tcBorders>
              <w:top w:val="nil"/>
              <w:left w:val="nil"/>
              <w:bottom w:val="double" w:sz="6" w:space="0" w:color="auto"/>
              <w:right w:val="single" w:sz="4" w:space="0" w:color="FFFFFF"/>
            </w:tcBorders>
            <w:shd w:val="clear" w:color="DDEBF7" w:fill="DDEBF7"/>
            <w:noWrap/>
            <w:vAlign w:val="center"/>
            <w:hideMark/>
          </w:tcPr>
          <w:p w14:paraId="6071214D" w14:textId="77777777" w:rsidR="00587A6B" w:rsidRPr="006379AB" w:rsidRDefault="00587A6B" w:rsidP="006379AB">
            <w:pPr>
              <w:jc w:val="center"/>
              <w:rPr>
                <w:rFonts w:ascii="Calibri Light" w:hAnsi="Calibri Light"/>
                <w:sz w:val="20"/>
              </w:rPr>
            </w:pPr>
            <w:r w:rsidRPr="006379AB">
              <w:rPr>
                <w:rFonts w:ascii="Calibri Light" w:hAnsi="Calibri Light"/>
                <w:sz w:val="20"/>
              </w:rPr>
              <w:t>560,92</w:t>
            </w:r>
          </w:p>
        </w:tc>
        <w:tc>
          <w:tcPr>
            <w:tcW w:w="584" w:type="pct"/>
            <w:tcBorders>
              <w:top w:val="nil"/>
              <w:left w:val="nil"/>
              <w:bottom w:val="double" w:sz="6" w:space="0" w:color="auto"/>
              <w:right w:val="single" w:sz="4" w:space="0" w:color="FFFFFF"/>
            </w:tcBorders>
            <w:shd w:val="clear" w:color="DDEBF7" w:fill="DDEBF7"/>
            <w:noWrap/>
            <w:vAlign w:val="center"/>
            <w:hideMark/>
          </w:tcPr>
          <w:p w14:paraId="6F1762C2" w14:textId="77777777" w:rsidR="00587A6B" w:rsidRPr="006379AB" w:rsidRDefault="00587A6B" w:rsidP="006379AB">
            <w:pPr>
              <w:jc w:val="center"/>
              <w:rPr>
                <w:rFonts w:ascii="Calibri Light" w:hAnsi="Calibri Light"/>
                <w:sz w:val="20"/>
              </w:rPr>
            </w:pPr>
            <w:r w:rsidRPr="006379AB">
              <w:rPr>
                <w:rFonts w:ascii="Calibri Light" w:hAnsi="Calibri Light"/>
                <w:sz w:val="20"/>
              </w:rPr>
              <w:t>31,53</w:t>
            </w:r>
          </w:p>
        </w:tc>
      </w:tr>
      <w:tr w:rsidR="006379AB" w:rsidRPr="00C62639" w14:paraId="025B9EC2" w14:textId="77777777" w:rsidTr="002B7D81">
        <w:trPr>
          <w:trHeight w:val="372"/>
          <w:jc w:val="center"/>
        </w:trPr>
        <w:tc>
          <w:tcPr>
            <w:tcW w:w="1200" w:type="pct"/>
            <w:tcBorders>
              <w:top w:val="single" w:sz="4" w:space="0" w:color="FFFFFF"/>
              <w:left w:val="nil"/>
              <w:bottom w:val="nil"/>
              <w:right w:val="single" w:sz="4" w:space="0" w:color="FFFFFF"/>
            </w:tcBorders>
            <w:shd w:val="clear" w:color="BDD7EE" w:fill="BDD7EE"/>
            <w:vAlign w:val="center"/>
            <w:hideMark/>
          </w:tcPr>
          <w:p w14:paraId="4FFFE158" w14:textId="77777777" w:rsidR="006379AB" w:rsidRPr="00C62639" w:rsidRDefault="00587A6B" w:rsidP="006379AB">
            <w:pPr>
              <w:spacing w:before="0" w:after="0"/>
              <w:contextualSpacing w:val="0"/>
              <w:jc w:val="left"/>
              <w:rPr>
                <w:rFonts w:asciiTheme="minorHAnsi" w:eastAsia="Times New Roman" w:hAnsiTheme="minorHAnsi"/>
                <w:b/>
                <w:bCs/>
                <w:i/>
                <w:iCs/>
                <w:sz w:val="20"/>
                <w:lang w:eastAsia="cs-CZ"/>
              </w:rPr>
            </w:pPr>
            <w:r w:rsidRPr="00C62639">
              <w:rPr>
                <w:rFonts w:asciiTheme="minorHAnsi" w:eastAsia="Times New Roman" w:hAnsiTheme="minorHAnsi"/>
                <w:b/>
                <w:bCs/>
                <w:i/>
                <w:iCs/>
                <w:sz w:val="20"/>
                <w:lang w:eastAsia="cs-CZ"/>
              </w:rPr>
              <w:t>PRŮMĚR</w:t>
            </w:r>
            <w:r>
              <w:rPr>
                <w:rFonts w:asciiTheme="minorHAnsi" w:eastAsia="Times New Roman" w:hAnsiTheme="minorHAnsi"/>
                <w:b/>
                <w:bCs/>
                <w:i/>
                <w:iCs/>
                <w:sz w:val="20"/>
                <w:lang w:eastAsia="cs-CZ"/>
              </w:rPr>
              <w:t xml:space="preserve"> </w:t>
            </w:r>
            <w:r w:rsidRPr="00C62639">
              <w:rPr>
                <w:rFonts w:asciiTheme="minorHAnsi" w:eastAsia="Times New Roman" w:hAnsiTheme="minorHAnsi"/>
                <w:b/>
                <w:bCs/>
                <w:i/>
                <w:iCs/>
                <w:sz w:val="20"/>
                <w:lang w:eastAsia="cs-CZ"/>
              </w:rPr>
              <w:t>VŠECH</w:t>
            </w:r>
            <w:r>
              <w:rPr>
                <w:rFonts w:asciiTheme="minorHAnsi" w:eastAsia="Times New Roman" w:hAnsiTheme="minorHAnsi"/>
                <w:b/>
                <w:bCs/>
                <w:i/>
                <w:iCs/>
                <w:sz w:val="20"/>
                <w:lang w:eastAsia="cs-CZ"/>
              </w:rPr>
              <w:t xml:space="preserve"> SKUPIN</w:t>
            </w:r>
          </w:p>
        </w:tc>
        <w:tc>
          <w:tcPr>
            <w:tcW w:w="518" w:type="pct"/>
            <w:tcBorders>
              <w:top w:val="single" w:sz="4" w:space="0" w:color="FFFFFF"/>
              <w:left w:val="single" w:sz="4" w:space="0" w:color="FFFFFF"/>
              <w:bottom w:val="nil"/>
              <w:right w:val="single" w:sz="4" w:space="0" w:color="FFFFFF"/>
            </w:tcBorders>
            <w:shd w:val="clear" w:color="BDD7EE" w:fill="BDD7EE"/>
            <w:noWrap/>
            <w:vAlign w:val="center"/>
            <w:hideMark/>
          </w:tcPr>
          <w:p w14:paraId="2674C503" w14:textId="77777777" w:rsidR="006379AB" w:rsidRPr="006379AB" w:rsidRDefault="00587A6B" w:rsidP="006379AB">
            <w:pPr>
              <w:spacing w:before="0" w:after="0"/>
              <w:contextualSpacing w:val="0"/>
              <w:jc w:val="center"/>
              <w:rPr>
                <w:rFonts w:asciiTheme="minorHAnsi" w:eastAsia="Times New Roman" w:hAnsiTheme="minorHAnsi"/>
                <w:b/>
                <w:bCs/>
                <w:i/>
                <w:iCs/>
                <w:sz w:val="20"/>
                <w:lang w:eastAsia="cs-CZ"/>
              </w:rPr>
            </w:pPr>
            <w:r w:rsidRPr="006379AB">
              <w:rPr>
                <w:rFonts w:asciiTheme="minorHAnsi" w:eastAsia="Times New Roman" w:hAnsiTheme="minorHAnsi"/>
                <w:b/>
                <w:bCs/>
                <w:i/>
                <w:iCs/>
                <w:sz w:val="20"/>
                <w:lang w:eastAsia="cs-CZ"/>
              </w:rPr>
              <w:t>1,08</w:t>
            </w:r>
          </w:p>
        </w:tc>
        <w:tc>
          <w:tcPr>
            <w:tcW w:w="391" w:type="pct"/>
            <w:tcBorders>
              <w:top w:val="single" w:sz="4" w:space="0" w:color="FFFFFF"/>
              <w:left w:val="single" w:sz="4" w:space="0" w:color="FFFFFF"/>
              <w:bottom w:val="nil"/>
              <w:right w:val="single" w:sz="4" w:space="0" w:color="FFFFFF"/>
            </w:tcBorders>
            <w:shd w:val="clear" w:color="BDD7EE" w:fill="BDD7EE"/>
            <w:noWrap/>
            <w:vAlign w:val="center"/>
            <w:hideMark/>
          </w:tcPr>
          <w:p w14:paraId="68B6C7F9" w14:textId="77777777" w:rsidR="006379AB" w:rsidRPr="006379AB" w:rsidRDefault="00587A6B" w:rsidP="006379AB">
            <w:pPr>
              <w:spacing w:before="0" w:after="0"/>
              <w:contextualSpacing w:val="0"/>
              <w:jc w:val="center"/>
              <w:rPr>
                <w:rFonts w:asciiTheme="minorHAnsi" w:eastAsia="Times New Roman" w:hAnsiTheme="minorHAnsi"/>
                <w:b/>
                <w:bCs/>
                <w:i/>
                <w:iCs/>
                <w:sz w:val="20"/>
                <w:lang w:eastAsia="cs-CZ"/>
              </w:rPr>
            </w:pPr>
            <w:r w:rsidRPr="006379AB">
              <w:rPr>
                <w:rFonts w:asciiTheme="minorHAnsi" w:eastAsia="Times New Roman" w:hAnsiTheme="minorHAnsi"/>
                <w:b/>
                <w:bCs/>
                <w:i/>
                <w:iCs/>
                <w:sz w:val="20"/>
                <w:lang w:eastAsia="cs-CZ"/>
              </w:rPr>
              <w:t>36,76</w:t>
            </w:r>
          </w:p>
        </w:tc>
        <w:tc>
          <w:tcPr>
            <w:tcW w:w="772" w:type="pct"/>
            <w:tcBorders>
              <w:top w:val="single" w:sz="4" w:space="0" w:color="FFFFFF"/>
              <w:left w:val="single" w:sz="4" w:space="0" w:color="FFFFFF"/>
              <w:bottom w:val="nil"/>
              <w:right w:val="single" w:sz="4" w:space="0" w:color="FFFFFF"/>
            </w:tcBorders>
            <w:shd w:val="clear" w:color="BDD7EE" w:fill="BDD7EE"/>
            <w:noWrap/>
            <w:vAlign w:val="center"/>
            <w:hideMark/>
          </w:tcPr>
          <w:p w14:paraId="47228B06" w14:textId="77777777" w:rsidR="006379AB" w:rsidRPr="006379AB" w:rsidRDefault="00587A6B" w:rsidP="006379AB">
            <w:pPr>
              <w:spacing w:before="0" w:after="0"/>
              <w:contextualSpacing w:val="0"/>
              <w:jc w:val="center"/>
              <w:rPr>
                <w:rFonts w:asciiTheme="minorHAnsi" w:eastAsia="Times New Roman" w:hAnsiTheme="minorHAnsi"/>
                <w:b/>
                <w:bCs/>
                <w:i/>
                <w:iCs/>
                <w:sz w:val="20"/>
                <w:lang w:eastAsia="cs-CZ"/>
              </w:rPr>
            </w:pPr>
            <w:r w:rsidRPr="006379AB">
              <w:rPr>
                <w:rFonts w:asciiTheme="minorHAnsi" w:eastAsia="Times New Roman" w:hAnsiTheme="minorHAnsi"/>
                <w:b/>
                <w:bCs/>
                <w:i/>
                <w:iCs/>
                <w:sz w:val="20"/>
                <w:lang w:eastAsia="cs-CZ"/>
              </w:rPr>
              <w:t>3,64</w:t>
            </w:r>
          </w:p>
        </w:tc>
        <w:tc>
          <w:tcPr>
            <w:tcW w:w="942" w:type="pct"/>
            <w:tcBorders>
              <w:top w:val="single" w:sz="4" w:space="0" w:color="FFFFFF"/>
              <w:left w:val="single" w:sz="4" w:space="0" w:color="FFFFFF"/>
              <w:bottom w:val="nil"/>
              <w:right w:val="single" w:sz="4" w:space="0" w:color="FFFFFF"/>
            </w:tcBorders>
            <w:shd w:val="clear" w:color="BDD7EE" w:fill="BDD7EE"/>
            <w:noWrap/>
            <w:vAlign w:val="center"/>
            <w:hideMark/>
          </w:tcPr>
          <w:p w14:paraId="133C50C8" w14:textId="77777777" w:rsidR="006379AB" w:rsidRPr="006379AB" w:rsidRDefault="00587A6B" w:rsidP="006379AB">
            <w:pPr>
              <w:spacing w:before="0" w:after="0"/>
              <w:contextualSpacing w:val="0"/>
              <w:jc w:val="center"/>
              <w:rPr>
                <w:rFonts w:asciiTheme="minorHAnsi" w:eastAsia="Times New Roman" w:hAnsiTheme="minorHAnsi"/>
                <w:b/>
                <w:bCs/>
                <w:i/>
                <w:iCs/>
                <w:sz w:val="20"/>
                <w:lang w:eastAsia="cs-CZ"/>
              </w:rPr>
            </w:pPr>
            <w:r w:rsidRPr="006379AB">
              <w:rPr>
                <w:rFonts w:asciiTheme="minorHAnsi" w:eastAsia="Times New Roman" w:hAnsiTheme="minorHAnsi"/>
                <w:b/>
                <w:bCs/>
                <w:i/>
                <w:iCs/>
                <w:sz w:val="20"/>
                <w:lang w:eastAsia="cs-CZ"/>
              </w:rPr>
              <w:t>2,22</w:t>
            </w:r>
          </w:p>
        </w:tc>
        <w:tc>
          <w:tcPr>
            <w:tcW w:w="594" w:type="pct"/>
            <w:tcBorders>
              <w:top w:val="single" w:sz="4" w:space="0" w:color="FFFFFF"/>
              <w:left w:val="single" w:sz="4" w:space="0" w:color="FFFFFF"/>
              <w:bottom w:val="nil"/>
              <w:right w:val="single" w:sz="4" w:space="0" w:color="FFFFFF"/>
            </w:tcBorders>
            <w:shd w:val="clear" w:color="BDD7EE" w:fill="BDD7EE"/>
            <w:noWrap/>
            <w:vAlign w:val="center"/>
            <w:hideMark/>
          </w:tcPr>
          <w:p w14:paraId="0BF3B5D7" w14:textId="77777777" w:rsidR="006379AB" w:rsidRPr="006379AB" w:rsidRDefault="00587A6B" w:rsidP="006379AB">
            <w:pPr>
              <w:spacing w:before="0" w:after="0"/>
              <w:contextualSpacing w:val="0"/>
              <w:jc w:val="center"/>
              <w:rPr>
                <w:rFonts w:asciiTheme="minorHAnsi" w:eastAsia="Times New Roman" w:hAnsiTheme="minorHAnsi"/>
                <w:b/>
                <w:bCs/>
                <w:i/>
                <w:iCs/>
                <w:sz w:val="20"/>
                <w:lang w:eastAsia="cs-CZ"/>
              </w:rPr>
            </w:pPr>
            <w:r w:rsidRPr="006379AB">
              <w:rPr>
                <w:rFonts w:asciiTheme="minorHAnsi" w:eastAsia="Times New Roman" w:hAnsiTheme="minorHAnsi"/>
                <w:b/>
                <w:bCs/>
                <w:i/>
                <w:iCs/>
                <w:sz w:val="20"/>
                <w:lang w:eastAsia="cs-CZ"/>
              </w:rPr>
              <w:t>1</w:t>
            </w:r>
            <w:r>
              <w:rPr>
                <w:rFonts w:asciiTheme="minorHAnsi" w:eastAsia="Times New Roman" w:hAnsiTheme="minorHAnsi"/>
                <w:b/>
                <w:bCs/>
                <w:i/>
                <w:iCs/>
                <w:sz w:val="20"/>
                <w:lang w:eastAsia="cs-CZ"/>
              </w:rPr>
              <w:t xml:space="preserve"> </w:t>
            </w:r>
            <w:r w:rsidRPr="006379AB">
              <w:rPr>
                <w:rFonts w:asciiTheme="minorHAnsi" w:eastAsia="Times New Roman" w:hAnsiTheme="minorHAnsi"/>
                <w:b/>
                <w:bCs/>
                <w:i/>
                <w:iCs/>
                <w:sz w:val="20"/>
                <w:lang w:eastAsia="cs-CZ"/>
              </w:rPr>
              <w:t>441,76</w:t>
            </w:r>
          </w:p>
        </w:tc>
        <w:tc>
          <w:tcPr>
            <w:tcW w:w="584" w:type="pct"/>
            <w:tcBorders>
              <w:top w:val="single" w:sz="4" w:space="0" w:color="FFFFFF"/>
              <w:left w:val="single" w:sz="4" w:space="0" w:color="FFFFFF"/>
              <w:bottom w:val="nil"/>
              <w:right w:val="single" w:sz="4" w:space="0" w:color="FFFFFF"/>
            </w:tcBorders>
            <w:shd w:val="clear" w:color="BDD7EE" w:fill="BDD7EE"/>
            <w:noWrap/>
            <w:vAlign w:val="center"/>
            <w:hideMark/>
          </w:tcPr>
          <w:p w14:paraId="1F93C0E4" w14:textId="77777777" w:rsidR="006379AB" w:rsidRPr="006379AB" w:rsidRDefault="00587A6B" w:rsidP="006379AB">
            <w:pPr>
              <w:spacing w:before="0" w:after="0"/>
              <w:contextualSpacing w:val="0"/>
              <w:jc w:val="center"/>
              <w:rPr>
                <w:rFonts w:asciiTheme="minorHAnsi" w:eastAsia="Times New Roman" w:hAnsiTheme="minorHAnsi"/>
                <w:b/>
                <w:bCs/>
                <w:i/>
                <w:iCs/>
                <w:sz w:val="20"/>
                <w:lang w:eastAsia="cs-CZ"/>
              </w:rPr>
            </w:pPr>
            <w:r w:rsidRPr="006379AB">
              <w:rPr>
                <w:rFonts w:asciiTheme="minorHAnsi" w:eastAsia="Times New Roman" w:hAnsiTheme="minorHAnsi"/>
                <w:b/>
                <w:bCs/>
                <w:i/>
                <w:iCs/>
                <w:sz w:val="20"/>
                <w:lang w:eastAsia="cs-CZ"/>
              </w:rPr>
              <w:t>33,77</w:t>
            </w:r>
          </w:p>
        </w:tc>
      </w:tr>
    </w:tbl>
    <w:p w14:paraId="0FE6273C" w14:textId="77777777" w:rsidR="005B4273" w:rsidRDefault="005B4273" w:rsidP="005B4273">
      <w:pPr>
        <w:rPr>
          <w:rFonts w:asciiTheme="minorHAnsi" w:hAnsiTheme="minorHAnsi"/>
          <w:noProof/>
        </w:rPr>
      </w:pPr>
    </w:p>
    <w:p w14:paraId="0B7BE977" w14:textId="77777777" w:rsidR="002B7D81" w:rsidRPr="00C62639" w:rsidRDefault="002B7D81" w:rsidP="005B4273">
      <w:pPr>
        <w:rPr>
          <w:rFonts w:asciiTheme="minorHAnsi" w:hAnsiTheme="minorHAnsi"/>
          <w:noProof/>
        </w:rPr>
      </w:pPr>
    </w:p>
    <w:p w14:paraId="2BB83B58" w14:textId="77777777" w:rsidR="00D63123" w:rsidRPr="00655941" w:rsidRDefault="00D63123" w:rsidP="00D63123">
      <w:pPr>
        <w:pStyle w:val="Nadpis3"/>
        <w:rPr>
          <w:rFonts w:asciiTheme="minorHAnsi" w:hAnsiTheme="minorHAnsi"/>
          <w:bCs/>
          <w:noProof/>
        </w:rPr>
      </w:pPr>
      <w:bookmarkStart w:id="53" w:name="_Toc3292011"/>
      <w:r w:rsidRPr="00655941">
        <w:rPr>
          <w:rFonts w:asciiTheme="minorHAnsi" w:hAnsiTheme="minorHAnsi"/>
          <w:bCs/>
          <w:noProof/>
        </w:rPr>
        <w:t>Voda nefakturovaná a ztráty vody</w:t>
      </w:r>
      <w:bookmarkEnd w:id="53"/>
      <w:r w:rsidRPr="00655941">
        <w:rPr>
          <w:rFonts w:asciiTheme="minorHAnsi" w:hAnsiTheme="minorHAnsi"/>
          <w:bCs/>
          <w:noProof/>
        </w:rPr>
        <w:t xml:space="preserve"> </w:t>
      </w:r>
    </w:p>
    <w:p w14:paraId="55C972E3" w14:textId="3D90F37F" w:rsidR="00984F5C" w:rsidRDefault="00984F5C" w:rsidP="00655941">
      <w:pPr>
        <w:pStyle w:val="NORMLN0"/>
        <w:rPr>
          <w:rFonts w:asciiTheme="minorHAnsi" w:hAnsiTheme="minorHAnsi"/>
          <w:noProof/>
        </w:rPr>
      </w:pPr>
      <w:r>
        <w:t xml:space="preserve">Provozovatelé </w:t>
      </w:r>
      <w:r w:rsidRPr="00D63123">
        <w:t xml:space="preserve">při řízení vodárenských systémů používají pro zvyšování efektivity a kvality provozu kromě jiných i ukazatele: </w:t>
      </w:r>
      <w:r w:rsidRPr="00B11C96">
        <w:rPr>
          <w:b/>
        </w:rPr>
        <w:t>množství nefakturované vody</w:t>
      </w:r>
      <w:r>
        <w:t xml:space="preserve"> a </w:t>
      </w:r>
      <w:r w:rsidRPr="00B11C96">
        <w:rPr>
          <w:b/>
        </w:rPr>
        <w:t>ztráty vody</w:t>
      </w:r>
      <w:r>
        <w:t>. Množství vody nefakturované je rozdílový ukazatel mezi množstvím vody k realizaci a množstvím vody fakturované (</w:t>
      </w:r>
      <w:r w:rsidR="002A2B9F">
        <w:t xml:space="preserve">tj. </w:t>
      </w:r>
      <w:r>
        <w:t>měřené</w:t>
      </w:r>
      <w:r w:rsidR="002A0852">
        <w:t xml:space="preserve"> objemy</w:t>
      </w:r>
      <w:r>
        <w:t xml:space="preserve">). Ztráty vody v trubní síti tvoří část množství nefakturované </w:t>
      </w:r>
      <w:r w:rsidR="002A0852">
        <w:t xml:space="preserve">vody </w:t>
      </w:r>
      <w:r>
        <w:t>po odečtení množství vla</w:t>
      </w:r>
      <w:r w:rsidR="005C2CDF">
        <w:t>stní spotřeby (pozn. podle vyhlášky</w:t>
      </w:r>
      <w:r w:rsidR="002A0852">
        <w:t xml:space="preserve"> </w:t>
      </w:r>
      <w:r>
        <w:t>č. 428/2001 Sb. j</w:t>
      </w:r>
      <w:r w:rsidRPr="00A46974">
        <w:rPr>
          <w:rFonts w:asciiTheme="minorHAnsi" w:hAnsiTheme="minorHAnsi"/>
          <w:noProof/>
        </w:rPr>
        <w:t>de</w:t>
      </w:r>
      <w:r>
        <w:rPr>
          <w:rFonts w:asciiTheme="minorHAnsi" w:hAnsiTheme="minorHAnsi"/>
          <w:noProof/>
        </w:rPr>
        <w:t xml:space="preserve"> </w:t>
      </w:r>
      <w:r w:rsidRPr="00A46974">
        <w:rPr>
          <w:rFonts w:asciiTheme="minorHAnsi" w:hAnsiTheme="minorHAnsi"/>
          <w:noProof/>
        </w:rPr>
        <w:t>o</w:t>
      </w:r>
      <w:r>
        <w:rPr>
          <w:rFonts w:asciiTheme="minorHAnsi" w:hAnsiTheme="minorHAnsi"/>
          <w:noProof/>
        </w:rPr>
        <w:t xml:space="preserve"> </w:t>
      </w:r>
      <w:r w:rsidRPr="00A46974">
        <w:rPr>
          <w:rFonts w:asciiTheme="minorHAnsi" w:hAnsiTheme="minorHAnsi"/>
          <w:noProof/>
        </w:rPr>
        <w:t>množství</w:t>
      </w:r>
      <w:r>
        <w:rPr>
          <w:rFonts w:asciiTheme="minorHAnsi" w:hAnsiTheme="minorHAnsi"/>
          <w:noProof/>
        </w:rPr>
        <w:t xml:space="preserve"> </w:t>
      </w:r>
      <w:r w:rsidRPr="00A46974">
        <w:rPr>
          <w:rFonts w:asciiTheme="minorHAnsi" w:hAnsiTheme="minorHAnsi"/>
          <w:noProof/>
        </w:rPr>
        <w:t>vody</w:t>
      </w:r>
      <w:r>
        <w:rPr>
          <w:rFonts w:asciiTheme="minorHAnsi" w:hAnsiTheme="minorHAnsi"/>
          <w:noProof/>
        </w:rPr>
        <w:t xml:space="preserve"> </w:t>
      </w:r>
      <w:r w:rsidRPr="00A46974">
        <w:rPr>
          <w:rFonts w:asciiTheme="minorHAnsi" w:hAnsiTheme="minorHAnsi"/>
          <w:noProof/>
        </w:rPr>
        <w:t>využité</w:t>
      </w:r>
      <w:r>
        <w:rPr>
          <w:rFonts w:asciiTheme="minorHAnsi" w:hAnsiTheme="minorHAnsi"/>
          <w:noProof/>
        </w:rPr>
        <w:t xml:space="preserve"> </w:t>
      </w:r>
      <w:r w:rsidRPr="00A46974">
        <w:rPr>
          <w:rFonts w:asciiTheme="minorHAnsi" w:hAnsiTheme="minorHAnsi"/>
          <w:noProof/>
        </w:rPr>
        <w:t>provozovatelem</w:t>
      </w:r>
      <w:r>
        <w:rPr>
          <w:rFonts w:asciiTheme="minorHAnsi" w:hAnsiTheme="minorHAnsi"/>
          <w:noProof/>
        </w:rPr>
        <w:t xml:space="preserve"> </w:t>
      </w:r>
      <w:r w:rsidRPr="00A46974">
        <w:rPr>
          <w:rFonts w:asciiTheme="minorHAnsi" w:hAnsiTheme="minorHAnsi"/>
          <w:noProof/>
        </w:rPr>
        <w:t>pro</w:t>
      </w:r>
      <w:r>
        <w:rPr>
          <w:rFonts w:asciiTheme="minorHAnsi" w:hAnsiTheme="minorHAnsi"/>
          <w:noProof/>
        </w:rPr>
        <w:t xml:space="preserve"> </w:t>
      </w:r>
      <w:r w:rsidRPr="00A46974">
        <w:rPr>
          <w:rFonts w:asciiTheme="minorHAnsi" w:hAnsiTheme="minorHAnsi"/>
          <w:noProof/>
        </w:rPr>
        <w:t>potřebu</w:t>
      </w:r>
      <w:r>
        <w:rPr>
          <w:rFonts w:asciiTheme="minorHAnsi" w:hAnsiTheme="minorHAnsi"/>
          <w:noProof/>
        </w:rPr>
        <w:t xml:space="preserve"> </w:t>
      </w:r>
      <w:r w:rsidRPr="00A46974">
        <w:rPr>
          <w:rFonts w:asciiTheme="minorHAnsi" w:hAnsiTheme="minorHAnsi"/>
          <w:noProof/>
        </w:rPr>
        <w:t>provozu</w:t>
      </w:r>
      <w:r>
        <w:rPr>
          <w:rFonts w:asciiTheme="minorHAnsi" w:hAnsiTheme="minorHAnsi"/>
          <w:noProof/>
        </w:rPr>
        <w:t xml:space="preserve"> </w:t>
      </w:r>
      <w:r w:rsidRPr="00A46974">
        <w:rPr>
          <w:rFonts w:asciiTheme="minorHAnsi" w:hAnsiTheme="minorHAnsi"/>
          <w:noProof/>
        </w:rPr>
        <w:t>k</w:t>
      </w:r>
      <w:r>
        <w:rPr>
          <w:rFonts w:asciiTheme="minorHAnsi" w:hAnsiTheme="minorHAnsi"/>
          <w:noProof/>
        </w:rPr>
        <w:t> </w:t>
      </w:r>
      <w:r w:rsidRPr="00A46974">
        <w:rPr>
          <w:rFonts w:asciiTheme="minorHAnsi" w:hAnsiTheme="minorHAnsi"/>
          <w:noProof/>
        </w:rPr>
        <w:t>proplachování</w:t>
      </w:r>
      <w:r>
        <w:rPr>
          <w:rFonts w:asciiTheme="minorHAnsi" w:hAnsiTheme="minorHAnsi"/>
          <w:noProof/>
        </w:rPr>
        <w:t xml:space="preserve"> </w:t>
      </w:r>
      <w:r w:rsidRPr="00A46974">
        <w:rPr>
          <w:rFonts w:asciiTheme="minorHAnsi" w:hAnsiTheme="minorHAnsi"/>
          <w:noProof/>
        </w:rPr>
        <w:t>vodovodní</w:t>
      </w:r>
      <w:r>
        <w:rPr>
          <w:rFonts w:asciiTheme="minorHAnsi" w:hAnsiTheme="minorHAnsi"/>
          <w:noProof/>
        </w:rPr>
        <w:t xml:space="preserve"> </w:t>
      </w:r>
      <w:r w:rsidRPr="00A46974">
        <w:rPr>
          <w:rFonts w:asciiTheme="minorHAnsi" w:hAnsiTheme="minorHAnsi"/>
          <w:noProof/>
        </w:rPr>
        <w:t>sítě,</w:t>
      </w:r>
      <w:r>
        <w:rPr>
          <w:rFonts w:asciiTheme="minorHAnsi" w:hAnsiTheme="minorHAnsi"/>
          <w:noProof/>
        </w:rPr>
        <w:t xml:space="preserve"> </w:t>
      </w:r>
      <w:r w:rsidRPr="00A46974">
        <w:rPr>
          <w:rFonts w:asciiTheme="minorHAnsi" w:hAnsiTheme="minorHAnsi"/>
          <w:noProof/>
        </w:rPr>
        <w:t>kanalizační</w:t>
      </w:r>
      <w:r>
        <w:rPr>
          <w:rFonts w:asciiTheme="minorHAnsi" w:hAnsiTheme="minorHAnsi"/>
          <w:noProof/>
        </w:rPr>
        <w:t xml:space="preserve"> </w:t>
      </w:r>
      <w:r w:rsidRPr="00A46974">
        <w:rPr>
          <w:rFonts w:asciiTheme="minorHAnsi" w:hAnsiTheme="minorHAnsi"/>
          <w:noProof/>
        </w:rPr>
        <w:t>sítě,</w:t>
      </w:r>
      <w:r>
        <w:rPr>
          <w:rFonts w:asciiTheme="minorHAnsi" w:hAnsiTheme="minorHAnsi"/>
          <w:noProof/>
        </w:rPr>
        <w:t xml:space="preserve"> </w:t>
      </w:r>
      <w:r w:rsidRPr="00A46974">
        <w:rPr>
          <w:rFonts w:asciiTheme="minorHAnsi" w:hAnsiTheme="minorHAnsi"/>
          <w:noProof/>
        </w:rPr>
        <w:t>voda</w:t>
      </w:r>
      <w:r>
        <w:rPr>
          <w:rFonts w:asciiTheme="minorHAnsi" w:hAnsiTheme="minorHAnsi"/>
          <w:noProof/>
        </w:rPr>
        <w:t xml:space="preserve"> </w:t>
      </w:r>
      <w:r w:rsidRPr="00A46974">
        <w:rPr>
          <w:rFonts w:asciiTheme="minorHAnsi" w:hAnsiTheme="minorHAnsi"/>
          <w:noProof/>
        </w:rPr>
        <w:t>spotřebovaná</w:t>
      </w:r>
      <w:r>
        <w:rPr>
          <w:rFonts w:asciiTheme="minorHAnsi" w:hAnsiTheme="minorHAnsi"/>
          <w:noProof/>
        </w:rPr>
        <w:t xml:space="preserve"> </w:t>
      </w:r>
      <w:r w:rsidRPr="00A46974">
        <w:rPr>
          <w:rFonts w:asciiTheme="minorHAnsi" w:hAnsiTheme="minorHAnsi"/>
          <w:noProof/>
        </w:rPr>
        <w:t>v</w:t>
      </w:r>
      <w:r>
        <w:rPr>
          <w:rFonts w:asciiTheme="minorHAnsi" w:hAnsiTheme="minorHAnsi"/>
          <w:noProof/>
        </w:rPr>
        <w:t xml:space="preserve"> </w:t>
      </w:r>
      <w:r w:rsidRPr="00A46974">
        <w:rPr>
          <w:rFonts w:asciiTheme="minorHAnsi" w:hAnsiTheme="minorHAnsi"/>
          <w:noProof/>
        </w:rPr>
        <w:t>provozních</w:t>
      </w:r>
      <w:r>
        <w:rPr>
          <w:rFonts w:asciiTheme="minorHAnsi" w:hAnsiTheme="minorHAnsi"/>
          <w:noProof/>
        </w:rPr>
        <w:t xml:space="preserve"> </w:t>
      </w:r>
      <w:r w:rsidRPr="00A46974">
        <w:rPr>
          <w:rFonts w:asciiTheme="minorHAnsi" w:hAnsiTheme="minorHAnsi"/>
          <w:noProof/>
        </w:rPr>
        <w:t>střediscích</w:t>
      </w:r>
      <w:r>
        <w:rPr>
          <w:rFonts w:asciiTheme="minorHAnsi" w:hAnsiTheme="minorHAnsi"/>
          <w:noProof/>
        </w:rPr>
        <w:t xml:space="preserve"> </w:t>
      </w:r>
      <w:r w:rsidRPr="00A46974">
        <w:rPr>
          <w:rFonts w:asciiTheme="minorHAnsi" w:hAnsiTheme="minorHAnsi"/>
          <w:noProof/>
        </w:rPr>
        <w:t>apod.</w:t>
      </w:r>
      <w:r>
        <w:rPr>
          <w:rFonts w:asciiTheme="minorHAnsi" w:hAnsiTheme="minorHAnsi"/>
          <w:noProof/>
        </w:rPr>
        <w:t>)</w:t>
      </w:r>
      <w:r>
        <w:t>. Podle vyhl</w:t>
      </w:r>
      <w:r w:rsidR="009F240B">
        <w:t>ášky</w:t>
      </w:r>
      <w:r w:rsidR="00BC03D3">
        <w:t xml:space="preserve"> </w:t>
      </w:r>
      <w:r>
        <w:t>č.</w:t>
      </w:r>
      <w:r w:rsidR="002A2B9F">
        <w:t> </w:t>
      </w:r>
      <w:r>
        <w:t xml:space="preserve">428/2001 Sb. jsou ztráty vody </w:t>
      </w:r>
      <w:r w:rsidRPr="00A46974">
        <w:rPr>
          <w:rFonts w:asciiTheme="minorHAnsi" w:hAnsiTheme="minorHAnsi"/>
          <w:noProof/>
        </w:rPr>
        <w:t>způsobené</w:t>
      </w:r>
      <w:r>
        <w:rPr>
          <w:rFonts w:asciiTheme="minorHAnsi" w:hAnsiTheme="minorHAnsi"/>
          <w:noProof/>
        </w:rPr>
        <w:t>:</w:t>
      </w:r>
    </w:p>
    <w:p w14:paraId="2C495917" w14:textId="77777777" w:rsidR="00984F5C" w:rsidRPr="00B11C96" w:rsidRDefault="00984F5C" w:rsidP="002A2B9F">
      <w:pPr>
        <w:pStyle w:val="NORMLN0"/>
        <w:numPr>
          <w:ilvl w:val="0"/>
          <w:numId w:val="31"/>
        </w:numPr>
      </w:pPr>
      <w:r w:rsidRPr="00B11C96">
        <w:rPr>
          <w:rFonts w:asciiTheme="minorHAnsi" w:hAnsiTheme="minorHAnsi"/>
          <w:noProof/>
        </w:rPr>
        <w:t xml:space="preserve">únikem v důsledku netěsnosti spojů potrubí nebo armatur, </w:t>
      </w:r>
    </w:p>
    <w:p w14:paraId="14EB8D0B" w14:textId="77777777" w:rsidR="00984F5C" w:rsidRPr="00B11C96" w:rsidRDefault="00984F5C" w:rsidP="002A2B9F">
      <w:pPr>
        <w:pStyle w:val="NORMLN0"/>
        <w:numPr>
          <w:ilvl w:val="0"/>
          <w:numId w:val="31"/>
        </w:numPr>
      </w:pPr>
      <w:r w:rsidRPr="00B11C96">
        <w:rPr>
          <w:rFonts w:asciiTheme="minorHAnsi" w:hAnsiTheme="minorHAnsi"/>
          <w:noProof/>
        </w:rPr>
        <w:t>dále únikem vody při haváriích a přečerpání vodojemů,</w:t>
      </w:r>
    </w:p>
    <w:p w14:paraId="2B8E8FA0" w14:textId="77777777" w:rsidR="00984F5C" w:rsidRPr="00B11C96" w:rsidRDefault="00984F5C" w:rsidP="002A2B9F">
      <w:pPr>
        <w:pStyle w:val="NORMLN0"/>
        <w:numPr>
          <w:ilvl w:val="0"/>
          <w:numId w:val="31"/>
        </w:numPr>
      </w:pPr>
      <w:r w:rsidRPr="00B11C96">
        <w:rPr>
          <w:rFonts w:asciiTheme="minorHAnsi" w:hAnsiTheme="minorHAnsi"/>
          <w:noProof/>
        </w:rPr>
        <w:t>ztráty vody vzniklé nepřesností vodoměrů,</w:t>
      </w:r>
    </w:p>
    <w:p w14:paraId="1728C28C" w14:textId="77777777" w:rsidR="00984F5C" w:rsidRPr="00B11C96" w:rsidRDefault="00984F5C" w:rsidP="002A2B9F">
      <w:pPr>
        <w:pStyle w:val="NORMLN0"/>
        <w:numPr>
          <w:ilvl w:val="0"/>
          <w:numId w:val="31"/>
        </w:numPr>
      </w:pPr>
      <w:r w:rsidRPr="00B11C96">
        <w:rPr>
          <w:rFonts w:asciiTheme="minorHAnsi" w:hAnsiTheme="minorHAnsi"/>
          <w:noProof/>
        </w:rPr>
        <w:t>vyššími odběry než odpovídají fakturaci podle ročních směrných čísel</w:t>
      </w:r>
      <w:r w:rsidR="002A0852">
        <w:rPr>
          <w:rFonts w:asciiTheme="minorHAnsi" w:hAnsiTheme="minorHAnsi"/>
          <w:noProof/>
        </w:rPr>
        <w:t>,</w:t>
      </w:r>
      <w:r w:rsidRPr="00B11C96">
        <w:rPr>
          <w:rFonts w:asciiTheme="minorHAnsi" w:hAnsiTheme="minorHAnsi"/>
          <w:noProof/>
        </w:rPr>
        <w:t xml:space="preserve"> </w:t>
      </w:r>
    </w:p>
    <w:p w14:paraId="11BC2B09" w14:textId="77777777" w:rsidR="00984F5C" w:rsidRPr="00D63123" w:rsidRDefault="00984F5C" w:rsidP="002A2B9F">
      <w:pPr>
        <w:pStyle w:val="NORMLN0"/>
        <w:numPr>
          <w:ilvl w:val="0"/>
          <w:numId w:val="31"/>
        </w:numPr>
      </w:pPr>
      <w:r w:rsidRPr="00B11C96">
        <w:rPr>
          <w:rFonts w:asciiTheme="minorHAnsi" w:hAnsiTheme="minorHAnsi"/>
          <w:noProof/>
        </w:rPr>
        <w:lastRenderedPageBreak/>
        <w:t>a ztráty způsobené odcizením vody.</w:t>
      </w:r>
    </w:p>
    <w:p w14:paraId="7ACBB841" w14:textId="77777777" w:rsidR="00984F5C" w:rsidRDefault="00984F5C" w:rsidP="00655941">
      <w:pPr>
        <w:pStyle w:val="NORMLN0"/>
        <w:ind w:firstLine="0"/>
        <w:rPr>
          <w:noProof/>
        </w:rPr>
      </w:pPr>
      <w:r>
        <w:rPr>
          <w:noProof/>
        </w:rPr>
        <w:t>V mezinárodní praxi se setkáváme s podrobnějším členěním ztrát:</w:t>
      </w:r>
    </w:p>
    <w:p w14:paraId="74689A75" w14:textId="77777777" w:rsidR="00984F5C" w:rsidRDefault="00984F5C" w:rsidP="00B431FB">
      <w:pPr>
        <w:pStyle w:val="NORMLN0"/>
        <w:numPr>
          <w:ilvl w:val="0"/>
          <w:numId w:val="32"/>
        </w:numPr>
        <w:rPr>
          <w:noProof/>
        </w:rPr>
      </w:pPr>
      <w:r w:rsidRPr="008B7445">
        <w:rPr>
          <w:noProof/>
        </w:rPr>
        <w:t>zjevné (komerční</w:t>
      </w:r>
      <w:r>
        <w:rPr>
          <w:noProof/>
        </w:rPr>
        <w:t>)</w:t>
      </w:r>
      <w:r w:rsidRPr="008B7445">
        <w:rPr>
          <w:noProof/>
        </w:rPr>
        <w:t xml:space="preserve"> ztráty</w:t>
      </w:r>
      <w:r>
        <w:rPr>
          <w:noProof/>
        </w:rPr>
        <w:t xml:space="preserve"> – ztráty vzniklé nepřesností vovoměrů, vyšší odběry než odpovídajícíc fakturaci podle směrných čísel, ztráty způsobené odcizením vody</w:t>
      </w:r>
      <w:r w:rsidR="002A0852">
        <w:rPr>
          <w:noProof/>
        </w:rPr>
        <w:t>,</w:t>
      </w:r>
    </w:p>
    <w:p w14:paraId="6BFA7CA7" w14:textId="77777777" w:rsidR="00984F5C" w:rsidRDefault="00984F5C" w:rsidP="00B431FB">
      <w:pPr>
        <w:pStyle w:val="NORMLN0"/>
        <w:numPr>
          <w:ilvl w:val="0"/>
          <w:numId w:val="32"/>
        </w:numPr>
        <w:rPr>
          <w:noProof/>
        </w:rPr>
      </w:pPr>
      <w:r w:rsidRPr="008B7445">
        <w:rPr>
          <w:noProof/>
        </w:rPr>
        <w:t xml:space="preserve">skutečné </w:t>
      </w:r>
      <w:r>
        <w:rPr>
          <w:noProof/>
        </w:rPr>
        <w:t>(</w:t>
      </w:r>
      <w:r w:rsidRPr="008B7445">
        <w:rPr>
          <w:noProof/>
        </w:rPr>
        <w:t>fyzické</w:t>
      </w:r>
      <w:r>
        <w:rPr>
          <w:noProof/>
        </w:rPr>
        <w:t>)</w:t>
      </w:r>
      <w:r w:rsidRPr="008B7445">
        <w:rPr>
          <w:noProof/>
        </w:rPr>
        <w:t xml:space="preserve"> ztráty</w:t>
      </w:r>
      <w:r>
        <w:rPr>
          <w:noProof/>
        </w:rPr>
        <w:t xml:space="preserve"> – úniky v důsledků netěsností spojů potrubí nebo armatur, ún</w:t>
      </w:r>
      <w:r w:rsidR="002A0852">
        <w:rPr>
          <w:noProof/>
        </w:rPr>
        <w:t>i</w:t>
      </w:r>
      <w:r>
        <w:rPr>
          <w:noProof/>
        </w:rPr>
        <w:t>ky vody při haváriích a přečerpání vodojemu</w:t>
      </w:r>
      <w:r w:rsidR="002A0852">
        <w:rPr>
          <w:noProof/>
        </w:rPr>
        <w:t>.</w:t>
      </w:r>
    </w:p>
    <w:p w14:paraId="038D0024" w14:textId="77777777" w:rsidR="00984F5C" w:rsidRDefault="00984F5C" w:rsidP="00655941">
      <w:pPr>
        <w:pStyle w:val="NORMLN0"/>
        <w:rPr>
          <w:noProof/>
        </w:rPr>
      </w:pPr>
    </w:p>
    <w:p w14:paraId="534B2717" w14:textId="641963CD" w:rsidR="00984F5C" w:rsidRDefault="00984F5C" w:rsidP="00655941">
      <w:pPr>
        <w:pStyle w:val="NORMLN0"/>
        <w:rPr>
          <w:noProof/>
        </w:rPr>
      </w:pPr>
      <w:r>
        <w:rPr>
          <w:noProof/>
        </w:rPr>
        <w:t>Hodnocení popsaných ukazatelů se věnuje benchmarking provozovatelských subjektů, pro každou skupinu provozovatelů</w:t>
      </w:r>
      <w:r w:rsidR="00B431FB">
        <w:rPr>
          <w:noProof/>
        </w:rPr>
        <w:t xml:space="preserve"> zvlášť</w:t>
      </w:r>
      <w:r>
        <w:rPr>
          <w:noProof/>
        </w:rPr>
        <w:t xml:space="preserve">. </w:t>
      </w:r>
      <w:r w:rsidR="002A0852">
        <w:rPr>
          <w:noProof/>
        </w:rPr>
        <w:t>Je třeba</w:t>
      </w:r>
      <w:r w:rsidR="00BC03D3">
        <w:rPr>
          <w:noProof/>
        </w:rPr>
        <w:t xml:space="preserve"> </w:t>
      </w:r>
      <w:r w:rsidR="002A0852">
        <w:rPr>
          <w:noProof/>
        </w:rPr>
        <w:t>zdůraznit, že byli identifikován</w:t>
      </w:r>
      <w:r w:rsidR="00B431FB">
        <w:rPr>
          <w:noProof/>
        </w:rPr>
        <w:t>i</w:t>
      </w:r>
      <w:r w:rsidR="002A0852">
        <w:rPr>
          <w:noProof/>
        </w:rPr>
        <w:t xml:space="preserve"> </w:t>
      </w:r>
      <w:r>
        <w:rPr>
          <w:noProof/>
        </w:rPr>
        <w:t xml:space="preserve">provozovatelé, </w:t>
      </w:r>
      <w:r w:rsidR="003C3A45">
        <w:rPr>
          <w:noProof/>
        </w:rPr>
        <w:t xml:space="preserve">kteří vykazují nedostatky ve sledování </w:t>
      </w:r>
      <w:r w:rsidR="00B431FB">
        <w:rPr>
          <w:noProof/>
        </w:rPr>
        <w:t xml:space="preserve">a vykazování </w:t>
      </w:r>
      <w:r w:rsidR="003C3A45">
        <w:rPr>
          <w:noProof/>
        </w:rPr>
        <w:t>nefakturované vody a ztrát vody</w:t>
      </w:r>
      <w:r w:rsidR="00B431FB">
        <w:rPr>
          <w:noProof/>
        </w:rPr>
        <w:t>, což může ovlivňovat vypovídací hodnotu spočtených ukazatelů. T</w:t>
      </w:r>
      <w:r w:rsidR="00C00687">
        <w:rPr>
          <w:noProof/>
        </w:rPr>
        <w:t>i</w:t>
      </w:r>
      <w:r w:rsidR="00B431FB">
        <w:rPr>
          <w:noProof/>
        </w:rPr>
        <w:t>to provozovatelé také jednoznačně</w:t>
      </w:r>
      <w:r w:rsidR="003C3A45">
        <w:rPr>
          <w:noProof/>
        </w:rPr>
        <w:t xml:space="preserve"> nevyužívají </w:t>
      </w:r>
      <w:r>
        <w:rPr>
          <w:noProof/>
        </w:rPr>
        <w:t xml:space="preserve">řízení množství nefakturované vody a </w:t>
      </w:r>
      <w:r w:rsidR="003C3A45">
        <w:rPr>
          <w:noProof/>
        </w:rPr>
        <w:t xml:space="preserve">snižování </w:t>
      </w:r>
      <w:r>
        <w:rPr>
          <w:noProof/>
        </w:rPr>
        <w:t>množství ztrát</w:t>
      </w:r>
      <w:r w:rsidR="00BC03D3">
        <w:rPr>
          <w:noProof/>
        </w:rPr>
        <w:t xml:space="preserve"> </w:t>
      </w:r>
      <w:r>
        <w:rPr>
          <w:noProof/>
        </w:rPr>
        <w:t>jako nástroj pro zvyšování efektivity a kvality provozu</w:t>
      </w:r>
      <w:r w:rsidR="003C3A45">
        <w:rPr>
          <w:noProof/>
        </w:rPr>
        <w:t xml:space="preserve"> VIM.</w:t>
      </w:r>
      <w:r w:rsidR="002A0852">
        <w:rPr>
          <w:noProof/>
        </w:rPr>
        <w:t xml:space="preserve"> </w:t>
      </w:r>
    </w:p>
    <w:p w14:paraId="0527782C" w14:textId="77777777" w:rsidR="00984F5C" w:rsidRDefault="00984F5C" w:rsidP="00655941">
      <w:pPr>
        <w:pStyle w:val="NORMLN0"/>
        <w:rPr>
          <w:noProof/>
        </w:rPr>
      </w:pPr>
    </w:p>
    <w:p w14:paraId="5639E927" w14:textId="77777777" w:rsidR="00984F5C" w:rsidRDefault="00984F5C" w:rsidP="00655941">
      <w:pPr>
        <w:pStyle w:val="NORMLN0"/>
        <w:ind w:firstLine="0"/>
        <w:rPr>
          <w:noProof/>
        </w:rPr>
      </w:pPr>
      <w:r>
        <w:rPr>
          <w:noProof/>
        </w:rPr>
        <w:t xml:space="preserve">Program snižování množství nefakturované vody má prokazatelný </w:t>
      </w:r>
      <w:r w:rsidR="003C3A45">
        <w:rPr>
          <w:noProof/>
        </w:rPr>
        <w:t>vliv na:</w:t>
      </w:r>
      <w:r>
        <w:rPr>
          <w:noProof/>
        </w:rPr>
        <w:t xml:space="preserve"> </w:t>
      </w:r>
    </w:p>
    <w:p w14:paraId="06B26DB7" w14:textId="77777777" w:rsidR="00984F5C" w:rsidRDefault="00984F5C" w:rsidP="00655941">
      <w:pPr>
        <w:pStyle w:val="NORMLN0"/>
        <w:numPr>
          <w:ilvl w:val="0"/>
          <w:numId w:val="30"/>
        </w:numPr>
        <w:rPr>
          <w:noProof/>
        </w:rPr>
      </w:pPr>
      <w:r w:rsidRPr="00026490">
        <w:rPr>
          <w:noProof/>
        </w:rPr>
        <w:t>efektivit</w:t>
      </w:r>
      <w:r w:rsidR="003C3A45">
        <w:rPr>
          <w:noProof/>
        </w:rPr>
        <w:t>u</w:t>
      </w:r>
      <w:r w:rsidRPr="00026490">
        <w:rPr>
          <w:noProof/>
        </w:rPr>
        <w:t xml:space="preserve"> využívání vodních zdrojů a investic</w:t>
      </w:r>
      <w:r w:rsidR="003C3A45">
        <w:rPr>
          <w:noProof/>
        </w:rPr>
        <w:t>e</w:t>
      </w:r>
      <w:r w:rsidRPr="00026490">
        <w:rPr>
          <w:noProof/>
        </w:rPr>
        <w:t xml:space="preserve"> do nákladného rozšiřování </w:t>
      </w:r>
      <w:r>
        <w:rPr>
          <w:noProof/>
        </w:rPr>
        <w:t>kapacity vodních zdrojů</w:t>
      </w:r>
      <w:r w:rsidR="003C3A45">
        <w:rPr>
          <w:noProof/>
        </w:rPr>
        <w:t>,</w:t>
      </w:r>
    </w:p>
    <w:p w14:paraId="0627B237" w14:textId="77777777" w:rsidR="00984F5C" w:rsidRDefault="00984F5C" w:rsidP="00655941">
      <w:pPr>
        <w:pStyle w:val="NORMLN0"/>
        <w:numPr>
          <w:ilvl w:val="0"/>
          <w:numId w:val="30"/>
        </w:numPr>
        <w:rPr>
          <w:noProof/>
        </w:rPr>
      </w:pPr>
      <w:r w:rsidRPr="000F4BA7">
        <w:rPr>
          <w:noProof/>
        </w:rPr>
        <w:t>úspor</w:t>
      </w:r>
      <w:r w:rsidR="003C3A45">
        <w:rPr>
          <w:noProof/>
        </w:rPr>
        <w:t>y</w:t>
      </w:r>
      <w:r w:rsidRPr="000F4BA7">
        <w:rPr>
          <w:noProof/>
        </w:rPr>
        <w:t xml:space="preserve"> energi</w:t>
      </w:r>
      <w:r w:rsidR="003C3A45">
        <w:rPr>
          <w:noProof/>
        </w:rPr>
        <w:t>í</w:t>
      </w:r>
      <w:r w:rsidRPr="000F4BA7">
        <w:rPr>
          <w:noProof/>
        </w:rPr>
        <w:t xml:space="preserve"> a odolnost vůči klimat</w:t>
      </w:r>
      <w:r>
        <w:rPr>
          <w:noProof/>
        </w:rPr>
        <w:t>ickým změnám</w:t>
      </w:r>
      <w:r w:rsidR="003C3A45">
        <w:rPr>
          <w:noProof/>
        </w:rPr>
        <w:t>,</w:t>
      </w:r>
    </w:p>
    <w:p w14:paraId="3BECAC51" w14:textId="77777777" w:rsidR="00984F5C" w:rsidRDefault="00984F5C" w:rsidP="00655941">
      <w:pPr>
        <w:pStyle w:val="NORMLN0"/>
        <w:numPr>
          <w:ilvl w:val="0"/>
          <w:numId w:val="30"/>
        </w:numPr>
        <w:rPr>
          <w:noProof/>
        </w:rPr>
      </w:pPr>
      <w:r w:rsidRPr="000F4BA7">
        <w:rPr>
          <w:noProof/>
        </w:rPr>
        <w:t>zlepšení kvality služeb a spokojenost zákazníků</w:t>
      </w:r>
      <w:r w:rsidR="003C3A45">
        <w:rPr>
          <w:noProof/>
        </w:rPr>
        <w:t>,</w:t>
      </w:r>
    </w:p>
    <w:p w14:paraId="019B6C15" w14:textId="77777777" w:rsidR="00984F5C" w:rsidRDefault="00984F5C" w:rsidP="00655941">
      <w:pPr>
        <w:pStyle w:val="NORMLN0"/>
        <w:numPr>
          <w:ilvl w:val="0"/>
          <w:numId w:val="30"/>
        </w:numPr>
        <w:rPr>
          <w:noProof/>
        </w:rPr>
      </w:pPr>
      <w:r w:rsidRPr="000F4BA7">
        <w:rPr>
          <w:noProof/>
        </w:rPr>
        <w:t>zlepšen</w:t>
      </w:r>
      <w:r>
        <w:rPr>
          <w:noProof/>
        </w:rPr>
        <w:t>í</w:t>
      </w:r>
      <w:r w:rsidRPr="000F4BA7">
        <w:rPr>
          <w:noProof/>
        </w:rPr>
        <w:t xml:space="preserve"> finanční životaschopnost</w:t>
      </w:r>
      <w:r>
        <w:rPr>
          <w:noProof/>
        </w:rPr>
        <w:t>i provozovatele</w:t>
      </w:r>
      <w:r w:rsidR="003C3A45">
        <w:rPr>
          <w:noProof/>
        </w:rPr>
        <w:t>.</w:t>
      </w:r>
    </w:p>
    <w:p w14:paraId="428E0E23" w14:textId="77777777" w:rsidR="00984F5C" w:rsidRDefault="00984F5C" w:rsidP="00655941">
      <w:pPr>
        <w:pStyle w:val="NORMLN0"/>
        <w:rPr>
          <w:noProof/>
        </w:rPr>
      </w:pPr>
    </w:p>
    <w:p w14:paraId="5EC12A82" w14:textId="249E93BD" w:rsidR="00984F5C" w:rsidRDefault="00984F5C" w:rsidP="00655941">
      <w:pPr>
        <w:pStyle w:val="NORMLN0"/>
        <w:rPr>
          <w:noProof/>
        </w:rPr>
      </w:pPr>
      <w:r>
        <w:rPr>
          <w:noProof/>
        </w:rPr>
        <w:t>V analyzovaném souboru dat se vyskytovala Porovnání, kter</w:t>
      </w:r>
      <w:r w:rsidR="003C3A45">
        <w:rPr>
          <w:noProof/>
        </w:rPr>
        <w:t>á</w:t>
      </w:r>
      <w:r>
        <w:rPr>
          <w:noProof/>
        </w:rPr>
        <w:t xml:space="preserve"> buď vůbec neobsahovala informaci o nefakturované vodě nebo ztrátách (162 Porovnání), hodnota nefakturované vody se rovnala hodnotě ztrát (354 Porovnání), případně na Porovnání byly vykázany </w:t>
      </w:r>
      <w:r w:rsidR="00B431FB">
        <w:rPr>
          <w:noProof/>
        </w:rPr>
        <w:t>pouze</w:t>
      </w:r>
      <w:r w:rsidR="00BC03D3">
        <w:rPr>
          <w:noProof/>
        </w:rPr>
        <w:t xml:space="preserve"> </w:t>
      </w:r>
      <w:r>
        <w:rPr>
          <w:noProof/>
        </w:rPr>
        <w:t xml:space="preserve">hodnoty </w:t>
      </w:r>
      <w:r w:rsidR="00B431FB">
        <w:rPr>
          <w:noProof/>
        </w:rPr>
        <w:t xml:space="preserve">objemu </w:t>
      </w:r>
      <w:r>
        <w:rPr>
          <w:noProof/>
        </w:rPr>
        <w:t>nefakturované vody (98 Porovnání). Problémy se sledováním a vykazováním ukazatelů se vyskytují ve IV. až VIII. provozovatelské skupině a nejvíce u provozovatelů poskytující</w:t>
      </w:r>
      <w:r w:rsidR="00682FFE">
        <w:rPr>
          <w:noProof/>
        </w:rPr>
        <w:t>m služby méně než 300 připojených obyvatel</w:t>
      </w:r>
      <w:r>
        <w:rPr>
          <w:noProof/>
        </w:rPr>
        <w:t>.</w:t>
      </w:r>
    </w:p>
    <w:p w14:paraId="3388A1B5" w14:textId="77777777" w:rsidR="00984F5C" w:rsidRDefault="00984F5C" w:rsidP="00984F5C">
      <w:pPr>
        <w:spacing w:before="0" w:after="0"/>
        <w:contextualSpacing w:val="0"/>
        <w:jc w:val="left"/>
        <w:rPr>
          <w:noProof/>
        </w:rPr>
      </w:pPr>
    </w:p>
    <w:tbl>
      <w:tblPr>
        <w:tblW w:w="8693" w:type="dxa"/>
        <w:tblInd w:w="55" w:type="dxa"/>
        <w:tblCellMar>
          <w:left w:w="70" w:type="dxa"/>
          <w:right w:w="70" w:type="dxa"/>
        </w:tblCellMar>
        <w:tblLook w:val="04A0" w:firstRow="1" w:lastRow="0" w:firstColumn="1" w:lastColumn="0" w:noHBand="0" w:noVBand="1"/>
      </w:tblPr>
      <w:tblGrid>
        <w:gridCol w:w="2634"/>
        <w:gridCol w:w="1442"/>
        <w:gridCol w:w="869"/>
        <w:gridCol w:w="1405"/>
        <w:gridCol w:w="1035"/>
        <w:gridCol w:w="1331"/>
      </w:tblGrid>
      <w:tr w:rsidR="00984F5C" w:rsidRPr="00C6014F" w14:paraId="1EF4BBE2" w14:textId="77777777" w:rsidTr="003B4FC2">
        <w:trPr>
          <w:trHeight w:val="828"/>
        </w:trPr>
        <w:tc>
          <w:tcPr>
            <w:tcW w:w="2634" w:type="dxa"/>
            <w:tcBorders>
              <w:top w:val="nil"/>
              <w:left w:val="nil"/>
              <w:bottom w:val="single" w:sz="4" w:space="0" w:color="95B3D7"/>
              <w:right w:val="single" w:sz="4" w:space="0" w:color="FFFFFF"/>
            </w:tcBorders>
            <w:shd w:val="clear" w:color="8064A2" w:fill="8064A2"/>
            <w:vAlign w:val="center"/>
            <w:hideMark/>
          </w:tcPr>
          <w:p w14:paraId="1BB0667C"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 xml:space="preserve">NEVYKAZOVÁNÍ NEFAKTUROVANÉ VODY A ZTRÁT / MODEL PROVOZOVÁNÍ </w:t>
            </w:r>
          </w:p>
        </w:tc>
        <w:tc>
          <w:tcPr>
            <w:tcW w:w="1442" w:type="dxa"/>
            <w:tcBorders>
              <w:top w:val="nil"/>
              <w:left w:val="nil"/>
              <w:bottom w:val="single" w:sz="4" w:space="0" w:color="95B3D7"/>
              <w:right w:val="single" w:sz="4" w:space="0" w:color="FFFFFF"/>
            </w:tcBorders>
            <w:shd w:val="clear" w:color="8064A2" w:fill="8064A2"/>
            <w:vAlign w:val="center"/>
            <w:hideMark/>
          </w:tcPr>
          <w:p w14:paraId="595872B2"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KOMBINOVANÝ</w:t>
            </w:r>
          </w:p>
        </w:tc>
        <w:tc>
          <w:tcPr>
            <w:tcW w:w="846" w:type="dxa"/>
            <w:tcBorders>
              <w:top w:val="nil"/>
              <w:left w:val="nil"/>
              <w:bottom w:val="single" w:sz="4" w:space="0" w:color="95B3D7"/>
              <w:right w:val="single" w:sz="4" w:space="0" w:color="FFFFFF"/>
            </w:tcBorders>
            <w:shd w:val="clear" w:color="8064A2" w:fill="8064A2"/>
            <w:vAlign w:val="center"/>
            <w:hideMark/>
          </w:tcPr>
          <w:p w14:paraId="3134F3BA"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ODDÍLNÝ</w:t>
            </w:r>
          </w:p>
        </w:tc>
        <w:tc>
          <w:tcPr>
            <w:tcW w:w="1405" w:type="dxa"/>
            <w:tcBorders>
              <w:top w:val="nil"/>
              <w:left w:val="nil"/>
              <w:bottom w:val="single" w:sz="4" w:space="0" w:color="95B3D7"/>
              <w:right w:val="single" w:sz="4" w:space="0" w:color="FFFFFF"/>
            </w:tcBorders>
            <w:shd w:val="clear" w:color="8064A2" w:fill="8064A2"/>
            <w:vAlign w:val="center"/>
            <w:hideMark/>
          </w:tcPr>
          <w:p w14:paraId="5776F0F9"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ODDÍLNÝ SERVISNÍ SMLOUVA</w:t>
            </w:r>
          </w:p>
        </w:tc>
        <w:tc>
          <w:tcPr>
            <w:tcW w:w="1035" w:type="dxa"/>
            <w:tcBorders>
              <w:top w:val="nil"/>
              <w:left w:val="nil"/>
              <w:bottom w:val="single" w:sz="4" w:space="0" w:color="95B3D7"/>
              <w:right w:val="single" w:sz="4" w:space="0" w:color="FFFFFF"/>
            </w:tcBorders>
            <w:shd w:val="clear" w:color="8064A2" w:fill="8064A2"/>
            <w:vAlign w:val="center"/>
            <w:hideMark/>
          </w:tcPr>
          <w:p w14:paraId="09076876"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SMÍŠENÝ</w:t>
            </w:r>
          </w:p>
        </w:tc>
        <w:tc>
          <w:tcPr>
            <w:tcW w:w="1331" w:type="dxa"/>
            <w:tcBorders>
              <w:top w:val="nil"/>
              <w:left w:val="nil"/>
              <w:bottom w:val="single" w:sz="4" w:space="0" w:color="95B3D7"/>
              <w:right w:val="nil"/>
            </w:tcBorders>
            <w:shd w:val="clear" w:color="8064A2" w:fill="8064A2"/>
            <w:vAlign w:val="center"/>
            <w:hideMark/>
          </w:tcPr>
          <w:p w14:paraId="7C3F2ED6"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CELKEM</w:t>
            </w:r>
          </w:p>
        </w:tc>
      </w:tr>
      <w:tr w:rsidR="00984F5C" w:rsidRPr="00C6014F" w14:paraId="6A0601F2" w14:textId="77777777" w:rsidTr="003B4FC2">
        <w:trPr>
          <w:trHeight w:val="325"/>
        </w:trPr>
        <w:tc>
          <w:tcPr>
            <w:tcW w:w="2634" w:type="dxa"/>
            <w:tcBorders>
              <w:top w:val="nil"/>
              <w:left w:val="nil"/>
              <w:bottom w:val="single" w:sz="4" w:space="0" w:color="FFFFFF"/>
              <w:right w:val="single" w:sz="4" w:space="0" w:color="FFFFFF"/>
            </w:tcBorders>
            <w:shd w:val="clear" w:color="CCC0DA" w:fill="CCC0DA"/>
            <w:noWrap/>
            <w:vAlign w:val="center"/>
            <w:hideMark/>
          </w:tcPr>
          <w:p w14:paraId="2DD8958F"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VI.SKUPINA(&gt;1 000PŘ.OB.)</w:t>
            </w:r>
          </w:p>
        </w:tc>
        <w:tc>
          <w:tcPr>
            <w:tcW w:w="1442" w:type="dxa"/>
            <w:tcBorders>
              <w:top w:val="nil"/>
              <w:left w:val="nil"/>
              <w:bottom w:val="single" w:sz="4" w:space="0" w:color="FFFFFF"/>
              <w:right w:val="single" w:sz="4" w:space="0" w:color="FFFFFF"/>
            </w:tcBorders>
            <w:shd w:val="clear" w:color="CCC0DA" w:fill="CCC0DA"/>
            <w:noWrap/>
            <w:vAlign w:val="center"/>
            <w:hideMark/>
          </w:tcPr>
          <w:p w14:paraId="68EE5B39" w14:textId="77777777" w:rsidR="00984F5C" w:rsidRPr="00C6014F" w:rsidRDefault="00984F5C" w:rsidP="003B4FC2">
            <w:pPr>
              <w:spacing w:before="0" w:after="0"/>
              <w:contextualSpacing w:val="0"/>
              <w:jc w:val="center"/>
              <w:rPr>
                <w:rFonts w:ascii="Calibri Light" w:eastAsia="Times New Roman" w:hAnsi="Calibri Light"/>
                <w:color w:val="000000"/>
                <w:sz w:val="20"/>
                <w:szCs w:val="20"/>
                <w:lang w:eastAsia="cs-CZ"/>
              </w:rPr>
            </w:pPr>
          </w:p>
        </w:tc>
        <w:tc>
          <w:tcPr>
            <w:tcW w:w="846" w:type="dxa"/>
            <w:tcBorders>
              <w:top w:val="nil"/>
              <w:left w:val="nil"/>
              <w:bottom w:val="single" w:sz="4" w:space="0" w:color="FFFFFF"/>
              <w:right w:val="single" w:sz="4" w:space="0" w:color="FFFFFF"/>
            </w:tcBorders>
            <w:shd w:val="clear" w:color="CCC0DA" w:fill="CCC0DA"/>
            <w:noWrap/>
            <w:vAlign w:val="center"/>
            <w:hideMark/>
          </w:tcPr>
          <w:p w14:paraId="1B2E9677"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w:t>
            </w:r>
          </w:p>
        </w:tc>
        <w:tc>
          <w:tcPr>
            <w:tcW w:w="1405" w:type="dxa"/>
            <w:tcBorders>
              <w:top w:val="nil"/>
              <w:left w:val="nil"/>
              <w:bottom w:val="single" w:sz="4" w:space="0" w:color="FFFFFF"/>
              <w:right w:val="single" w:sz="4" w:space="0" w:color="FFFFFF"/>
            </w:tcBorders>
            <w:shd w:val="clear" w:color="CCC0DA" w:fill="CCC0DA"/>
            <w:noWrap/>
            <w:vAlign w:val="center"/>
            <w:hideMark/>
          </w:tcPr>
          <w:p w14:paraId="654F1743" w14:textId="77777777" w:rsidR="00984F5C" w:rsidRPr="00C6014F" w:rsidRDefault="00984F5C" w:rsidP="003B4FC2">
            <w:pPr>
              <w:spacing w:before="0" w:after="0"/>
              <w:contextualSpacing w:val="0"/>
              <w:jc w:val="center"/>
              <w:rPr>
                <w:rFonts w:ascii="Calibri Light" w:eastAsia="Times New Roman" w:hAnsi="Calibri Light"/>
                <w:color w:val="000000"/>
                <w:sz w:val="20"/>
                <w:szCs w:val="20"/>
                <w:lang w:eastAsia="cs-CZ"/>
              </w:rPr>
            </w:pPr>
          </w:p>
        </w:tc>
        <w:tc>
          <w:tcPr>
            <w:tcW w:w="1035" w:type="dxa"/>
            <w:tcBorders>
              <w:top w:val="nil"/>
              <w:left w:val="nil"/>
              <w:bottom w:val="single" w:sz="4" w:space="0" w:color="FFFFFF"/>
              <w:right w:val="single" w:sz="4" w:space="0" w:color="FFFFFF"/>
            </w:tcBorders>
            <w:shd w:val="clear" w:color="CCC0DA" w:fill="CCC0DA"/>
            <w:noWrap/>
            <w:vAlign w:val="center"/>
            <w:hideMark/>
          </w:tcPr>
          <w:p w14:paraId="263C62D9"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3</w:t>
            </w:r>
          </w:p>
        </w:tc>
        <w:tc>
          <w:tcPr>
            <w:tcW w:w="1331" w:type="dxa"/>
            <w:tcBorders>
              <w:top w:val="nil"/>
              <w:left w:val="nil"/>
              <w:bottom w:val="single" w:sz="4" w:space="0" w:color="FFFFFF"/>
              <w:right w:val="nil"/>
            </w:tcBorders>
            <w:shd w:val="clear" w:color="CCC0DA" w:fill="CCC0DA"/>
            <w:noWrap/>
            <w:vAlign w:val="center"/>
            <w:hideMark/>
          </w:tcPr>
          <w:p w14:paraId="75A8DBD2"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4</w:t>
            </w:r>
          </w:p>
        </w:tc>
      </w:tr>
      <w:tr w:rsidR="00984F5C" w:rsidRPr="00C6014F" w14:paraId="1E4B7097" w14:textId="77777777" w:rsidTr="003B4FC2">
        <w:trPr>
          <w:trHeight w:val="325"/>
        </w:trPr>
        <w:tc>
          <w:tcPr>
            <w:tcW w:w="2634" w:type="dxa"/>
            <w:tcBorders>
              <w:top w:val="nil"/>
              <w:left w:val="nil"/>
              <w:bottom w:val="single" w:sz="4" w:space="0" w:color="FFFFFF"/>
              <w:right w:val="single" w:sz="4" w:space="0" w:color="FFFFFF"/>
            </w:tcBorders>
            <w:shd w:val="clear" w:color="E5E0EC" w:fill="E5E0EC"/>
            <w:noWrap/>
            <w:vAlign w:val="center"/>
            <w:hideMark/>
          </w:tcPr>
          <w:p w14:paraId="03858818"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VII.SKUPINA(&gt;300PŘ.OB.)</w:t>
            </w:r>
          </w:p>
        </w:tc>
        <w:tc>
          <w:tcPr>
            <w:tcW w:w="1442" w:type="dxa"/>
            <w:tcBorders>
              <w:top w:val="nil"/>
              <w:left w:val="nil"/>
              <w:bottom w:val="single" w:sz="4" w:space="0" w:color="FFFFFF"/>
              <w:right w:val="single" w:sz="4" w:space="0" w:color="FFFFFF"/>
            </w:tcBorders>
            <w:shd w:val="clear" w:color="E5E0EC" w:fill="E5E0EC"/>
            <w:noWrap/>
            <w:vAlign w:val="center"/>
            <w:hideMark/>
          </w:tcPr>
          <w:p w14:paraId="34C2B8C4"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w:t>
            </w:r>
          </w:p>
        </w:tc>
        <w:tc>
          <w:tcPr>
            <w:tcW w:w="846" w:type="dxa"/>
            <w:tcBorders>
              <w:top w:val="nil"/>
              <w:left w:val="nil"/>
              <w:bottom w:val="single" w:sz="4" w:space="0" w:color="FFFFFF"/>
              <w:right w:val="single" w:sz="4" w:space="0" w:color="FFFFFF"/>
            </w:tcBorders>
            <w:shd w:val="clear" w:color="E5E0EC" w:fill="E5E0EC"/>
            <w:noWrap/>
            <w:vAlign w:val="center"/>
            <w:hideMark/>
          </w:tcPr>
          <w:p w14:paraId="2D370BF3"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w:t>
            </w:r>
          </w:p>
        </w:tc>
        <w:tc>
          <w:tcPr>
            <w:tcW w:w="1405" w:type="dxa"/>
            <w:tcBorders>
              <w:top w:val="nil"/>
              <w:left w:val="nil"/>
              <w:bottom w:val="single" w:sz="4" w:space="0" w:color="FFFFFF"/>
              <w:right w:val="single" w:sz="4" w:space="0" w:color="FFFFFF"/>
            </w:tcBorders>
            <w:shd w:val="clear" w:color="E5E0EC" w:fill="E5E0EC"/>
            <w:noWrap/>
            <w:vAlign w:val="center"/>
            <w:hideMark/>
          </w:tcPr>
          <w:p w14:paraId="33D22D77"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7</w:t>
            </w:r>
          </w:p>
        </w:tc>
        <w:tc>
          <w:tcPr>
            <w:tcW w:w="1035" w:type="dxa"/>
            <w:tcBorders>
              <w:top w:val="nil"/>
              <w:left w:val="nil"/>
              <w:bottom w:val="single" w:sz="4" w:space="0" w:color="FFFFFF"/>
              <w:right w:val="single" w:sz="4" w:space="0" w:color="FFFFFF"/>
            </w:tcBorders>
            <w:shd w:val="clear" w:color="E5E0EC" w:fill="E5E0EC"/>
            <w:noWrap/>
            <w:vAlign w:val="center"/>
            <w:hideMark/>
          </w:tcPr>
          <w:p w14:paraId="2126ECF3"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25</w:t>
            </w:r>
          </w:p>
        </w:tc>
        <w:tc>
          <w:tcPr>
            <w:tcW w:w="1331" w:type="dxa"/>
            <w:tcBorders>
              <w:top w:val="nil"/>
              <w:left w:val="nil"/>
              <w:bottom w:val="single" w:sz="4" w:space="0" w:color="FFFFFF"/>
              <w:right w:val="nil"/>
            </w:tcBorders>
            <w:shd w:val="clear" w:color="E5E0EC" w:fill="E5E0EC"/>
            <w:noWrap/>
            <w:vAlign w:val="center"/>
            <w:hideMark/>
          </w:tcPr>
          <w:p w14:paraId="6D5CDB06"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34</w:t>
            </w:r>
          </w:p>
        </w:tc>
      </w:tr>
      <w:tr w:rsidR="00984F5C" w:rsidRPr="00C6014F" w14:paraId="398391AC" w14:textId="77777777" w:rsidTr="003B4FC2">
        <w:trPr>
          <w:trHeight w:val="325"/>
        </w:trPr>
        <w:tc>
          <w:tcPr>
            <w:tcW w:w="2634" w:type="dxa"/>
            <w:tcBorders>
              <w:top w:val="nil"/>
              <w:left w:val="nil"/>
              <w:bottom w:val="nil"/>
              <w:right w:val="single" w:sz="4" w:space="0" w:color="FFFFFF"/>
            </w:tcBorders>
            <w:shd w:val="clear" w:color="CCC0DA" w:fill="CCC0DA"/>
            <w:noWrap/>
            <w:vAlign w:val="center"/>
            <w:hideMark/>
          </w:tcPr>
          <w:p w14:paraId="4F2B0AA0"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VIII.SKUPINA(&lt;300PŘ.OB.)</w:t>
            </w:r>
          </w:p>
        </w:tc>
        <w:tc>
          <w:tcPr>
            <w:tcW w:w="1442" w:type="dxa"/>
            <w:tcBorders>
              <w:top w:val="nil"/>
              <w:left w:val="nil"/>
              <w:bottom w:val="nil"/>
              <w:right w:val="single" w:sz="4" w:space="0" w:color="FFFFFF"/>
            </w:tcBorders>
            <w:shd w:val="clear" w:color="CCC0DA" w:fill="CCC0DA"/>
            <w:noWrap/>
            <w:vAlign w:val="center"/>
            <w:hideMark/>
          </w:tcPr>
          <w:p w14:paraId="414377B0"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2</w:t>
            </w:r>
          </w:p>
        </w:tc>
        <w:tc>
          <w:tcPr>
            <w:tcW w:w="846" w:type="dxa"/>
            <w:tcBorders>
              <w:top w:val="nil"/>
              <w:left w:val="nil"/>
              <w:bottom w:val="nil"/>
              <w:right w:val="single" w:sz="4" w:space="0" w:color="FFFFFF"/>
            </w:tcBorders>
            <w:shd w:val="clear" w:color="CCC0DA" w:fill="CCC0DA"/>
            <w:noWrap/>
            <w:vAlign w:val="center"/>
            <w:hideMark/>
          </w:tcPr>
          <w:p w14:paraId="5453736D"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17</w:t>
            </w:r>
          </w:p>
        </w:tc>
        <w:tc>
          <w:tcPr>
            <w:tcW w:w="1405" w:type="dxa"/>
            <w:tcBorders>
              <w:top w:val="nil"/>
              <w:left w:val="nil"/>
              <w:bottom w:val="nil"/>
              <w:right w:val="single" w:sz="4" w:space="0" w:color="FFFFFF"/>
            </w:tcBorders>
            <w:shd w:val="clear" w:color="CCC0DA" w:fill="CCC0DA"/>
            <w:noWrap/>
            <w:vAlign w:val="center"/>
            <w:hideMark/>
          </w:tcPr>
          <w:p w14:paraId="20800A4B"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26</w:t>
            </w:r>
          </w:p>
        </w:tc>
        <w:tc>
          <w:tcPr>
            <w:tcW w:w="1035" w:type="dxa"/>
            <w:tcBorders>
              <w:top w:val="nil"/>
              <w:left w:val="nil"/>
              <w:bottom w:val="nil"/>
              <w:right w:val="single" w:sz="4" w:space="0" w:color="FFFFFF"/>
            </w:tcBorders>
            <w:shd w:val="clear" w:color="CCC0DA" w:fill="CCC0DA"/>
            <w:noWrap/>
            <w:vAlign w:val="center"/>
            <w:hideMark/>
          </w:tcPr>
          <w:p w14:paraId="6B17B616"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79</w:t>
            </w:r>
          </w:p>
        </w:tc>
        <w:tc>
          <w:tcPr>
            <w:tcW w:w="1331" w:type="dxa"/>
            <w:tcBorders>
              <w:top w:val="nil"/>
              <w:left w:val="nil"/>
              <w:bottom w:val="nil"/>
              <w:right w:val="nil"/>
            </w:tcBorders>
            <w:shd w:val="clear" w:color="CCC0DA" w:fill="CCC0DA"/>
            <w:noWrap/>
            <w:vAlign w:val="center"/>
            <w:hideMark/>
          </w:tcPr>
          <w:p w14:paraId="07B157D7"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124</w:t>
            </w:r>
          </w:p>
        </w:tc>
      </w:tr>
      <w:tr w:rsidR="00984F5C" w:rsidRPr="00C6014F" w14:paraId="34D22B40" w14:textId="77777777" w:rsidTr="003B4FC2">
        <w:trPr>
          <w:trHeight w:val="325"/>
        </w:trPr>
        <w:tc>
          <w:tcPr>
            <w:tcW w:w="2634" w:type="dxa"/>
            <w:tcBorders>
              <w:top w:val="single" w:sz="4" w:space="0" w:color="95B3D7"/>
              <w:left w:val="nil"/>
              <w:bottom w:val="nil"/>
              <w:right w:val="single" w:sz="4" w:space="0" w:color="FFFFFF"/>
            </w:tcBorders>
            <w:shd w:val="clear" w:color="E5E0EC" w:fill="E5E0EC"/>
            <w:noWrap/>
            <w:vAlign w:val="center"/>
            <w:hideMark/>
          </w:tcPr>
          <w:p w14:paraId="077840AA"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POČET POROVNÁNÍ CELKEM</w:t>
            </w:r>
          </w:p>
        </w:tc>
        <w:tc>
          <w:tcPr>
            <w:tcW w:w="1442" w:type="dxa"/>
            <w:tcBorders>
              <w:top w:val="single" w:sz="4" w:space="0" w:color="95B3D7"/>
              <w:left w:val="nil"/>
              <w:bottom w:val="nil"/>
              <w:right w:val="single" w:sz="4" w:space="0" w:color="FFFFFF"/>
            </w:tcBorders>
            <w:shd w:val="clear" w:color="E5E0EC" w:fill="E5E0EC"/>
            <w:noWrap/>
            <w:vAlign w:val="center"/>
            <w:hideMark/>
          </w:tcPr>
          <w:p w14:paraId="2B5570AF"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3</w:t>
            </w:r>
          </w:p>
        </w:tc>
        <w:tc>
          <w:tcPr>
            <w:tcW w:w="846" w:type="dxa"/>
            <w:tcBorders>
              <w:top w:val="single" w:sz="4" w:space="0" w:color="95B3D7"/>
              <w:left w:val="nil"/>
              <w:bottom w:val="nil"/>
              <w:right w:val="single" w:sz="4" w:space="0" w:color="FFFFFF"/>
            </w:tcBorders>
            <w:shd w:val="clear" w:color="E5E0EC" w:fill="E5E0EC"/>
            <w:noWrap/>
            <w:vAlign w:val="center"/>
            <w:hideMark/>
          </w:tcPr>
          <w:p w14:paraId="07D0A286"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19</w:t>
            </w:r>
          </w:p>
        </w:tc>
        <w:tc>
          <w:tcPr>
            <w:tcW w:w="1405" w:type="dxa"/>
            <w:tcBorders>
              <w:top w:val="single" w:sz="4" w:space="0" w:color="95B3D7"/>
              <w:left w:val="nil"/>
              <w:bottom w:val="nil"/>
              <w:right w:val="single" w:sz="4" w:space="0" w:color="FFFFFF"/>
            </w:tcBorders>
            <w:shd w:val="clear" w:color="E5E0EC" w:fill="E5E0EC"/>
            <w:noWrap/>
            <w:vAlign w:val="center"/>
            <w:hideMark/>
          </w:tcPr>
          <w:p w14:paraId="69F7A3F4"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33</w:t>
            </w:r>
          </w:p>
        </w:tc>
        <w:tc>
          <w:tcPr>
            <w:tcW w:w="1035" w:type="dxa"/>
            <w:tcBorders>
              <w:top w:val="single" w:sz="4" w:space="0" w:color="95B3D7"/>
              <w:left w:val="nil"/>
              <w:bottom w:val="nil"/>
              <w:right w:val="single" w:sz="4" w:space="0" w:color="FFFFFF"/>
            </w:tcBorders>
            <w:shd w:val="clear" w:color="E5E0EC" w:fill="E5E0EC"/>
            <w:noWrap/>
            <w:vAlign w:val="center"/>
            <w:hideMark/>
          </w:tcPr>
          <w:p w14:paraId="5C59A719"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107</w:t>
            </w:r>
          </w:p>
        </w:tc>
        <w:tc>
          <w:tcPr>
            <w:tcW w:w="1331" w:type="dxa"/>
            <w:tcBorders>
              <w:top w:val="single" w:sz="4" w:space="0" w:color="95B3D7"/>
              <w:left w:val="nil"/>
              <w:bottom w:val="nil"/>
              <w:right w:val="nil"/>
            </w:tcBorders>
            <w:shd w:val="clear" w:color="E5E0EC" w:fill="E5E0EC"/>
            <w:noWrap/>
            <w:vAlign w:val="center"/>
            <w:hideMark/>
          </w:tcPr>
          <w:p w14:paraId="766C53A7"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162</w:t>
            </w:r>
          </w:p>
        </w:tc>
      </w:tr>
    </w:tbl>
    <w:p w14:paraId="7DD1FA35" w14:textId="77777777" w:rsidR="00984F5C" w:rsidRDefault="00984F5C" w:rsidP="00984F5C">
      <w:pPr>
        <w:spacing w:before="0" w:after="0"/>
        <w:contextualSpacing w:val="0"/>
        <w:jc w:val="left"/>
        <w:rPr>
          <w:noProof/>
        </w:rPr>
      </w:pPr>
    </w:p>
    <w:p w14:paraId="7B78B9CA" w14:textId="77777777" w:rsidR="00984F5C" w:rsidRDefault="00984F5C" w:rsidP="00984F5C">
      <w:pPr>
        <w:spacing w:before="0" w:after="0"/>
        <w:contextualSpacing w:val="0"/>
        <w:jc w:val="left"/>
        <w:rPr>
          <w:noProof/>
        </w:rPr>
      </w:pPr>
    </w:p>
    <w:tbl>
      <w:tblPr>
        <w:tblW w:w="9077" w:type="dxa"/>
        <w:tblInd w:w="55" w:type="dxa"/>
        <w:tblCellMar>
          <w:left w:w="70" w:type="dxa"/>
          <w:right w:w="70" w:type="dxa"/>
        </w:tblCellMar>
        <w:tblLook w:val="04A0" w:firstRow="1" w:lastRow="0" w:firstColumn="1" w:lastColumn="0" w:noHBand="0" w:noVBand="1"/>
      </w:tblPr>
      <w:tblGrid>
        <w:gridCol w:w="2817"/>
        <w:gridCol w:w="1474"/>
        <w:gridCol w:w="903"/>
        <w:gridCol w:w="1446"/>
        <w:gridCol w:w="1070"/>
        <w:gridCol w:w="1367"/>
      </w:tblGrid>
      <w:tr w:rsidR="00984F5C" w:rsidRPr="00C6014F" w14:paraId="28EB919F" w14:textId="77777777" w:rsidTr="002B7D81">
        <w:trPr>
          <w:trHeight w:val="1617"/>
        </w:trPr>
        <w:tc>
          <w:tcPr>
            <w:tcW w:w="2817" w:type="dxa"/>
            <w:tcBorders>
              <w:top w:val="nil"/>
              <w:left w:val="nil"/>
              <w:bottom w:val="single" w:sz="4" w:space="0" w:color="95B3D7"/>
              <w:right w:val="single" w:sz="4" w:space="0" w:color="FFFFFF"/>
            </w:tcBorders>
            <w:shd w:val="clear" w:color="8064A2" w:fill="8064A2"/>
            <w:vAlign w:val="center"/>
            <w:hideMark/>
          </w:tcPr>
          <w:p w14:paraId="617C6202"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lastRenderedPageBreak/>
              <w:t>MNOŽS</w:t>
            </w:r>
            <w:r>
              <w:rPr>
                <w:rFonts w:ascii="Calibri Light" w:eastAsia="Times New Roman" w:hAnsi="Calibri Light"/>
                <w:b/>
                <w:bCs/>
                <w:color w:val="FFFFFF"/>
                <w:sz w:val="20"/>
                <w:szCs w:val="20"/>
                <w:lang w:eastAsia="cs-CZ"/>
              </w:rPr>
              <w:t>TVÍ NEFAKTUROVANÉ VODY JE STEJNÉ</w:t>
            </w:r>
            <w:r w:rsidRPr="00C6014F">
              <w:rPr>
                <w:rFonts w:ascii="Calibri Light" w:eastAsia="Times New Roman" w:hAnsi="Calibri Light"/>
                <w:b/>
                <w:bCs/>
                <w:color w:val="FFFFFF"/>
                <w:sz w:val="20"/>
                <w:szCs w:val="20"/>
                <w:lang w:eastAsia="cs-CZ"/>
              </w:rPr>
              <w:t xml:space="preserve"> JAKO MNOŽSTVÍ ZTRÁT / MODEL PROVOZOVÁNÍ </w:t>
            </w:r>
          </w:p>
        </w:tc>
        <w:tc>
          <w:tcPr>
            <w:tcW w:w="1474" w:type="dxa"/>
            <w:tcBorders>
              <w:top w:val="nil"/>
              <w:left w:val="nil"/>
              <w:bottom w:val="single" w:sz="4" w:space="0" w:color="95B3D7"/>
              <w:right w:val="single" w:sz="4" w:space="0" w:color="FFFFFF"/>
            </w:tcBorders>
            <w:shd w:val="clear" w:color="8064A2" w:fill="8064A2"/>
            <w:vAlign w:val="center"/>
            <w:hideMark/>
          </w:tcPr>
          <w:p w14:paraId="7BC8C8A8"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KOMBINOVANÝ</w:t>
            </w:r>
          </w:p>
        </w:tc>
        <w:tc>
          <w:tcPr>
            <w:tcW w:w="903" w:type="dxa"/>
            <w:tcBorders>
              <w:top w:val="nil"/>
              <w:left w:val="nil"/>
              <w:bottom w:val="single" w:sz="4" w:space="0" w:color="95B3D7"/>
              <w:right w:val="single" w:sz="4" w:space="0" w:color="FFFFFF"/>
            </w:tcBorders>
            <w:shd w:val="clear" w:color="8064A2" w:fill="8064A2"/>
            <w:vAlign w:val="center"/>
            <w:hideMark/>
          </w:tcPr>
          <w:p w14:paraId="60C6BE61"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ODDÍLNÝ</w:t>
            </w:r>
          </w:p>
        </w:tc>
        <w:tc>
          <w:tcPr>
            <w:tcW w:w="1446" w:type="dxa"/>
            <w:tcBorders>
              <w:top w:val="nil"/>
              <w:left w:val="nil"/>
              <w:bottom w:val="single" w:sz="4" w:space="0" w:color="95B3D7"/>
              <w:right w:val="single" w:sz="4" w:space="0" w:color="FFFFFF"/>
            </w:tcBorders>
            <w:shd w:val="clear" w:color="8064A2" w:fill="8064A2"/>
            <w:vAlign w:val="center"/>
            <w:hideMark/>
          </w:tcPr>
          <w:p w14:paraId="43827810"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ODDÍLNÝ SERVISNÍ SMLOUVA</w:t>
            </w:r>
          </w:p>
        </w:tc>
        <w:tc>
          <w:tcPr>
            <w:tcW w:w="1070" w:type="dxa"/>
            <w:tcBorders>
              <w:top w:val="nil"/>
              <w:left w:val="nil"/>
              <w:bottom w:val="single" w:sz="4" w:space="0" w:color="95B3D7"/>
              <w:right w:val="single" w:sz="4" w:space="0" w:color="FFFFFF"/>
            </w:tcBorders>
            <w:shd w:val="clear" w:color="8064A2" w:fill="8064A2"/>
            <w:vAlign w:val="center"/>
            <w:hideMark/>
          </w:tcPr>
          <w:p w14:paraId="7F44DC12"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sidRPr="00C6014F">
              <w:rPr>
                <w:rFonts w:ascii="Calibri Light" w:eastAsia="Times New Roman" w:hAnsi="Calibri Light"/>
                <w:b/>
                <w:bCs/>
                <w:color w:val="FFFFFF"/>
                <w:sz w:val="20"/>
                <w:szCs w:val="20"/>
                <w:lang w:eastAsia="cs-CZ"/>
              </w:rPr>
              <w:t>SMÍŠENÝ</w:t>
            </w:r>
          </w:p>
        </w:tc>
        <w:tc>
          <w:tcPr>
            <w:tcW w:w="1367" w:type="dxa"/>
            <w:tcBorders>
              <w:top w:val="nil"/>
              <w:left w:val="nil"/>
              <w:bottom w:val="single" w:sz="4" w:space="0" w:color="95B3D7"/>
              <w:right w:val="nil"/>
            </w:tcBorders>
            <w:shd w:val="clear" w:color="8064A2" w:fill="8064A2"/>
            <w:vAlign w:val="center"/>
            <w:hideMark/>
          </w:tcPr>
          <w:p w14:paraId="0FBB8BB6" w14:textId="77777777" w:rsidR="00984F5C" w:rsidRPr="00C6014F" w:rsidRDefault="007731EA" w:rsidP="003B4FC2">
            <w:pPr>
              <w:spacing w:before="0" w:after="0"/>
              <w:contextualSpacing w:val="0"/>
              <w:jc w:val="center"/>
              <w:rPr>
                <w:rFonts w:ascii="Calibri Light" w:eastAsia="Times New Roman" w:hAnsi="Calibri Light"/>
                <w:b/>
                <w:bCs/>
                <w:color w:val="FFFFFF"/>
                <w:sz w:val="20"/>
                <w:szCs w:val="20"/>
                <w:lang w:eastAsia="cs-CZ"/>
              </w:rPr>
            </w:pPr>
            <w:r>
              <w:rPr>
                <w:rFonts w:ascii="Calibri Light" w:eastAsia="Times New Roman" w:hAnsi="Calibri Light"/>
                <w:b/>
                <w:bCs/>
                <w:color w:val="FFFFFF"/>
                <w:sz w:val="20"/>
                <w:szCs w:val="20"/>
                <w:lang w:eastAsia="cs-CZ"/>
              </w:rPr>
              <w:t>CELKEM</w:t>
            </w:r>
          </w:p>
        </w:tc>
      </w:tr>
      <w:tr w:rsidR="00984F5C" w:rsidRPr="00C6014F" w14:paraId="55194157" w14:textId="77777777" w:rsidTr="002B7D81">
        <w:trPr>
          <w:trHeight w:val="328"/>
        </w:trPr>
        <w:tc>
          <w:tcPr>
            <w:tcW w:w="2817" w:type="dxa"/>
            <w:tcBorders>
              <w:top w:val="nil"/>
              <w:left w:val="nil"/>
              <w:bottom w:val="single" w:sz="4" w:space="0" w:color="FFFFFF"/>
              <w:right w:val="single" w:sz="4" w:space="0" w:color="FFFFFF"/>
            </w:tcBorders>
            <w:shd w:val="clear" w:color="CCC0DA" w:fill="CCC0DA"/>
            <w:vAlign w:val="center"/>
            <w:hideMark/>
          </w:tcPr>
          <w:p w14:paraId="703E45B1"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IV.SKUPINA(&gt;50 000PŘ.OB.)</w:t>
            </w:r>
          </w:p>
        </w:tc>
        <w:tc>
          <w:tcPr>
            <w:tcW w:w="1474" w:type="dxa"/>
            <w:tcBorders>
              <w:top w:val="nil"/>
              <w:left w:val="nil"/>
              <w:bottom w:val="single" w:sz="4" w:space="0" w:color="FFFFFF"/>
              <w:right w:val="single" w:sz="4" w:space="0" w:color="FFFFFF"/>
            </w:tcBorders>
            <w:shd w:val="clear" w:color="CCC0DA" w:fill="CCC0DA"/>
            <w:vAlign w:val="center"/>
            <w:hideMark/>
          </w:tcPr>
          <w:p w14:paraId="20049BB4"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w:t>
            </w:r>
          </w:p>
        </w:tc>
        <w:tc>
          <w:tcPr>
            <w:tcW w:w="903" w:type="dxa"/>
            <w:tcBorders>
              <w:top w:val="nil"/>
              <w:left w:val="nil"/>
              <w:bottom w:val="single" w:sz="4" w:space="0" w:color="FFFFFF"/>
              <w:right w:val="single" w:sz="4" w:space="0" w:color="FFFFFF"/>
            </w:tcBorders>
            <w:shd w:val="clear" w:color="CCC0DA" w:fill="CCC0DA"/>
            <w:vAlign w:val="center"/>
            <w:hideMark/>
          </w:tcPr>
          <w:p w14:paraId="6BD5FA5E" w14:textId="77777777" w:rsidR="00984F5C" w:rsidRPr="00C6014F" w:rsidRDefault="00984F5C" w:rsidP="003B4FC2">
            <w:pPr>
              <w:spacing w:before="0" w:after="0"/>
              <w:contextualSpacing w:val="0"/>
              <w:jc w:val="center"/>
              <w:rPr>
                <w:rFonts w:ascii="Calibri Light" w:eastAsia="Times New Roman" w:hAnsi="Calibri Light"/>
                <w:color w:val="000000"/>
                <w:sz w:val="20"/>
                <w:szCs w:val="20"/>
                <w:lang w:eastAsia="cs-CZ"/>
              </w:rPr>
            </w:pPr>
          </w:p>
        </w:tc>
        <w:tc>
          <w:tcPr>
            <w:tcW w:w="1446" w:type="dxa"/>
            <w:tcBorders>
              <w:top w:val="nil"/>
              <w:left w:val="nil"/>
              <w:bottom w:val="single" w:sz="4" w:space="0" w:color="FFFFFF"/>
              <w:right w:val="single" w:sz="4" w:space="0" w:color="FFFFFF"/>
            </w:tcBorders>
            <w:shd w:val="clear" w:color="CCC0DA" w:fill="CCC0DA"/>
            <w:vAlign w:val="center"/>
            <w:hideMark/>
          </w:tcPr>
          <w:p w14:paraId="0AF2C7E9" w14:textId="77777777" w:rsidR="00984F5C" w:rsidRPr="00C6014F" w:rsidRDefault="00984F5C" w:rsidP="003B4FC2">
            <w:pPr>
              <w:spacing w:before="0" w:after="0"/>
              <w:contextualSpacing w:val="0"/>
              <w:jc w:val="center"/>
              <w:rPr>
                <w:rFonts w:ascii="Calibri Light" w:eastAsia="Times New Roman" w:hAnsi="Calibri Light"/>
                <w:color w:val="000000"/>
                <w:sz w:val="20"/>
                <w:szCs w:val="20"/>
                <w:lang w:eastAsia="cs-CZ"/>
              </w:rPr>
            </w:pPr>
          </w:p>
        </w:tc>
        <w:tc>
          <w:tcPr>
            <w:tcW w:w="1070" w:type="dxa"/>
            <w:tcBorders>
              <w:top w:val="nil"/>
              <w:left w:val="nil"/>
              <w:bottom w:val="single" w:sz="4" w:space="0" w:color="FFFFFF"/>
              <w:right w:val="single" w:sz="4" w:space="0" w:color="FFFFFF"/>
            </w:tcBorders>
            <w:shd w:val="clear" w:color="CCC0DA" w:fill="CCC0DA"/>
            <w:vAlign w:val="center"/>
            <w:hideMark/>
          </w:tcPr>
          <w:p w14:paraId="1EEBEE84" w14:textId="77777777" w:rsidR="00984F5C" w:rsidRPr="00C6014F" w:rsidRDefault="00984F5C" w:rsidP="003B4FC2">
            <w:pPr>
              <w:spacing w:before="0" w:after="0"/>
              <w:contextualSpacing w:val="0"/>
              <w:jc w:val="center"/>
              <w:rPr>
                <w:rFonts w:ascii="Calibri Light" w:eastAsia="Times New Roman" w:hAnsi="Calibri Light"/>
                <w:color w:val="000000"/>
                <w:sz w:val="20"/>
                <w:szCs w:val="20"/>
                <w:lang w:eastAsia="cs-CZ"/>
              </w:rPr>
            </w:pPr>
          </w:p>
        </w:tc>
        <w:tc>
          <w:tcPr>
            <w:tcW w:w="1367" w:type="dxa"/>
            <w:tcBorders>
              <w:top w:val="nil"/>
              <w:left w:val="nil"/>
              <w:bottom w:val="single" w:sz="4" w:space="0" w:color="FFFFFF"/>
              <w:right w:val="nil"/>
            </w:tcBorders>
            <w:shd w:val="clear" w:color="CCC0DA" w:fill="CCC0DA"/>
            <w:vAlign w:val="center"/>
            <w:hideMark/>
          </w:tcPr>
          <w:p w14:paraId="5C2A129F"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w:t>
            </w:r>
          </w:p>
        </w:tc>
      </w:tr>
      <w:tr w:rsidR="00984F5C" w:rsidRPr="00C6014F" w14:paraId="20667CEF" w14:textId="77777777" w:rsidTr="002B7D81">
        <w:trPr>
          <w:trHeight w:val="264"/>
        </w:trPr>
        <w:tc>
          <w:tcPr>
            <w:tcW w:w="2817" w:type="dxa"/>
            <w:tcBorders>
              <w:top w:val="nil"/>
              <w:left w:val="nil"/>
              <w:bottom w:val="single" w:sz="4" w:space="0" w:color="FFFFFF"/>
              <w:right w:val="single" w:sz="4" w:space="0" w:color="FFFFFF"/>
            </w:tcBorders>
            <w:shd w:val="clear" w:color="E5E0EC" w:fill="E5E0EC"/>
            <w:vAlign w:val="center"/>
            <w:hideMark/>
          </w:tcPr>
          <w:p w14:paraId="44EC8FCE"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V.SKUPINA(&gt;10 000PŘ.OB.)</w:t>
            </w:r>
          </w:p>
        </w:tc>
        <w:tc>
          <w:tcPr>
            <w:tcW w:w="1474" w:type="dxa"/>
            <w:tcBorders>
              <w:top w:val="nil"/>
              <w:left w:val="nil"/>
              <w:bottom w:val="single" w:sz="4" w:space="0" w:color="FFFFFF"/>
              <w:right w:val="single" w:sz="4" w:space="0" w:color="FFFFFF"/>
            </w:tcBorders>
            <w:shd w:val="clear" w:color="E5E0EC" w:fill="E5E0EC"/>
            <w:vAlign w:val="center"/>
            <w:hideMark/>
          </w:tcPr>
          <w:p w14:paraId="4255AC93" w14:textId="77777777" w:rsidR="00984F5C" w:rsidRPr="00C6014F" w:rsidRDefault="00984F5C" w:rsidP="003B4FC2">
            <w:pPr>
              <w:spacing w:before="0" w:after="0"/>
              <w:contextualSpacing w:val="0"/>
              <w:jc w:val="center"/>
              <w:rPr>
                <w:rFonts w:ascii="Calibri Light" w:eastAsia="Times New Roman" w:hAnsi="Calibri Light"/>
                <w:color w:val="000000"/>
                <w:sz w:val="20"/>
                <w:szCs w:val="20"/>
                <w:lang w:eastAsia="cs-CZ"/>
              </w:rPr>
            </w:pPr>
          </w:p>
        </w:tc>
        <w:tc>
          <w:tcPr>
            <w:tcW w:w="903" w:type="dxa"/>
            <w:tcBorders>
              <w:top w:val="nil"/>
              <w:left w:val="nil"/>
              <w:bottom w:val="single" w:sz="4" w:space="0" w:color="FFFFFF"/>
              <w:right w:val="single" w:sz="4" w:space="0" w:color="FFFFFF"/>
            </w:tcBorders>
            <w:shd w:val="clear" w:color="E5E0EC" w:fill="E5E0EC"/>
            <w:vAlign w:val="center"/>
            <w:hideMark/>
          </w:tcPr>
          <w:p w14:paraId="6BCA5BF7"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2</w:t>
            </w:r>
          </w:p>
        </w:tc>
        <w:tc>
          <w:tcPr>
            <w:tcW w:w="1446" w:type="dxa"/>
            <w:tcBorders>
              <w:top w:val="nil"/>
              <w:left w:val="nil"/>
              <w:bottom w:val="single" w:sz="4" w:space="0" w:color="FFFFFF"/>
              <w:right w:val="single" w:sz="4" w:space="0" w:color="FFFFFF"/>
            </w:tcBorders>
            <w:shd w:val="clear" w:color="E5E0EC" w:fill="E5E0EC"/>
            <w:vAlign w:val="center"/>
            <w:hideMark/>
          </w:tcPr>
          <w:p w14:paraId="4D370765" w14:textId="77777777" w:rsidR="00984F5C" w:rsidRPr="00C6014F" w:rsidRDefault="00984F5C" w:rsidP="003B4FC2">
            <w:pPr>
              <w:spacing w:before="0" w:after="0"/>
              <w:contextualSpacing w:val="0"/>
              <w:jc w:val="center"/>
              <w:rPr>
                <w:rFonts w:ascii="Calibri Light" w:eastAsia="Times New Roman" w:hAnsi="Calibri Light"/>
                <w:color w:val="000000"/>
                <w:sz w:val="20"/>
                <w:szCs w:val="20"/>
                <w:lang w:eastAsia="cs-CZ"/>
              </w:rPr>
            </w:pPr>
          </w:p>
        </w:tc>
        <w:tc>
          <w:tcPr>
            <w:tcW w:w="1070" w:type="dxa"/>
            <w:tcBorders>
              <w:top w:val="nil"/>
              <w:left w:val="nil"/>
              <w:bottom w:val="single" w:sz="4" w:space="0" w:color="FFFFFF"/>
              <w:right w:val="single" w:sz="4" w:space="0" w:color="FFFFFF"/>
            </w:tcBorders>
            <w:shd w:val="clear" w:color="E5E0EC" w:fill="E5E0EC"/>
            <w:vAlign w:val="center"/>
            <w:hideMark/>
          </w:tcPr>
          <w:p w14:paraId="5323807C"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w:t>
            </w:r>
          </w:p>
        </w:tc>
        <w:tc>
          <w:tcPr>
            <w:tcW w:w="1367" w:type="dxa"/>
            <w:tcBorders>
              <w:top w:val="nil"/>
              <w:left w:val="nil"/>
              <w:bottom w:val="single" w:sz="4" w:space="0" w:color="FFFFFF"/>
              <w:right w:val="nil"/>
            </w:tcBorders>
            <w:shd w:val="clear" w:color="E5E0EC" w:fill="E5E0EC"/>
            <w:vAlign w:val="center"/>
            <w:hideMark/>
          </w:tcPr>
          <w:p w14:paraId="14050A3D"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3</w:t>
            </w:r>
          </w:p>
        </w:tc>
      </w:tr>
      <w:tr w:rsidR="00984F5C" w:rsidRPr="00C6014F" w14:paraId="63599748" w14:textId="77777777" w:rsidTr="002B7D81">
        <w:trPr>
          <w:trHeight w:val="281"/>
        </w:trPr>
        <w:tc>
          <w:tcPr>
            <w:tcW w:w="2817" w:type="dxa"/>
            <w:tcBorders>
              <w:top w:val="nil"/>
              <w:left w:val="nil"/>
              <w:bottom w:val="single" w:sz="4" w:space="0" w:color="FFFFFF"/>
              <w:right w:val="single" w:sz="4" w:space="0" w:color="FFFFFF"/>
            </w:tcBorders>
            <w:shd w:val="clear" w:color="CCC0DA" w:fill="CCC0DA"/>
            <w:vAlign w:val="center"/>
            <w:hideMark/>
          </w:tcPr>
          <w:p w14:paraId="16D3AE33"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VI.SKUPINA(&gt;1 000PŘ.OB.)</w:t>
            </w:r>
          </w:p>
        </w:tc>
        <w:tc>
          <w:tcPr>
            <w:tcW w:w="1474" w:type="dxa"/>
            <w:tcBorders>
              <w:top w:val="nil"/>
              <w:left w:val="nil"/>
              <w:bottom w:val="single" w:sz="4" w:space="0" w:color="FFFFFF"/>
              <w:right w:val="single" w:sz="4" w:space="0" w:color="FFFFFF"/>
            </w:tcBorders>
            <w:shd w:val="clear" w:color="CCC0DA" w:fill="CCC0DA"/>
            <w:vAlign w:val="center"/>
            <w:hideMark/>
          </w:tcPr>
          <w:p w14:paraId="51CE980B"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2</w:t>
            </w:r>
          </w:p>
        </w:tc>
        <w:tc>
          <w:tcPr>
            <w:tcW w:w="903" w:type="dxa"/>
            <w:tcBorders>
              <w:top w:val="nil"/>
              <w:left w:val="nil"/>
              <w:bottom w:val="single" w:sz="4" w:space="0" w:color="FFFFFF"/>
              <w:right w:val="single" w:sz="4" w:space="0" w:color="FFFFFF"/>
            </w:tcBorders>
            <w:shd w:val="clear" w:color="CCC0DA" w:fill="CCC0DA"/>
            <w:vAlign w:val="center"/>
            <w:hideMark/>
          </w:tcPr>
          <w:p w14:paraId="7DABBCB4"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35</w:t>
            </w:r>
          </w:p>
        </w:tc>
        <w:tc>
          <w:tcPr>
            <w:tcW w:w="1446" w:type="dxa"/>
            <w:tcBorders>
              <w:top w:val="nil"/>
              <w:left w:val="nil"/>
              <w:bottom w:val="single" w:sz="4" w:space="0" w:color="FFFFFF"/>
              <w:right w:val="single" w:sz="4" w:space="0" w:color="FFFFFF"/>
            </w:tcBorders>
            <w:shd w:val="clear" w:color="CCC0DA" w:fill="CCC0DA"/>
            <w:vAlign w:val="center"/>
            <w:hideMark/>
          </w:tcPr>
          <w:p w14:paraId="40733602"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w:t>
            </w:r>
          </w:p>
        </w:tc>
        <w:tc>
          <w:tcPr>
            <w:tcW w:w="1070" w:type="dxa"/>
            <w:tcBorders>
              <w:top w:val="nil"/>
              <w:left w:val="nil"/>
              <w:bottom w:val="single" w:sz="4" w:space="0" w:color="FFFFFF"/>
              <w:right w:val="single" w:sz="4" w:space="0" w:color="FFFFFF"/>
            </w:tcBorders>
            <w:shd w:val="clear" w:color="CCC0DA" w:fill="CCC0DA"/>
            <w:vAlign w:val="center"/>
            <w:hideMark/>
          </w:tcPr>
          <w:p w14:paraId="1EEBC4DE"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9</w:t>
            </w:r>
          </w:p>
        </w:tc>
        <w:tc>
          <w:tcPr>
            <w:tcW w:w="1367" w:type="dxa"/>
            <w:tcBorders>
              <w:top w:val="nil"/>
              <w:left w:val="nil"/>
              <w:bottom w:val="single" w:sz="4" w:space="0" w:color="FFFFFF"/>
              <w:right w:val="nil"/>
            </w:tcBorders>
            <w:shd w:val="clear" w:color="CCC0DA" w:fill="CCC0DA"/>
            <w:vAlign w:val="center"/>
            <w:hideMark/>
          </w:tcPr>
          <w:p w14:paraId="55EC3FD4"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47</w:t>
            </w:r>
          </w:p>
        </w:tc>
      </w:tr>
      <w:tr w:rsidR="00984F5C" w:rsidRPr="00C6014F" w14:paraId="01FE70C0" w14:textId="77777777" w:rsidTr="002B7D81">
        <w:trPr>
          <w:trHeight w:val="258"/>
        </w:trPr>
        <w:tc>
          <w:tcPr>
            <w:tcW w:w="2817" w:type="dxa"/>
            <w:tcBorders>
              <w:top w:val="nil"/>
              <w:left w:val="nil"/>
              <w:bottom w:val="single" w:sz="4" w:space="0" w:color="FFFFFF"/>
              <w:right w:val="single" w:sz="4" w:space="0" w:color="FFFFFF"/>
            </w:tcBorders>
            <w:shd w:val="clear" w:color="E5E0EC" w:fill="E5E0EC"/>
            <w:vAlign w:val="center"/>
            <w:hideMark/>
          </w:tcPr>
          <w:p w14:paraId="7F0D9B3D"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VII.SKUPINA(&gt;300PŘ.OB.)</w:t>
            </w:r>
          </w:p>
        </w:tc>
        <w:tc>
          <w:tcPr>
            <w:tcW w:w="1474" w:type="dxa"/>
            <w:tcBorders>
              <w:top w:val="nil"/>
              <w:left w:val="nil"/>
              <w:bottom w:val="single" w:sz="4" w:space="0" w:color="FFFFFF"/>
              <w:right w:val="single" w:sz="4" w:space="0" w:color="FFFFFF"/>
            </w:tcBorders>
            <w:shd w:val="clear" w:color="E5E0EC" w:fill="E5E0EC"/>
            <w:vAlign w:val="center"/>
            <w:hideMark/>
          </w:tcPr>
          <w:p w14:paraId="48097D8D"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w:t>
            </w:r>
          </w:p>
        </w:tc>
        <w:tc>
          <w:tcPr>
            <w:tcW w:w="903" w:type="dxa"/>
            <w:tcBorders>
              <w:top w:val="nil"/>
              <w:left w:val="nil"/>
              <w:bottom w:val="single" w:sz="4" w:space="0" w:color="FFFFFF"/>
              <w:right w:val="single" w:sz="4" w:space="0" w:color="FFFFFF"/>
            </w:tcBorders>
            <w:shd w:val="clear" w:color="E5E0EC" w:fill="E5E0EC"/>
            <w:vAlign w:val="center"/>
            <w:hideMark/>
          </w:tcPr>
          <w:p w14:paraId="2F2276F2"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48</w:t>
            </w:r>
          </w:p>
        </w:tc>
        <w:tc>
          <w:tcPr>
            <w:tcW w:w="1446" w:type="dxa"/>
            <w:tcBorders>
              <w:top w:val="nil"/>
              <w:left w:val="nil"/>
              <w:bottom w:val="single" w:sz="4" w:space="0" w:color="FFFFFF"/>
              <w:right w:val="single" w:sz="4" w:space="0" w:color="FFFFFF"/>
            </w:tcBorders>
            <w:shd w:val="clear" w:color="E5E0EC" w:fill="E5E0EC"/>
            <w:vAlign w:val="center"/>
            <w:hideMark/>
          </w:tcPr>
          <w:p w14:paraId="5839EAE5"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22</w:t>
            </w:r>
          </w:p>
        </w:tc>
        <w:tc>
          <w:tcPr>
            <w:tcW w:w="1070" w:type="dxa"/>
            <w:tcBorders>
              <w:top w:val="nil"/>
              <w:left w:val="nil"/>
              <w:bottom w:val="single" w:sz="4" w:space="0" w:color="FFFFFF"/>
              <w:right w:val="single" w:sz="4" w:space="0" w:color="FFFFFF"/>
            </w:tcBorders>
            <w:shd w:val="clear" w:color="E5E0EC" w:fill="E5E0EC"/>
            <w:vAlign w:val="center"/>
            <w:hideMark/>
          </w:tcPr>
          <w:p w14:paraId="40F529E2"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42</w:t>
            </w:r>
          </w:p>
        </w:tc>
        <w:tc>
          <w:tcPr>
            <w:tcW w:w="1367" w:type="dxa"/>
            <w:tcBorders>
              <w:top w:val="nil"/>
              <w:left w:val="nil"/>
              <w:bottom w:val="single" w:sz="4" w:space="0" w:color="FFFFFF"/>
              <w:right w:val="nil"/>
            </w:tcBorders>
            <w:shd w:val="clear" w:color="E5E0EC" w:fill="E5E0EC"/>
            <w:vAlign w:val="center"/>
            <w:hideMark/>
          </w:tcPr>
          <w:p w14:paraId="1854A303"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113</w:t>
            </w:r>
          </w:p>
        </w:tc>
      </w:tr>
      <w:tr w:rsidR="00984F5C" w:rsidRPr="00C6014F" w14:paraId="06BCCBE6" w14:textId="77777777" w:rsidTr="002B7D81">
        <w:trPr>
          <w:trHeight w:val="275"/>
        </w:trPr>
        <w:tc>
          <w:tcPr>
            <w:tcW w:w="2817" w:type="dxa"/>
            <w:tcBorders>
              <w:top w:val="nil"/>
              <w:left w:val="nil"/>
              <w:bottom w:val="nil"/>
              <w:right w:val="single" w:sz="4" w:space="0" w:color="FFFFFF"/>
            </w:tcBorders>
            <w:shd w:val="clear" w:color="CCC0DA" w:fill="CCC0DA"/>
            <w:vAlign w:val="center"/>
            <w:hideMark/>
          </w:tcPr>
          <w:p w14:paraId="1938343E"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VIII.SKUPINA(&lt;300PŘ.OB.)</w:t>
            </w:r>
          </w:p>
        </w:tc>
        <w:tc>
          <w:tcPr>
            <w:tcW w:w="1474" w:type="dxa"/>
            <w:tcBorders>
              <w:top w:val="nil"/>
              <w:left w:val="nil"/>
              <w:bottom w:val="nil"/>
              <w:right w:val="single" w:sz="4" w:space="0" w:color="FFFFFF"/>
            </w:tcBorders>
            <w:shd w:val="clear" w:color="CCC0DA" w:fill="CCC0DA"/>
            <w:vAlign w:val="center"/>
            <w:hideMark/>
          </w:tcPr>
          <w:p w14:paraId="1C38F4BC"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w:t>
            </w:r>
          </w:p>
        </w:tc>
        <w:tc>
          <w:tcPr>
            <w:tcW w:w="903" w:type="dxa"/>
            <w:tcBorders>
              <w:top w:val="nil"/>
              <w:left w:val="nil"/>
              <w:bottom w:val="nil"/>
              <w:right w:val="single" w:sz="4" w:space="0" w:color="FFFFFF"/>
            </w:tcBorders>
            <w:shd w:val="clear" w:color="CCC0DA" w:fill="CCC0DA"/>
            <w:vAlign w:val="center"/>
            <w:hideMark/>
          </w:tcPr>
          <w:p w14:paraId="5011A258"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56</w:t>
            </w:r>
          </w:p>
        </w:tc>
        <w:tc>
          <w:tcPr>
            <w:tcW w:w="1446" w:type="dxa"/>
            <w:tcBorders>
              <w:top w:val="nil"/>
              <w:left w:val="nil"/>
              <w:bottom w:val="nil"/>
              <w:right w:val="single" w:sz="4" w:space="0" w:color="FFFFFF"/>
            </w:tcBorders>
            <w:shd w:val="clear" w:color="CCC0DA" w:fill="CCC0DA"/>
            <w:vAlign w:val="center"/>
            <w:hideMark/>
          </w:tcPr>
          <w:p w14:paraId="4F8DDFD6"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46</w:t>
            </w:r>
          </w:p>
        </w:tc>
        <w:tc>
          <w:tcPr>
            <w:tcW w:w="1070" w:type="dxa"/>
            <w:tcBorders>
              <w:top w:val="nil"/>
              <w:left w:val="nil"/>
              <w:bottom w:val="nil"/>
              <w:right w:val="single" w:sz="4" w:space="0" w:color="FFFFFF"/>
            </w:tcBorders>
            <w:shd w:val="clear" w:color="CCC0DA" w:fill="CCC0DA"/>
            <w:vAlign w:val="center"/>
            <w:hideMark/>
          </w:tcPr>
          <w:p w14:paraId="10D0F4BB"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87</w:t>
            </w:r>
          </w:p>
        </w:tc>
        <w:tc>
          <w:tcPr>
            <w:tcW w:w="1367" w:type="dxa"/>
            <w:tcBorders>
              <w:top w:val="nil"/>
              <w:left w:val="nil"/>
              <w:bottom w:val="nil"/>
              <w:right w:val="nil"/>
            </w:tcBorders>
            <w:shd w:val="clear" w:color="CCC0DA" w:fill="CCC0DA"/>
            <w:vAlign w:val="center"/>
            <w:hideMark/>
          </w:tcPr>
          <w:p w14:paraId="3B495132" w14:textId="77777777" w:rsidR="00984F5C" w:rsidRPr="00C6014F" w:rsidRDefault="007731EA" w:rsidP="003B4FC2">
            <w:pPr>
              <w:spacing w:before="0" w:after="0"/>
              <w:contextualSpacing w:val="0"/>
              <w:jc w:val="center"/>
              <w:rPr>
                <w:rFonts w:ascii="Calibri Light" w:eastAsia="Times New Roman" w:hAnsi="Calibri Light"/>
                <w:color w:val="000000"/>
                <w:sz w:val="20"/>
                <w:szCs w:val="20"/>
                <w:lang w:eastAsia="cs-CZ"/>
              </w:rPr>
            </w:pPr>
            <w:r w:rsidRPr="00C6014F">
              <w:rPr>
                <w:rFonts w:ascii="Calibri Light" w:eastAsia="Times New Roman" w:hAnsi="Calibri Light"/>
                <w:color w:val="000000"/>
                <w:sz w:val="20"/>
                <w:szCs w:val="20"/>
                <w:lang w:eastAsia="cs-CZ"/>
              </w:rPr>
              <w:t>190</w:t>
            </w:r>
          </w:p>
        </w:tc>
      </w:tr>
      <w:tr w:rsidR="00984F5C" w:rsidRPr="00C6014F" w14:paraId="4B59CA6A" w14:textId="77777777" w:rsidTr="002B7D81">
        <w:trPr>
          <w:trHeight w:val="311"/>
        </w:trPr>
        <w:tc>
          <w:tcPr>
            <w:tcW w:w="2817" w:type="dxa"/>
            <w:tcBorders>
              <w:top w:val="single" w:sz="4" w:space="0" w:color="95B3D7"/>
              <w:left w:val="nil"/>
              <w:bottom w:val="nil"/>
              <w:right w:val="single" w:sz="4" w:space="0" w:color="FFFFFF"/>
            </w:tcBorders>
            <w:shd w:val="clear" w:color="E5E0EC" w:fill="E5E0EC"/>
            <w:noWrap/>
            <w:vAlign w:val="center"/>
            <w:hideMark/>
          </w:tcPr>
          <w:p w14:paraId="13E6FD24"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POČET POROVNÁNÍ CELKEM</w:t>
            </w:r>
          </w:p>
        </w:tc>
        <w:tc>
          <w:tcPr>
            <w:tcW w:w="1474" w:type="dxa"/>
            <w:tcBorders>
              <w:top w:val="single" w:sz="4" w:space="0" w:color="95B3D7"/>
              <w:left w:val="nil"/>
              <w:bottom w:val="nil"/>
              <w:right w:val="single" w:sz="4" w:space="0" w:color="FFFFFF"/>
            </w:tcBorders>
            <w:shd w:val="clear" w:color="E5E0EC" w:fill="E5E0EC"/>
            <w:vAlign w:val="center"/>
            <w:hideMark/>
          </w:tcPr>
          <w:p w14:paraId="1F8A059A"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5</w:t>
            </w:r>
          </w:p>
        </w:tc>
        <w:tc>
          <w:tcPr>
            <w:tcW w:w="903" w:type="dxa"/>
            <w:tcBorders>
              <w:top w:val="single" w:sz="4" w:space="0" w:color="95B3D7"/>
              <w:left w:val="nil"/>
              <w:bottom w:val="nil"/>
              <w:right w:val="single" w:sz="4" w:space="0" w:color="FFFFFF"/>
            </w:tcBorders>
            <w:shd w:val="clear" w:color="E5E0EC" w:fill="E5E0EC"/>
            <w:vAlign w:val="center"/>
            <w:hideMark/>
          </w:tcPr>
          <w:p w14:paraId="0D05AF47"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141</w:t>
            </w:r>
          </w:p>
        </w:tc>
        <w:tc>
          <w:tcPr>
            <w:tcW w:w="1446" w:type="dxa"/>
            <w:tcBorders>
              <w:top w:val="single" w:sz="4" w:space="0" w:color="95B3D7"/>
              <w:left w:val="nil"/>
              <w:bottom w:val="nil"/>
              <w:right w:val="single" w:sz="4" w:space="0" w:color="FFFFFF"/>
            </w:tcBorders>
            <w:shd w:val="clear" w:color="E5E0EC" w:fill="E5E0EC"/>
            <w:vAlign w:val="center"/>
            <w:hideMark/>
          </w:tcPr>
          <w:p w14:paraId="2E21F177"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69</w:t>
            </w:r>
          </w:p>
        </w:tc>
        <w:tc>
          <w:tcPr>
            <w:tcW w:w="1070" w:type="dxa"/>
            <w:tcBorders>
              <w:top w:val="single" w:sz="4" w:space="0" w:color="95B3D7"/>
              <w:left w:val="nil"/>
              <w:bottom w:val="nil"/>
              <w:right w:val="single" w:sz="4" w:space="0" w:color="FFFFFF"/>
            </w:tcBorders>
            <w:shd w:val="clear" w:color="E5E0EC" w:fill="E5E0EC"/>
            <w:vAlign w:val="center"/>
            <w:hideMark/>
          </w:tcPr>
          <w:p w14:paraId="67391E52"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139</w:t>
            </w:r>
          </w:p>
        </w:tc>
        <w:tc>
          <w:tcPr>
            <w:tcW w:w="1367" w:type="dxa"/>
            <w:tcBorders>
              <w:top w:val="single" w:sz="4" w:space="0" w:color="95B3D7"/>
              <w:left w:val="nil"/>
              <w:bottom w:val="nil"/>
              <w:right w:val="nil"/>
            </w:tcBorders>
            <w:shd w:val="clear" w:color="E5E0EC" w:fill="E5E0EC"/>
            <w:vAlign w:val="center"/>
            <w:hideMark/>
          </w:tcPr>
          <w:p w14:paraId="154D238E" w14:textId="77777777" w:rsidR="00984F5C" w:rsidRPr="00C6014F" w:rsidRDefault="007731EA" w:rsidP="003B4FC2">
            <w:pPr>
              <w:spacing w:before="0" w:after="0"/>
              <w:contextualSpacing w:val="0"/>
              <w:jc w:val="center"/>
              <w:rPr>
                <w:rFonts w:ascii="Calibri Light" w:eastAsia="Times New Roman" w:hAnsi="Calibri Light"/>
                <w:b/>
                <w:bCs/>
                <w:color w:val="000000"/>
                <w:sz w:val="20"/>
                <w:szCs w:val="20"/>
                <w:lang w:eastAsia="cs-CZ"/>
              </w:rPr>
            </w:pPr>
            <w:r w:rsidRPr="00C6014F">
              <w:rPr>
                <w:rFonts w:ascii="Calibri Light" w:eastAsia="Times New Roman" w:hAnsi="Calibri Light"/>
                <w:b/>
                <w:bCs/>
                <w:color w:val="000000"/>
                <w:sz w:val="20"/>
                <w:szCs w:val="20"/>
                <w:lang w:eastAsia="cs-CZ"/>
              </w:rPr>
              <w:t>354</w:t>
            </w:r>
          </w:p>
        </w:tc>
      </w:tr>
    </w:tbl>
    <w:p w14:paraId="4EB71774" w14:textId="77777777" w:rsidR="00984F5C" w:rsidRDefault="00984F5C" w:rsidP="00984F5C">
      <w:pPr>
        <w:spacing w:before="0" w:after="0"/>
        <w:contextualSpacing w:val="0"/>
        <w:jc w:val="left"/>
        <w:rPr>
          <w:noProof/>
        </w:rPr>
      </w:pPr>
    </w:p>
    <w:p w14:paraId="610B99E6" w14:textId="77777777" w:rsidR="002B7D81" w:rsidRDefault="002B7D81" w:rsidP="00984F5C">
      <w:pPr>
        <w:spacing w:before="0" w:after="0"/>
        <w:contextualSpacing w:val="0"/>
        <w:jc w:val="left"/>
        <w:rPr>
          <w:noProof/>
        </w:rPr>
      </w:pPr>
    </w:p>
    <w:p w14:paraId="151C07D1" w14:textId="77777777" w:rsidR="00984F5C" w:rsidRDefault="00984F5C" w:rsidP="00984F5C">
      <w:pPr>
        <w:spacing w:before="0" w:after="0"/>
        <w:contextualSpacing w:val="0"/>
        <w:jc w:val="left"/>
        <w:rPr>
          <w:noProof/>
        </w:rPr>
      </w:pPr>
    </w:p>
    <w:tbl>
      <w:tblPr>
        <w:tblW w:w="9049" w:type="dxa"/>
        <w:tblCellMar>
          <w:left w:w="0" w:type="dxa"/>
          <w:right w:w="0" w:type="dxa"/>
        </w:tblCellMar>
        <w:tblLook w:val="04A0" w:firstRow="1" w:lastRow="0" w:firstColumn="1" w:lastColumn="0" w:noHBand="0" w:noVBand="1"/>
      </w:tblPr>
      <w:tblGrid>
        <w:gridCol w:w="2621"/>
        <w:gridCol w:w="1417"/>
        <w:gridCol w:w="1045"/>
        <w:gridCol w:w="1558"/>
        <w:gridCol w:w="991"/>
        <w:gridCol w:w="1417"/>
      </w:tblGrid>
      <w:tr w:rsidR="00984F5C" w14:paraId="4E5613DB" w14:textId="77777777" w:rsidTr="003B4FC2">
        <w:trPr>
          <w:trHeight w:val="785"/>
        </w:trPr>
        <w:tc>
          <w:tcPr>
            <w:tcW w:w="2621" w:type="dxa"/>
            <w:tcBorders>
              <w:top w:val="nil"/>
              <w:left w:val="nil"/>
              <w:bottom w:val="single" w:sz="4" w:space="0" w:color="95B3D7"/>
              <w:right w:val="single" w:sz="4" w:space="0" w:color="FFFFFF"/>
            </w:tcBorders>
            <w:shd w:val="clear" w:color="8064A2" w:fill="8064A2"/>
            <w:tcMar>
              <w:top w:w="15" w:type="dxa"/>
              <w:left w:w="15" w:type="dxa"/>
              <w:bottom w:w="0" w:type="dxa"/>
              <w:right w:w="15" w:type="dxa"/>
            </w:tcMar>
            <w:vAlign w:val="center"/>
            <w:hideMark/>
          </w:tcPr>
          <w:p w14:paraId="6F6488AE" w14:textId="77777777" w:rsidR="00984F5C" w:rsidRDefault="007731EA" w:rsidP="003B4FC2">
            <w:pPr>
              <w:jc w:val="center"/>
              <w:rPr>
                <w:rFonts w:ascii="Calibri Light" w:hAnsi="Calibri Light"/>
                <w:b/>
                <w:bCs/>
                <w:color w:val="FFFFFF"/>
                <w:sz w:val="20"/>
                <w:szCs w:val="20"/>
              </w:rPr>
            </w:pPr>
            <w:r>
              <w:rPr>
                <w:rFonts w:ascii="Calibri Light" w:hAnsi="Calibri Light"/>
                <w:b/>
                <w:bCs/>
                <w:color w:val="FFFFFF"/>
                <w:sz w:val="20"/>
                <w:szCs w:val="20"/>
              </w:rPr>
              <w:t xml:space="preserve">VYKAZOVÁNÍ NEFAKTUROVANÉ VODY A NULOVÉ ZTRÁTY / MODEL PROVOZOVÁNÍ </w:t>
            </w:r>
          </w:p>
        </w:tc>
        <w:tc>
          <w:tcPr>
            <w:tcW w:w="1417" w:type="dxa"/>
            <w:tcBorders>
              <w:top w:val="nil"/>
              <w:left w:val="nil"/>
              <w:bottom w:val="single" w:sz="4" w:space="0" w:color="95B3D7"/>
              <w:right w:val="single" w:sz="4" w:space="0" w:color="FFFFFF"/>
            </w:tcBorders>
            <w:shd w:val="clear" w:color="8064A2" w:fill="8064A2"/>
            <w:tcMar>
              <w:top w:w="15" w:type="dxa"/>
              <w:left w:w="15" w:type="dxa"/>
              <w:bottom w:w="0" w:type="dxa"/>
              <w:right w:w="15" w:type="dxa"/>
            </w:tcMar>
            <w:vAlign w:val="center"/>
            <w:hideMark/>
          </w:tcPr>
          <w:p w14:paraId="7EDC7E68" w14:textId="77777777" w:rsidR="00984F5C" w:rsidRDefault="007731EA" w:rsidP="003B4FC2">
            <w:pPr>
              <w:jc w:val="center"/>
              <w:rPr>
                <w:rFonts w:ascii="Calibri Light" w:hAnsi="Calibri Light"/>
                <w:b/>
                <w:bCs/>
                <w:color w:val="FFFFFF"/>
                <w:sz w:val="20"/>
                <w:szCs w:val="20"/>
              </w:rPr>
            </w:pPr>
            <w:r>
              <w:rPr>
                <w:rFonts w:ascii="Calibri Light" w:hAnsi="Calibri Light"/>
                <w:b/>
                <w:bCs/>
                <w:color w:val="FFFFFF"/>
                <w:sz w:val="20"/>
                <w:szCs w:val="20"/>
              </w:rPr>
              <w:t>KOMBINOVANÝ</w:t>
            </w:r>
          </w:p>
        </w:tc>
        <w:tc>
          <w:tcPr>
            <w:tcW w:w="1045" w:type="dxa"/>
            <w:tcBorders>
              <w:top w:val="nil"/>
              <w:left w:val="nil"/>
              <w:bottom w:val="single" w:sz="4" w:space="0" w:color="95B3D7"/>
              <w:right w:val="single" w:sz="4" w:space="0" w:color="FFFFFF"/>
            </w:tcBorders>
            <w:shd w:val="clear" w:color="8064A2" w:fill="8064A2"/>
            <w:tcMar>
              <w:top w:w="15" w:type="dxa"/>
              <w:left w:w="15" w:type="dxa"/>
              <w:bottom w:w="0" w:type="dxa"/>
              <w:right w:w="15" w:type="dxa"/>
            </w:tcMar>
            <w:vAlign w:val="center"/>
            <w:hideMark/>
          </w:tcPr>
          <w:p w14:paraId="6BEA5E14" w14:textId="77777777" w:rsidR="00984F5C" w:rsidRDefault="007731EA" w:rsidP="003B4FC2">
            <w:pPr>
              <w:jc w:val="center"/>
              <w:rPr>
                <w:rFonts w:ascii="Calibri Light" w:hAnsi="Calibri Light"/>
                <w:b/>
                <w:bCs/>
                <w:color w:val="FFFFFF"/>
                <w:sz w:val="20"/>
                <w:szCs w:val="20"/>
              </w:rPr>
            </w:pPr>
            <w:r>
              <w:rPr>
                <w:rFonts w:ascii="Calibri Light" w:hAnsi="Calibri Light"/>
                <w:b/>
                <w:bCs/>
                <w:color w:val="FFFFFF"/>
                <w:sz w:val="20"/>
                <w:szCs w:val="20"/>
              </w:rPr>
              <w:t>ODDÍLNÝ</w:t>
            </w:r>
          </w:p>
        </w:tc>
        <w:tc>
          <w:tcPr>
            <w:tcW w:w="1558" w:type="dxa"/>
            <w:tcBorders>
              <w:top w:val="nil"/>
              <w:left w:val="nil"/>
              <w:bottom w:val="single" w:sz="4" w:space="0" w:color="95B3D7"/>
              <w:right w:val="single" w:sz="4" w:space="0" w:color="FFFFFF"/>
            </w:tcBorders>
            <w:shd w:val="clear" w:color="8064A2" w:fill="8064A2"/>
            <w:tcMar>
              <w:top w:w="15" w:type="dxa"/>
              <w:left w:w="15" w:type="dxa"/>
              <w:bottom w:w="0" w:type="dxa"/>
              <w:right w:w="15" w:type="dxa"/>
            </w:tcMar>
            <w:vAlign w:val="center"/>
            <w:hideMark/>
          </w:tcPr>
          <w:p w14:paraId="192820AD" w14:textId="77777777" w:rsidR="00984F5C" w:rsidRDefault="007731EA" w:rsidP="003B4FC2">
            <w:pPr>
              <w:jc w:val="center"/>
              <w:rPr>
                <w:rFonts w:ascii="Calibri Light" w:hAnsi="Calibri Light"/>
                <w:b/>
                <w:bCs/>
                <w:color w:val="FFFFFF"/>
                <w:sz w:val="20"/>
                <w:szCs w:val="20"/>
              </w:rPr>
            </w:pPr>
            <w:r>
              <w:rPr>
                <w:rFonts w:ascii="Calibri Light" w:hAnsi="Calibri Light"/>
                <w:b/>
                <w:bCs/>
                <w:color w:val="FFFFFF"/>
                <w:sz w:val="20"/>
                <w:szCs w:val="20"/>
              </w:rPr>
              <w:t>ODDÍLNÝ SERVISNÍ SMLOUVA</w:t>
            </w:r>
          </w:p>
        </w:tc>
        <w:tc>
          <w:tcPr>
            <w:tcW w:w="991" w:type="dxa"/>
            <w:tcBorders>
              <w:top w:val="nil"/>
              <w:left w:val="nil"/>
              <w:bottom w:val="single" w:sz="4" w:space="0" w:color="95B3D7"/>
              <w:right w:val="single" w:sz="4" w:space="0" w:color="FFFFFF"/>
            </w:tcBorders>
            <w:shd w:val="clear" w:color="8064A2" w:fill="8064A2"/>
            <w:tcMar>
              <w:top w:w="15" w:type="dxa"/>
              <w:left w:w="15" w:type="dxa"/>
              <w:bottom w:w="0" w:type="dxa"/>
              <w:right w:w="15" w:type="dxa"/>
            </w:tcMar>
            <w:vAlign w:val="center"/>
            <w:hideMark/>
          </w:tcPr>
          <w:p w14:paraId="337A469E" w14:textId="77777777" w:rsidR="00984F5C" w:rsidRDefault="007731EA" w:rsidP="003B4FC2">
            <w:pPr>
              <w:jc w:val="center"/>
              <w:rPr>
                <w:rFonts w:ascii="Calibri Light" w:hAnsi="Calibri Light"/>
                <w:b/>
                <w:bCs/>
                <w:color w:val="FFFFFF"/>
                <w:sz w:val="20"/>
                <w:szCs w:val="20"/>
              </w:rPr>
            </w:pPr>
            <w:r>
              <w:rPr>
                <w:rFonts w:ascii="Calibri Light" w:hAnsi="Calibri Light"/>
                <w:b/>
                <w:bCs/>
                <w:color w:val="FFFFFF"/>
                <w:sz w:val="20"/>
                <w:szCs w:val="20"/>
              </w:rPr>
              <w:t>SMÍŠENÝ</w:t>
            </w:r>
          </w:p>
        </w:tc>
        <w:tc>
          <w:tcPr>
            <w:tcW w:w="1417" w:type="dxa"/>
            <w:tcBorders>
              <w:top w:val="nil"/>
              <w:left w:val="nil"/>
              <w:bottom w:val="single" w:sz="4" w:space="0" w:color="95B3D7"/>
              <w:right w:val="nil"/>
            </w:tcBorders>
            <w:shd w:val="clear" w:color="8064A2" w:fill="8064A2"/>
            <w:tcMar>
              <w:top w:w="15" w:type="dxa"/>
              <w:left w:w="15" w:type="dxa"/>
              <w:bottom w:w="0" w:type="dxa"/>
              <w:right w:w="15" w:type="dxa"/>
            </w:tcMar>
            <w:vAlign w:val="center"/>
            <w:hideMark/>
          </w:tcPr>
          <w:p w14:paraId="74F3F6F5" w14:textId="77777777" w:rsidR="00984F5C" w:rsidRDefault="007731EA" w:rsidP="003B4FC2">
            <w:pPr>
              <w:jc w:val="center"/>
              <w:rPr>
                <w:rFonts w:ascii="Calibri Light" w:hAnsi="Calibri Light"/>
                <w:b/>
                <w:bCs/>
                <w:color w:val="FFFFFF"/>
                <w:sz w:val="20"/>
                <w:szCs w:val="20"/>
              </w:rPr>
            </w:pPr>
            <w:r>
              <w:rPr>
                <w:rFonts w:ascii="Calibri Light" w:hAnsi="Calibri Light"/>
                <w:b/>
                <w:bCs/>
                <w:color w:val="FFFFFF"/>
                <w:sz w:val="20"/>
                <w:szCs w:val="20"/>
              </w:rPr>
              <w:t>CELKEM</w:t>
            </w:r>
          </w:p>
        </w:tc>
      </w:tr>
      <w:tr w:rsidR="00984F5C" w14:paraId="2657ED3D" w14:textId="77777777" w:rsidTr="003B4FC2">
        <w:trPr>
          <w:trHeight w:val="308"/>
        </w:trPr>
        <w:tc>
          <w:tcPr>
            <w:tcW w:w="2621"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5744A654"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V.SKUPINA(&gt;10 000PŘ.OB.)</w:t>
            </w:r>
          </w:p>
        </w:tc>
        <w:tc>
          <w:tcPr>
            <w:tcW w:w="1417"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7FADC253" w14:textId="77777777" w:rsidR="00984F5C" w:rsidRDefault="00984F5C" w:rsidP="003B4FC2">
            <w:pPr>
              <w:jc w:val="center"/>
              <w:rPr>
                <w:rFonts w:ascii="Calibri Light" w:hAnsi="Calibri Light"/>
                <w:color w:val="000000"/>
                <w:sz w:val="20"/>
                <w:szCs w:val="20"/>
              </w:rPr>
            </w:pPr>
          </w:p>
        </w:tc>
        <w:tc>
          <w:tcPr>
            <w:tcW w:w="1045"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4804D3E0" w14:textId="77777777" w:rsidR="00984F5C" w:rsidRDefault="00984F5C" w:rsidP="003B4FC2">
            <w:pPr>
              <w:jc w:val="center"/>
              <w:rPr>
                <w:rFonts w:ascii="Calibri Light" w:hAnsi="Calibri Light"/>
                <w:color w:val="000000"/>
                <w:sz w:val="20"/>
                <w:szCs w:val="20"/>
              </w:rPr>
            </w:pPr>
          </w:p>
        </w:tc>
        <w:tc>
          <w:tcPr>
            <w:tcW w:w="1558"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7C411D9A" w14:textId="77777777" w:rsidR="00984F5C" w:rsidRDefault="00984F5C" w:rsidP="003B4FC2">
            <w:pPr>
              <w:jc w:val="center"/>
              <w:rPr>
                <w:rFonts w:ascii="Calibri Light" w:hAnsi="Calibri Light"/>
                <w:color w:val="000000"/>
                <w:sz w:val="20"/>
                <w:szCs w:val="20"/>
              </w:rPr>
            </w:pPr>
          </w:p>
        </w:tc>
        <w:tc>
          <w:tcPr>
            <w:tcW w:w="991"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691985FE"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1</w:t>
            </w:r>
          </w:p>
        </w:tc>
        <w:tc>
          <w:tcPr>
            <w:tcW w:w="1417" w:type="dxa"/>
            <w:tcBorders>
              <w:top w:val="nil"/>
              <w:left w:val="nil"/>
              <w:bottom w:val="single" w:sz="4" w:space="0" w:color="FFFFFF"/>
              <w:right w:val="nil"/>
            </w:tcBorders>
            <w:shd w:val="clear" w:color="CCC0DA" w:fill="CCC0DA"/>
            <w:tcMar>
              <w:top w:w="15" w:type="dxa"/>
              <w:left w:w="15" w:type="dxa"/>
              <w:bottom w:w="0" w:type="dxa"/>
              <w:right w:w="15" w:type="dxa"/>
            </w:tcMar>
            <w:vAlign w:val="center"/>
            <w:hideMark/>
          </w:tcPr>
          <w:p w14:paraId="13365497"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1</w:t>
            </w:r>
          </w:p>
        </w:tc>
      </w:tr>
      <w:tr w:rsidR="00984F5C" w14:paraId="307C9CED" w14:textId="77777777" w:rsidTr="003B4FC2">
        <w:trPr>
          <w:trHeight w:val="308"/>
        </w:trPr>
        <w:tc>
          <w:tcPr>
            <w:tcW w:w="2621" w:type="dxa"/>
            <w:tcBorders>
              <w:top w:val="nil"/>
              <w:left w:val="nil"/>
              <w:bottom w:val="single" w:sz="4" w:space="0" w:color="FFFFFF"/>
              <w:right w:val="single" w:sz="4" w:space="0" w:color="FFFFFF"/>
            </w:tcBorders>
            <w:shd w:val="clear" w:color="E5E0EC" w:fill="E5E0EC"/>
            <w:tcMar>
              <w:top w:w="15" w:type="dxa"/>
              <w:left w:w="15" w:type="dxa"/>
              <w:bottom w:w="0" w:type="dxa"/>
              <w:right w:w="15" w:type="dxa"/>
            </w:tcMar>
            <w:vAlign w:val="center"/>
            <w:hideMark/>
          </w:tcPr>
          <w:p w14:paraId="16350279"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VI.SKUPINA(&gt;1 000PŘ.OB.)</w:t>
            </w:r>
          </w:p>
        </w:tc>
        <w:tc>
          <w:tcPr>
            <w:tcW w:w="1417" w:type="dxa"/>
            <w:tcBorders>
              <w:top w:val="nil"/>
              <w:left w:val="nil"/>
              <w:bottom w:val="single" w:sz="4" w:space="0" w:color="FFFFFF"/>
              <w:right w:val="single" w:sz="4" w:space="0" w:color="FFFFFF"/>
            </w:tcBorders>
            <w:shd w:val="clear" w:color="E5E0EC" w:fill="E5E0EC"/>
            <w:tcMar>
              <w:top w:w="15" w:type="dxa"/>
              <w:left w:w="15" w:type="dxa"/>
              <w:bottom w:w="0" w:type="dxa"/>
              <w:right w:w="15" w:type="dxa"/>
            </w:tcMar>
            <w:vAlign w:val="center"/>
            <w:hideMark/>
          </w:tcPr>
          <w:p w14:paraId="0AAC901C"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2</w:t>
            </w:r>
          </w:p>
        </w:tc>
        <w:tc>
          <w:tcPr>
            <w:tcW w:w="1045" w:type="dxa"/>
            <w:tcBorders>
              <w:top w:val="nil"/>
              <w:left w:val="nil"/>
              <w:bottom w:val="single" w:sz="4" w:space="0" w:color="FFFFFF"/>
              <w:right w:val="single" w:sz="4" w:space="0" w:color="FFFFFF"/>
            </w:tcBorders>
            <w:shd w:val="clear" w:color="E5E0EC" w:fill="E5E0EC"/>
            <w:tcMar>
              <w:top w:w="15" w:type="dxa"/>
              <w:left w:w="15" w:type="dxa"/>
              <w:bottom w:w="0" w:type="dxa"/>
              <w:right w:w="15" w:type="dxa"/>
            </w:tcMar>
            <w:vAlign w:val="center"/>
            <w:hideMark/>
          </w:tcPr>
          <w:p w14:paraId="192145D6" w14:textId="77777777" w:rsidR="00984F5C" w:rsidRDefault="00984F5C" w:rsidP="003B4FC2">
            <w:pPr>
              <w:jc w:val="center"/>
              <w:rPr>
                <w:rFonts w:ascii="Calibri Light" w:hAnsi="Calibri Light"/>
                <w:color w:val="000000"/>
                <w:sz w:val="20"/>
                <w:szCs w:val="20"/>
              </w:rPr>
            </w:pPr>
          </w:p>
        </w:tc>
        <w:tc>
          <w:tcPr>
            <w:tcW w:w="1558" w:type="dxa"/>
            <w:tcBorders>
              <w:top w:val="nil"/>
              <w:left w:val="nil"/>
              <w:bottom w:val="single" w:sz="4" w:space="0" w:color="FFFFFF"/>
              <w:right w:val="single" w:sz="4" w:space="0" w:color="FFFFFF"/>
            </w:tcBorders>
            <w:shd w:val="clear" w:color="E5E0EC" w:fill="E5E0EC"/>
            <w:tcMar>
              <w:top w:w="15" w:type="dxa"/>
              <w:left w:w="15" w:type="dxa"/>
              <w:bottom w:w="0" w:type="dxa"/>
              <w:right w:w="15" w:type="dxa"/>
            </w:tcMar>
            <w:vAlign w:val="center"/>
            <w:hideMark/>
          </w:tcPr>
          <w:p w14:paraId="2C80D70B" w14:textId="77777777" w:rsidR="00984F5C" w:rsidRDefault="00984F5C" w:rsidP="003B4FC2">
            <w:pPr>
              <w:jc w:val="center"/>
              <w:rPr>
                <w:rFonts w:ascii="Calibri Light" w:hAnsi="Calibri Light"/>
                <w:color w:val="000000"/>
                <w:sz w:val="20"/>
                <w:szCs w:val="20"/>
              </w:rPr>
            </w:pPr>
          </w:p>
        </w:tc>
        <w:tc>
          <w:tcPr>
            <w:tcW w:w="991" w:type="dxa"/>
            <w:tcBorders>
              <w:top w:val="nil"/>
              <w:left w:val="nil"/>
              <w:bottom w:val="single" w:sz="4" w:space="0" w:color="FFFFFF"/>
              <w:right w:val="single" w:sz="4" w:space="0" w:color="FFFFFF"/>
            </w:tcBorders>
            <w:shd w:val="clear" w:color="E5E0EC" w:fill="E5E0EC"/>
            <w:tcMar>
              <w:top w:w="15" w:type="dxa"/>
              <w:left w:w="15" w:type="dxa"/>
              <w:bottom w:w="0" w:type="dxa"/>
              <w:right w:w="15" w:type="dxa"/>
            </w:tcMar>
            <w:vAlign w:val="center"/>
            <w:hideMark/>
          </w:tcPr>
          <w:p w14:paraId="65C69297"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3</w:t>
            </w:r>
          </w:p>
        </w:tc>
        <w:tc>
          <w:tcPr>
            <w:tcW w:w="1417" w:type="dxa"/>
            <w:tcBorders>
              <w:top w:val="nil"/>
              <w:left w:val="nil"/>
              <w:bottom w:val="single" w:sz="4" w:space="0" w:color="FFFFFF"/>
              <w:right w:val="nil"/>
            </w:tcBorders>
            <w:shd w:val="clear" w:color="E5E0EC" w:fill="E5E0EC"/>
            <w:tcMar>
              <w:top w:w="15" w:type="dxa"/>
              <w:left w:w="15" w:type="dxa"/>
              <w:bottom w:w="0" w:type="dxa"/>
              <w:right w:w="15" w:type="dxa"/>
            </w:tcMar>
            <w:vAlign w:val="center"/>
            <w:hideMark/>
          </w:tcPr>
          <w:p w14:paraId="0DF2A3A5"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5</w:t>
            </w:r>
          </w:p>
        </w:tc>
      </w:tr>
      <w:tr w:rsidR="00984F5C" w14:paraId="514722F2" w14:textId="77777777" w:rsidTr="003B4FC2">
        <w:trPr>
          <w:trHeight w:val="308"/>
        </w:trPr>
        <w:tc>
          <w:tcPr>
            <w:tcW w:w="2621"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379CFB7A"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VII.SKUPINA(&gt;300PŘ.OB.)</w:t>
            </w:r>
          </w:p>
        </w:tc>
        <w:tc>
          <w:tcPr>
            <w:tcW w:w="1417"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1C6846D2" w14:textId="77777777" w:rsidR="00984F5C" w:rsidRDefault="00984F5C" w:rsidP="003B4FC2">
            <w:pPr>
              <w:jc w:val="center"/>
              <w:rPr>
                <w:rFonts w:ascii="Calibri Light" w:hAnsi="Calibri Light"/>
                <w:color w:val="000000"/>
                <w:sz w:val="20"/>
                <w:szCs w:val="20"/>
              </w:rPr>
            </w:pPr>
          </w:p>
        </w:tc>
        <w:tc>
          <w:tcPr>
            <w:tcW w:w="1045"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6771B569"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2</w:t>
            </w:r>
          </w:p>
        </w:tc>
        <w:tc>
          <w:tcPr>
            <w:tcW w:w="1558"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10497628"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1</w:t>
            </w:r>
          </w:p>
        </w:tc>
        <w:tc>
          <w:tcPr>
            <w:tcW w:w="991" w:type="dxa"/>
            <w:tcBorders>
              <w:top w:val="nil"/>
              <w:left w:val="nil"/>
              <w:bottom w:val="single" w:sz="4" w:space="0" w:color="FFFFFF"/>
              <w:right w:val="single" w:sz="4" w:space="0" w:color="FFFFFF"/>
            </w:tcBorders>
            <w:shd w:val="clear" w:color="CCC0DA" w:fill="CCC0DA"/>
            <w:tcMar>
              <w:top w:w="15" w:type="dxa"/>
              <w:left w:w="15" w:type="dxa"/>
              <w:bottom w:w="0" w:type="dxa"/>
              <w:right w:w="15" w:type="dxa"/>
            </w:tcMar>
            <w:vAlign w:val="center"/>
            <w:hideMark/>
          </w:tcPr>
          <w:p w14:paraId="6D469D6B"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22</w:t>
            </w:r>
          </w:p>
        </w:tc>
        <w:tc>
          <w:tcPr>
            <w:tcW w:w="1417" w:type="dxa"/>
            <w:tcBorders>
              <w:top w:val="nil"/>
              <w:left w:val="nil"/>
              <w:bottom w:val="single" w:sz="4" w:space="0" w:color="FFFFFF"/>
              <w:right w:val="nil"/>
            </w:tcBorders>
            <w:shd w:val="clear" w:color="CCC0DA" w:fill="CCC0DA"/>
            <w:tcMar>
              <w:top w:w="15" w:type="dxa"/>
              <w:left w:w="15" w:type="dxa"/>
              <w:bottom w:w="0" w:type="dxa"/>
              <w:right w:w="15" w:type="dxa"/>
            </w:tcMar>
            <w:vAlign w:val="center"/>
            <w:hideMark/>
          </w:tcPr>
          <w:p w14:paraId="4911F740"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25</w:t>
            </w:r>
          </w:p>
        </w:tc>
      </w:tr>
      <w:tr w:rsidR="00984F5C" w14:paraId="77021C14" w14:textId="77777777" w:rsidTr="003B4FC2">
        <w:trPr>
          <w:trHeight w:val="308"/>
        </w:trPr>
        <w:tc>
          <w:tcPr>
            <w:tcW w:w="2621" w:type="dxa"/>
            <w:tcBorders>
              <w:top w:val="nil"/>
              <w:left w:val="nil"/>
              <w:bottom w:val="nil"/>
              <w:right w:val="single" w:sz="4" w:space="0" w:color="FFFFFF"/>
            </w:tcBorders>
            <w:shd w:val="clear" w:color="E5E0EC" w:fill="E5E0EC"/>
            <w:tcMar>
              <w:top w:w="15" w:type="dxa"/>
              <w:left w:w="15" w:type="dxa"/>
              <w:bottom w:w="0" w:type="dxa"/>
              <w:right w:w="15" w:type="dxa"/>
            </w:tcMar>
            <w:vAlign w:val="center"/>
            <w:hideMark/>
          </w:tcPr>
          <w:p w14:paraId="31148FCE"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VIII.SKUPINA(&lt;300PŘ.OB.)</w:t>
            </w:r>
          </w:p>
        </w:tc>
        <w:tc>
          <w:tcPr>
            <w:tcW w:w="1417" w:type="dxa"/>
            <w:tcBorders>
              <w:top w:val="nil"/>
              <w:left w:val="nil"/>
              <w:bottom w:val="nil"/>
              <w:right w:val="single" w:sz="4" w:space="0" w:color="FFFFFF"/>
            </w:tcBorders>
            <w:shd w:val="clear" w:color="E5E0EC" w:fill="E5E0EC"/>
            <w:tcMar>
              <w:top w:w="15" w:type="dxa"/>
              <w:left w:w="15" w:type="dxa"/>
              <w:bottom w:w="0" w:type="dxa"/>
              <w:right w:w="15" w:type="dxa"/>
            </w:tcMar>
            <w:vAlign w:val="center"/>
            <w:hideMark/>
          </w:tcPr>
          <w:p w14:paraId="7CDDAF45" w14:textId="77777777" w:rsidR="00984F5C" w:rsidRDefault="00984F5C" w:rsidP="003B4FC2">
            <w:pPr>
              <w:jc w:val="center"/>
              <w:rPr>
                <w:rFonts w:ascii="Calibri Light" w:hAnsi="Calibri Light"/>
                <w:color w:val="000000"/>
                <w:sz w:val="20"/>
                <w:szCs w:val="20"/>
              </w:rPr>
            </w:pPr>
          </w:p>
        </w:tc>
        <w:tc>
          <w:tcPr>
            <w:tcW w:w="1045" w:type="dxa"/>
            <w:tcBorders>
              <w:top w:val="nil"/>
              <w:left w:val="nil"/>
              <w:bottom w:val="nil"/>
              <w:right w:val="single" w:sz="4" w:space="0" w:color="FFFFFF"/>
            </w:tcBorders>
            <w:shd w:val="clear" w:color="E5E0EC" w:fill="E5E0EC"/>
            <w:tcMar>
              <w:top w:w="15" w:type="dxa"/>
              <w:left w:w="15" w:type="dxa"/>
              <w:bottom w:w="0" w:type="dxa"/>
              <w:right w:w="15" w:type="dxa"/>
            </w:tcMar>
            <w:vAlign w:val="center"/>
            <w:hideMark/>
          </w:tcPr>
          <w:p w14:paraId="5F99D74F"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6</w:t>
            </w:r>
          </w:p>
        </w:tc>
        <w:tc>
          <w:tcPr>
            <w:tcW w:w="1558" w:type="dxa"/>
            <w:tcBorders>
              <w:top w:val="nil"/>
              <w:left w:val="nil"/>
              <w:bottom w:val="nil"/>
              <w:right w:val="single" w:sz="4" w:space="0" w:color="FFFFFF"/>
            </w:tcBorders>
            <w:shd w:val="clear" w:color="E5E0EC" w:fill="E5E0EC"/>
            <w:tcMar>
              <w:top w:w="15" w:type="dxa"/>
              <w:left w:w="15" w:type="dxa"/>
              <w:bottom w:w="0" w:type="dxa"/>
              <w:right w:w="15" w:type="dxa"/>
            </w:tcMar>
            <w:vAlign w:val="center"/>
            <w:hideMark/>
          </w:tcPr>
          <w:p w14:paraId="2BE5EB9C"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4</w:t>
            </w:r>
          </w:p>
        </w:tc>
        <w:tc>
          <w:tcPr>
            <w:tcW w:w="991" w:type="dxa"/>
            <w:tcBorders>
              <w:top w:val="nil"/>
              <w:left w:val="nil"/>
              <w:bottom w:val="nil"/>
              <w:right w:val="single" w:sz="4" w:space="0" w:color="FFFFFF"/>
            </w:tcBorders>
            <w:shd w:val="clear" w:color="E5E0EC" w:fill="E5E0EC"/>
            <w:tcMar>
              <w:top w:w="15" w:type="dxa"/>
              <w:left w:w="15" w:type="dxa"/>
              <w:bottom w:w="0" w:type="dxa"/>
              <w:right w:w="15" w:type="dxa"/>
            </w:tcMar>
            <w:vAlign w:val="center"/>
            <w:hideMark/>
          </w:tcPr>
          <w:p w14:paraId="2E8C8774"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57</w:t>
            </w:r>
          </w:p>
        </w:tc>
        <w:tc>
          <w:tcPr>
            <w:tcW w:w="1417" w:type="dxa"/>
            <w:tcBorders>
              <w:top w:val="nil"/>
              <w:left w:val="nil"/>
              <w:bottom w:val="nil"/>
              <w:right w:val="nil"/>
            </w:tcBorders>
            <w:shd w:val="clear" w:color="E5E0EC" w:fill="E5E0EC"/>
            <w:tcMar>
              <w:top w:w="15" w:type="dxa"/>
              <w:left w:w="15" w:type="dxa"/>
              <w:bottom w:w="0" w:type="dxa"/>
              <w:right w:w="15" w:type="dxa"/>
            </w:tcMar>
            <w:vAlign w:val="center"/>
            <w:hideMark/>
          </w:tcPr>
          <w:p w14:paraId="6035476D" w14:textId="77777777" w:rsidR="00984F5C" w:rsidRDefault="007731EA" w:rsidP="003B4FC2">
            <w:pPr>
              <w:jc w:val="center"/>
              <w:rPr>
                <w:rFonts w:ascii="Calibri Light" w:hAnsi="Calibri Light"/>
                <w:color w:val="000000"/>
                <w:sz w:val="20"/>
                <w:szCs w:val="20"/>
              </w:rPr>
            </w:pPr>
            <w:r>
              <w:rPr>
                <w:rFonts w:ascii="Calibri Light" w:hAnsi="Calibri Light"/>
                <w:color w:val="000000"/>
                <w:sz w:val="20"/>
                <w:szCs w:val="20"/>
              </w:rPr>
              <w:t>67</w:t>
            </w:r>
          </w:p>
        </w:tc>
      </w:tr>
      <w:tr w:rsidR="00984F5C" w14:paraId="5046D5F9" w14:textId="77777777" w:rsidTr="003B4FC2">
        <w:trPr>
          <w:trHeight w:val="308"/>
        </w:trPr>
        <w:tc>
          <w:tcPr>
            <w:tcW w:w="0" w:type="auto"/>
            <w:tcBorders>
              <w:top w:val="single" w:sz="4" w:space="0" w:color="95B3D7"/>
              <w:left w:val="nil"/>
              <w:bottom w:val="nil"/>
              <w:right w:val="single" w:sz="4" w:space="0" w:color="FFFFFF"/>
            </w:tcBorders>
            <w:shd w:val="clear" w:color="CCC0DA" w:fill="CCC0DA"/>
            <w:noWrap/>
            <w:tcMar>
              <w:top w:w="15" w:type="dxa"/>
              <w:left w:w="15" w:type="dxa"/>
              <w:bottom w:w="0" w:type="dxa"/>
              <w:right w:w="15" w:type="dxa"/>
            </w:tcMar>
            <w:vAlign w:val="center"/>
            <w:hideMark/>
          </w:tcPr>
          <w:p w14:paraId="26FC124B" w14:textId="77777777" w:rsidR="00984F5C" w:rsidRDefault="007731EA" w:rsidP="003B4FC2">
            <w:pPr>
              <w:jc w:val="center"/>
              <w:rPr>
                <w:rFonts w:ascii="Calibri Light" w:hAnsi="Calibri Light"/>
                <w:b/>
                <w:bCs/>
                <w:color w:val="000000"/>
                <w:sz w:val="20"/>
                <w:szCs w:val="20"/>
              </w:rPr>
            </w:pPr>
            <w:r>
              <w:rPr>
                <w:rFonts w:ascii="Calibri Light" w:hAnsi="Calibri Light"/>
                <w:b/>
                <w:bCs/>
                <w:color w:val="000000"/>
                <w:sz w:val="20"/>
                <w:szCs w:val="20"/>
              </w:rPr>
              <w:t>POČET POROVNÁNÍ CELKEM</w:t>
            </w:r>
          </w:p>
        </w:tc>
        <w:tc>
          <w:tcPr>
            <w:tcW w:w="1417" w:type="dxa"/>
            <w:tcBorders>
              <w:top w:val="single" w:sz="4" w:space="0" w:color="95B3D7"/>
              <w:left w:val="nil"/>
              <w:bottom w:val="nil"/>
              <w:right w:val="single" w:sz="4" w:space="0" w:color="FFFFFF"/>
            </w:tcBorders>
            <w:shd w:val="clear" w:color="CCC0DA" w:fill="CCC0DA"/>
            <w:tcMar>
              <w:top w:w="15" w:type="dxa"/>
              <w:left w:w="15" w:type="dxa"/>
              <w:bottom w:w="0" w:type="dxa"/>
              <w:right w:w="15" w:type="dxa"/>
            </w:tcMar>
            <w:vAlign w:val="center"/>
            <w:hideMark/>
          </w:tcPr>
          <w:p w14:paraId="2F5697CC" w14:textId="77777777" w:rsidR="00984F5C" w:rsidRDefault="007731EA" w:rsidP="003B4FC2">
            <w:pPr>
              <w:jc w:val="center"/>
              <w:rPr>
                <w:rFonts w:ascii="Calibri Light" w:hAnsi="Calibri Light"/>
                <w:b/>
                <w:bCs/>
                <w:color w:val="000000"/>
                <w:sz w:val="20"/>
                <w:szCs w:val="20"/>
              </w:rPr>
            </w:pPr>
            <w:r>
              <w:rPr>
                <w:rFonts w:ascii="Calibri Light" w:hAnsi="Calibri Light"/>
                <w:b/>
                <w:bCs/>
                <w:color w:val="000000"/>
                <w:sz w:val="20"/>
                <w:szCs w:val="20"/>
              </w:rPr>
              <w:t>2</w:t>
            </w:r>
          </w:p>
        </w:tc>
        <w:tc>
          <w:tcPr>
            <w:tcW w:w="1045" w:type="dxa"/>
            <w:tcBorders>
              <w:top w:val="single" w:sz="4" w:space="0" w:color="95B3D7"/>
              <w:left w:val="nil"/>
              <w:bottom w:val="nil"/>
              <w:right w:val="single" w:sz="4" w:space="0" w:color="FFFFFF"/>
            </w:tcBorders>
            <w:shd w:val="clear" w:color="CCC0DA" w:fill="CCC0DA"/>
            <w:tcMar>
              <w:top w:w="15" w:type="dxa"/>
              <w:left w:w="15" w:type="dxa"/>
              <w:bottom w:w="0" w:type="dxa"/>
              <w:right w:w="15" w:type="dxa"/>
            </w:tcMar>
            <w:vAlign w:val="center"/>
            <w:hideMark/>
          </w:tcPr>
          <w:p w14:paraId="280A2AB4" w14:textId="77777777" w:rsidR="00984F5C" w:rsidRDefault="007731EA" w:rsidP="003B4FC2">
            <w:pPr>
              <w:jc w:val="center"/>
              <w:rPr>
                <w:rFonts w:ascii="Calibri Light" w:hAnsi="Calibri Light"/>
                <w:b/>
                <w:bCs/>
                <w:color w:val="000000"/>
                <w:sz w:val="20"/>
                <w:szCs w:val="20"/>
              </w:rPr>
            </w:pPr>
            <w:r>
              <w:rPr>
                <w:rFonts w:ascii="Calibri Light" w:hAnsi="Calibri Light"/>
                <w:b/>
                <w:bCs/>
                <w:color w:val="000000"/>
                <w:sz w:val="20"/>
                <w:szCs w:val="20"/>
              </w:rPr>
              <w:t>8</w:t>
            </w:r>
          </w:p>
        </w:tc>
        <w:tc>
          <w:tcPr>
            <w:tcW w:w="1558" w:type="dxa"/>
            <w:tcBorders>
              <w:top w:val="single" w:sz="4" w:space="0" w:color="95B3D7"/>
              <w:left w:val="nil"/>
              <w:bottom w:val="nil"/>
              <w:right w:val="single" w:sz="4" w:space="0" w:color="FFFFFF"/>
            </w:tcBorders>
            <w:shd w:val="clear" w:color="CCC0DA" w:fill="CCC0DA"/>
            <w:tcMar>
              <w:top w:w="15" w:type="dxa"/>
              <w:left w:w="15" w:type="dxa"/>
              <w:bottom w:w="0" w:type="dxa"/>
              <w:right w:w="15" w:type="dxa"/>
            </w:tcMar>
            <w:vAlign w:val="center"/>
            <w:hideMark/>
          </w:tcPr>
          <w:p w14:paraId="2914FAB5" w14:textId="77777777" w:rsidR="00984F5C" w:rsidRDefault="007731EA" w:rsidP="003B4FC2">
            <w:pPr>
              <w:jc w:val="center"/>
              <w:rPr>
                <w:rFonts w:ascii="Calibri Light" w:hAnsi="Calibri Light"/>
                <w:b/>
                <w:bCs/>
                <w:color w:val="000000"/>
                <w:sz w:val="20"/>
                <w:szCs w:val="20"/>
              </w:rPr>
            </w:pPr>
            <w:r>
              <w:rPr>
                <w:rFonts w:ascii="Calibri Light" w:hAnsi="Calibri Light"/>
                <w:b/>
                <w:bCs/>
                <w:color w:val="000000"/>
                <w:sz w:val="20"/>
                <w:szCs w:val="20"/>
              </w:rPr>
              <w:t>5</w:t>
            </w:r>
          </w:p>
        </w:tc>
        <w:tc>
          <w:tcPr>
            <w:tcW w:w="991" w:type="dxa"/>
            <w:tcBorders>
              <w:top w:val="single" w:sz="4" w:space="0" w:color="95B3D7"/>
              <w:left w:val="nil"/>
              <w:bottom w:val="nil"/>
              <w:right w:val="single" w:sz="4" w:space="0" w:color="FFFFFF"/>
            </w:tcBorders>
            <w:shd w:val="clear" w:color="CCC0DA" w:fill="CCC0DA"/>
            <w:tcMar>
              <w:top w:w="15" w:type="dxa"/>
              <w:left w:w="15" w:type="dxa"/>
              <w:bottom w:w="0" w:type="dxa"/>
              <w:right w:w="15" w:type="dxa"/>
            </w:tcMar>
            <w:vAlign w:val="center"/>
            <w:hideMark/>
          </w:tcPr>
          <w:p w14:paraId="24E2B7E4" w14:textId="77777777" w:rsidR="00984F5C" w:rsidRDefault="007731EA" w:rsidP="003B4FC2">
            <w:pPr>
              <w:jc w:val="center"/>
              <w:rPr>
                <w:rFonts w:ascii="Calibri Light" w:hAnsi="Calibri Light"/>
                <w:b/>
                <w:bCs/>
                <w:color w:val="000000"/>
                <w:sz w:val="20"/>
                <w:szCs w:val="20"/>
              </w:rPr>
            </w:pPr>
            <w:r>
              <w:rPr>
                <w:rFonts w:ascii="Calibri Light" w:hAnsi="Calibri Light"/>
                <w:b/>
                <w:bCs/>
                <w:color w:val="000000"/>
                <w:sz w:val="20"/>
                <w:szCs w:val="20"/>
              </w:rPr>
              <w:t>83</w:t>
            </w:r>
          </w:p>
        </w:tc>
        <w:tc>
          <w:tcPr>
            <w:tcW w:w="1417" w:type="dxa"/>
            <w:tcBorders>
              <w:top w:val="single" w:sz="4" w:space="0" w:color="95B3D7"/>
              <w:left w:val="nil"/>
              <w:bottom w:val="nil"/>
              <w:right w:val="nil"/>
            </w:tcBorders>
            <w:shd w:val="clear" w:color="CCC0DA" w:fill="CCC0DA"/>
            <w:tcMar>
              <w:top w:w="15" w:type="dxa"/>
              <w:left w:w="15" w:type="dxa"/>
              <w:bottom w:w="0" w:type="dxa"/>
              <w:right w:w="15" w:type="dxa"/>
            </w:tcMar>
            <w:vAlign w:val="center"/>
            <w:hideMark/>
          </w:tcPr>
          <w:p w14:paraId="28B559E8" w14:textId="77777777" w:rsidR="00984F5C" w:rsidRDefault="007731EA" w:rsidP="003B4FC2">
            <w:pPr>
              <w:jc w:val="center"/>
              <w:rPr>
                <w:rFonts w:ascii="Calibri Light" w:hAnsi="Calibri Light"/>
                <w:b/>
                <w:bCs/>
                <w:color w:val="000000"/>
                <w:sz w:val="20"/>
                <w:szCs w:val="20"/>
              </w:rPr>
            </w:pPr>
            <w:r>
              <w:rPr>
                <w:rFonts w:ascii="Calibri Light" w:hAnsi="Calibri Light"/>
                <w:b/>
                <w:bCs/>
                <w:color w:val="000000"/>
                <w:sz w:val="20"/>
                <w:szCs w:val="20"/>
              </w:rPr>
              <w:t>98</w:t>
            </w:r>
          </w:p>
        </w:tc>
      </w:tr>
    </w:tbl>
    <w:p w14:paraId="488B903E" w14:textId="77777777" w:rsidR="00984F5C" w:rsidRDefault="00984F5C" w:rsidP="00984F5C">
      <w:pPr>
        <w:spacing w:before="0" w:after="0"/>
        <w:contextualSpacing w:val="0"/>
        <w:jc w:val="left"/>
        <w:rPr>
          <w:noProof/>
        </w:rPr>
      </w:pPr>
    </w:p>
    <w:p w14:paraId="2D296BBF" w14:textId="77777777" w:rsidR="002B7D81" w:rsidRDefault="002B7D81" w:rsidP="00655941">
      <w:pPr>
        <w:pStyle w:val="NORMLN0"/>
      </w:pPr>
    </w:p>
    <w:p w14:paraId="29175455" w14:textId="0FD46A2A" w:rsidR="00984F5C" w:rsidRDefault="00984F5C" w:rsidP="00655941">
      <w:pPr>
        <w:pStyle w:val="NORMLN0"/>
      </w:pPr>
      <w:r>
        <w:t xml:space="preserve">Při bližším zkoumání </w:t>
      </w:r>
      <w:r w:rsidR="003C3A45">
        <w:t xml:space="preserve">dat </w:t>
      </w:r>
      <w:r>
        <w:t>v rámci provedených analýz</w:t>
      </w:r>
      <w:r w:rsidR="003C3A45">
        <w:t xml:space="preserve"> </w:t>
      </w:r>
      <w:r w:rsidR="004A7C01">
        <w:t>byly odhaleny</w:t>
      </w:r>
      <w:r>
        <w:t xml:space="preserve"> </w:t>
      </w:r>
      <w:r w:rsidR="003C3A45">
        <w:t>nedostatky</w:t>
      </w:r>
      <w:r>
        <w:t xml:space="preserve"> v</w:t>
      </w:r>
      <w:r w:rsidR="0012753A">
        <w:t xml:space="preserve"> pravidlech</w:t>
      </w:r>
      <w:r>
        <w:t xml:space="preserve"> vykazování nefakturované vody</w:t>
      </w:r>
      <w:r w:rsidR="003C3A45">
        <w:t>,</w:t>
      </w:r>
      <w:r>
        <w:t xml:space="preserve"> a to v případě vody vyrobené a spotřebované provozovatelem, </w:t>
      </w:r>
      <w:r w:rsidR="00C00687">
        <w:t xml:space="preserve">jehož </w:t>
      </w:r>
      <w:r>
        <w:t>primární činností není výroba a prodej pitné vody.</w:t>
      </w:r>
      <w:r w:rsidR="00BC03D3">
        <w:t xml:space="preserve"> </w:t>
      </w:r>
      <w:r>
        <w:t>Jedná se zejména o areálové vodovody, případně nefakturovaný odběr organizačním jednotkám zřízených komunálním provozovatelem (dům sociálních služeb, školky, atd</w:t>
      </w:r>
      <w:r w:rsidR="00682FFE">
        <w:t>.). Tyto subjekty v souvisejících</w:t>
      </w:r>
      <w:r>
        <w:t xml:space="preserve"> VÚPE vykazují často </w:t>
      </w:r>
      <w:r w:rsidR="00C00687">
        <w:t xml:space="preserve">za </w:t>
      </w:r>
      <w:r>
        <w:t xml:space="preserve">vodu nefakturovanou </w:t>
      </w:r>
      <w:r w:rsidRPr="000A2DB9">
        <w:t>i vodu, která byla spotřebovaná v provozech nesouvisejících s výrobou a distribucí pitné vody</w:t>
      </w:r>
      <w:r w:rsidR="00C00687">
        <w:t>,</w:t>
      </w:r>
      <w:r w:rsidR="004414AB">
        <w:t xml:space="preserve"> neb</w:t>
      </w:r>
      <w:r w:rsidR="0012753A">
        <w:t>o vodu, která neb</w:t>
      </w:r>
      <w:r w:rsidR="004414AB">
        <w:t>yla fakturována, ačkoliv fakturo</w:t>
      </w:r>
      <w:r w:rsidR="0012753A">
        <w:t>vána být měla (např. z důvodu neuzavřené smlouvy).</w:t>
      </w:r>
      <w:r w:rsidRPr="000A2DB9">
        <w:t xml:space="preserve"> </w:t>
      </w:r>
      <w:r w:rsidRPr="00770621">
        <w:rPr>
          <w:i/>
        </w:rPr>
        <w:t>Regulátor bude muset jednoznačně definovat pravidla vykazování bilančních údajů ve VÚPE a fakturované vody v</w:t>
      </w:r>
      <w:r w:rsidR="0012753A">
        <w:rPr>
          <w:i/>
        </w:rPr>
        <w:t> </w:t>
      </w:r>
      <w:r w:rsidRPr="00770621">
        <w:rPr>
          <w:i/>
        </w:rPr>
        <w:t>Porovnání</w:t>
      </w:r>
      <w:r w:rsidR="004414AB">
        <w:rPr>
          <w:i/>
        </w:rPr>
        <w:t xml:space="preserve"> (m</w:t>
      </w:r>
      <w:r w:rsidR="0012753A">
        <w:rPr>
          <w:i/>
        </w:rPr>
        <w:t>á dopad i na oblast kanalizaci v případě, že obec rozhodne</w:t>
      </w:r>
      <w:r w:rsidR="00D76860">
        <w:rPr>
          <w:i/>
        </w:rPr>
        <w:t xml:space="preserve"> odvádění odpadních a srážkových vod nefakturovat</w:t>
      </w:r>
      <w:r w:rsidR="0012753A">
        <w:rPr>
          <w:i/>
        </w:rPr>
        <w:t>).</w:t>
      </w:r>
    </w:p>
    <w:p w14:paraId="7F0B0177" w14:textId="77777777" w:rsidR="002B7D81" w:rsidRDefault="002B7D81" w:rsidP="00655941">
      <w:pPr>
        <w:pStyle w:val="NORMLN0"/>
      </w:pPr>
    </w:p>
    <w:p w14:paraId="64442219" w14:textId="77777777" w:rsidR="002B7D81" w:rsidRDefault="002B7D81" w:rsidP="00655941">
      <w:pPr>
        <w:pStyle w:val="NORMLN0"/>
      </w:pPr>
    </w:p>
    <w:p w14:paraId="24DCFA44" w14:textId="77777777" w:rsidR="00984F5C" w:rsidRDefault="00984F5C" w:rsidP="00655941">
      <w:pPr>
        <w:pStyle w:val="NORMLN0"/>
      </w:pPr>
      <w:r w:rsidRPr="005E19C0">
        <w:t>Následující tabulka uvádí hodnoty sledovaných ukazat</w:t>
      </w:r>
      <w:r>
        <w:t>e</w:t>
      </w:r>
      <w:r w:rsidRPr="005E19C0">
        <w:t xml:space="preserve">lů pro Porovnání, </w:t>
      </w:r>
      <w:r>
        <w:t>u kterých se podle VÚPE sledují ukazatele množství vody nefakturované a ztrát vod</w:t>
      </w:r>
      <w:r w:rsidR="004414AB">
        <w:t>y.</w:t>
      </w:r>
      <w:r w:rsidRPr="005E19C0">
        <w:t xml:space="preserve"> </w:t>
      </w:r>
    </w:p>
    <w:p w14:paraId="4C79CCBB" w14:textId="77777777" w:rsidR="00984F5C" w:rsidRDefault="00984F5C" w:rsidP="00984F5C">
      <w:pPr>
        <w:spacing w:before="0" w:after="0"/>
        <w:contextualSpacing w:val="0"/>
        <w:jc w:val="left"/>
        <w:rPr>
          <w:noProof/>
        </w:rPr>
      </w:pPr>
    </w:p>
    <w:tbl>
      <w:tblPr>
        <w:tblW w:w="8888" w:type="dxa"/>
        <w:jc w:val="center"/>
        <w:tblCellMar>
          <w:left w:w="70" w:type="dxa"/>
          <w:right w:w="70" w:type="dxa"/>
        </w:tblCellMar>
        <w:tblLook w:val="04A0" w:firstRow="1" w:lastRow="0" w:firstColumn="1" w:lastColumn="0" w:noHBand="0" w:noVBand="1"/>
      </w:tblPr>
      <w:tblGrid>
        <w:gridCol w:w="3306"/>
        <w:gridCol w:w="730"/>
        <w:gridCol w:w="817"/>
        <w:gridCol w:w="639"/>
        <w:gridCol w:w="1142"/>
        <w:gridCol w:w="892"/>
        <w:gridCol w:w="1362"/>
      </w:tblGrid>
      <w:tr w:rsidR="008F61DD" w:rsidRPr="007731EA" w14:paraId="44984834" w14:textId="77777777" w:rsidTr="004414AB">
        <w:trPr>
          <w:cantSplit/>
          <w:trHeight w:val="2307"/>
          <w:jc w:val="center"/>
        </w:trPr>
        <w:tc>
          <w:tcPr>
            <w:tcW w:w="3306" w:type="dxa"/>
            <w:tcBorders>
              <w:top w:val="nil"/>
              <w:left w:val="nil"/>
              <w:bottom w:val="single" w:sz="4" w:space="0" w:color="95B3D7"/>
              <w:right w:val="single" w:sz="4" w:space="0" w:color="FFFFFF"/>
            </w:tcBorders>
            <w:shd w:val="clear" w:color="4F81BD" w:fill="4F81BD"/>
            <w:vAlign w:val="center"/>
            <w:hideMark/>
          </w:tcPr>
          <w:p w14:paraId="77B00D74" w14:textId="77777777" w:rsidR="008F61DD" w:rsidRPr="007731EA" w:rsidRDefault="008F61DD" w:rsidP="003B4FC2">
            <w:pPr>
              <w:spacing w:before="0" w:after="0"/>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lastRenderedPageBreak/>
              <w:t>POROVNÁNÍ SE SLEDOVÁNÍM MNOŽSTVÍ VODY NEFAKTUROVANÉ A MNOŽSTVÍM ZTRÁT</w:t>
            </w:r>
          </w:p>
        </w:tc>
        <w:tc>
          <w:tcPr>
            <w:tcW w:w="730" w:type="dxa"/>
            <w:tcBorders>
              <w:top w:val="nil"/>
              <w:left w:val="single" w:sz="4" w:space="0" w:color="FFFFFF"/>
              <w:bottom w:val="single" w:sz="4" w:space="0" w:color="95B3D7"/>
              <w:right w:val="single" w:sz="4" w:space="0" w:color="FFFFFF"/>
            </w:tcBorders>
            <w:shd w:val="clear" w:color="4F81BD" w:fill="4F81BD"/>
            <w:textDirection w:val="btLr"/>
            <w:vAlign w:val="center"/>
            <w:hideMark/>
          </w:tcPr>
          <w:p w14:paraId="38010E15" w14:textId="77777777" w:rsidR="008F61DD" w:rsidRPr="007731EA" w:rsidRDefault="008F61DD" w:rsidP="007731EA">
            <w:pPr>
              <w:spacing w:before="0" w:after="0"/>
              <w:ind w:left="113" w:right="113"/>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VODA URČENÁ K REALIZACI (MIL. M3)</w:t>
            </w:r>
          </w:p>
        </w:tc>
        <w:tc>
          <w:tcPr>
            <w:tcW w:w="817" w:type="dxa"/>
            <w:tcBorders>
              <w:top w:val="nil"/>
              <w:left w:val="single" w:sz="4" w:space="0" w:color="FFFFFF"/>
              <w:bottom w:val="single" w:sz="4" w:space="0" w:color="95B3D7"/>
              <w:right w:val="single" w:sz="4" w:space="0" w:color="FFFFFF"/>
            </w:tcBorders>
            <w:shd w:val="clear" w:color="4F81BD" w:fill="4F81BD"/>
            <w:textDirection w:val="btLr"/>
            <w:vAlign w:val="center"/>
            <w:hideMark/>
          </w:tcPr>
          <w:p w14:paraId="1B8607AF" w14:textId="77777777" w:rsidR="008F61DD" w:rsidRPr="007731EA" w:rsidRDefault="008F61DD" w:rsidP="007731EA">
            <w:pPr>
              <w:spacing w:before="0" w:after="0"/>
              <w:ind w:left="113" w:right="113"/>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 xml:space="preserve">VODA NEFAKTUROVANÁ CELKEM </w:t>
            </w:r>
            <w:r w:rsidRPr="007731EA">
              <w:rPr>
                <w:rFonts w:asciiTheme="majorHAnsi" w:eastAsia="Times New Roman" w:hAnsiTheme="majorHAnsi"/>
                <w:b/>
                <w:bCs/>
                <w:color w:val="FFFFFF"/>
                <w:sz w:val="20"/>
                <w:szCs w:val="20"/>
                <w:lang w:eastAsia="cs-CZ"/>
              </w:rPr>
              <w:br/>
              <w:t>(MIL. M3)</w:t>
            </w:r>
          </w:p>
        </w:tc>
        <w:tc>
          <w:tcPr>
            <w:tcW w:w="639" w:type="dxa"/>
            <w:tcBorders>
              <w:top w:val="nil"/>
              <w:left w:val="single" w:sz="4" w:space="0" w:color="FFFFFF"/>
              <w:bottom w:val="single" w:sz="4" w:space="0" w:color="95B3D7"/>
              <w:right w:val="single" w:sz="4" w:space="0" w:color="FFFFFF"/>
            </w:tcBorders>
            <w:shd w:val="clear" w:color="4F81BD" w:fill="4F81BD"/>
            <w:textDirection w:val="btLr"/>
            <w:vAlign w:val="center"/>
            <w:hideMark/>
          </w:tcPr>
          <w:p w14:paraId="7FE1860F" w14:textId="77777777" w:rsidR="008F61DD" w:rsidRPr="007731EA" w:rsidRDefault="008F61DD" w:rsidP="007731EA">
            <w:pPr>
              <w:spacing w:before="0" w:after="0"/>
              <w:ind w:left="113" w:right="113"/>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ZTRÁTY VODY (MIL. M3)</w:t>
            </w:r>
          </w:p>
        </w:tc>
        <w:tc>
          <w:tcPr>
            <w:tcW w:w="1142" w:type="dxa"/>
            <w:tcBorders>
              <w:top w:val="nil"/>
              <w:left w:val="single" w:sz="4" w:space="0" w:color="FFFFFF"/>
              <w:bottom w:val="single" w:sz="4" w:space="0" w:color="95B3D7"/>
              <w:right w:val="single" w:sz="4" w:space="0" w:color="FFFFFF"/>
            </w:tcBorders>
            <w:shd w:val="clear" w:color="4F81BD" w:fill="4F81BD"/>
            <w:textDirection w:val="btLr"/>
            <w:vAlign w:val="center"/>
            <w:hideMark/>
          </w:tcPr>
          <w:p w14:paraId="09E0E437" w14:textId="77777777" w:rsidR="008F61DD" w:rsidRPr="007731EA" w:rsidRDefault="008F61DD" w:rsidP="007731EA">
            <w:pPr>
              <w:spacing w:before="0" w:after="0"/>
              <w:ind w:left="113" w:right="113"/>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PRŮMĚR - PODÍL NEFAKTUROVANÉ VODY NA VODĚ URČENÉ K REALIZACI (%)</w:t>
            </w:r>
          </w:p>
        </w:tc>
        <w:tc>
          <w:tcPr>
            <w:tcW w:w="892" w:type="dxa"/>
            <w:tcBorders>
              <w:top w:val="nil"/>
              <w:left w:val="single" w:sz="4" w:space="0" w:color="FFFFFF"/>
              <w:bottom w:val="single" w:sz="4" w:space="0" w:color="95B3D7"/>
              <w:right w:val="single" w:sz="4" w:space="0" w:color="FFFFFF"/>
            </w:tcBorders>
            <w:shd w:val="clear" w:color="4F81BD" w:fill="4F81BD"/>
            <w:textDirection w:val="btLr"/>
            <w:vAlign w:val="center"/>
            <w:hideMark/>
          </w:tcPr>
          <w:p w14:paraId="139FC1B6" w14:textId="77777777" w:rsidR="008F61DD" w:rsidRPr="007731EA" w:rsidRDefault="008F61DD" w:rsidP="007731EA">
            <w:pPr>
              <w:spacing w:before="0" w:after="0"/>
              <w:ind w:left="113" w:right="113"/>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PRŮMĚR - PODÍL ZTRÁT VODY NA VODĚ URČENÉ K REALIZACI (%)</w:t>
            </w:r>
          </w:p>
        </w:tc>
        <w:tc>
          <w:tcPr>
            <w:tcW w:w="1362" w:type="dxa"/>
            <w:tcBorders>
              <w:top w:val="nil"/>
              <w:left w:val="single" w:sz="4" w:space="0" w:color="FFFFFF"/>
              <w:bottom w:val="single" w:sz="4" w:space="0" w:color="95B3D7"/>
              <w:right w:val="nil"/>
            </w:tcBorders>
            <w:shd w:val="clear" w:color="4F81BD" w:fill="4F81BD"/>
            <w:textDirection w:val="btLr"/>
            <w:vAlign w:val="center"/>
            <w:hideMark/>
          </w:tcPr>
          <w:p w14:paraId="72D731A4" w14:textId="1C6FD412" w:rsidR="008F61DD" w:rsidRPr="007731EA" w:rsidRDefault="008F61DD" w:rsidP="007731EA">
            <w:pPr>
              <w:spacing w:before="0" w:after="0"/>
              <w:ind w:left="113" w:right="113"/>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PRŮMĚR - ZTRÁTY VODY NA 1 KM</w:t>
            </w:r>
            <w:r w:rsidR="00BC03D3">
              <w:rPr>
                <w:rFonts w:asciiTheme="majorHAnsi" w:eastAsia="Times New Roman" w:hAnsiTheme="majorHAnsi"/>
                <w:b/>
                <w:bCs/>
                <w:color w:val="FFFFFF"/>
                <w:sz w:val="20"/>
                <w:szCs w:val="20"/>
                <w:lang w:eastAsia="cs-CZ"/>
              </w:rPr>
              <w:t xml:space="preserve"> </w:t>
            </w:r>
            <w:r w:rsidRPr="007731EA">
              <w:rPr>
                <w:rFonts w:asciiTheme="majorHAnsi" w:eastAsia="Times New Roman" w:hAnsiTheme="majorHAnsi"/>
                <w:b/>
                <w:bCs/>
                <w:color w:val="FFFFFF"/>
                <w:sz w:val="20"/>
                <w:szCs w:val="20"/>
                <w:lang w:eastAsia="cs-CZ"/>
              </w:rPr>
              <w:t>PŘEPOČTENÉ DÉLKY VODOVODNÍHO ŘÁDU A DEN ((M3/KM)/DEN)</w:t>
            </w:r>
          </w:p>
        </w:tc>
      </w:tr>
      <w:tr w:rsidR="008F61DD" w:rsidRPr="007731EA" w14:paraId="1519A185" w14:textId="77777777" w:rsidTr="004414AB">
        <w:trPr>
          <w:trHeight w:val="226"/>
          <w:jc w:val="center"/>
        </w:trPr>
        <w:tc>
          <w:tcPr>
            <w:tcW w:w="3306" w:type="dxa"/>
            <w:tcBorders>
              <w:top w:val="single" w:sz="4" w:space="0" w:color="FFFFFF"/>
              <w:left w:val="nil"/>
              <w:bottom w:val="single" w:sz="4" w:space="0" w:color="FFFFFF"/>
              <w:right w:val="single" w:sz="4" w:space="0" w:color="FFFFFF"/>
            </w:tcBorders>
            <w:shd w:val="clear" w:color="B8CCE4" w:fill="B8CCE4"/>
            <w:noWrap/>
            <w:vAlign w:val="bottom"/>
            <w:hideMark/>
          </w:tcPr>
          <w:p w14:paraId="2116D4D3" w14:textId="77777777" w:rsidR="008F61DD" w:rsidRPr="007731EA" w:rsidRDefault="008F61DD" w:rsidP="003B4FC2">
            <w:pPr>
              <w:spacing w:before="0" w:after="0"/>
              <w:contextualSpacing w:val="0"/>
              <w:jc w:val="left"/>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I.SKUPINA(&gt;500 000PŘ.OB.)</w:t>
            </w:r>
          </w:p>
        </w:tc>
        <w:tc>
          <w:tcPr>
            <w:tcW w:w="73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3EF65A4"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207,02</w:t>
            </w:r>
          </w:p>
        </w:tc>
        <w:tc>
          <w:tcPr>
            <w:tcW w:w="81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21B06E5"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42,56</w:t>
            </w:r>
          </w:p>
        </w:tc>
        <w:tc>
          <w:tcPr>
            <w:tcW w:w="639"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31E42927"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37,07</w:t>
            </w:r>
          </w:p>
        </w:tc>
        <w:tc>
          <w:tcPr>
            <w:tcW w:w="114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90B8C38"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20,69</w:t>
            </w:r>
          </w:p>
        </w:tc>
        <w:tc>
          <w:tcPr>
            <w:tcW w:w="89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6B0F0C05"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17,85</w:t>
            </w:r>
          </w:p>
        </w:tc>
        <w:tc>
          <w:tcPr>
            <w:tcW w:w="1362" w:type="dxa"/>
            <w:tcBorders>
              <w:top w:val="single" w:sz="4" w:space="0" w:color="FFFFFF"/>
              <w:left w:val="single" w:sz="4" w:space="0" w:color="FFFFFF"/>
              <w:bottom w:val="single" w:sz="4" w:space="0" w:color="FFFFFF"/>
              <w:right w:val="nil"/>
            </w:tcBorders>
            <w:shd w:val="clear" w:color="B8CCE4" w:fill="B8CCE4"/>
            <w:noWrap/>
            <w:vAlign w:val="bottom"/>
            <w:hideMark/>
          </w:tcPr>
          <w:p w14:paraId="3B4D0730"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5,63</w:t>
            </w:r>
          </w:p>
        </w:tc>
      </w:tr>
      <w:tr w:rsidR="008F61DD" w:rsidRPr="007731EA" w14:paraId="680BD4C0" w14:textId="77777777" w:rsidTr="004414AB">
        <w:trPr>
          <w:trHeight w:val="226"/>
          <w:jc w:val="center"/>
        </w:trPr>
        <w:tc>
          <w:tcPr>
            <w:tcW w:w="3306" w:type="dxa"/>
            <w:tcBorders>
              <w:top w:val="single" w:sz="4" w:space="0" w:color="FFFFFF"/>
              <w:left w:val="nil"/>
              <w:bottom w:val="single" w:sz="4" w:space="0" w:color="FFFFFF"/>
              <w:right w:val="single" w:sz="4" w:space="0" w:color="FFFFFF"/>
            </w:tcBorders>
            <w:shd w:val="clear" w:color="DCE6F1" w:fill="DCE6F1"/>
            <w:noWrap/>
            <w:vAlign w:val="bottom"/>
            <w:hideMark/>
          </w:tcPr>
          <w:p w14:paraId="13562012" w14:textId="77777777" w:rsidR="008F61DD" w:rsidRPr="007731EA" w:rsidRDefault="008F61DD" w:rsidP="003B4FC2">
            <w:pPr>
              <w:spacing w:before="0" w:after="0"/>
              <w:contextualSpacing w:val="0"/>
              <w:jc w:val="left"/>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II.SKUPINA(&gt;200 000PŘ.OB.)</w:t>
            </w:r>
          </w:p>
        </w:tc>
        <w:tc>
          <w:tcPr>
            <w:tcW w:w="73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A190138"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54,60</w:t>
            </w:r>
          </w:p>
        </w:tc>
        <w:tc>
          <w:tcPr>
            <w:tcW w:w="817"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C50A167"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7,14</w:t>
            </w:r>
          </w:p>
        </w:tc>
        <w:tc>
          <w:tcPr>
            <w:tcW w:w="639"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1C4CC104"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6,71</w:t>
            </w:r>
          </w:p>
        </w:tc>
        <w:tc>
          <w:tcPr>
            <w:tcW w:w="114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47956CB3"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14,66</w:t>
            </w:r>
          </w:p>
        </w:tc>
        <w:tc>
          <w:tcPr>
            <w:tcW w:w="89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4A77FC59"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13,91</w:t>
            </w:r>
          </w:p>
        </w:tc>
        <w:tc>
          <w:tcPr>
            <w:tcW w:w="1362" w:type="dxa"/>
            <w:tcBorders>
              <w:top w:val="single" w:sz="4" w:space="0" w:color="FFFFFF"/>
              <w:left w:val="single" w:sz="4" w:space="0" w:color="FFFFFF"/>
              <w:bottom w:val="single" w:sz="4" w:space="0" w:color="FFFFFF"/>
              <w:right w:val="nil"/>
            </w:tcBorders>
            <w:shd w:val="clear" w:color="DCE6F1" w:fill="DCE6F1"/>
            <w:noWrap/>
            <w:vAlign w:val="bottom"/>
            <w:hideMark/>
          </w:tcPr>
          <w:p w14:paraId="7818BCB1"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5,51</w:t>
            </w:r>
          </w:p>
        </w:tc>
      </w:tr>
      <w:tr w:rsidR="008F61DD" w:rsidRPr="007731EA" w14:paraId="517B3AD1" w14:textId="77777777" w:rsidTr="004414AB">
        <w:trPr>
          <w:trHeight w:val="226"/>
          <w:jc w:val="center"/>
        </w:trPr>
        <w:tc>
          <w:tcPr>
            <w:tcW w:w="3306" w:type="dxa"/>
            <w:tcBorders>
              <w:top w:val="single" w:sz="4" w:space="0" w:color="FFFFFF"/>
              <w:left w:val="nil"/>
              <w:bottom w:val="single" w:sz="4" w:space="0" w:color="FFFFFF"/>
              <w:right w:val="single" w:sz="4" w:space="0" w:color="FFFFFF"/>
            </w:tcBorders>
            <w:shd w:val="clear" w:color="B8CCE4" w:fill="B8CCE4"/>
            <w:noWrap/>
            <w:vAlign w:val="bottom"/>
            <w:hideMark/>
          </w:tcPr>
          <w:p w14:paraId="28EDACBB" w14:textId="77777777" w:rsidR="008F61DD" w:rsidRPr="007731EA" w:rsidRDefault="008F61DD" w:rsidP="003B4FC2">
            <w:pPr>
              <w:spacing w:before="0" w:after="0"/>
              <w:contextualSpacing w:val="0"/>
              <w:jc w:val="left"/>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III.SKUPINA(&gt;100 000PŘ.OB.)</w:t>
            </w:r>
          </w:p>
        </w:tc>
        <w:tc>
          <w:tcPr>
            <w:tcW w:w="73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10859C0"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98,27</w:t>
            </w:r>
          </w:p>
        </w:tc>
        <w:tc>
          <w:tcPr>
            <w:tcW w:w="81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867F017"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20,41</w:t>
            </w:r>
          </w:p>
        </w:tc>
        <w:tc>
          <w:tcPr>
            <w:tcW w:w="639"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6729E49"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17,03</w:t>
            </w:r>
          </w:p>
        </w:tc>
        <w:tc>
          <w:tcPr>
            <w:tcW w:w="114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362F4125"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18,14</w:t>
            </w:r>
          </w:p>
        </w:tc>
        <w:tc>
          <w:tcPr>
            <w:tcW w:w="89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DE2EE20"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14,70</w:t>
            </w:r>
          </w:p>
        </w:tc>
        <w:tc>
          <w:tcPr>
            <w:tcW w:w="1362" w:type="dxa"/>
            <w:tcBorders>
              <w:top w:val="single" w:sz="4" w:space="0" w:color="FFFFFF"/>
              <w:left w:val="single" w:sz="4" w:space="0" w:color="FFFFFF"/>
              <w:bottom w:val="single" w:sz="4" w:space="0" w:color="FFFFFF"/>
              <w:right w:val="nil"/>
            </w:tcBorders>
            <w:shd w:val="clear" w:color="B8CCE4" w:fill="B8CCE4"/>
            <w:noWrap/>
            <w:vAlign w:val="bottom"/>
            <w:hideMark/>
          </w:tcPr>
          <w:p w14:paraId="15D6189F"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5,60</w:t>
            </w:r>
          </w:p>
        </w:tc>
      </w:tr>
      <w:tr w:rsidR="008F61DD" w:rsidRPr="007731EA" w14:paraId="71637BB1" w14:textId="77777777" w:rsidTr="004414AB">
        <w:trPr>
          <w:trHeight w:val="226"/>
          <w:jc w:val="center"/>
        </w:trPr>
        <w:tc>
          <w:tcPr>
            <w:tcW w:w="3306" w:type="dxa"/>
            <w:tcBorders>
              <w:top w:val="single" w:sz="4" w:space="0" w:color="FFFFFF"/>
              <w:left w:val="nil"/>
              <w:bottom w:val="single" w:sz="4" w:space="0" w:color="FFFFFF"/>
              <w:right w:val="single" w:sz="4" w:space="0" w:color="FFFFFF"/>
            </w:tcBorders>
            <w:shd w:val="clear" w:color="DCE6F1" w:fill="DCE6F1"/>
            <w:noWrap/>
            <w:vAlign w:val="bottom"/>
            <w:hideMark/>
          </w:tcPr>
          <w:p w14:paraId="7F8C4075" w14:textId="77777777" w:rsidR="008F61DD" w:rsidRPr="007731EA" w:rsidRDefault="008F61DD" w:rsidP="003B4FC2">
            <w:pPr>
              <w:spacing w:before="0" w:after="0"/>
              <w:contextualSpacing w:val="0"/>
              <w:jc w:val="left"/>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IV.SKUPINA(&gt;50 000PŘ.OB.)</w:t>
            </w:r>
          </w:p>
        </w:tc>
        <w:tc>
          <w:tcPr>
            <w:tcW w:w="73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4291D538"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68,96</w:t>
            </w:r>
          </w:p>
        </w:tc>
        <w:tc>
          <w:tcPr>
            <w:tcW w:w="817"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FADA3FA"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12,45</w:t>
            </w:r>
          </w:p>
        </w:tc>
        <w:tc>
          <w:tcPr>
            <w:tcW w:w="639"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3789777"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11,45</w:t>
            </w:r>
          </w:p>
        </w:tc>
        <w:tc>
          <w:tcPr>
            <w:tcW w:w="114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457B4ED"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17,96</w:t>
            </w:r>
          </w:p>
        </w:tc>
        <w:tc>
          <w:tcPr>
            <w:tcW w:w="89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3C4DC4F"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16,41</w:t>
            </w:r>
          </w:p>
        </w:tc>
        <w:tc>
          <w:tcPr>
            <w:tcW w:w="1362" w:type="dxa"/>
            <w:tcBorders>
              <w:top w:val="single" w:sz="4" w:space="0" w:color="FFFFFF"/>
              <w:left w:val="single" w:sz="4" w:space="0" w:color="FFFFFF"/>
              <w:bottom w:val="single" w:sz="4" w:space="0" w:color="FFFFFF"/>
              <w:right w:val="nil"/>
            </w:tcBorders>
            <w:shd w:val="clear" w:color="DCE6F1" w:fill="DCE6F1"/>
            <w:noWrap/>
            <w:vAlign w:val="bottom"/>
            <w:hideMark/>
          </w:tcPr>
          <w:p w14:paraId="1244B86A"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4,22</w:t>
            </w:r>
          </w:p>
        </w:tc>
      </w:tr>
      <w:tr w:rsidR="008F61DD" w:rsidRPr="007731EA" w14:paraId="48789511" w14:textId="77777777" w:rsidTr="004414AB">
        <w:trPr>
          <w:trHeight w:val="226"/>
          <w:jc w:val="center"/>
        </w:trPr>
        <w:tc>
          <w:tcPr>
            <w:tcW w:w="3306" w:type="dxa"/>
            <w:tcBorders>
              <w:top w:val="single" w:sz="4" w:space="0" w:color="FFFFFF"/>
              <w:left w:val="nil"/>
              <w:bottom w:val="single" w:sz="4" w:space="0" w:color="FFFFFF"/>
              <w:right w:val="single" w:sz="4" w:space="0" w:color="FFFFFF"/>
            </w:tcBorders>
            <w:shd w:val="clear" w:color="B8CCE4" w:fill="B8CCE4"/>
            <w:noWrap/>
            <w:vAlign w:val="bottom"/>
            <w:hideMark/>
          </w:tcPr>
          <w:p w14:paraId="108D368E" w14:textId="77777777" w:rsidR="008F61DD" w:rsidRPr="007731EA" w:rsidRDefault="008F61DD" w:rsidP="003B4FC2">
            <w:pPr>
              <w:spacing w:before="0" w:after="0"/>
              <w:contextualSpacing w:val="0"/>
              <w:jc w:val="left"/>
              <w:rPr>
                <w:rFonts w:asciiTheme="majorHAnsi" w:eastAsia="Times New Roman" w:hAnsiTheme="majorHAnsi"/>
                <w:b/>
                <w:color w:val="000000"/>
                <w:sz w:val="20"/>
                <w:szCs w:val="20"/>
                <w:lang w:eastAsia="cs-CZ"/>
              </w:rPr>
            </w:pPr>
            <w:r w:rsidRPr="007731EA">
              <w:rPr>
                <w:rFonts w:asciiTheme="majorHAnsi" w:eastAsia="Times New Roman" w:hAnsiTheme="majorHAnsi"/>
                <w:b/>
                <w:color w:val="000000"/>
                <w:sz w:val="20"/>
                <w:szCs w:val="20"/>
                <w:lang w:eastAsia="cs-CZ"/>
              </w:rPr>
              <w:t>V.SKUPINA (&gt;10 000PŘ.OB.)</w:t>
            </w:r>
          </w:p>
        </w:tc>
        <w:tc>
          <w:tcPr>
            <w:tcW w:w="73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472A5CD"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60,41</w:t>
            </w:r>
          </w:p>
        </w:tc>
        <w:tc>
          <w:tcPr>
            <w:tcW w:w="81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D4F7681"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13,72</w:t>
            </w:r>
          </w:p>
        </w:tc>
        <w:tc>
          <w:tcPr>
            <w:tcW w:w="639"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3C81DBD9"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12,04</w:t>
            </w:r>
          </w:p>
        </w:tc>
        <w:tc>
          <w:tcPr>
            <w:tcW w:w="114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5CDBFB62" w14:textId="77777777" w:rsidR="008F61DD" w:rsidRPr="007731EA" w:rsidRDefault="008F61DD" w:rsidP="003B4FC2">
            <w:pPr>
              <w:spacing w:before="0" w:after="0"/>
              <w:contextualSpacing w:val="0"/>
              <w:jc w:val="center"/>
              <w:rPr>
                <w:rFonts w:asciiTheme="majorHAnsi" w:eastAsia="Times New Roman" w:hAnsiTheme="majorHAnsi"/>
                <w:b/>
                <w:color w:val="000000"/>
                <w:sz w:val="20"/>
                <w:szCs w:val="20"/>
                <w:lang w:eastAsia="cs-CZ"/>
              </w:rPr>
            </w:pPr>
            <w:r w:rsidRPr="007731EA">
              <w:rPr>
                <w:rFonts w:asciiTheme="majorHAnsi" w:eastAsia="Times New Roman" w:hAnsiTheme="majorHAnsi"/>
                <w:b/>
                <w:color w:val="000000"/>
                <w:sz w:val="20"/>
                <w:szCs w:val="20"/>
                <w:lang w:eastAsia="cs-CZ"/>
              </w:rPr>
              <w:t>21,62</w:t>
            </w:r>
          </w:p>
        </w:tc>
        <w:tc>
          <w:tcPr>
            <w:tcW w:w="89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E47B97C" w14:textId="77777777" w:rsidR="008F61DD" w:rsidRPr="007731EA" w:rsidRDefault="008F61DD" w:rsidP="003B4FC2">
            <w:pPr>
              <w:spacing w:before="0" w:after="0"/>
              <w:contextualSpacing w:val="0"/>
              <w:jc w:val="center"/>
              <w:rPr>
                <w:rFonts w:asciiTheme="majorHAnsi" w:eastAsia="Times New Roman" w:hAnsiTheme="majorHAnsi"/>
                <w:b/>
                <w:color w:val="000000"/>
                <w:sz w:val="20"/>
                <w:szCs w:val="20"/>
                <w:lang w:eastAsia="cs-CZ"/>
              </w:rPr>
            </w:pPr>
            <w:r w:rsidRPr="007731EA">
              <w:rPr>
                <w:rFonts w:asciiTheme="majorHAnsi" w:eastAsia="Times New Roman" w:hAnsiTheme="majorHAnsi"/>
                <w:b/>
                <w:color w:val="000000"/>
                <w:sz w:val="20"/>
                <w:szCs w:val="20"/>
                <w:lang w:eastAsia="cs-CZ"/>
              </w:rPr>
              <w:t>18,80</w:t>
            </w:r>
          </w:p>
        </w:tc>
        <w:tc>
          <w:tcPr>
            <w:tcW w:w="1362" w:type="dxa"/>
            <w:tcBorders>
              <w:top w:val="single" w:sz="4" w:space="0" w:color="FFFFFF"/>
              <w:left w:val="single" w:sz="4" w:space="0" w:color="FFFFFF"/>
              <w:bottom w:val="single" w:sz="4" w:space="0" w:color="FFFFFF"/>
              <w:right w:val="nil"/>
            </w:tcBorders>
            <w:shd w:val="clear" w:color="B8CCE4" w:fill="B8CCE4"/>
            <w:noWrap/>
            <w:vAlign w:val="bottom"/>
            <w:hideMark/>
          </w:tcPr>
          <w:p w14:paraId="20A3D6EA" w14:textId="77777777" w:rsidR="008F61DD" w:rsidRPr="007731EA" w:rsidRDefault="008F61DD" w:rsidP="003B4FC2">
            <w:pPr>
              <w:spacing w:before="0" w:after="0"/>
              <w:contextualSpacing w:val="0"/>
              <w:jc w:val="center"/>
              <w:rPr>
                <w:rFonts w:asciiTheme="majorHAnsi" w:eastAsia="Times New Roman" w:hAnsiTheme="majorHAnsi"/>
                <w:b/>
                <w:color w:val="000000"/>
                <w:sz w:val="20"/>
                <w:szCs w:val="20"/>
                <w:lang w:eastAsia="cs-CZ"/>
              </w:rPr>
            </w:pPr>
            <w:r w:rsidRPr="007731EA">
              <w:rPr>
                <w:rFonts w:asciiTheme="majorHAnsi" w:eastAsia="Times New Roman" w:hAnsiTheme="majorHAnsi"/>
                <w:b/>
                <w:color w:val="000000"/>
                <w:sz w:val="20"/>
                <w:szCs w:val="20"/>
                <w:lang w:eastAsia="cs-CZ"/>
              </w:rPr>
              <w:t>6,16</w:t>
            </w:r>
          </w:p>
        </w:tc>
      </w:tr>
      <w:tr w:rsidR="008F61DD" w:rsidRPr="007731EA" w14:paraId="2E54627A" w14:textId="77777777" w:rsidTr="004414AB">
        <w:trPr>
          <w:trHeight w:val="226"/>
          <w:jc w:val="center"/>
        </w:trPr>
        <w:tc>
          <w:tcPr>
            <w:tcW w:w="3306" w:type="dxa"/>
            <w:tcBorders>
              <w:top w:val="single" w:sz="4" w:space="0" w:color="FFFFFF"/>
              <w:left w:val="nil"/>
              <w:bottom w:val="single" w:sz="4" w:space="0" w:color="FFFFFF"/>
              <w:right w:val="single" w:sz="4" w:space="0" w:color="FFFFFF"/>
            </w:tcBorders>
            <w:shd w:val="clear" w:color="DCE6F1" w:fill="DCE6F1"/>
            <w:noWrap/>
            <w:vAlign w:val="bottom"/>
            <w:hideMark/>
          </w:tcPr>
          <w:p w14:paraId="54FB80A5" w14:textId="77777777" w:rsidR="008F61DD" w:rsidRPr="007731EA" w:rsidRDefault="008F61DD" w:rsidP="003B4FC2">
            <w:pPr>
              <w:spacing w:before="0" w:after="0"/>
              <w:contextualSpacing w:val="0"/>
              <w:jc w:val="left"/>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VI.SKUPINA(&gt;1 000PŘ.OB.)</w:t>
            </w:r>
          </w:p>
        </w:tc>
        <w:tc>
          <w:tcPr>
            <w:tcW w:w="73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4F83211E"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44,64</w:t>
            </w:r>
          </w:p>
        </w:tc>
        <w:tc>
          <w:tcPr>
            <w:tcW w:w="817"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49A5A4E"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9,53</w:t>
            </w:r>
          </w:p>
        </w:tc>
        <w:tc>
          <w:tcPr>
            <w:tcW w:w="639"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0875D71"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8,06</w:t>
            </w:r>
          </w:p>
        </w:tc>
        <w:tc>
          <w:tcPr>
            <w:tcW w:w="114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4418A2AC"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20,51</w:t>
            </w:r>
          </w:p>
        </w:tc>
        <w:tc>
          <w:tcPr>
            <w:tcW w:w="89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00258C89"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16,99</w:t>
            </w:r>
          </w:p>
        </w:tc>
        <w:tc>
          <w:tcPr>
            <w:tcW w:w="1362" w:type="dxa"/>
            <w:tcBorders>
              <w:top w:val="single" w:sz="4" w:space="0" w:color="FFFFFF"/>
              <w:left w:val="single" w:sz="4" w:space="0" w:color="FFFFFF"/>
              <w:bottom w:val="single" w:sz="4" w:space="0" w:color="FFFFFF"/>
              <w:right w:val="nil"/>
            </w:tcBorders>
            <w:shd w:val="clear" w:color="DCE6F1" w:fill="DCE6F1"/>
            <w:noWrap/>
            <w:vAlign w:val="bottom"/>
            <w:hideMark/>
          </w:tcPr>
          <w:p w14:paraId="3B8D1466"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4,17</w:t>
            </w:r>
          </w:p>
        </w:tc>
      </w:tr>
      <w:tr w:rsidR="008F61DD" w:rsidRPr="007731EA" w14:paraId="07B2F36D" w14:textId="77777777" w:rsidTr="004414AB">
        <w:trPr>
          <w:trHeight w:val="226"/>
          <w:jc w:val="center"/>
        </w:trPr>
        <w:tc>
          <w:tcPr>
            <w:tcW w:w="3306" w:type="dxa"/>
            <w:tcBorders>
              <w:top w:val="single" w:sz="4" w:space="0" w:color="FFFFFF"/>
              <w:left w:val="nil"/>
              <w:bottom w:val="single" w:sz="4" w:space="0" w:color="FFFFFF"/>
              <w:right w:val="single" w:sz="4" w:space="0" w:color="FFFFFF"/>
            </w:tcBorders>
            <w:shd w:val="clear" w:color="B8CCE4" w:fill="B8CCE4"/>
            <w:noWrap/>
            <w:vAlign w:val="bottom"/>
            <w:hideMark/>
          </w:tcPr>
          <w:p w14:paraId="7652A6E0" w14:textId="77777777" w:rsidR="008F61DD" w:rsidRPr="007731EA" w:rsidRDefault="008F61DD" w:rsidP="003B4FC2">
            <w:pPr>
              <w:spacing w:before="0" w:after="0"/>
              <w:contextualSpacing w:val="0"/>
              <w:jc w:val="left"/>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VII.SKUPINA(&gt;300PŘ.OB.)</w:t>
            </w:r>
          </w:p>
        </w:tc>
        <w:tc>
          <w:tcPr>
            <w:tcW w:w="73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5BD8E74B"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11,58</w:t>
            </w:r>
          </w:p>
        </w:tc>
        <w:tc>
          <w:tcPr>
            <w:tcW w:w="817"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B2E1545"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2,52</w:t>
            </w:r>
          </w:p>
        </w:tc>
        <w:tc>
          <w:tcPr>
            <w:tcW w:w="639"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1F2B68F"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2,04</w:t>
            </w:r>
          </w:p>
        </w:tc>
        <w:tc>
          <w:tcPr>
            <w:tcW w:w="114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7525227"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20,43</w:t>
            </w:r>
          </w:p>
        </w:tc>
        <w:tc>
          <w:tcPr>
            <w:tcW w:w="89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C26A9F1"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16,35</w:t>
            </w:r>
          </w:p>
        </w:tc>
        <w:tc>
          <w:tcPr>
            <w:tcW w:w="1362" w:type="dxa"/>
            <w:tcBorders>
              <w:top w:val="single" w:sz="4" w:space="0" w:color="FFFFFF"/>
              <w:left w:val="single" w:sz="4" w:space="0" w:color="FFFFFF"/>
              <w:bottom w:val="single" w:sz="4" w:space="0" w:color="FFFFFF"/>
              <w:right w:val="nil"/>
            </w:tcBorders>
            <w:shd w:val="clear" w:color="B8CCE4" w:fill="B8CCE4"/>
            <w:noWrap/>
            <w:vAlign w:val="bottom"/>
            <w:hideMark/>
          </w:tcPr>
          <w:p w14:paraId="62523B1F"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2,79</w:t>
            </w:r>
          </w:p>
        </w:tc>
      </w:tr>
      <w:tr w:rsidR="008F61DD" w:rsidRPr="007731EA" w14:paraId="5B8C9850" w14:textId="77777777" w:rsidTr="004414AB">
        <w:trPr>
          <w:trHeight w:val="226"/>
          <w:jc w:val="center"/>
        </w:trPr>
        <w:tc>
          <w:tcPr>
            <w:tcW w:w="3306" w:type="dxa"/>
            <w:tcBorders>
              <w:top w:val="single" w:sz="4" w:space="0" w:color="FFFFFF"/>
              <w:left w:val="nil"/>
              <w:bottom w:val="single" w:sz="4" w:space="0" w:color="FFFFFF"/>
              <w:right w:val="single" w:sz="4" w:space="0" w:color="FFFFFF"/>
            </w:tcBorders>
            <w:shd w:val="clear" w:color="DCE6F1" w:fill="DCE6F1"/>
            <w:noWrap/>
            <w:vAlign w:val="bottom"/>
            <w:hideMark/>
          </w:tcPr>
          <w:p w14:paraId="773143EF" w14:textId="77777777" w:rsidR="008F61DD" w:rsidRPr="007731EA" w:rsidRDefault="008F61DD" w:rsidP="003B4FC2">
            <w:pPr>
              <w:spacing w:before="0" w:after="0"/>
              <w:contextualSpacing w:val="0"/>
              <w:jc w:val="left"/>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VIII.SKUPINA(&lt;300PŘ.OB.)</w:t>
            </w:r>
          </w:p>
        </w:tc>
        <w:tc>
          <w:tcPr>
            <w:tcW w:w="73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38080F87"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4,90</w:t>
            </w:r>
          </w:p>
        </w:tc>
        <w:tc>
          <w:tcPr>
            <w:tcW w:w="817"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28487082"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1,10</w:t>
            </w:r>
          </w:p>
        </w:tc>
        <w:tc>
          <w:tcPr>
            <w:tcW w:w="639"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E10E31F"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0,74</w:t>
            </w:r>
          </w:p>
        </w:tc>
        <w:tc>
          <w:tcPr>
            <w:tcW w:w="114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8E6096E"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21,07</w:t>
            </w:r>
          </w:p>
        </w:tc>
        <w:tc>
          <w:tcPr>
            <w:tcW w:w="89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C04B3D3"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14,95</w:t>
            </w:r>
          </w:p>
        </w:tc>
        <w:tc>
          <w:tcPr>
            <w:tcW w:w="1362" w:type="dxa"/>
            <w:tcBorders>
              <w:top w:val="single" w:sz="4" w:space="0" w:color="FFFFFF"/>
              <w:left w:val="single" w:sz="4" w:space="0" w:color="FFFFFF"/>
              <w:bottom w:val="single" w:sz="4" w:space="0" w:color="FFFFFF"/>
              <w:right w:val="nil"/>
            </w:tcBorders>
            <w:shd w:val="clear" w:color="DCE6F1" w:fill="DCE6F1"/>
            <w:noWrap/>
            <w:vAlign w:val="bottom"/>
            <w:hideMark/>
          </w:tcPr>
          <w:p w14:paraId="3B7390F3" w14:textId="77777777" w:rsidR="008F61DD" w:rsidRPr="007731EA" w:rsidRDefault="008F61DD" w:rsidP="003B4FC2">
            <w:pPr>
              <w:spacing w:before="0" w:after="0"/>
              <w:contextualSpacing w:val="0"/>
              <w:jc w:val="center"/>
              <w:rPr>
                <w:rFonts w:asciiTheme="majorHAnsi" w:eastAsia="Times New Roman" w:hAnsiTheme="majorHAnsi"/>
                <w:color w:val="000000"/>
                <w:sz w:val="20"/>
                <w:szCs w:val="20"/>
                <w:lang w:eastAsia="cs-CZ"/>
              </w:rPr>
            </w:pPr>
            <w:r w:rsidRPr="007731EA">
              <w:rPr>
                <w:rFonts w:asciiTheme="majorHAnsi" w:eastAsia="Times New Roman" w:hAnsiTheme="majorHAnsi"/>
                <w:color w:val="000000"/>
                <w:sz w:val="20"/>
                <w:szCs w:val="20"/>
                <w:lang w:eastAsia="cs-CZ"/>
              </w:rPr>
              <w:t>2,75</w:t>
            </w:r>
          </w:p>
        </w:tc>
      </w:tr>
      <w:tr w:rsidR="008F61DD" w:rsidRPr="007731EA" w14:paraId="13305FD8" w14:textId="77777777" w:rsidTr="004414AB">
        <w:trPr>
          <w:trHeight w:val="226"/>
          <w:jc w:val="center"/>
        </w:trPr>
        <w:tc>
          <w:tcPr>
            <w:tcW w:w="3306" w:type="dxa"/>
            <w:tcBorders>
              <w:top w:val="single" w:sz="4" w:space="0" w:color="95B3D7"/>
              <w:left w:val="nil"/>
              <w:bottom w:val="nil"/>
              <w:right w:val="single" w:sz="4" w:space="0" w:color="FFFFFF"/>
            </w:tcBorders>
            <w:shd w:val="clear" w:color="000000" w:fill="538DD5"/>
            <w:noWrap/>
            <w:vAlign w:val="bottom"/>
            <w:hideMark/>
          </w:tcPr>
          <w:p w14:paraId="3BBC0D54" w14:textId="77777777" w:rsidR="008F61DD" w:rsidRPr="007731EA" w:rsidRDefault="008F61DD" w:rsidP="003B4FC2">
            <w:pPr>
              <w:spacing w:before="0" w:after="0"/>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CELKEM</w:t>
            </w:r>
          </w:p>
        </w:tc>
        <w:tc>
          <w:tcPr>
            <w:tcW w:w="730" w:type="dxa"/>
            <w:tcBorders>
              <w:top w:val="single" w:sz="4" w:space="0" w:color="FFFFFF"/>
              <w:left w:val="single" w:sz="4" w:space="0" w:color="FFFFFF"/>
              <w:bottom w:val="nil"/>
              <w:right w:val="single" w:sz="4" w:space="0" w:color="FFFFFF"/>
            </w:tcBorders>
            <w:shd w:val="clear" w:color="000000" w:fill="538DD5"/>
            <w:noWrap/>
            <w:vAlign w:val="bottom"/>
            <w:hideMark/>
          </w:tcPr>
          <w:p w14:paraId="3858284E" w14:textId="77777777" w:rsidR="008F61DD" w:rsidRPr="007731EA" w:rsidRDefault="008F61DD" w:rsidP="003B4FC2">
            <w:pPr>
              <w:spacing w:before="0" w:after="0"/>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550,37</w:t>
            </w:r>
          </w:p>
        </w:tc>
        <w:tc>
          <w:tcPr>
            <w:tcW w:w="817" w:type="dxa"/>
            <w:tcBorders>
              <w:top w:val="single" w:sz="4" w:space="0" w:color="FFFFFF"/>
              <w:left w:val="single" w:sz="4" w:space="0" w:color="FFFFFF"/>
              <w:bottom w:val="nil"/>
              <w:right w:val="single" w:sz="4" w:space="0" w:color="FFFFFF"/>
            </w:tcBorders>
            <w:shd w:val="clear" w:color="000000" w:fill="538DD5"/>
            <w:noWrap/>
            <w:vAlign w:val="bottom"/>
            <w:hideMark/>
          </w:tcPr>
          <w:p w14:paraId="290F1B8B" w14:textId="77777777" w:rsidR="008F61DD" w:rsidRPr="007731EA" w:rsidRDefault="008F61DD" w:rsidP="003B4FC2">
            <w:pPr>
              <w:spacing w:before="0" w:after="0"/>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109,42</w:t>
            </w:r>
          </w:p>
        </w:tc>
        <w:tc>
          <w:tcPr>
            <w:tcW w:w="639" w:type="dxa"/>
            <w:tcBorders>
              <w:top w:val="single" w:sz="4" w:space="0" w:color="FFFFFF"/>
              <w:left w:val="single" w:sz="4" w:space="0" w:color="FFFFFF"/>
              <w:bottom w:val="nil"/>
              <w:right w:val="single" w:sz="4" w:space="0" w:color="FFFFFF"/>
            </w:tcBorders>
            <w:shd w:val="clear" w:color="000000" w:fill="538DD5"/>
            <w:noWrap/>
            <w:vAlign w:val="bottom"/>
            <w:hideMark/>
          </w:tcPr>
          <w:p w14:paraId="43A069DB" w14:textId="77777777" w:rsidR="008F61DD" w:rsidRPr="007731EA" w:rsidRDefault="008F61DD" w:rsidP="003B4FC2">
            <w:pPr>
              <w:spacing w:before="0" w:after="0"/>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95,13</w:t>
            </w:r>
          </w:p>
        </w:tc>
        <w:tc>
          <w:tcPr>
            <w:tcW w:w="1142" w:type="dxa"/>
            <w:tcBorders>
              <w:top w:val="single" w:sz="4" w:space="0" w:color="95B3D7"/>
              <w:left w:val="single" w:sz="4" w:space="0" w:color="FFFFFF"/>
              <w:bottom w:val="nil"/>
              <w:right w:val="single" w:sz="4" w:space="0" w:color="FFFFFF"/>
            </w:tcBorders>
            <w:shd w:val="clear" w:color="000000" w:fill="538DD5"/>
            <w:noWrap/>
            <w:vAlign w:val="bottom"/>
            <w:hideMark/>
          </w:tcPr>
          <w:p w14:paraId="7C09BF89" w14:textId="77777777" w:rsidR="008F61DD" w:rsidRPr="007731EA" w:rsidRDefault="008F61DD" w:rsidP="003B4FC2">
            <w:pPr>
              <w:spacing w:before="0" w:after="0"/>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20,60</w:t>
            </w:r>
          </w:p>
        </w:tc>
        <w:tc>
          <w:tcPr>
            <w:tcW w:w="892" w:type="dxa"/>
            <w:tcBorders>
              <w:top w:val="single" w:sz="4" w:space="0" w:color="95B3D7"/>
              <w:left w:val="single" w:sz="4" w:space="0" w:color="FFFFFF"/>
              <w:bottom w:val="nil"/>
              <w:right w:val="single" w:sz="4" w:space="0" w:color="FFFFFF"/>
            </w:tcBorders>
            <w:shd w:val="clear" w:color="000000" w:fill="538DD5"/>
            <w:noWrap/>
            <w:vAlign w:val="bottom"/>
            <w:hideMark/>
          </w:tcPr>
          <w:p w14:paraId="1D05E7D4" w14:textId="77777777" w:rsidR="008F61DD" w:rsidRPr="007731EA" w:rsidRDefault="008F61DD" w:rsidP="003B4FC2">
            <w:pPr>
              <w:spacing w:before="0" w:after="0"/>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16,20</w:t>
            </w:r>
          </w:p>
        </w:tc>
        <w:tc>
          <w:tcPr>
            <w:tcW w:w="1362" w:type="dxa"/>
            <w:tcBorders>
              <w:top w:val="single" w:sz="4" w:space="0" w:color="95B3D7"/>
              <w:left w:val="single" w:sz="4" w:space="0" w:color="FFFFFF"/>
              <w:bottom w:val="nil"/>
              <w:right w:val="nil"/>
            </w:tcBorders>
            <w:shd w:val="clear" w:color="000000" w:fill="538DD5"/>
            <w:noWrap/>
            <w:vAlign w:val="bottom"/>
            <w:hideMark/>
          </w:tcPr>
          <w:p w14:paraId="069B69A4" w14:textId="77777777" w:rsidR="008F61DD" w:rsidRPr="007731EA" w:rsidRDefault="008F61DD" w:rsidP="003B4FC2">
            <w:pPr>
              <w:spacing w:before="0" w:after="0"/>
              <w:contextualSpacing w:val="0"/>
              <w:jc w:val="center"/>
              <w:rPr>
                <w:rFonts w:asciiTheme="majorHAnsi" w:eastAsia="Times New Roman" w:hAnsiTheme="majorHAnsi"/>
                <w:b/>
                <w:bCs/>
                <w:color w:val="FFFFFF"/>
                <w:sz w:val="20"/>
                <w:szCs w:val="20"/>
                <w:lang w:eastAsia="cs-CZ"/>
              </w:rPr>
            </w:pPr>
            <w:r w:rsidRPr="007731EA">
              <w:rPr>
                <w:rFonts w:asciiTheme="majorHAnsi" w:eastAsia="Times New Roman" w:hAnsiTheme="majorHAnsi"/>
                <w:b/>
                <w:bCs/>
                <w:color w:val="FFFFFF"/>
                <w:sz w:val="20"/>
                <w:szCs w:val="20"/>
                <w:lang w:eastAsia="cs-CZ"/>
              </w:rPr>
              <w:t>3,35</w:t>
            </w:r>
          </w:p>
        </w:tc>
      </w:tr>
    </w:tbl>
    <w:p w14:paraId="41D99BD7" w14:textId="77777777" w:rsidR="00984F5C" w:rsidRDefault="00984F5C" w:rsidP="00984F5C">
      <w:pPr>
        <w:spacing w:before="0" w:after="0"/>
        <w:contextualSpacing w:val="0"/>
        <w:jc w:val="left"/>
        <w:rPr>
          <w:noProof/>
        </w:rPr>
      </w:pPr>
    </w:p>
    <w:p w14:paraId="543C4DB0" w14:textId="44F2EEB3" w:rsidR="00984F5C" w:rsidRDefault="00984F5C" w:rsidP="007731EA">
      <w:pPr>
        <w:pStyle w:val="NORMLN0"/>
      </w:pPr>
      <w:r>
        <w:t xml:space="preserve">Podle </w:t>
      </w:r>
      <w:r w:rsidR="00D76860">
        <w:t xml:space="preserve">výše </w:t>
      </w:r>
      <w:r>
        <w:t>průměrné hodnoty ukazatele</w:t>
      </w:r>
      <w:r w:rsidR="0012753A">
        <w:t xml:space="preserve"> ve skupině</w:t>
      </w:r>
      <w:r>
        <w:t xml:space="preserve"> podíl nefakturované vody na vodě určené k realizaci (21,62 %) a podílu ztrát vody na vodě určené k realizaci</w:t>
      </w:r>
      <w:r w:rsidR="004414AB">
        <w:t xml:space="preserve"> (18,80 %) lze za </w:t>
      </w:r>
      <w:r w:rsidR="004414AB" w:rsidRPr="004A7C01">
        <w:rPr>
          <w:i/>
        </w:rPr>
        <w:t>nejproblematičtější</w:t>
      </w:r>
      <w:r w:rsidRPr="004A7C01">
        <w:rPr>
          <w:i/>
        </w:rPr>
        <w:t xml:space="preserve"> skupinu označit V. provozovatelskou skupinu</w:t>
      </w:r>
      <w:r w:rsidR="005F337B">
        <w:t>.</w:t>
      </w:r>
      <w:r>
        <w:t xml:space="preserve"> </w:t>
      </w:r>
      <w:r w:rsidR="004414AB">
        <w:t xml:space="preserve">Lze </w:t>
      </w:r>
      <w:r>
        <w:t>předpokládat, že technický stav VIM u této skupiny není v porovn</w:t>
      </w:r>
      <w:r w:rsidR="004414AB">
        <w:t>á</w:t>
      </w:r>
      <w:r>
        <w:t>ní s o</w:t>
      </w:r>
      <w:r w:rsidR="004414AB">
        <w:t>s</w:t>
      </w:r>
      <w:r>
        <w:t>tatními skupinami v dobré kondici, čemu</w:t>
      </w:r>
      <w:r w:rsidR="0012753A">
        <w:t>ž</w:t>
      </w:r>
      <w:r>
        <w:t xml:space="preserve"> nasvědčuje průměrná hodnota ukazatele ztráty vody na 1 km přepočtené délky vodovodního řádu na 1 den</w:t>
      </w:r>
      <w:r w:rsidR="0012753A">
        <w:t xml:space="preserve"> ve výši</w:t>
      </w:r>
      <w:r>
        <w:t xml:space="preserve"> </w:t>
      </w:r>
      <w:r w:rsidRPr="00A40BE4">
        <w:t>6,16</w:t>
      </w:r>
      <w:r>
        <w:t xml:space="preserve"> m</w:t>
      </w:r>
      <w:r w:rsidRPr="00A40BE4">
        <w:rPr>
          <w:vertAlign w:val="superscript"/>
        </w:rPr>
        <w:t>3</w:t>
      </w:r>
      <w:r>
        <w:t xml:space="preserve">/km/den. </w:t>
      </w:r>
    </w:p>
    <w:p w14:paraId="04905C87" w14:textId="5C85BC97" w:rsidR="0001342A" w:rsidRDefault="002B7D81" w:rsidP="00603A45">
      <w:pPr>
        <w:pStyle w:val="NORMLN0"/>
        <w:rPr>
          <w:noProof/>
        </w:rPr>
      </w:pPr>
      <w:r>
        <w:rPr>
          <w:noProof/>
          <w:lang w:eastAsia="cs-CZ"/>
        </w:rPr>
        <w:drawing>
          <wp:anchor distT="0" distB="0" distL="114300" distR="114300" simplePos="0" relativeHeight="251663360" behindDoc="0" locked="0" layoutInCell="1" allowOverlap="1" wp14:anchorId="3A11A1F4" wp14:editId="517ED81E">
            <wp:simplePos x="0" y="0"/>
            <wp:positionH relativeFrom="margin">
              <wp:posOffset>-380365</wp:posOffset>
            </wp:positionH>
            <wp:positionV relativeFrom="paragraph">
              <wp:posOffset>494665</wp:posOffset>
            </wp:positionV>
            <wp:extent cx="6174105" cy="4004945"/>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74105" cy="4004945"/>
                    </a:xfrm>
                    <a:prstGeom prst="rect">
                      <a:avLst/>
                    </a:prstGeom>
                    <a:noFill/>
                  </pic:spPr>
                </pic:pic>
              </a:graphicData>
            </a:graphic>
            <wp14:sizeRelH relativeFrom="margin">
              <wp14:pctWidth>0</wp14:pctWidth>
            </wp14:sizeRelH>
            <wp14:sizeRelV relativeFrom="margin">
              <wp14:pctHeight>0</wp14:pctHeight>
            </wp14:sizeRelV>
          </wp:anchor>
        </w:drawing>
      </w:r>
      <w:r w:rsidR="00984F5C">
        <w:rPr>
          <w:noProof/>
        </w:rPr>
        <w:t xml:space="preserve">V následujícím grafu jsou znázorněny průměrné hodnoty podílu nefakturované vody a ztrát vody na vodě určené k realizaci pro jednotlivé skupiny. </w:t>
      </w:r>
      <w:r w:rsidR="0001342A">
        <w:rPr>
          <w:noProof/>
        </w:rPr>
        <w:br w:type="page"/>
      </w:r>
    </w:p>
    <w:p w14:paraId="313A6BD4" w14:textId="77777777" w:rsidR="0099530A" w:rsidRDefault="008D2461" w:rsidP="004B35ED">
      <w:pPr>
        <w:pStyle w:val="Nadpis3"/>
        <w:rPr>
          <w:noProof/>
        </w:rPr>
      </w:pPr>
      <w:bookmarkStart w:id="54" w:name="_Toc3292012"/>
      <w:r w:rsidRPr="00C62639">
        <w:rPr>
          <w:noProof/>
        </w:rPr>
        <w:lastRenderedPageBreak/>
        <w:t>Kanalizace</w:t>
      </w:r>
      <w:bookmarkEnd w:id="54"/>
    </w:p>
    <w:p w14:paraId="2947741E" w14:textId="1CA6ABBA" w:rsidR="00F9748B" w:rsidRDefault="00526683" w:rsidP="00446335">
      <w:pPr>
        <w:pStyle w:val="NORMLN0"/>
      </w:pPr>
      <w:r>
        <w:rPr>
          <w:noProof/>
          <w:lang w:eastAsia="cs-CZ"/>
        </w:rPr>
        <w:drawing>
          <wp:anchor distT="0" distB="0" distL="114300" distR="114300" simplePos="0" relativeHeight="251683840" behindDoc="0" locked="0" layoutInCell="1" allowOverlap="1" wp14:anchorId="0A35E5DF" wp14:editId="50C04FDD">
            <wp:simplePos x="0" y="0"/>
            <wp:positionH relativeFrom="margin">
              <wp:posOffset>126365</wp:posOffset>
            </wp:positionH>
            <wp:positionV relativeFrom="paragraph">
              <wp:posOffset>1250950</wp:posOffset>
            </wp:positionV>
            <wp:extent cx="5218430" cy="3192780"/>
            <wp:effectExtent l="0" t="0" r="1270" b="7620"/>
            <wp:wrapTopAndBottom/>
            <wp:docPr id="46" name="Graf 4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EBC6DCC-3E44-4C1F-AB0F-EC12EC694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4E5FFE" w:rsidRPr="00C410C4">
        <w:t xml:space="preserve">V rámci benchmarkingu provozovatelských subjektů v části týkající se kanalizace bylo posuzováno </w:t>
      </w:r>
      <w:r w:rsidR="00CF66D5">
        <w:t>2</w:t>
      </w:r>
      <w:r w:rsidR="00D76860">
        <w:t xml:space="preserve"> </w:t>
      </w:r>
      <w:r w:rsidR="00CF66D5">
        <w:t>005</w:t>
      </w:r>
      <w:r w:rsidR="004E5FFE" w:rsidRPr="00C410C4">
        <w:t xml:space="preserve"> Porovnání, která představují </w:t>
      </w:r>
      <w:r w:rsidR="00CF66D5">
        <w:t>97,79</w:t>
      </w:r>
      <w:r w:rsidR="004E5FFE" w:rsidRPr="00C410C4">
        <w:t>% podíl trhu určený na základě množství vody odpadní a srážkové fakturované (tj.</w:t>
      </w:r>
      <w:r w:rsidR="00CF66D5" w:rsidRPr="00CE5B91">
        <w:t xml:space="preserve"> </w:t>
      </w:r>
      <w:r w:rsidR="00CF66D5">
        <w:t>499,502</w:t>
      </w:r>
      <w:r w:rsidR="004E5FFE" w:rsidRPr="00C410C4">
        <w:t xml:space="preserve"> </w:t>
      </w:r>
      <w:r w:rsidR="00E27252">
        <w:t>mil. m</w:t>
      </w:r>
      <w:r w:rsidR="00E27252" w:rsidRPr="00E27252">
        <w:rPr>
          <w:vertAlign w:val="superscript"/>
        </w:rPr>
        <w:t>3</w:t>
      </w:r>
      <w:r w:rsidR="004E5FFE" w:rsidRPr="00C410C4">
        <w:t xml:space="preserve"> z celkových </w:t>
      </w:r>
      <w:r w:rsidR="00F4239E">
        <w:t>510,81</w:t>
      </w:r>
      <w:r w:rsidR="004E5FFE" w:rsidRPr="00C410C4">
        <w:t xml:space="preserve"> </w:t>
      </w:r>
      <w:r w:rsidR="00E27252">
        <w:t>mil. m</w:t>
      </w:r>
      <w:r w:rsidR="00E27252" w:rsidRPr="00E27252">
        <w:rPr>
          <w:vertAlign w:val="superscript"/>
        </w:rPr>
        <w:t>3</w:t>
      </w:r>
      <w:r w:rsidR="004E5FFE" w:rsidRPr="00C410C4">
        <w:t>).</w:t>
      </w:r>
      <w:r w:rsidR="00B26631">
        <w:t xml:space="preserve"> </w:t>
      </w:r>
      <w:r w:rsidR="004E5FFE" w:rsidRPr="00C410C4">
        <w:t>Celkem se vyskytuje alespoň jedna anomálie v</w:t>
      </w:r>
      <w:r>
        <w:t> 76,34</w:t>
      </w:r>
      <w:r w:rsidR="004E5FFE" w:rsidRPr="00C410C4">
        <w:t xml:space="preserve"> % analyzovaných Porovnání, tj. na </w:t>
      </w:r>
      <w:r>
        <w:t>1 531</w:t>
      </w:r>
      <w:r w:rsidR="004414AB">
        <w:t> </w:t>
      </w:r>
      <w:r w:rsidR="004E5FFE" w:rsidRPr="00C410C4">
        <w:t>Porovnáních. Z hlediska o</w:t>
      </w:r>
      <w:r w:rsidR="00C410C4">
        <w:t>b</w:t>
      </w:r>
      <w:r w:rsidR="004E5FFE" w:rsidRPr="00C410C4">
        <w:t xml:space="preserve">jemu odpadní a srážkové vody fakturované je anomáliemi zasažen </w:t>
      </w:r>
      <w:r>
        <w:t>29,02</w:t>
      </w:r>
      <w:r w:rsidR="004E5FFE" w:rsidRPr="00C410C4">
        <w:t>% podíl analyzovaného trhu (</w:t>
      </w:r>
      <w:r>
        <w:t>144,97</w:t>
      </w:r>
      <w:r w:rsidR="0001342A">
        <w:t xml:space="preserve"> </w:t>
      </w:r>
      <w:r w:rsidR="00E27252">
        <w:t>mil. m</w:t>
      </w:r>
      <w:r w:rsidR="00E27252" w:rsidRPr="00E27252">
        <w:rPr>
          <w:vertAlign w:val="superscript"/>
        </w:rPr>
        <w:t>3</w:t>
      </w:r>
      <w:r w:rsidR="004E5FFE" w:rsidRPr="00C410C4">
        <w:t>).</w:t>
      </w:r>
    </w:p>
    <w:p w14:paraId="353E5D0B" w14:textId="77777777" w:rsidR="004E5FFE" w:rsidRDefault="004E5FFE" w:rsidP="00C410C4">
      <w:pPr>
        <w:pStyle w:val="Normlnzprva"/>
      </w:pPr>
    </w:p>
    <w:p w14:paraId="3484470A" w14:textId="77777777" w:rsidR="008F1500" w:rsidRDefault="009E0877" w:rsidP="00446335">
      <w:pPr>
        <w:pStyle w:val="NORMLN0"/>
      </w:pPr>
      <w:r w:rsidRPr="00C410C4">
        <w:t>Následující tabulka uvádí četnost v</w:t>
      </w:r>
      <w:r w:rsidR="00C410C4" w:rsidRPr="00C410C4">
        <w:t>ýskytu jednotliv</w:t>
      </w:r>
      <w:r w:rsidR="00C410C4">
        <w:t>ý</w:t>
      </w:r>
      <w:r w:rsidRPr="00C410C4">
        <w:t xml:space="preserve">ch identifikovaných anomálií u </w:t>
      </w:r>
      <w:r w:rsidR="00F46A27" w:rsidRPr="00C410C4">
        <w:t xml:space="preserve">analyzovaných </w:t>
      </w:r>
      <w:r w:rsidRPr="00C410C4">
        <w:t>Porovnání</w:t>
      </w:r>
      <w:r w:rsidR="00F32221">
        <w:t>.</w:t>
      </w:r>
    </w:p>
    <w:p w14:paraId="51A60E84" w14:textId="77777777" w:rsidR="00F9748B" w:rsidRDefault="00526683" w:rsidP="00C410C4">
      <w:pPr>
        <w:pStyle w:val="Normlnzprva"/>
      </w:pPr>
      <w:r w:rsidRPr="00526683">
        <w:rPr>
          <w:noProof/>
          <w:lang w:eastAsia="cs-CZ"/>
        </w:rPr>
        <w:drawing>
          <wp:anchor distT="0" distB="0" distL="114300" distR="114300" simplePos="0" relativeHeight="251684864" behindDoc="0" locked="0" layoutInCell="1" allowOverlap="1" wp14:anchorId="7CC49F6F" wp14:editId="1E255079">
            <wp:simplePos x="0" y="0"/>
            <wp:positionH relativeFrom="margin">
              <wp:align>center</wp:align>
            </wp:positionH>
            <wp:positionV relativeFrom="paragraph">
              <wp:posOffset>159026</wp:posOffset>
            </wp:positionV>
            <wp:extent cx="6000750" cy="2981325"/>
            <wp:effectExtent l="0" t="0" r="0" b="9525"/>
            <wp:wrapTopAndBottom/>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00750" cy="2981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87CD85" w14:textId="10A2948F" w:rsidR="00672C35" w:rsidRDefault="000448AE" w:rsidP="00446335">
      <w:pPr>
        <w:pStyle w:val="NORMLN0"/>
      </w:pPr>
      <w:r w:rsidRPr="00526683">
        <w:lastRenderedPageBreak/>
        <w:t xml:space="preserve">Z hlediska </w:t>
      </w:r>
      <w:r w:rsidR="001A7DEE" w:rsidRPr="00526683">
        <w:t>objemu fakturované</w:t>
      </w:r>
      <w:r w:rsidRPr="00526683">
        <w:t xml:space="preserve"> vody</w:t>
      </w:r>
      <w:r w:rsidR="001A7DEE" w:rsidRPr="00526683">
        <w:t xml:space="preserve"> odpadní včetně srážkové </w:t>
      </w:r>
      <w:r w:rsidR="0002462E" w:rsidRPr="00526683">
        <w:t xml:space="preserve">je </w:t>
      </w:r>
      <w:r w:rsidR="001A7DEE" w:rsidRPr="00526683">
        <w:t>nevýznamnější anomáli</w:t>
      </w:r>
      <w:r w:rsidR="0002462E" w:rsidRPr="00526683">
        <w:t>i</w:t>
      </w:r>
      <w:r w:rsidR="001A7DEE" w:rsidRPr="00526683">
        <w:t xml:space="preserve"> </w:t>
      </w:r>
      <w:r w:rsidR="0078718D" w:rsidRPr="00526683">
        <w:rPr>
          <w:b/>
        </w:rPr>
        <w:t>vysok</w:t>
      </w:r>
      <w:r w:rsidR="00EA45F0" w:rsidRPr="00526683">
        <w:rPr>
          <w:b/>
        </w:rPr>
        <w:t>ý</w:t>
      </w:r>
      <w:r w:rsidR="0078718D" w:rsidRPr="00526683">
        <w:rPr>
          <w:b/>
        </w:rPr>
        <w:t xml:space="preserve"> podíl zisku </w:t>
      </w:r>
      <w:r w:rsidR="00692EA0" w:rsidRPr="00526683">
        <w:rPr>
          <w:b/>
        </w:rPr>
        <w:t>k</w:t>
      </w:r>
      <w:r w:rsidR="0078718D" w:rsidRPr="00526683">
        <w:rPr>
          <w:b/>
        </w:rPr>
        <w:t xml:space="preserve"> </w:t>
      </w:r>
      <w:r w:rsidR="00692EA0" w:rsidRPr="00526683">
        <w:rPr>
          <w:b/>
        </w:rPr>
        <w:t xml:space="preserve">rozdělení </w:t>
      </w:r>
      <w:r w:rsidR="00F32221" w:rsidRPr="00526683">
        <w:rPr>
          <w:b/>
        </w:rPr>
        <w:t>na ÚVN</w:t>
      </w:r>
      <w:r w:rsidR="00EA45F0" w:rsidRPr="00526683">
        <w:t xml:space="preserve"> (</w:t>
      </w:r>
      <w:r w:rsidR="00526683" w:rsidRPr="00526683">
        <w:t>17,50</w:t>
      </w:r>
      <w:r w:rsidR="00EA45F0" w:rsidRPr="00526683">
        <w:t> %</w:t>
      </w:r>
      <w:r w:rsidR="00C410C4" w:rsidRPr="00526683">
        <w:t xml:space="preserve"> podíl ana</w:t>
      </w:r>
      <w:r w:rsidR="00EA45F0" w:rsidRPr="00526683">
        <w:t>l</w:t>
      </w:r>
      <w:r w:rsidR="00C410C4" w:rsidRPr="00526683">
        <w:t>yzova</w:t>
      </w:r>
      <w:r w:rsidR="00EA45F0" w:rsidRPr="00526683">
        <w:t>ného trhu)</w:t>
      </w:r>
      <w:r w:rsidR="0078718D" w:rsidRPr="00526683">
        <w:t xml:space="preserve">. Anomálie byly </w:t>
      </w:r>
      <w:r w:rsidR="00EA45F0" w:rsidRPr="00526683">
        <w:t>nalezen</w:t>
      </w:r>
      <w:r w:rsidR="00C410C4" w:rsidRPr="00526683">
        <w:t>y</w:t>
      </w:r>
      <w:r w:rsidR="0078718D" w:rsidRPr="00526683">
        <w:t xml:space="preserve"> na </w:t>
      </w:r>
      <w:r w:rsidR="00526683" w:rsidRPr="00526683">
        <w:t>259</w:t>
      </w:r>
      <w:r w:rsidR="0078718D" w:rsidRPr="00526683">
        <w:t xml:space="preserve"> Porovnáních</w:t>
      </w:r>
      <w:r w:rsidR="00B91555" w:rsidRPr="00526683">
        <w:t xml:space="preserve"> (</w:t>
      </w:r>
      <w:r w:rsidR="00526683" w:rsidRPr="00526683">
        <w:t>87,44</w:t>
      </w:r>
      <w:r w:rsidR="00B91555" w:rsidRPr="00526683">
        <w:t xml:space="preserve"> </w:t>
      </w:r>
      <w:r w:rsidR="00E27252" w:rsidRPr="00526683">
        <w:t>mil. m</w:t>
      </w:r>
      <w:r w:rsidR="00E27252" w:rsidRPr="00526683">
        <w:rPr>
          <w:vertAlign w:val="superscript"/>
        </w:rPr>
        <w:t>3</w:t>
      </w:r>
      <w:r w:rsidR="00B91555" w:rsidRPr="00526683">
        <w:t>).</w:t>
      </w:r>
      <w:r w:rsidR="0078718D" w:rsidRPr="00526683">
        <w:t xml:space="preserve"> </w:t>
      </w:r>
      <w:r w:rsidR="00EA45F0" w:rsidRPr="00526683">
        <w:t xml:space="preserve">Vysoký podíl zisku </w:t>
      </w:r>
      <w:r w:rsidR="0002462E" w:rsidRPr="00526683">
        <w:t xml:space="preserve">k rozdělení </w:t>
      </w:r>
      <w:r w:rsidR="00EA45F0" w:rsidRPr="00526683">
        <w:t xml:space="preserve">na </w:t>
      </w:r>
      <w:r w:rsidR="00F32221" w:rsidRPr="00526683">
        <w:t xml:space="preserve">ÚVN </w:t>
      </w:r>
      <w:r w:rsidR="00EA45F0" w:rsidRPr="00526683">
        <w:t xml:space="preserve">se vyskytuje </w:t>
      </w:r>
      <w:r w:rsidR="00526683" w:rsidRPr="00526683">
        <w:t>v II. až VIII. skupině</w:t>
      </w:r>
      <w:r w:rsidR="0002462E" w:rsidRPr="00526683">
        <w:t>.</w:t>
      </w:r>
      <w:r w:rsidR="00B91555" w:rsidRPr="00526683">
        <w:t xml:space="preserve"> </w:t>
      </w:r>
      <w:r w:rsidR="00B91555" w:rsidRPr="00526683">
        <w:rPr>
          <w:b/>
        </w:rPr>
        <w:t>Vysoká cena pro stočné</w:t>
      </w:r>
      <w:r w:rsidR="00B91555" w:rsidRPr="00526683">
        <w:t>, kter</w:t>
      </w:r>
      <w:r w:rsidR="0001342A" w:rsidRPr="00526683">
        <w:t>á</w:t>
      </w:r>
      <w:r w:rsidR="00B91555" w:rsidRPr="00526683">
        <w:t xml:space="preserve"> může korelovat s př</w:t>
      </w:r>
      <w:r w:rsidR="00EA45F0" w:rsidRPr="00526683">
        <w:t>edchozí anomáli</w:t>
      </w:r>
      <w:r w:rsidR="00D76860">
        <w:t>í</w:t>
      </w:r>
      <w:r w:rsidR="00EA45F0" w:rsidRPr="00526683">
        <w:t xml:space="preserve">, se vyskytuje </w:t>
      </w:r>
      <w:r w:rsidR="0002462E" w:rsidRPr="00526683">
        <w:t xml:space="preserve">na </w:t>
      </w:r>
      <w:r w:rsidR="00526683" w:rsidRPr="00526683">
        <w:t>0,29</w:t>
      </w:r>
      <w:r w:rsidR="0002462E" w:rsidRPr="00526683">
        <w:t>% podílu trhu (</w:t>
      </w:r>
      <w:r w:rsidR="00526683" w:rsidRPr="00526683">
        <w:t>67</w:t>
      </w:r>
      <w:r w:rsidR="0001342A" w:rsidRPr="00526683">
        <w:t xml:space="preserve"> Porovnání; </w:t>
      </w:r>
      <w:r w:rsidR="00526683" w:rsidRPr="00526683">
        <w:t>1,47</w:t>
      </w:r>
      <w:r w:rsidR="0002462E" w:rsidRPr="00526683">
        <w:t xml:space="preserve"> mil. m</w:t>
      </w:r>
      <w:r w:rsidR="0002462E" w:rsidRPr="00526683">
        <w:rPr>
          <w:vertAlign w:val="superscript"/>
        </w:rPr>
        <w:t>3</w:t>
      </w:r>
      <w:r w:rsidR="0002462E" w:rsidRPr="00526683">
        <w:t xml:space="preserve"> vody fakturované).</w:t>
      </w:r>
      <w:r w:rsidR="0001342A" w:rsidRPr="00526683">
        <w:t xml:space="preserve"> Dalším důvodem výskytu vysoké ceny může být vliv dotačních podmínek na cenotvorbu</w:t>
      </w:r>
      <w:r w:rsidR="00CD4A32" w:rsidRPr="00526683">
        <w:t>.</w:t>
      </w:r>
    </w:p>
    <w:p w14:paraId="76E452E9" w14:textId="087BED7C" w:rsidR="00F32221" w:rsidRDefault="00D22F4B" w:rsidP="00446335">
      <w:pPr>
        <w:pStyle w:val="NORMLN0"/>
      </w:pPr>
      <w:r>
        <w:t xml:space="preserve">S tvorbou ceny pro stočné úzce souvisejí </w:t>
      </w:r>
      <w:r w:rsidR="005F12E0">
        <w:t xml:space="preserve">anomálie </w:t>
      </w:r>
      <w:r w:rsidR="005F12E0">
        <w:rPr>
          <w:b/>
        </w:rPr>
        <w:t xml:space="preserve">záporný kalkulační zisk </w:t>
      </w:r>
      <w:r w:rsidR="005F12E0">
        <w:t>(nalezen u 1 124 Porovnání; 7,36% podíl trhu; 36,77 mil. m</w:t>
      </w:r>
      <w:r w:rsidR="005F12E0" w:rsidRPr="005F12E0">
        <w:rPr>
          <w:vertAlign w:val="superscript"/>
        </w:rPr>
        <w:t>3</w:t>
      </w:r>
      <w:r w:rsidR="00F32221">
        <w:t>)</w:t>
      </w:r>
      <w:r w:rsidR="005F12E0">
        <w:t xml:space="preserve"> a </w:t>
      </w:r>
      <w:r w:rsidR="005F12E0">
        <w:rPr>
          <w:b/>
        </w:rPr>
        <w:t xml:space="preserve">nulové stočné celkem </w:t>
      </w:r>
      <w:r w:rsidR="005F12E0">
        <w:t>(61</w:t>
      </w:r>
      <w:r w:rsidR="00F32221">
        <w:t> </w:t>
      </w:r>
      <w:r w:rsidR="005F12E0">
        <w:t xml:space="preserve">Porovnání; </w:t>
      </w:r>
      <w:r w:rsidR="00240BFF">
        <w:t>0,13% podíl na trhu; 0,66 mil. m</w:t>
      </w:r>
      <w:r w:rsidR="00240BFF" w:rsidRPr="00240BFF">
        <w:rPr>
          <w:vertAlign w:val="superscript"/>
        </w:rPr>
        <w:t>3</w:t>
      </w:r>
      <w:r w:rsidR="00240BFF" w:rsidRPr="00240BFF">
        <w:t>)</w:t>
      </w:r>
      <w:r w:rsidR="00526683">
        <w:t xml:space="preserve">, které svědčí </w:t>
      </w:r>
      <w:r>
        <w:t xml:space="preserve">o </w:t>
      </w:r>
      <w:r w:rsidR="00240BFF" w:rsidRPr="00C410C4">
        <w:t>problematickém přístupu k tvorbě ceny nebo spíše</w:t>
      </w:r>
      <w:r w:rsidR="00240BFF">
        <w:t xml:space="preserve"> o dotování nákladů na slu</w:t>
      </w:r>
      <w:r w:rsidR="00240BFF" w:rsidRPr="00C410C4">
        <w:t>žby související s odváděním a čištěním odpadních a srážk</w:t>
      </w:r>
      <w:r w:rsidR="00240BFF">
        <w:t>ový</w:t>
      </w:r>
      <w:r>
        <w:t>ch vod. V</w:t>
      </w:r>
      <w:r w:rsidR="00240BFF" w:rsidRPr="00C410C4">
        <w:t>ýskyt nulového stočného celkem</w:t>
      </w:r>
      <w:r>
        <w:t xml:space="preserve"> se ve většině případů týkal Porovnání, </w:t>
      </w:r>
      <w:r w:rsidR="00F32221">
        <w:t xml:space="preserve">na </w:t>
      </w:r>
      <w:r>
        <w:t xml:space="preserve">kterých </w:t>
      </w:r>
      <w:r w:rsidR="00F32221">
        <w:t xml:space="preserve">byla vykázána nulová cena </w:t>
      </w:r>
      <w:r w:rsidR="00707603">
        <w:t>s poznámkou</w:t>
      </w:r>
      <w:r w:rsidR="00F32221">
        <w:t>, že stočné není fakturováno.</w:t>
      </w:r>
      <w:r w:rsidR="00807D40">
        <w:t xml:space="preserve"> Důvodem pro nulovou cenu</w:t>
      </w:r>
      <w:r w:rsidR="00F32221">
        <w:t xml:space="preserve"> </w:t>
      </w:r>
      <w:r w:rsidR="00807D40">
        <w:t xml:space="preserve">je v mnoha případech nenapojení kanalizace na ČOV. V tomto případě slouží kanalizace na odvádění </w:t>
      </w:r>
      <w:r w:rsidR="00D76860">
        <w:t>již</w:t>
      </w:r>
      <w:r w:rsidR="00807D40">
        <w:t xml:space="preserve"> čištěné odpadní vody v domovních ČOV do volné výusti. Lze předpokládat, že </w:t>
      </w:r>
      <w:r w:rsidR="00F32221">
        <w:t xml:space="preserve">se </w:t>
      </w:r>
      <w:r w:rsidR="00807D40">
        <w:t>ve většině případech jedná o původně dešťovou kanalizaci</w:t>
      </w:r>
      <w:r w:rsidR="00F32221">
        <w:t xml:space="preserve"> (</w:t>
      </w:r>
      <w:r w:rsidR="00807D40">
        <w:t xml:space="preserve">neústí do ČOV a </w:t>
      </w:r>
      <w:r w:rsidR="00446335">
        <w:t>povinnost</w:t>
      </w:r>
      <w:r w:rsidR="00807D40">
        <w:t xml:space="preserve"> čist</w:t>
      </w:r>
      <w:r w:rsidR="00707603">
        <w:t>ění odpadní vody byla</w:t>
      </w:r>
      <w:r w:rsidR="00807D40">
        <w:t xml:space="preserve"> přenesena na odběratele</w:t>
      </w:r>
      <w:r w:rsidR="00F32221">
        <w:t>)</w:t>
      </w:r>
      <w:r w:rsidR="00807D40">
        <w:t xml:space="preserve"> </w:t>
      </w:r>
      <w:r w:rsidR="00707603">
        <w:t xml:space="preserve">a příjemci </w:t>
      </w:r>
      <w:r w:rsidR="00F32221">
        <w:t>stočného</w:t>
      </w:r>
      <w:r w:rsidR="00807D40">
        <w:t xml:space="preserve"> </w:t>
      </w:r>
      <w:r w:rsidR="00707603">
        <w:t xml:space="preserve">se rozhodli </w:t>
      </w:r>
      <w:r w:rsidR="00807D40">
        <w:t xml:space="preserve">odvádění této vody </w:t>
      </w:r>
      <w:r w:rsidR="00574BC6">
        <w:t>nefakturovat.</w:t>
      </w:r>
      <w:r w:rsidR="00446335">
        <w:t xml:space="preserve"> </w:t>
      </w:r>
    </w:p>
    <w:p w14:paraId="304DAE8E" w14:textId="7368AC94" w:rsidR="00446335" w:rsidRDefault="00446335">
      <w:pPr>
        <w:pStyle w:val="NORMLN0"/>
      </w:pPr>
      <w:r>
        <w:t xml:space="preserve">Záporný kalkulační zisk může být </w:t>
      </w:r>
      <w:r w:rsidR="000312E6">
        <w:t xml:space="preserve">dále </w:t>
      </w:r>
      <w:r>
        <w:t xml:space="preserve">výsledkem </w:t>
      </w:r>
      <w:r w:rsidRPr="00C410C4">
        <w:t>snah</w:t>
      </w:r>
      <w:r>
        <w:t>y</w:t>
      </w:r>
      <w:r w:rsidR="00707603">
        <w:t xml:space="preserve"> snižovat cenu</w:t>
      </w:r>
      <w:r>
        <w:t xml:space="preserve">, případně vypovídá o </w:t>
      </w:r>
      <w:r w:rsidR="00707603">
        <w:t xml:space="preserve">neplánovaném </w:t>
      </w:r>
      <w:r>
        <w:t>ztrátovém výsledku hospodaření</w:t>
      </w:r>
      <w:r w:rsidRPr="00C410C4">
        <w:t>.</w:t>
      </w:r>
      <w:r>
        <w:t xml:space="preserve"> Ve většině případ</w:t>
      </w:r>
      <w:r w:rsidR="00F32221">
        <w:t>ů</w:t>
      </w:r>
      <w:r>
        <w:t xml:space="preserve"> je hlavní příčinou působení vysoké míry atomizace trhu. Zejména provozovatelé a vlastníci ekonomicky nedostatečně efektivní</w:t>
      </w:r>
      <w:r w:rsidR="000312E6">
        <w:t>ho</w:t>
      </w:r>
      <w:r>
        <w:t xml:space="preserve"> kanalizačního systému musí přistoupit </w:t>
      </w:r>
      <w:r w:rsidRPr="00C410C4">
        <w:t>k dotaci nákladů spojených s provozem a správou VIM.</w:t>
      </w:r>
      <w:r>
        <w:t xml:space="preserve"> </w:t>
      </w:r>
      <w:r w:rsidR="00555238">
        <w:rPr>
          <w:noProof/>
        </w:rPr>
        <w:t>Záporný kalkulační zisk</w:t>
      </w:r>
      <w:r w:rsidR="00555238" w:rsidRPr="00FB2074">
        <w:rPr>
          <w:noProof/>
        </w:rPr>
        <w:t xml:space="preserve"> indikuje možnost existe</w:t>
      </w:r>
      <w:r w:rsidR="00555238">
        <w:rPr>
          <w:noProof/>
        </w:rPr>
        <w:t xml:space="preserve">nce stavu, kdy kalkulace </w:t>
      </w:r>
      <w:r w:rsidR="00555238" w:rsidRPr="00FB2074">
        <w:rPr>
          <w:noProof/>
        </w:rPr>
        <w:t xml:space="preserve">ceny pro </w:t>
      </w:r>
      <w:r w:rsidR="00555238">
        <w:rPr>
          <w:noProof/>
        </w:rPr>
        <w:t>stočné</w:t>
      </w:r>
      <w:r w:rsidR="00555238" w:rsidRPr="00FB2074">
        <w:rPr>
          <w:noProof/>
        </w:rPr>
        <w:t xml:space="preserve"> nepočítá s po</w:t>
      </w:r>
      <w:r w:rsidR="00555238">
        <w:rPr>
          <w:noProof/>
        </w:rPr>
        <w:t>krytím veškerých ekonomicky oprá</w:t>
      </w:r>
      <w:r w:rsidR="00555238" w:rsidRPr="00FB2074">
        <w:rPr>
          <w:noProof/>
        </w:rPr>
        <w:t>vněných nákladů související</w:t>
      </w:r>
      <w:r w:rsidR="00555238">
        <w:rPr>
          <w:noProof/>
        </w:rPr>
        <w:t>c</w:t>
      </w:r>
      <w:r w:rsidR="00555238" w:rsidRPr="00FB2074">
        <w:rPr>
          <w:noProof/>
        </w:rPr>
        <w:t>h s provozem a správou</w:t>
      </w:r>
      <w:r w:rsidR="00555238">
        <w:rPr>
          <w:noProof/>
        </w:rPr>
        <w:t xml:space="preserve"> VIM</w:t>
      </w:r>
      <w:r w:rsidR="00555238" w:rsidRPr="00FB2074">
        <w:rPr>
          <w:noProof/>
        </w:rPr>
        <w:t xml:space="preserve"> v plné výši (tj. dochází k</w:t>
      </w:r>
      <w:r w:rsidR="00555238">
        <w:rPr>
          <w:noProof/>
        </w:rPr>
        <w:t xml:space="preserve"> plánovanému </w:t>
      </w:r>
      <w:r w:rsidR="00555238" w:rsidRPr="00FB2074">
        <w:rPr>
          <w:noProof/>
        </w:rPr>
        <w:t>dotování nák</w:t>
      </w:r>
      <w:r w:rsidR="00555238">
        <w:rPr>
          <w:noProof/>
        </w:rPr>
        <w:t>l</w:t>
      </w:r>
      <w:r w:rsidR="00555238" w:rsidRPr="00FB2074">
        <w:rPr>
          <w:noProof/>
        </w:rPr>
        <w:t xml:space="preserve">adů na provoz </w:t>
      </w:r>
      <w:r w:rsidR="00555238">
        <w:rPr>
          <w:noProof/>
        </w:rPr>
        <w:t xml:space="preserve">a obnovu VIM </w:t>
      </w:r>
      <w:r w:rsidR="00555238" w:rsidRPr="00FB2074">
        <w:rPr>
          <w:noProof/>
        </w:rPr>
        <w:t>z jiných zdrojů)</w:t>
      </w:r>
      <w:r w:rsidR="00555238">
        <w:rPr>
          <w:noProof/>
        </w:rPr>
        <w:t>, popř. se v daném roce vyskytly některé neočekávané skutečnosti vedoucí k neplánovanému ztrátovému hospodaření</w:t>
      </w:r>
      <w:r w:rsidR="00555238" w:rsidRPr="00FB2074">
        <w:rPr>
          <w:noProof/>
        </w:rPr>
        <w:t>.</w:t>
      </w:r>
      <w:r w:rsidR="00555238">
        <w:rPr>
          <w:noProof/>
        </w:rPr>
        <w:t xml:space="preserve"> Problému </w:t>
      </w:r>
      <w:r w:rsidR="00707603">
        <w:rPr>
          <w:noProof/>
        </w:rPr>
        <w:t xml:space="preserve">je </w:t>
      </w:r>
      <w:r w:rsidR="00555238">
        <w:rPr>
          <w:noProof/>
        </w:rPr>
        <w:t xml:space="preserve">blíže </w:t>
      </w:r>
      <w:r w:rsidR="00707603">
        <w:rPr>
          <w:noProof/>
        </w:rPr>
        <w:t>věnována kapitola</w:t>
      </w:r>
      <w:r w:rsidR="00555238">
        <w:rPr>
          <w:noProof/>
        </w:rPr>
        <w:t xml:space="preserve"> 5.3.5.</w:t>
      </w:r>
    </w:p>
    <w:p w14:paraId="2F2E4572" w14:textId="77777777" w:rsidR="00492591" w:rsidRDefault="00446335" w:rsidP="00446335">
      <w:pPr>
        <w:pStyle w:val="NORMLN0"/>
      </w:pPr>
      <w:r>
        <w:t>Dalším zajímavým přístupem při cenotvorbě je výskyt 39 Porovnání v</w:t>
      </w:r>
      <w:r w:rsidR="004F62AC">
        <w:t xml:space="preserve"> VI., VII. a VIII. skupině, kde byl</w:t>
      </w:r>
      <w:r w:rsidR="00F32221">
        <w:t>a vykázána</w:t>
      </w:r>
      <w:r w:rsidR="004F62AC">
        <w:t xml:space="preserve"> nulová hodnota kalkulačního zisku </w:t>
      </w:r>
      <w:r w:rsidR="00574BC6">
        <w:t>spočtená ze</w:t>
      </w:r>
      <w:r w:rsidR="00F32221">
        <w:t xml:space="preserve"> skutečných nákladů a výnosů </w:t>
      </w:r>
      <w:r w:rsidR="004F62AC">
        <w:t>a 41 Porovnání, na kterých se shodují všechny kalkulované i skutečně dosažené hodnoty</w:t>
      </w:r>
      <w:r w:rsidR="00F32221">
        <w:t>. Oba dva případy nejsou reálně možné za předpokladu vykazování ekonomicky oprávněných nákladů v plné výši.</w:t>
      </w:r>
      <w:r w:rsidR="004F62AC">
        <w:t xml:space="preserve"> </w:t>
      </w:r>
      <w:r w:rsidR="00555238">
        <w:t>Znamená to, že</w:t>
      </w:r>
      <w:r w:rsidR="004F62AC">
        <w:t xml:space="preserve"> kalkulace byly uměle sestavené a cenotvorba neodpovídá skutečnosti. </w:t>
      </w:r>
    </w:p>
    <w:p w14:paraId="1D2AE14F" w14:textId="06B198F9" w:rsidR="00651900" w:rsidRPr="00D22F4B" w:rsidRDefault="00232ACA" w:rsidP="00446335">
      <w:pPr>
        <w:pStyle w:val="NORMLN0"/>
      </w:pPr>
      <w:r w:rsidRPr="00D22F4B">
        <w:rPr>
          <w:b/>
        </w:rPr>
        <w:t xml:space="preserve">Podíl nevyhovujících vzorků vypouštěných odpadních vod z ČOV vyšší než </w:t>
      </w:r>
      <w:r w:rsidR="00D22F4B" w:rsidRPr="00D22F4B">
        <w:rPr>
          <w:b/>
        </w:rPr>
        <w:t>20</w:t>
      </w:r>
      <w:r w:rsidRPr="00D22F4B">
        <w:rPr>
          <w:b/>
        </w:rPr>
        <w:t xml:space="preserve">% </w:t>
      </w:r>
      <w:r w:rsidRPr="00D22F4B">
        <w:t>byl</w:t>
      </w:r>
      <w:r w:rsidRPr="00D22F4B">
        <w:rPr>
          <w:b/>
        </w:rPr>
        <w:t xml:space="preserve"> </w:t>
      </w:r>
      <w:r w:rsidRPr="00D22F4B">
        <w:t xml:space="preserve">nalezen u </w:t>
      </w:r>
      <w:r w:rsidR="00D22F4B" w:rsidRPr="00D22F4B">
        <w:t>65</w:t>
      </w:r>
      <w:r w:rsidRPr="00D22F4B">
        <w:t xml:space="preserve"> Porovnání, co</w:t>
      </w:r>
      <w:r w:rsidR="00555238" w:rsidRPr="00D22F4B">
        <w:t>ž</w:t>
      </w:r>
      <w:r w:rsidRPr="00D22F4B">
        <w:t xml:space="preserve"> znamená, že na </w:t>
      </w:r>
      <w:r w:rsidR="00D22F4B" w:rsidRPr="00D22F4B">
        <w:t>0,88</w:t>
      </w:r>
      <w:r w:rsidRPr="00D22F4B">
        <w:t>% podílu trhu měl</w:t>
      </w:r>
      <w:r w:rsidR="00555238" w:rsidRPr="00D22F4B">
        <w:t>i</w:t>
      </w:r>
      <w:r w:rsidRPr="00D22F4B">
        <w:t xml:space="preserve"> provozovatelé </w:t>
      </w:r>
      <w:r w:rsidR="00651900" w:rsidRPr="00D22F4B">
        <w:t xml:space="preserve">potíže s dodržováním </w:t>
      </w:r>
      <w:r w:rsidR="000312E6">
        <w:t xml:space="preserve">emisních </w:t>
      </w:r>
      <w:r w:rsidR="00651900" w:rsidRPr="00D22F4B">
        <w:t xml:space="preserve">limitů </w:t>
      </w:r>
      <w:r w:rsidR="000312E6">
        <w:t>vypouštěných</w:t>
      </w:r>
      <w:r w:rsidR="00651900" w:rsidRPr="00D22F4B">
        <w:t xml:space="preserve"> odpadních vod (</w:t>
      </w:r>
      <w:r w:rsidR="00D22F4B" w:rsidRPr="00D22F4B">
        <w:t>4,41</w:t>
      </w:r>
      <w:r w:rsidR="00651900" w:rsidRPr="00D22F4B">
        <w:t xml:space="preserve"> </w:t>
      </w:r>
      <w:r w:rsidR="00E27252" w:rsidRPr="00D22F4B">
        <w:t>mil. m</w:t>
      </w:r>
      <w:r w:rsidR="00E27252" w:rsidRPr="00D22F4B">
        <w:rPr>
          <w:vertAlign w:val="superscript"/>
        </w:rPr>
        <w:t>3</w:t>
      </w:r>
      <w:r w:rsidR="00651900" w:rsidRPr="00D22F4B">
        <w:t xml:space="preserve"> fakturované</w:t>
      </w:r>
      <w:r w:rsidR="00555238" w:rsidRPr="00D22F4B">
        <w:t xml:space="preserve"> vody</w:t>
      </w:r>
      <w:r w:rsidR="00651900" w:rsidRPr="00D22F4B">
        <w:t>).</w:t>
      </w:r>
      <w:r w:rsidR="00B26631" w:rsidRPr="00D22F4B">
        <w:t xml:space="preserve"> </w:t>
      </w:r>
    </w:p>
    <w:p w14:paraId="111264B3" w14:textId="77777777" w:rsidR="004E5FFE" w:rsidRDefault="00651900" w:rsidP="00446335">
      <w:pPr>
        <w:pStyle w:val="NORMLN0"/>
      </w:pPr>
      <w:r w:rsidRPr="00D22F4B">
        <w:t>Zbylé anomálie se týkají nesrovnalostí ve vykazování d</w:t>
      </w:r>
      <w:r w:rsidR="00112520" w:rsidRPr="00D22F4B">
        <w:t xml:space="preserve">at. Je nutné upozornit na častý </w:t>
      </w:r>
      <w:r w:rsidRPr="00D22F4B">
        <w:t>výskyt anomálie</w:t>
      </w:r>
      <w:r w:rsidR="00112520" w:rsidRPr="00D22F4B">
        <w:t xml:space="preserve"> </w:t>
      </w:r>
      <w:r w:rsidRPr="00D22F4B">
        <w:t xml:space="preserve">- nenulové množství odpadní vody odvedené na </w:t>
      </w:r>
      <w:r w:rsidR="00672C35" w:rsidRPr="00D22F4B">
        <w:t>ČOV a nulový</w:t>
      </w:r>
      <w:r w:rsidR="00672C35" w:rsidRPr="00C410C4">
        <w:t xml:space="preserve"> počet připojených obyvatel</w:t>
      </w:r>
      <w:r w:rsidRPr="00C410C4">
        <w:t xml:space="preserve"> na ČOV (</w:t>
      </w:r>
      <w:r w:rsidR="005A6D85">
        <w:t>241</w:t>
      </w:r>
      <w:r w:rsidRPr="00C410C4">
        <w:t xml:space="preserve"> Porovnání; </w:t>
      </w:r>
      <w:r w:rsidR="005A6D85">
        <w:t>2,87</w:t>
      </w:r>
      <w:r w:rsidRPr="00C410C4">
        <w:t>% podíl analyzovaného trhu</w:t>
      </w:r>
      <w:r w:rsidR="005A6D85">
        <w:t>; 14,35 mil. m</w:t>
      </w:r>
      <w:r w:rsidR="005A6D85" w:rsidRPr="005A6D85">
        <w:rPr>
          <w:vertAlign w:val="superscript"/>
        </w:rPr>
        <w:t>3</w:t>
      </w:r>
      <w:r w:rsidR="005A6D85">
        <w:t xml:space="preserve">) a problémy s vykazováním </w:t>
      </w:r>
      <w:r w:rsidR="00555238">
        <w:t>počtu pracovníků,</w:t>
      </w:r>
      <w:r w:rsidR="005A6D85">
        <w:t xml:space="preserve"> a to v případě 111 Porovnání (</w:t>
      </w:r>
      <w:r w:rsidR="005A6D85" w:rsidRPr="005A6D85">
        <w:t>nulový počet zaměstnanců + vykázané mzdové náklady</w:t>
      </w:r>
      <w:r w:rsidR="005A6D85">
        <w:t>).</w:t>
      </w:r>
    </w:p>
    <w:p w14:paraId="09ADE812" w14:textId="77777777" w:rsidR="00D14C63" w:rsidRPr="00C410C4" w:rsidRDefault="00D14C63" w:rsidP="00446335">
      <w:pPr>
        <w:pStyle w:val="NORMLN0"/>
      </w:pPr>
      <w:r w:rsidRPr="00C410C4">
        <w:t>V následujícím grafu jsou znázorněny jednotlivé anomálie</w:t>
      </w:r>
      <w:r w:rsidR="00555238">
        <w:t xml:space="preserve"> (podíly, četnosti apod.).</w:t>
      </w:r>
    </w:p>
    <w:p w14:paraId="6FACA120" w14:textId="77777777" w:rsidR="004B35ED" w:rsidRDefault="004B35ED">
      <w:pPr>
        <w:spacing w:before="0" w:after="0"/>
        <w:contextualSpacing w:val="0"/>
        <w:jc w:val="left"/>
        <w:rPr>
          <w:rFonts w:asciiTheme="minorHAnsi" w:eastAsia="Times New Roman" w:hAnsiTheme="minorHAnsi"/>
          <w:noProof/>
          <w:color w:val="243F60"/>
          <w:szCs w:val="24"/>
        </w:rPr>
      </w:pPr>
      <w:r>
        <w:rPr>
          <w:rFonts w:asciiTheme="minorHAnsi" w:hAnsiTheme="minorHAnsi"/>
          <w:noProof/>
        </w:rPr>
        <w:br w:type="page"/>
      </w:r>
    </w:p>
    <w:p w14:paraId="4CAE375E" w14:textId="77777777" w:rsidR="00141742" w:rsidRDefault="00D22F4B">
      <w:pPr>
        <w:spacing w:before="0" w:after="0"/>
        <w:contextualSpacing w:val="0"/>
        <w:jc w:val="left"/>
        <w:rPr>
          <w:rFonts w:asciiTheme="minorHAnsi" w:eastAsia="Times New Roman" w:hAnsiTheme="minorHAnsi"/>
          <w:noProof/>
          <w:color w:val="243F60"/>
          <w:szCs w:val="24"/>
        </w:rPr>
      </w:pPr>
      <w:r>
        <w:rPr>
          <w:noProof/>
          <w:lang w:eastAsia="cs-CZ"/>
        </w:rPr>
        <w:lastRenderedPageBreak/>
        <w:drawing>
          <wp:anchor distT="0" distB="0" distL="114300" distR="114300" simplePos="0" relativeHeight="251685888" behindDoc="0" locked="0" layoutInCell="1" allowOverlap="1" wp14:anchorId="188D0235" wp14:editId="749A7355">
            <wp:simplePos x="0" y="0"/>
            <wp:positionH relativeFrom="margin">
              <wp:posOffset>-13335</wp:posOffset>
            </wp:positionH>
            <wp:positionV relativeFrom="paragraph">
              <wp:posOffset>0</wp:posOffset>
            </wp:positionV>
            <wp:extent cx="6400800" cy="8707120"/>
            <wp:effectExtent l="0" t="0" r="0" b="0"/>
            <wp:wrapTopAndBottom/>
            <wp:docPr id="49" name="Graf 4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EBC8AACD-CE14-47BB-A535-FE7E1FF8C4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141742">
        <w:rPr>
          <w:rFonts w:asciiTheme="minorHAnsi" w:hAnsiTheme="minorHAnsi"/>
          <w:noProof/>
        </w:rPr>
        <w:br w:type="page"/>
      </w:r>
    </w:p>
    <w:p w14:paraId="528EFCF8" w14:textId="77777777" w:rsidR="00A10041" w:rsidRPr="00141742" w:rsidRDefault="00E56CDC" w:rsidP="00141742">
      <w:pPr>
        <w:pStyle w:val="Nadpis3"/>
        <w:rPr>
          <w:rFonts w:asciiTheme="minorHAnsi" w:hAnsiTheme="minorHAnsi"/>
          <w:noProof/>
        </w:rPr>
      </w:pPr>
      <w:bookmarkStart w:id="55" w:name="_Toc3292013"/>
      <w:r w:rsidRPr="00A2335B">
        <w:rPr>
          <w:noProof/>
          <w:lang w:eastAsia="cs-CZ"/>
        </w:rPr>
        <w:lastRenderedPageBreak/>
        <w:drawing>
          <wp:anchor distT="0" distB="0" distL="114300" distR="114300" simplePos="0" relativeHeight="251686912" behindDoc="0" locked="0" layoutInCell="1" allowOverlap="1" wp14:anchorId="64477A0A" wp14:editId="2521BCB5">
            <wp:simplePos x="0" y="0"/>
            <wp:positionH relativeFrom="margin">
              <wp:align>left</wp:align>
            </wp:positionH>
            <wp:positionV relativeFrom="paragraph">
              <wp:posOffset>490855</wp:posOffset>
            </wp:positionV>
            <wp:extent cx="6009640" cy="2512060"/>
            <wp:effectExtent l="0" t="0" r="0" b="2540"/>
            <wp:wrapTopAndBottom/>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9640" cy="2512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5BB4" w:rsidRPr="00141742">
        <w:rPr>
          <w:rFonts w:asciiTheme="minorHAnsi" w:hAnsiTheme="minorHAnsi"/>
          <w:noProof/>
        </w:rPr>
        <w:t>Výskyt anomálii v jednotlivých skupinách provozovatelů</w:t>
      </w:r>
      <w:bookmarkEnd w:id="55"/>
      <w:r w:rsidR="00165BB4" w:rsidRPr="00141742">
        <w:rPr>
          <w:rFonts w:asciiTheme="minorHAnsi" w:hAnsiTheme="minorHAnsi"/>
          <w:noProof/>
        </w:rPr>
        <w:t xml:space="preserve"> </w:t>
      </w:r>
    </w:p>
    <w:p w14:paraId="528B9E8B" w14:textId="77777777" w:rsidR="00141742" w:rsidRPr="00141742" w:rsidRDefault="00141742" w:rsidP="00141742"/>
    <w:p w14:paraId="514E1C47" w14:textId="77777777" w:rsidR="00AC7194" w:rsidRPr="00E27252" w:rsidRDefault="00707603" w:rsidP="00482F43">
      <w:pPr>
        <w:pStyle w:val="NORMLN0"/>
      </w:pPr>
      <w:r>
        <w:t>P</w:t>
      </w:r>
      <w:r w:rsidR="00574BC6">
        <w:t>odle počtu výskytu anomálií</w:t>
      </w:r>
      <w:r>
        <w:t xml:space="preserve"> se</w:t>
      </w:r>
      <w:r w:rsidR="00AC7194" w:rsidRPr="00E27252">
        <w:t xml:space="preserve"> jeví jako nejvíce problematická VIII. skupina. Dalšími skupinami, u kterých anomálie ovlivňují více než 50% podíl objemu fakturované </w:t>
      </w:r>
      <w:r w:rsidR="00716F34">
        <w:t>vody</w:t>
      </w:r>
      <w:r w:rsidR="00AC7194" w:rsidRPr="00E27252">
        <w:t xml:space="preserve">, </w:t>
      </w:r>
      <w:r w:rsidR="008F2FA2" w:rsidRPr="00E27252">
        <w:t>jsou II.</w:t>
      </w:r>
      <w:r w:rsidR="003565F6">
        <w:t xml:space="preserve"> a</w:t>
      </w:r>
      <w:r w:rsidR="008F2FA2" w:rsidRPr="00E27252">
        <w:t xml:space="preserve"> VII. skupina</w:t>
      </w:r>
      <w:r w:rsidR="00AC7194" w:rsidRPr="00E27252">
        <w:t xml:space="preserve">. </w:t>
      </w:r>
    </w:p>
    <w:p w14:paraId="3C9FAB35" w14:textId="77777777" w:rsidR="00AC7194" w:rsidRPr="00E27252" w:rsidRDefault="008F2FA2" w:rsidP="00482F43">
      <w:pPr>
        <w:pStyle w:val="NORMLN0"/>
      </w:pPr>
      <w:r w:rsidRPr="00E27252">
        <w:t>Následující</w:t>
      </w:r>
      <w:r w:rsidR="00AC7194" w:rsidRPr="00E27252">
        <w:t xml:space="preserve"> tabulka poskytuje </w:t>
      </w:r>
      <w:r w:rsidR="00C410C4" w:rsidRPr="00E27252">
        <w:t>p</w:t>
      </w:r>
      <w:r w:rsidR="00AC7194" w:rsidRPr="00E27252">
        <w:t xml:space="preserve">řehled výskytu jednotlivých sledovaných anomálií u skupin, </w:t>
      </w:r>
      <w:r w:rsidRPr="00E27252">
        <w:t>ve kterých</w:t>
      </w:r>
      <w:r w:rsidR="00AC7194" w:rsidRPr="00E27252">
        <w:t xml:space="preserve"> byl</w:t>
      </w:r>
      <w:r w:rsidRPr="00E27252">
        <w:t>a četnost výskytu anomálií více než 100.</w:t>
      </w:r>
      <w:r w:rsidR="00B26631" w:rsidRPr="00E27252">
        <w:t xml:space="preserve"> </w:t>
      </w:r>
      <w:r w:rsidR="00AC7194" w:rsidRPr="00E27252">
        <w:t xml:space="preserve">Jedná se o </w:t>
      </w:r>
      <w:r w:rsidR="00AC7194" w:rsidRPr="00883D41">
        <w:rPr>
          <w:b/>
        </w:rPr>
        <w:t>VI., VII.</w:t>
      </w:r>
      <w:r w:rsidR="00AC7194" w:rsidRPr="00E27252">
        <w:t xml:space="preserve"> a </w:t>
      </w:r>
      <w:r w:rsidR="00AC7194" w:rsidRPr="00883D41">
        <w:rPr>
          <w:b/>
        </w:rPr>
        <w:t>VIII.</w:t>
      </w:r>
      <w:r w:rsidR="00AC7194" w:rsidRPr="00E27252">
        <w:t xml:space="preserve"> skupinu provozovatelů.</w:t>
      </w:r>
      <w:r w:rsidR="00B26631" w:rsidRPr="00E27252">
        <w:t xml:space="preserve"> </w:t>
      </w:r>
      <w:r w:rsidR="00AC7194" w:rsidRPr="00E27252">
        <w:t>Služby subjektů z těchto skupin využívá 1,</w:t>
      </w:r>
      <w:r w:rsidR="00EF281F">
        <w:t>71</w:t>
      </w:r>
      <w:r w:rsidR="00AC7194" w:rsidRPr="00E27252">
        <w:t xml:space="preserve"> mil. obyvatel, kterým bylo v roce 201</w:t>
      </w:r>
      <w:r w:rsidR="00EF281F">
        <w:t>7</w:t>
      </w:r>
      <w:r w:rsidR="00AC7194" w:rsidRPr="00E27252">
        <w:t xml:space="preserve"> fakturováno </w:t>
      </w:r>
      <w:r w:rsidR="00EF281F">
        <w:t>85,9</w:t>
      </w:r>
      <w:r w:rsidR="00AC7194" w:rsidRPr="00E27252">
        <w:t xml:space="preserve"> </w:t>
      </w:r>
      <w:r w:rsidR="00E27252">
        <w:t>mil. m</w:t>
      </w:r>
      <w:r w:rsidR="00E27252" w:rsidRPr="00E27252">
        <w:rPr>
          <w:vertAlign w:val="superscript"/>
        </w:rPr>
        <w:t>3</w:t>
      </w:r>
      <w:r w:rsidR="00AC7194" w:rsidRPr="00E27252">
        <w:t xml:space="preserve"> odpadní a srážkové vody (tj. </w:t>
      </w:r>
      <w:r w:rsidR="00EF281F">
        <w:t>17,2</w:t>
      </w:r>
      <w:r w:rsidR="00AC7194" w:rsidRPr="00E27252">
        <w:t>% podíl analyzovaného trhu</w:t>
      </w:r>
      <w:r w:rsidR="00716F34">
        <w:t>)</w:t>
      </w:r>
      <w:r w:rsidR="00AC7194" w:rsidRPr="00E27252">
        <w:t>.</w:t>
      </w:r>
    </w:p>
    <w:p w14:paraId="5477DACE" w14:textId="77777777" w:rsidR="004B35ED" w:rsidRPr="00C62639" w:rsidRDefault="004B35ED" w:rsidP="009E0877">
      <w:pPr>
        <w:pStyle w:val="NORMLN0"/>
        <w:ind w:firstLine="0"/>
        <w:rPr>
          <w:rFonts w:asciiTheme="minorHAnsi" w:hAnsiTheme="minorHAnsi"/>
          <w:noProof/>
        </w:rPr>
      </w:pPr>
    </w:p>
    <w:p w14:paraId="151206C7" w14:textId="77777777" w:rsidR="00F23EEA" w:rsidRDefault="00F23EEA">
      <w:pPr>
        <w:spacing w:before="0" w:after="0"/>
        <w:contextualSpacing w:val="0"/>
        <w:jc w:val="left"/>
        <w:sectPr w:rsidR="00F23EEA" w:rsidSect="00210122">
          <w:footerReference w:type="default" r:id="rId46"/>
          <w:pgSz w:w="11906" w:h="16838"/>
          <w:pgMar w:top="1418" w:right="1418" w:bottom="1418" w:left="1418" w:header="709" w:footer="709" w:gutter="0"/>
          <w:cols w:space="708"/>
          <w:docGrid w:linePitch="360"/>
        </w:sectPr>
      </w:pPr>
    </w:p>
    <w:p w14:paraId="6F9AB005" w14:textId="77777777" w:rsidR="007F1ACF" w:rsidRDefault="00E56CDC" w:rsidP="003D08FA">
      <w:pPr>
        <w:spacing w:before="0" w:after="0"/>
        <w:contextualSpacing w:val="0"/>
      </w:pPr>
      <w:r w:rsidRPr="00E56CDC">
        <w:rPr>
          <w:noProof/>
          <w:lang w:eastAsia="cs-CZ"/>
        </w:rPr>
        <w:lastRenderedPageBreak/>
        <w:drawing>
          <wp:anchor distT="0" distB="0" distL="114300" distR="114300" simplePos="0" relativeHeight="251687936" behindDoc="0" locked="0" layoutInCell="1" allowOverlap="1" wp14:anchorId="1A5134E3" wp14:editId="3866A6BB">
            <wp:simplePos x="0" y="0"/>
            <wp:positionH relativeFrom="margin">
              <wp:align>center</wp:align>
            </wp:positionH>
            <wp:positionV relativeFrom="paragraph">
              <wp:posOffset>119269</wp:posOffset>
            </wp:positionV>
            <wp:extent cx="9630410" cy="3728720"/>
            <wp:effectExtent l="0" t="0" r="8890" b="5080"/>
            <wp:wrapTopAndBottom/>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630410" cy="3728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5FA4B5" w14:textId="77777777" w:rsidR="00F23EEA" w:rsidRDefault="00F23EEA" w:rsidP="003D08FA">
      <w:pPr>
        <w:spacing w:before="0" w:after="0"/>
        <w:contextualSpacing w:val="0"/>
        <w:sectPr w:rsidR="00F23EEA" w:rsidSect="00210122">
          <w:footerReference w:type="default" r:id="rId48"/>
          <w:pgSz w:w="16838" w:h="11906" w:orient="landscape"/>
          <w:pgMar w:top="1418" w:right="1418" w:bottom="1418" w:left="1418" w:header="709" w:footer="709" w:gutter="0"/>
          <w:cols w:space="708"/>
          <w:docGrid w:linePitch="360"/>
        </w:sectPr>
      </w:pPr>
    </w:p>
    <w:p w14:paraId="1C3E7505" w14:textId="6B872A8E" w:rsidR="00DB3350" w:rsidRDefault="00F400D3" w:rsidP="00595448">
      <w:pPr>
        <w:pStyle w:val="NORMLN0"/>
      </w:pPr>
      <w:r w:rsidRPr="00595448">
        <w:lastRenderedPageBreak/>
        <w:t xml:space="preserve">U všech tří provozovatelských skupin se nejvíce </w:t>
      </w:r>
      <w:r w:rsidR="00187982" w:rsidRPr="00595448">
        <w:t xml:space="preserve">vyskytuje </w:t>
      </w:r>
      <w:r w:rsidRPr="00595448">
        <w:t xml:space="preserve">používání </w:t>
      </w:r>
      <w:r w:rsidRPr="00595448">
        <w:rPr>
          <w:b/>
        </w:rPr>
        <w:t>záporného kalkul</w:t>
      </w:r>
      <w:r w:rsidR="00AF5B58" w:rsidRPr="00595448">
        <w:rPr>
          <w:b/>
        </w:rPr>
        <w:t>a</w:t>
      </w:r>
      <w:r w:rsidRPr="00595448">
        <w:rPr>
          <w:b/>
        </w:rPr>
        <w:t>čního zisku</w:t>
      </w:r>
      <w:r w:rsidR="000E6066">
        <w:rPr>
          <w:b/>
        </w:rPr>
        <w:t xml:space="preserve"> </w:t>
      </w:r>
      <w:r w:rsidR="000E6066" w:rsidRPr="00707603">
        <w:t>(</w:t>
      </w:r>
      <w:r w:rsidR="000E6066">
        <w:t>1</w:t>
      </w:r>
      <w:r w:rsidR="002B33A8">
        <w:t xml:space="preserve"> </w:t>
      </w:r>
      <w:r w:rsidR="000E6066">
        <w:t xml:space="preserve">118 Porovnání; </w:t>
      </w:r>
      <w:r w:rsidR="000E6066" w:rsidRPr="00707603">
        <w:t>33,15 %</w:t>
      </w:r>
      <w:r w:rsidR="000E6066">
        <w:t xml:space="preserve"> objemu fakturované vody v těchto skupinách)</w:t>
      </w:r>
      <w:r w:rsidR="00187982" w:rsidRPr="00595448">
        <w:t xml:space="preserve">. </w:t>
      </w:r>
      <w:r w:rsidR="00595448" w:rsidRPr="00595448">
        <w:t>V VII. skupině ovlivňuje více než 50% podíl objemu vody fakturované ve skupině (419 Porovnání; 10,15 mil. m3) a VIII. skupině 49% podíl objemu vody fakturované ve skupině (456 Porovnání; 3,66 mil. m3). Další anomáli</w:t>
      </w:r>
      <w:r w:rsidR="00354369">
        <w:t>í</w:t>
      </w:r>
      <w:r w:rsidR="00595448" w:rsidRPr="00595448">
        <w:t xml:space="preserve"> poukazující na problémy v oblasti cenotvorby je nulové stočné celkem</w:t>
      </w:r>
      <w:r w:rsidR="00354369">
        <w:t>. Tato anomálie již není tak významná, protože ani v jedné rizikové skupině nedosahuje podíl zasaženého objemu fakturované vody 4 %.</w:t>
      </w:r>
      <w:r w:rsidR="00595448" w:rsidRPr="00595448">
        <w:t xml:space="preserve"> </w:t>
      </w:r>
      <w:r w:rsidR="00595448">
        <w:t xml:space="preserve">O nutnosti zabývat se řešením cenotvorby u menších provozovatelů </w:t>
      </w:r>
      <w:r w:rsidR="00037FDB">
        <w:t xml:space="preserve">potvrzuje i výskyt </w:t>
      </w:r>
      <w:r w:rsidR="00037FDB" w:rsidRPr="00DB3350">
        <w:rPr>
          <w:i/>
        </w:rPr>
        <w:t>vysokého podílu zisku k rozdělení na ÚVN a vysok</w:t>
      </w:r>
      <w:r w:rsidR="003565F6" w:rsidRPr="00DB3350">
        <w:rPr>
          <w:i/>
        </w:rPr>
        <w:t>é</w:t>
      </w:r>
      <w:r w:rsidR="00037FDB" w:rsidRPr="00DB3350">
        <w:rPr>
          <w:i/>
        </w:rPr>
        <w:t xml:space="preserve"> ceny pro stočné</w:t>
      </w:r>
      <w:r w:rsidR="00037FDB">
        <w:t>.</w:t>
      </w:r>
      <w:r w:rsidR="00DB3350">
        <w:t xml:space="preserve"> Vliv vysokého podílu zisku k rozdělení na ÚVN na víc než čtvrtinu podílu fakturované vody byl nalezen v VIII. skupině (123 Porovnání; 1,91 mil. m</w:t>
      </w:r>
      <w:r w:rsidR="00DB3350" w:rsidRPr="00DB3350">
        <w:rPr>
          <w:vertAlign w:val="superscript"/>
        </w:rPr>
        <w:t>3</w:t>
      </w:r>
      <w:r w:rsidR="00DB3350">
        <w:t xml:space="preserve">), v případě VI. skupiny se anomálie týká 6,76% podílu fakturované vody ve skupině. </w:t>
      </w:r>
    </w:p>
    <w:p w14:paraId="231BFC50" w14:textId="42ED7F2C" w:rsidR="00AE241F" w:rsidRPr="00595448" w:rsidRDefault="00E978B8" w:rsidP="00AE241F">
      <w:pPr>
        <w:pStyle w:val="NORMLN0"/>
      </w:pPr>
      <w:r w:rsidRPr="00C410C4">
        <w:t xml:space="preserve">Další </w:t>
      </w:r>
      <w:r>
        <w:t xml:space="preserve">významnější </w:t>
      </w:r>
      <w:r w:rsidRPr="00C410C4">
        <w:t xml:space="preserve">anomálie upozorňují na problémy související s </w:t>
      </w:r>
      <w:r w:rsidR="00914F6E">
        <w:t>vykazováním</w:t>
      </w:r>
      <w:r w:rsidRPr="00C410C4">
        <w:t xml:space="preserve"> dat. Nejčastěji se jedná o nesrovnalost</w:t>
      </w:r>
      <w:r w:rsidR="00914F6E">
        <w:t xml:space="preserve">, kdy při nenulovém </w:t>
      </w:r>
      <w:r w:rsidR="003565F6">
        <w:t>množství</w:t>
      </w:r>
      <w:r w:rsidRPr="00C410C4">
        <w:t xml:space="preserve"> odvedených odpadních vod na ČOV </w:t>
      </w:r>
      <w:r w:rsidR="00914F6E">
        <w:t xml:space="preserve">je uveden nulový počet obyvatel </w:t>
      </w:r>
      <w:r w:rsidRPr="00C410C4">
        <w:t xml:space="preserve">připojených na ČOV. Nejpočetnější výskyt evidujeme v VII. </w:t>
      </w:r>
      <w:r w:rsidR="003565F6">
        <w:t>s</w:t>
      </w:r>
      <w:r w:rsidRPr="00C410C4">
        <w:t>kupině, a to 1</w:t>
      </w:r>
      <w:r>
        <w:t>10</w:t>
      </w:r>
      <w:r w:rsidRPr="00C410C4">
        <w:t xml:space="preserve"> Porovnání</w:t>
      </w:r>
      <w:r w:rsidR="00AE241F">
        <w:t xml:space="preserve">, tj. 14,47% podílu fakturované vody ve skupině. </w:t>
      </w:r>
      <w:r w:rsidR="00914F6E">
        <w:t>Celkem v </w:t>
      </w:r>
      <w:r w:rsidR="000E6066">
        <w:t>rizikových skupinách</w:t>
      </w:r>
      <w:r w:rsidR="00AE241F">
        <w:t xml:space="preserve"> tato anomálie ovlivňuje 12,89 % objemu vody fakturované</w:t>
      </w:r>
      <w:r w:rsidR="000E6066">
        <w:t xml:space="preserve">. </w:t>
      </w:r>
      <w:r>
        <w:t>Často se vyskytuj</w:t>
      </w:r>
      <w:r w:rsidR="00AE241F">
        <w:t>e</w:t>
      </w:r>
      <w:r>
        <w:t xml:space="preserve"> </w:t>
      </w:r>
      <w:r w:rsidR="00914F6E">
        <w:t>také</w:t>
      </w:r>
      <w:r w:rsidR="00AE241F">
        <w:t xml:space="preserve"> </w:t>
      </w:r>
      <w:r w:rsidR="000E6066">
        <w:t>nesrovnalost</w:t>
      </w:r>
      <w:r w:rsidR="00914F6E">
        <w:t xml:space="preserve">, kdy jsou vykázány nenulové </w:t>
      </w:r>
      <w:r>
        <w:t>mzdov</w:t>
      </w:r>
      <w:r w:rsidR="00914F6E">
        <w:t>é náklady</w:t>
      </w:r>
      <w:r>
        <w:t xml:space="preserve"> a </w:t>
      </w:r>
      <w:r w:rsidR="00914F6E">
        <w:t xml:space="preserve">zároveň nulový počet pracovníků. </w:t>
      </w:r>
      <w:r w:rsidR="000E6066">
        <w:t>Tato anomálie</w:t>
      </w:r>
      <w:r w:rsidR="00AE241F">
        <w:t xml:space="preserve"> v uvedených rizikových skupinách </w:t>
      </w:r>
      <w:r w:rsidR="000E6066">
        <w:t xml:space="preserve">ovlivňuje </w:t>
      </w:r>
      <w:r w:rsidR="00CA1C9A">
        <w:t>4,33 % objemu</w:t>
      </w:r>
      <w:r w:rsidR="00AE241F">
        <w:t xml:space="preserve"> vody fakturované</w:t>
      </w:r>
      <w:r w:rsidR="000E6066">
        <w:t xml:space="preserve"> a vyskytuje se na 109 Porovnáních.</w:t>
      </w:r>
    </w:p>
    <w:p w14:paraId="03AB4516" w14:textId="77DED3A0" w:rsidR="001A1419" w:rsidRPr="001A1419" w:rsidRDefault="001A1419" w:rsidP="00914F6E">
      <w:pPr>
        <w:pStyle w:val="NORMLN0"/>
      </w:pPr>
      <w:r w:rsidRPr="00CA1C9A">
        <w:t xml:space="preserve">Podle počtu výskytů anomálie </w:t>
      </w:r>
      <w:r w:rsidRPr="00CA1C9A">
        <w:rPr>
          <w:b/>
        </w:rPr>
        <w:t>vysoký podíl nevyhovujících vzorků vypouštěných odpadních vod z ČOV</w:t>
      </w:r>
      <w:r w:rsidRPr="00CA1C9A">
        <w:t xml:space="preserve"> vyšší než </w:t>
      </w:r>
      <w:r w:rsidR="00CA1C9A" w:rsidRPr="00CA1C9A">
        <w:t>20</w:t>
      </w:r>
      <w:r w:rsidR="008B0082">
        <w:t xml:space="preserve"> </w:t>
      </w:r>
      <w:r w:rsidR="00CA1C9A" w:rsidRPr="00CA1C9A">
        <w:t>%</w:t>
      </w:r>
      <w:r w:rsidRPr="00CA1C9A">
        <w:t xml:space="preserve">, který se vyskytl </w:t>
      </w:r>
      <w:r w:rsidR="00037FDB" w:rsidRPr="00CA1C9A">
        <w:t xml:space="preserve">ve všech třech skupinách u </w:t>
      </w:r>
      <w:r w:rsidR="00CA1C9A" w:rsidRPr="00CA1C9A">
        <w:t>64</w:t>
      </w:r>
      <w:r w:rsidRPr="00CA1C9A">
        <w:t xml:space="preserve"> Porovnání (</w:t>
      </w:r>
      <w:r w:rsidR="00037FDB" w:rsidRPr="00CA1C9A">
        <w:t>v součtu</w:t>
      </w:r>
      <w:r w:rsidRPr="00CA1C9A">
        <w:t xml:space="preserve"> 3,</w:t>
      </w:r>
      <w:r w:rsidR="00CA1C9A" w:rsidRPr="00CA1C9A">
        <w:t>23</w:t>
      </w:r>
      <w:r w:rsidRPr="00CA1C9A">
        <w:t xml:space="preserve"> mil. m</w:t>
      </w:r>
      <w:r w:rsidRPr="00CA1C9A">
        <w:rPr>
          <w:vertAlign w:val="superscript"/>
        </w:rPr>
        <w:t>3</w:t>
      </w:r>
      <w:r w:rsidRPr="00CA1C9A">
        <w:t xml:space="preserve"> fakturované vody) by bylo možno konstatovat, že provozovatelé ve většině případů dosahovali požadované kvality </w:t>
      </w:r>
      <w:r w:rsidR="008B0082">
        <w:t>vypouštěných odpadních vod</w:t>
      </w:r>
      <w:r w:rsidRPr="00CA1C9A">
        <w:t xml:space="preserve">. </w:t>
      </w:r>
    </w:p>
    <w:p w14:paraId="5C85FD0F" w14:textId="77777777" w:rsidR="0052479E" w:rsidRPr="00C410C4" w:rsidRDefault="0052479E" w:rsidP="00914F6E">
      <w:pPr>
        <w:pStyle w:val="NORMLN0"/>
      </w:pPr>
    </w:p>
    <w:p w14:paraId="1B4A1EC3" w14:textId="77777777" w:rsidR="0052479E" w:rsidRPr="00C410C4" w:rsidRDefault="0052479E" w:rsidP="00284ED7">
      <w:pPr>
        <w:pStyle w:val="Normlnzprva"/>
        <w:ind w:firstLine="567"/>
      </w:pPr>
      <w:r w:rsidRPr="00C410C4">
        <w:t xml:space="preserve">Pro ucelení přehledu dále uvádíme graf znázorňující situaci </w:t>
      </w:r>
      <w:r w:rsidR="00DD233A" w:rsidRPr="00C410C4">
        <w:t>u</w:t>
      </w:r>
      <w:r w:rsidR="00B26631">
        <w:t xml:space="preserve"> </w:t>
      </w:r>
      <w:r w:rsidRPr="00C410C4">
        <w:t>jednotlivých skupin.</w:t>
      </w:r>
    </w:p>
    <w:p w14:paraId="058AF16A" w14:textId="77777777" w:rsidR="0052479E" w:rsidRDefault="00CA1C9A">
      <w:pPr>
        <w:spacing w:before="0" w:after="0"/>
        <w:contextualSpacing w:val="0"/>
        <w:jc w:val="left"/>
        <w:rPr>
          <w:rFonts w:asciiTheme="minorHAnsi" w:eastAsia="Times New Roman" w:hAnsiTheme="minorHAnsi"/>
          <w:noProof/>
          <w:color w:val="243F60"/>
          <w:szCs w:val="24"/>
        </w:rPr>
      </w:pPr>
      <w:bookmarkStart w:id="56" w:name="_Toc459133206"/>
      <w:bookmarkStart w:id="57" w:name="_Toc495564970"/>
      <w:bookmarkStart w:id="58" w:name="_GoBack"/>
      <w:bookmarkEnd w:id="58"/>
      <w:r>
        <w:rPr>
          <w:noProof/>
          <w:lang w:eastAsia="cs-CZ"/>
        </w:rPr>
        <w:lastRenderedPageBreak/>
        <w:drawing>
          <wp:anchor distT="0" distB="0" distL="114300" distR="114300" simplePos="0" relativeHeight="251688960" behindDoc="0" locked="0" layoutInCell="1" allowOverlap="1" wp14:anchorId="55172B99" wp14:editId="7BB339C3">
            <wp:simplePos x="0" y="0"/>
            <wp:positionH relativeFrom="margin">
              <wp:align>center</wp:align>
            </wp:positionH>
            <wp:positionV relativeFrom="paragraph">
              <wp:posOffset>445</wp:posOffset>
            </wp:positionV>
            <wp:extent cx="6757059" cy="8894445"/>
            <wp:effectExtent l="0" t="0" r="5715" b="1905"/>
            <wp:wrapTopAndBottom/>
            <wp:docPr id="54" name="Graf 5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A031458C-5B21-4E6C-8491-0094E91E7B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p>
    <w:p w14:paraId="3E5C296E" w14:textId="77777777" w:rsidR="00DB6454" w:rsidRPr="00BB2DE7" w:rsidRDefault="004343E4" w:rsidP="004343E4">
      <w:pPr>
        <w:pStyle w:val="Nadpis3"/>
        <w:rPr>
          <w:rFonts w:asciiTheme="minorHAnsi" w:hAnsiTheme="minorHAnsi"/>
          <w:bCs/>
          <w:noProof/>
        </w:rPr>
      </w:pPr>
      <w:bookmarkStart w:id="59" w:name="_Toc3292014"/>
      <w:r w:rsidRPr="00152198">
        <w:rPr>
          <w:rFonts w:asciiTheme="minorHAnsi" w:hAnsiTheme="minorHAnsi"/>
          <w:bCs/>
          <w:noProof/>
        </w:rPr>
        <w:lastRenderedPageBreak/>
        <w:t>Porovnání</w:t>
      </w:r>
      <w:r>
        <w:rPr>
          <w:rFonts w:asciiTheme="minorHAnsi" w:hAnsiTheme="minorHAnsi"/>
          <w:bCs/>
          <w:noProof/>
        </w:rPr>
        <w:t xml:space="preserve"> průměrných hodnot</w:t>
      </w:r>
      <w:r w:rsidRPr="00152198">
        <w:rPr>
          <w:rFonts w:asciiTheme="minorHAnsi" w:hAnsiTheme="minorHAnsi"/>
          <w:bCs/>
          <w:noProof/>
        </w:rPr>
        <w:t xml:space="preserve"> sledovaných ukazatelů </w:t>
      </w:r>
      <w:r>
        <w:rPr>
          <w:rFonts w:asciiTheme="minorHAnsi" w:hAnsiTheme="minorHAnsi"/>
          <w:bCs/>
          <w:noProof/>
        </w:rPr>
        <w:t>z Porovnání splňujících daná kritéria</w:t>
      </w:r>
      <w:bookmarkEnd w:id="59"/>
      <w:r>
        <w:rPr>
          <w:rFonts w:asciiTheme="minorHAnsi" w:hAnsiTheme="minorHAnsi"/>
          <w:bCs/>
          <w:noProof/>
        </w:rPr>
        <w:t xml:space="preserve"> </w:t>
      </w:r>
    </w:p>
    <w:p w14:paraId="70AE2418" w14:textId="77777777" w:rsidR="00D16669" w:rsidRDefault="00D16669" w:rsidP="00D16669"/>
    <w:p w14:paraId="63ABA354" w14:textId="77777777" w:rsidR="00625659" w:rsidRPr="00C62639" w:rsidRDefault="00625659" w:rsidP="00625659">
      <w:pPr>
        <w:pStyle w:val="Normlnzprva"/>
      </w:pPr>
      <w:r w:rsidRPr="00C62639">
        <w:t>V </w:t>
      </w:r>
      <w:r>
        <w:t>následující tabulce jsou uvedeny</w:t>
      </w:r>
      <w:r w:rsidRPr="00C62639">
        <w:t xml:space="preserve"> </w:t>
      </w:r>
      <w:r>
        <w:t xml:space="preserve">průměry </w:t>
      </w:r>
      <w:r w:rsidRPr="00C62639">
        <w:t xml:space="preserve">hodnot </w:t>
      </w:r>
      <w:r>
        <w:t>vybraných</w:t>
      </w:r>
      <w:r w:rsidRPr="00C62639">
        <w:t xml:space="preserve"> ukazatelů </w:t>
      </w:r>
      <w:r>
        <w:t>Porovnání splňujících stanovené hodnoty pro jednotlivé skupiny provozovatelů</w:t>
      </w:r>
      <w:r w:rsidRPr="00C62639">
        <w:t>.</w:t>
      </w:r>
      <w:r>
        <w:t xml:space="preserve"> </w:t>
      </w:r>
      <w:r w:rsidRPr="00C62639">
        <w:t>Při jejich výpočtu se postupovalo v souladu s platnou metodikou a postupy uvedenými v bodě 3.</w:t>
      </w:r>
      <w:r>
        <w:t>4.</w:t>
      </w:r>
    </w:p>
    <w:p w14:paraId="532B7C09" w14:textId="77777777" w:rsidR="00D16669" w:rsidRPr="00C410C4" w:rsidRDefault="00D16669" w:rsidP="00587A6B">
      <w:pPr>
        <w:pStyle w:val="NORMLN0"/>
      </w:pPr>
    </w:p>
    <w:p w14:paraId="46424C25" w14:textId="77777777" w:rsidR="00D16669" w:rsidRPr="00C410C4" w:rsidRDefault="00B346C7" w:rsidP="00587A6B">
      <w:pPr>
        <w:pStyle w:val="NORMLN0"/>
      </w:pPr>
      <w:r w:rsidRPr="00C62639">
        <w:t>Podle průměrných hodnot je možné se pokusit velice zjednodušeně specifikovat charakteristiky provozovatel</w:t>
      </w:r>
      <w:r>
        <w:t>ů nejvíce se blížících plnění jednotlivých záměrů regulace</w:t>
      </w:r>
      <w:r w:rsidRPr="00C62639">
        <w:t xml:space="preserve"> pro celý obor </w:t>
      </w:r>
      <w:r>
        <w:t>kanalizací</w:t>
      </w:r>
      <w:r w:rsidRPr="00C62639">
        <w:t>.</w:t>
      </w:r>
      <w:r w:rsidR="00D16669" w:rsidRPr="00C410C4">
        <w:t xml:space="preserve"> </w:t>
      </w:r>
    </w:p>
    <w:p w14:paraId="78701057" w14:textId="77777777" w:rsidR="00D16669" w:rsidRPr="00D16669" w:rsidRDefault="00D16669" w:rsidP="00D16669"/>
    <w:tbl>
      <w:tblPr>
        <w:tblW w:w="5000" w:type="pct"/>
        <w:jc w:val="center"/>
        <w:tblCellMar>
          <w:left w:w="70" w:type="dxa"/>
          <w:right w:w="70" w:type="dxa"/>
        </w:tblCellMar>
        <w:tblLook w:val="04A0" w:firstRow="1" w:lastRow="0" w:firstColumn="1" w:lastColumn="0" w:noHBand="0" w:noVBand="1"/>
      </w:tblPr>
      <w:tblGrid>
        <w:gridCol w:w="2584"/>
        <w:gridCol w:w="995"/>
        <w:gridCol w:w="839"/>
        <w:gridCol w:w="1037"/>
        <w:gridCol w:w="1367"/>
        <w:gridCol w:w="1137"/>
        <w:gridCol w:w="1111"/>
      </w:tblGrid>
      <w:tr w:rsidR="00662DA6" w:rsidRPr="00662DA6" w14:paraId="3C03C321" w14:textId="77777777" w:rsidTr="00587A6B">
        <w:trPr>
          <w:trHeight w:val="1545"/>
          <w:jc w:val="center"/>
        </w:trPr>
        <w:tc>
          <w:tcPr>
            <w:tcW w:w="712" w:type="pct"/>
            <w:tcBorders>
              <w:top w:val="nil"/>
              <w:left w:val="nil"/>
              <w:bottom w:val="single" w:sz="12" w:space="0" w:color="FFFFFF"/>
              <w:right w:val="single" w:sz="4" w:space="0" w:color="FFFFFF"/>
            </w:tcBorders>
            <w:shd w:val="clear" w:color="ED7D31" w:fill="ED7D31"/>
            <w:vAlign w:val="center"/>
            <w:hideMark/>
          </w:tcPr>
          <w:p w14:paraId="7E2FBED5" w14:textId="77777777" w:rsidR="00662DA6" w:rsidRPr="00662DA6" w:rsidRDefault="00587A6B"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UKAZATEL</w:t>
            </w:r>
          </w:p>
        </w:tc>
        <w:tc>
          <w:tcPr>
            <w:tcW w:w="712" w:type="pct"/>
            <w:tcBorders>
              <w:top w:val="nil"/>
              <w:left w:val="nil"/>
              <w:bottom w:val="single" w:sz="12" w:space="0" w:color="FFFFFF"/>
              <w:right w:val="single" w:sz="4" w:space="0" w:color="FFFFFF"/>
            </w:tcBorders>
            <w:shd w:val="clear" w:color="ED7D31" w:fill="ED7D31"/>
            <w:vAlign w:val="center"/>
            <w:hideMark/>
          </w:tcPr>
          <w:p w14:paraId="08B8DA82" w14:textId="77777777" w:rsidR="00662DA6" w:rsidRPr="00662DA6" w:rsidRDefault="00587A6B"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OPERAČNÍ KOEFICIENT</w:t>
            </w:r>
          </w:p>
        </w:tc>
        <w:tc>
          <w:tcPr>
            <w:tcW w:w="712" w:type="pct"/>
            <w:tcBorders>
              <w:top w:val="nil"/>
              <w:left w:val="nil"/>
              <w:bottom w:val="single" w:sz="12" w:space="0" w:color="FFFFFF"/>
              <w:right w:val="single" w:sz="4" w:space="0" w:color="FFFFFF"/>
            </w:tcBorders>
            <w:shd w:val="clear" w:color="ED7D31" w:fill="ED7D31"/>
            <w:vAlign w:val="center"/>
            <w:hideMark/>
          </w:tcPr>
          <w:p w14:paraId="36A35AB5" w14:textId="77777777" w:rsidR="00662DA6" w:rsidRPr="00662DA6" w:rsidRDefault="00587A6B" w:rsidP="00662DA6">
            <w:pPr>
              <w:spacing w:before="0" w:after="0"/>
              <w:contextualSpacing w:val="0"/>
              <w:jc w:val="center"/>
              <w:rPr>
                <w:rFonts w:asciiTheme="majorHAnsi" w:eastAsia="Times New Roman" w:hAnsiTheme="majorHAnsi"/>
                <w:b/>
                <w:bCs/>
                <w:color w:val="FFFFFF"/>
                <w:sz w:val="18"/>
                <w:lang w:eastAsia="cs-CZ"/>
              </w:rPr>
            </w:pPr>
            <w:r w:rsidRPr="00A26A62">
              <w:rPr>
                <w:rFonts w:asciiTheme="majorHAnsi" w:eastAsia="Times New Roman" w:hAnsiTheme="majorHAnsi"/>
                <w:b/>
                <w:bCs/>
                <w:color w:val="FFFFFF"/>
                <w:sz w:val="18"/>
                <w:lang w:eastAsia="cs-CZ"/>
              </w:rPr>
              <w:t>CENA PRO STOČNÉ (KČ/M3)</w:t>
            </w:r>
          </w:p>
        </w:tc>
        <w:tc>
          <w:tcPr>
            <w:tcW w:w="712" w:type="pct"/>
            <w:tcBorders>
              <w:top w:val="nil"/>
              <w:left w:val="nil"/>
              <w:bottom w:val="single" w:sz="12" w:space="0" w:color="FFFFFF"/>
              <w:right w:val="single" w:sz="4" w:space="0" w:color="FFFFFF"/>
            </w:tcBorders>
            <w:shd w:val="clear" w:color="ED7D31" w:fill="ED7D31"/>
            <w:vAlign w:val="center"/>
            <w:hideMark/>
          </w:tcPr>
          <w:p w14:paraId="33DBB569" w14:textId="77777777" w:rsidR="00662DA6" w:rsidRPr="00662DA6" w:rsidRDefault="00587A6B" w:rsidP="00662DA6">
            <w:pPr>
              <w:spacing w:before="0" w:after="0"/>
              <w:contextualSpacing w:val="0"/>
              <w:jc w:val="center"/>
              <w:rPr>
                <w:rFonts w:asciiTheme="majorHAnsi" w:eastAsia="Times New Roman" w:hAnsiTheme="majorHAnsi"/>
                <w:b/>
                <w:bCs/>
                <w:color w:val="FFFFFF"/>
                <w:sz w:val="18"/>
                <w:lang w:eastAsia="cs-CZ"/>
              </w:rPr>
            </w:pPr>
            <w:r w:rsidRPr="00A26A62">
              <w:rPr>
                <w:rFonts w:asciiTheme="majorHAnsi" w:eastAsia="Times New Roman" w:hAnsiTheme="majorHAnsi"/>
                <w:b/>
                <w:bCs/>
                <w:color w:val="FFFFFF"/>
                <w:sz w:val="18"/>
                <w:lang w:eastAsia="cs-CZ"/>
              </w:rPr>
              <w:t>PODÍL ČIŠTĚNÝCH ODPADNÍCH VOD (%)</w:t>
            </w:r>
          </w:p>
        </w:tc>
        <w:tc>
          <w:tcPr>
            <w:tcW w:w="729" w:type="pct"/>
            <w:tcBorders>
              <w:top w:val="nil"/>
              <w:left w:val="nil"/>
              <w:bottom w:val="single" w:sz="12" w:space="0" w:color="FFFFFF"/>
              <w:right w:val="single" w:sz="4" w:space="0" w:color="FFFFFF"/>
            </w:tcBorders>
            <w:shd w:val="clear" w:color="ED7D31" w:fill="ED7D31"/>
            <w:vAlign w:val="center"/>
            <w:hideMark/>
          </w:tcPr>
          <w:p w14:paraId="0ECB46F4" w14:textId="77777777" w:rsidR="00662DA6" w:rsidRPr="00662DA6" w:rsidRDefault="00587A6B" w:rsidP="00662DA6">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PODÍL GENEROVANÝCH PROSTŘEDKŮ NA OBNOVU A ROZVOJ K HODNOTĚ VIM</w:t>
            </w:r>
          </w:p>
        </w:tc>
        <w:tc>
          <w:tcPr>
            <w:tcW w:w="712" w:type="pct"/>
            <w:tcBorders>
              <w:top w:val="nil"/>
              <w:left w:val="nil"/>
              <w:bottom w:val="single" w:sz="12" w:space="0" w:color="FFFFFF"/>
              <w:right w:val="single" w:sz="4" w:space="0" w:color="FFFFFF"/>
            </w:tcBorders>
            <w:shd w:val="clear" w:color="ED7D31" w:fill="ED7D31"/>
            <w:vAlign w:val="center"/>
            <w:hideMark/>
          </w:tcPr>
          <w:p w14:paraId="276DAEE5" w14:textId="1616E0BE" w:rsidR="00662DA6" w:rsidRPr="00662DA6" w:rsidRDefault="00587A6B" w:rsidP="00A26A62">
            <w:pPr>
              <w:spacing w:before="0" w:after="0"/>
              <w:contextualSpacing w:val="0"/>
              <w:jc w:val="center"/>
              <w:rPr>
                <w:rFonts w:asciiTheme="majorHAnsi" w:eastAsia="Times New Roman" w:hAnsiTheme="majorHAnsi"/>
                <w:b/>
                <w:bCs/>
                <w:color w:val="FFFFFF"/>
                <w:sz w:val="18"/>
                <w:lang w:eastAsia="cs-CZ"/>
              </w:rPr>
            </w:pPr>
            <w:r w:rsidRPr="00662DA6">
              <w:rPr>
                <w:rFonts w:asciiTheme="majorHAnsi" w:eastAsia="Times New Roman" w:hAnsiTheme="majorHAnsi"/>
                <w:b/>
                <w:bCs/>
                <w:color w:val="FFFFFF"/>
                <w:sz w:val="18"/>
                <w:lang w:eastAsia="cs-CZ"/>
              </w:rPr>
              <w:t xml:space="preserve">VYPOUŠTĚNÉ ODPADNÍ VODY VČETNĚ SRÁŽKOVÝCH NA PRACOVNÍKA SPOLEČNOSTI </w:t>
            </w:r>
            <w:r w:rsidRPr="00662DA6">
              <w:rPr>
                <w:rFonts w:asciiTheme="majorHAnsi" w:eastAsia="Times New Roman" w:hAnsiTheme="majorHAnsi"/>
                <w:b/>
                <w:bCs/>
                <w:color w:val="FFFFFF"/>
                <w:sz w:val="18"/>
                <w:lang w:eastAsia="cs-CZ"/>
              </w:rPr>
              <w:br/>
              <w:t>(TIS.</w:t>
            </w:r>
            <w:r w:rsidR="00BC03D3">
              <w:rPr>
                <w:rFonts w:asciiTheme="majorHAnsi" w:eastAsia="Times New Roman" w:hAnsiTheme="majorHAnsi"/>
                <w:b/>
                <w:bCs/>
                <w:color w:val="FFFFFF"/>
                <w:sz w:val="18"/>
                <w:lang w:eastAsia="cs-CZ"/>
              </w:rPr>
              <w:t xml:space="preserve"> </w:t>
            </w:r>
            <w:r>
              <w:rPr>
                <w:rFonts w:asciiTheme="majorHAnsi" w:eastAsia="Times New Roman" w:hAnsiTheme="majorHAnsi"/>
                <w:b/>
                <w:bCs/>
                <w:color w:val="FFFFFF"/>
                <w:sz w:val="18"/>
                <w:lang w:eastAsia="cs-CZ"/>
              </w:rPr>
              <w:t>M</w:t>
            </w:r>
            <w:r w:rsidRPr="00E27252">
              <w:rPr>
                <w:rFonts w:asciiTheme="majorHAnsi" w:eastAsia="Times New Roman" w:hAnsiTheme="majorHAnsi"/>
                <w:b/>
                <w:bCs/>
                <w:color w:val="FFFFFF"/>
                <w:sz w:val="18"/>
                <w:vertAlign w:val="superscript"/>
                <w:lang w:eastAsia="cs-CZ"/>
              </w:rPr>
              <w:t>3</w:t>
            </w:r>
            <w:r w:rsidRPr="00662DA6">
              <w:rPr>
                <w:rFonts w:asciiTheme="majorHAnsi" w:eastAsia="Times New Roman" w:hAnsiTheme="majorHAnsi"/>
                <w:b/>
                <w:bCs/>
                <w:color w:val="FFFFFF"/>
                <w:sz w:val="18"/>
                <w:lang w:eastAsia="cs-CZ"/>
              </w:rPr>
              <w:t>/</w:t>
            </w:r>
            <w:r>
              <w:rPr>
                <w:rFonts w:asciiTheme="majorHAnsi" w:eastAsia="Times New Roman" w:hAnsiTheme="majorHAnsi"/>
                <w:b/>
                <w:bCs/>
                <w:color w:val="FFFFFF"/>
                <w:sz w:val="18"/>
                <w:lang w:eastAsia="cs-CZ"/>
              </w:rPr>
              <w:t>PRAC</w:t>
            </w:r>
            <w:r w:rsidRPr="00662DA6">
              <w:rPr>
                <w:rFonts w:asciiTheme="majorHAnsi" w:eastAsia="Times New Roman" w:hAnsiTheme="majorHAnsi"/>
                <w:b/>
                <w:bCs/>
                <w:color w:val="FFFFFF"/>
                <w:sz w:val="18"/>
                <w:lang w:eastAsia="cs-CZ"/>
              </w:rPr>
              <w:t>.)</w:t>
            </w:r>
          </w:p>
        </w:tc>
        <w:tc>
          <w:tcPr>
            <w:tcW w:w="712" w:type="pct"/>
            <w:tcBorders>
              <w:top w:val="nil"/>
              <w:left w:val="nil"/>
              <w:bottom w:val="single" w:sz="12" w:space="0" w:color="FFFFFF"/>
              <w:right w:val="nil"/>
            </w:tcBorders>
            <w:shd w:val="clear" w:color="ED7D31" w:fill="ED7D31"/>
            <w:vAlign w:val="center"/>
            <w:hideMark/>
          </w:tcPr>
          <w:p w14:paraId="35DB6022" w14:textId="77777777" w:rsidR="00662DA6" w:rsidRPr="00662DA6" w:rsidRDefault="00587A6B" w:rsidP="00662DA6">
            <w:pPr>
              <w:spacing w:before="0" w:after="0"/>
              <w:contextualSpacing w:val="0"/>
              <w:jc w:val="center"/>
              <w:rPr>
                <w:rFonts w:asciiTheme="majorHAnsi" w:eastAsia="Times New Roman" w:hAnsiTheme="majorHAnsi"/>
                <w:b/>
                <w:bCs/>
                <w:color w:val="FFFFFF"/>
                <w:sz w:val="18"/>
                <w:lang w:eastAsia="cs-CZ"/>
              </w:rPr>
            </w:pPr>
            <w:r w:rsidRPr="00A26A62">
              <w:rPr>
                <w:rFonts w:asciiTheme="majorHAnsi" w:eastAsia="Times New Roman" w:hAnsiTheme="majorHAnsi"/>
                <w:b/>
                <w:bCs/>
                <w:color w:val="FFFFFF"/>
                <w:sz w:val="18"/>
                <w:lang w:eastAsia="cs-CZ"/>
              </w:rPr>
              <w:t>JEDNOTKOVÉ NÁKLADY (KČ/M3)</w:t>
            </w:r>
          </w:p>
        </w:tc>
      </w:tr>
      <w:tr w:rsidR="00587A6B" w:rsidRPr="00662DA6" w14:paraId="3F177157" w14:textId="77777777" w:rsidTr="00587A6B">
        <w:trPr>
          <w:trHeight w:val="315"/>
          <w:jc w:val="center"/>
        </w:trPr>
        <w:tc>
          <w:tcPr>
            <w:tcW w:w="712" w:type="pct"/>
            <w:tcBorders>
              <w:top w:val="single" w:sz="4" w:space="0" w:color="FFFFFF"/>
              <w:left w:val="nil"/>
              <w:bottom w:val="single" w:sz="4" w:space="0" w:color="FFFFFF"/>
              <w:right w:val="single" w:sz="4" w:space="0" w:color="FFFFFF"/>
            </w:tcBorders>
            <w:shd w:val="clear" w:color="F8CBAD" w:fill="F8CBAD"/>
            <w:noWrap/>
            <w:vAlign w:val="center"/>
            <w:hideMark/>
          </w:tcPr>
          <w:p w14:paraId="7761AD77" w14:textId="77777777" w:rsidR="00587A6B" w:rsidRPr="00587A6B" w:rsidRDefault="00587A6B" w:rsidP="00595448">
            <w:pPr>
              <w:rPr>
                <w:color w:val="000000"/>
                <w:sz w:val="20"/>
              </w:rPr>
            </w:pPr>
            <w:r w:rsidRPr="00587A6B">
              <w:rPr>
                <w:color w:val="000000"/>
                <w:sz w:val="20"/>
              </w:rPr>
              <w:t>I.SKUPINA (&gt;500 000 PŘ.OB.)</w:t>
            </w:r>
          </w:p>
        </w:tc>
        <w:tc>
          <w:tcPr>
            <w:tcW w:w="712" w:type="pct"/>
            <w:tcBorders>
              <w:top w:val="single" w:sz="4" w:space="0" w:color="FFFFFF"/>
              <w:left w:val="nil"/>
              <w:bottom w:val="single" w:sz="4" w:space="0" w:color="FFFFFF"/>
              <w:right w:val="single" w:sz="4" w:space="0" w:color="FFFFFF"/>
            </w:tcBorders>
            <w:shd w:val="clear" w:color="F8CBAD" w:fill="F8CBAD"/>
            <w:noWrap/>
            <w:vAlign w:val="center"/>
            <w:hideMark/>
          </w:tcPr>
          <w:p w14:paraId="79489E52"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1,12</w:t>
            </w:r>
          </w:p>
        </w:tc>
        <w:tc>
          <w:tcPr>
            <w:tcW w:w="712" w:type="pct"/>
            <w:tcBorders>
              <w:top w:val="single" w:sz="4" w:space="0" w:color="FFFFFF"/>
              <w:left w:val="nil"/>
              <w:bottom w:val="single" w:sz="4" w:space="0" w:color="FFFFFF"/>
              <w:right w:val="single" w:sz="4" w:space="0" w:color="FFFFFF"/>
            </w:tcBorders>
            <w:shd w:val="clear" w:color="F8CBAD" w:fill="F8CBAD"/>
            <w:noWrap/>
            <w:vAlign w:val="center"/>
            <w:hideMark/>
          </w:tcPr>
          <w:p w14:paraId="71EEA5CC"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37,97</w:t>
            </w:r>
          </w:p>
        </w:tc>
        <w:tc>
          <w:tcPr>
            <w:tcW w:w="712" w:type="pct"/>
            <w:tcBorders>
              <w:top w:val="single" w:sz="4" w:space="0" w:color="FFFFFF"/>
              <w:left w:val="nil"/>
              <w:bottom w:val="single" w:sz="4" w:space="0" w:color="FFFFFF"/>
              <w:right w:val="single" w:sz="4" w:space="0" w:color="FFFFFF"/>
            </w:tcBorders>
            <w:shd w:val="clear" w:color="F8CBAD" w:fill="F8CBAD"/>
            <w:noWrap/>
            <w:vAlign w:val="center"/>
            <w:hideMark/>
          </w:tcPr>
          <w:p w14:paraId="6B5B869B"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99,36</w:t>
            </w:r>
          </w:p>
        </w:tc>
        <w:tc>
          <w:tcPr>
            <w:tcW w:w="729" w:type="pct"/>
            <w:tcBorders>
              <w:top w:val="single" w:sz="4" w:space="0" w:color="FFFFFF"/>
              <w:left w:val="nil"/>
              <w:bottom w:val="single" w:sz="4" w:space="0" w:color="FFFFFF"/>
              <w:right w:val="single" w:sz="4" w:space="0" w:color="FFFFFF"/>
            </w:tcBorders>
            <w:shd w:val="clear" w:color="F8CBAD" w:fill="F8CBAD"/>
            <w:noWrap/>
            <w:vAlign w:val="center"/>
            <w:hideMark/>
          </w:tcPr>
          <w:p w14:paraId="3147E01F"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2,29</w:t>
            </w:r>
          </w:p>
        </w:tc>
        <w:tc>
          <w:tcPr>
            <w:tcW w:w="712" w:type="pct"/>
            <w:tcBorders>
              <w:top w:val="single" w:sz="4" w:space="0" w:color="FFFFFF"/>
              <w:left w:val="nil"/>
              <w:bottom w:val="single" w:sz="4" w:space="0" w:color="FFFFFF"/>
              <w:right w:val="single" w:sz="4" w:space="0" w:color="FFFFFF"/>
            </w:tcBorders>
            <w:shd w:val="clear" w:color="F8CBAD" w:fill="F8CBAD"/>
            <w:noWrap/>
            <w:vAlign w:val="center"/>
            <w:hideMark/>
          </w:tcPr>
          <w:p w14:paraId="2D6DC9D3"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137,66</w:t>
            </w:r>
          </w:p>
        </w:tc>
        <w:tc>
          <w:tcPr>
            <w:tcW w:w="712" w:type="pct"/>
            <w:tcBorders>
              <w:top w:val="single" w:sz="4" w:space="0" w:color="FFFFFF"/>
              <w:left w:val="nil"/>
              <w:bottom w:val="single" w:sz="4" w:space="0" w:color="FFFFFF"/>
              <w:right w:val="nil"/>
            </w:tcBorders>
            <w:shd w:val="clear" w:color="F8CBAD" w:fill="F8CBAD"/>
            <w:noWrap/>
            <w:vAlign w:val="center"/>
            <w:hideMark/>
          </w:tcPr>
          <w:p w14:paraId="67E45ED8"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33,98</w:t>
            </w:r>
          </w:p>
        </w:tc>
      </w:tr>
      <w:tr w:rsidR="00587A6B" w:rsidRPr="00662DA6" w14:paraId="3343FF3C" w14:textId="77777777" w:rsidTr="00587A6B">
        <w:trPr>
          <w:trHeight w:val="300"/>
          <w:jc w:val="center"/>
        </w:trPr>
        <w:tc>
          <w:tcPr>
            <w:tcW w:w="712" w:type="pct"/>
            <w:tcBorders>
              <w:top w:val="nil"/>
              <w:left w:val="nil"/>
              <w:bottom w:val="single" w:sz="4" w:space="0" w:color="FFFFFF"/>
              <w:right w:val="single" w:sz="4" w:space="0" w:color="FFFFFF"/>
            </w:tcBorders>
            <w:shd w:val="clear" w:color="FCE4D6" w:fill="FCE4D6"/>
            <w:noWrap/>
            <w:vAlign w:val="center"/>
            <w:hideMark/>
          </w:tcPr>
          <w:p w14:paraId="0163ED87" w14:textId="77777777" w:rsidR="00587A6B" w:rsidRPr="00587A6B" w:rsidRDefault="00587A6B" w:rsidP="00595448">
            <w:pPr>
              <w:rPr>
                <w:color w:val="000000"/>
                <w:sz w:val="20"/>
              </w:rPr>
            </w:pPr>
            <w:r w:rsidRPr="00587A6B">
              <w:rPr>
                <w:color w:val="000000"/>
                <w:sz w:val="20"/>
              </w:rPr>
              <w:t>II.SKUPINA (&gt;200 000 PŘ.OB.)</w:t>
            </w:r>
          </w:p>
        </w:tc>
        <w:tc>
          <w:tcPr>
            <w:tcW w:w="712" w:type="pct"/>
            <w:tcBorders>
              <w:top w:val="nil"/>
              <w:left w:val="nil"/>
              <w:bottom w:val="single" w:sz="4" w:space="0" w:color="FFFFFF"/>
              <w:right w:val="single" w:sz="4" w:space="0" w:color="FFFFFF"/>
            </w:tcBorders>
            <w:shd w:val="clear" w:color="FCE4D6" w:fill="FCE4D6"/>
            <w:noWrap/>
            <w:vAlign w:val="center"/>
            <w:hideMark/>
          </w:tcPr>
          <w:p w14:paraId="719BFC20"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1,18</w:t>
            </w:r>
          </w:p>
        </w:tc>
        <w:tc>
          <w:tcPr>
            <w:tcW w:w="712" w:type="pct"/>
            <w:tcBorders>
              <w:top w:val="nil"/>
              <w:left w:val="nil"/>
              <w:bottom w:val="single" w:sz="4" w:space="0" w:color="FFFFFF"/>
              <w:right w:val="single" w:sz="4" w:space="0" w:color="FFFFFF"/>
            </w:tcBorders>
            <w:shd w:val="clear" w:color="FCE4D6" w:fill="FCE4D6"/>
            <w:noWrap/>
            <w:vAlign w:val="center"/>
            <w:hideMark/>
          </w:tcPr>
          <w:p w14:paraId="08245EA7"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33,41</w:t>
            </w:r>
          </w:p>
        </w:tc>
        <w:tc>
          <w:tcPr>
            <w:tcW w:w="712" w:type="pct"/>
            <w:tcBorders>
              <w:top w:val="nil"/>
              <w:left w:val="nil"/>
              <w:bottom w:val="single" w:sz="4" w:space="0" w:color="FFFFFF"/>
              <w:right w:val="single" w:sz="4" w:space="0" w:color="FFFFFF"/>
            </w:tcBorders>
            <w:shd w:val="clear" w:color="FCE4D6" w:fill="FCE4D6"/>
            <w:noWrap/>
            <w:vAlign w:val="center"/>
            <w:hideMark/>
          </w:tcPr>
          <w:p w14:paraId="764FD174"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96,90</w:t>
            </w:r>
          </w:p>
        </w:tc>
        <w:tc>
          <w:tcPr>
            <w:tcW w:w="729" w:type="pct"/>
            <w:tcBorders>
              <w:top w:val="nil"/>
              <w:left w:val="nil"/>
              <w:bottom w:val="single" w:sz="4" w:space="0" w:color="FFFFFF"/>
              <w:right w:val="single" w:sz="4" w:space="0" w:color="FFFFFF"/>
            </w:tcBorders>
            <w:shd w:val="clear" w:color="FCE4D6" w:fill="FCE4D6"/>
            <w:noWrap/>
            <w:vAlign w:val="center"/>
            <w:hideMark/>
          </w:tcPr>
          <w:p w14:paraId="6F235675"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2,24</w:t>
            </w:r>
          </w:p>
        </w:tc>
        <w:tc>
          <w:tcPr>
            <w:tcW w:w="712" w:type="pct"/>
            <w:tcBorders>
              <w:top w:val="nil"/>
              <w:left w:val="nil"/>
              <w:bottom w:val="single" w:sz="4" w:space="0" w:color="FFFFFF"/>
              <w:right w:val="single" w:sz="4" w:space="0" w:color="FFFFFF"/>
            </w:tcBorders>
            <w:shd w:val="clear" w:color="FCE4D6" w:fill="FCE4D6"/>
            <w:noWrap/>
            <w:vAlign w:val="center"/>
            <w:hideMark/>
          </w:tcPr>
          <w:p w14:paraId="39B8C881"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103,98</w:t>
            </w:r>
          </w:p>
        </w:tc>
        <w:tc>
          <w:tcPr>
            <w:tcW w:w="712" w:type="pct"/>
            <w:tcBorders>
              <w:top w:val="nil"/>
              <w:left w:val="nil"/>
              <w:bottom w:val="single" w:sz="4" w:space="0" w:color="FFFFFF"/>
              <w:right w:val="nil"/>
            </w:tcBorders>
            <w:shd w:val="clear" w:color="FCE4D6" w:fill="FCE4D6"/>
            <w:noWrap/>
            <w:vAlign w:val="center"/>
            <w:hideMark/>
          </w:tcPr>
          <w:p w14:paraId="00F0DC67"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28,58</w:t>
            </w:r>
          </w:p>
        </w:tc>
      </w:tr>
      <w:tr w:rsidR="00587A6B" w:rsidRPr="00662DA6" w14:paraId="45EFB4E6" w14:textId="77777777" w:rsidTr="00587A6B">
        <w:trPr>
          <w:trHeight w:val="300"/>
          <w:jc w:val="center"/>
        </w:trPr>
        <w:tc>
          <w:tcPr>
            <w:tcW w:w="712" w:type="pct"/>
            <w:tcBorders>
              <w:top w:val="nil"/>
              <w:left w:val="nil"/>
              <w:bottom w:val="single" w:sz="4" w:space="0" w:color="FFFFFF"/>
              <w:right w:val="single" w:sz="4" w:space="0" w:color="FFFFFF"/>
            </w:tcBorders>
            <w:shd w:val="clear" w:color="F8CBAD" w:fill="F8CBAD"/>
            <w:noWrap/>
            <w:vAlign w:val="center"/>
            <w:hideMark/>
          </w:tcPr>
          <w:p w14:paraId="52A373E5" w14:textId="77777777" w:rsidR="00587A6B" w:rsidRPr="00587A6B" w:rsidRDefault="00587A6B" w:rsidP="00595448">
            <w:pPr>
              <w:rPr>
                <w:color w:val="000000"/>
                <w:sz w:val="20"/>
              </w:rPr>
            </w:pPr>
            <w:r w:rsidRPr="00587A6B">
              <w:rPr>
                <w:color w:val="000000"/>
                <w:sz w:val="20"/>
              </w:rPr>
              <w:t>III.SKUPINA (&gt;100 000 PŘ.OB.)</w:t>
            </w:r>
          </w:p>
        </w:tc>
        <w:tc>
          <w:tcPr>
            <w:tcW w:w="712" w:type="pct"/>
            <w:tcBorders>
              <w:top w:val="nil"/>
              <w:left w:val="nil"/>
              <w:bottom w:val="single" w:sz="4" w:space="0" w:color="FFFFFF"/>
              <w:right w:val="single" w:sz="4" w:space="0" w:color="FFFFFF"/>
            </w:tcBorders>
            <w:shd w:val="clear" w:color="F8CBAD" w:fill="F8CBAD"/>
            <w:noWrap/>
            <w:vAlign w:val="center"/>
            <w:hideMark/>
          </w:tcPr>
          <w:p w14:paraId="63A1E807"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1,07</w:t>
            </w:r>
          </w:p>
        </w:tc>
        <w:tc>
          <w:tcPr>
            <w:tcW w:w="712" w:type="pct"/>
            <w:tcBorders>
              <w:top w:val="nil"/>
              <w:left w:val="nil"/>
              <w:bottom w:val="single" w:sz="4" w:space="0" w:color="FFFFFF"/>
              <w:right w:val="single" w:sz="4" w:space="0" w:color="FFFFFF"/>
            </w:tcBorders>
            <w:shd w:val="clear" w:color="F8CBAD" w:fill="F8CBAD"/>
            <w:noWrap/>
            <w:vAlign w:val="center"/>
            <w:hideMark/>
          </w:tcPr>
          <w:p w14:paraId="554F2FCE"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34,18</w:t>
            </w:r>
          </w:p>
        </w:tc>
        <w:tc>
          <w:tcPr>
            <w:tcW w:w="712" w:type="pct"/>
            <w:tcBorders>
              <w:top w:val="nil"/>
              <w:left w:val="nil"/>
              <w:bottom w:val="single" w:sz="4" w:space="0" w:color="FFFFFF"/>
              <w:right w:val="single" w:sz="4" w:space="0" w:color="FFFFFF"/>
            </w:tcBorders>
            <w:shd w:val="clear" w:color="F8CBAD" w:fill="F8CBAD"/>
            <w:noWrap/>
            <w:vAlign w:val="center"/>
            <w:hideMark/>
          </w:tcPr>
          <w:p w14:paraId="59E9D4D1"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99,90</w:t>
            </w:r>
          </w:p>
        </w:tc>
        <w:tc>
          <w:tcPr>
            <w:tcW w:w="729" w:type="pct"/>
            <w:tcBorders>
              <w:top w:val="nil"/>
              <w:left w:val="nil"/>
              <w:bottom w:val="single" w:sz="4" w:space="0" w:color="FFFFFF"/>
              <w:right w:val="single" w:sz="4" w:space="0" w:color="FFFFFF"/>
            </w:tcBorders>
            <w:shd w:val="clear" w:color="F8CBAD" w:fill="F8CBAD"/>
            <w:noWrap/>
            <w:vAlign w:val="center"/>
            <w:hideMark/>
          </w:tcPr>
          <w:p w14:paraId="7A962DBD"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1,89</w:t>
            </w:r>
          </w:p>
        </w:tc>
        <w:tc>
          <w:tcPr>
            <w:tcW w:w="712" w:type="pct"/>
            <w:tcBorders>
              <w:top w:val="nil"/>
              <w:left w:val="nil"/>
              <w:bottom w:val="single" w:sz="4" w:space="0" w:color="FFFFFF"/>
              <w:right w:val="single" w:sz="4" w:space="0" w:color="FFFFFF"/>
            </w:tcBorders>
            <w:shd w:val="clear" w:color="F8CBAD" w:fill="F8CBAD"/>
            <w:noWrap/>
            <w:vAlign w:val="center"/>
            <w:hideMark/>
          </w:tcPr>
          <w:p w14:paraId="6E65A75D"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79,07</w:t>
            </w:r>
          </w:p>
        </w:tc>
        <w:tc>
          <w:tcPr>
            <w:tcW w:w="712" w:type="pct"/>
            <w:tcBorders>
              <w:top w:val="nil"/>
              <w:left w:val="nil"/>
              <w:bottom w:val="single" w:sz="4" w:space="0" w:color="FFFFFF"/>
              <w:right w:val="nil"/>
            </w:tcBorders>
            <w:shd w:val="clear" w:color="F8CBAD" w:fill="F8CBAD"/>
            <w:noWrap/>
            <w:vAlign w:val="center"/>
            <w:hideMark/>
          </w:tcPr>
          <w:p w14:paraId="4CD296CB"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33,19</w:t>
            </w:r>
          </w:p>
        </w:tc>
      </w:tr>
      <w:tr w:rsidR="00587A6B" w:rsidRPr="00662DA6" w14:paraId="156E392C" w14:textId="77777777" w:rsidTr="00587A6B">
        <w:trPr>
          <w:trHeight w:val="300"/>
          <w:jc w:val="center"/>
        </w:trPr>
        <w:tc>
          <w:tcPr>
            <w:tcW w:w="712" w:type="pct"/>
            <w:tcBorders>
              <w:top w:val="nil"/>
              <w:left w:val="nil"/>
              <w:bottom w:val="single" w:sz="4" w:space="0" w:color="FFFFFF"/>
              <w:right w:val="single" w:sz="4" w:space="0" w:color="FFFFFF"/>
            </w:tcBorders>
            <w:shd w:val="clear" w:color="FCE4D6" w:fill="FCE4D6"/>
            <w:noWrap/>
            <w:vAlign w:val="center"/>
            <w:hideMark/>
          </w:tcPr>
          <w:p w14:paraId="17FBBC84" w14:textId="77777777" w:rsidR="00587A6B" w:rsidRPr="00587A6B" w:rsidRDefault="00587A6B" w:rsidP="00595448">
            <w:pPr>
              <w:rPr>
                <w:color w:val="000000"/>
                <w:sz w:val="20"/>
              </w:rPr>
            </w:pPr>
            <w:r w:rsidRPr="00587A6B">
              <w:rPr>
                <w:color w:val="000000"/>
                <w:sz w:val="20"/>
              </w:rPr>
              <w:t>IV.SKUPINA (&gt;50 000 PŘ.OB.)</w:t>
            </w:r>
          </w:p>
        </w:tc>
        <w:tc>
          <w:tcPr>
            <w:tcW w:w="712" w:type="pct"/>
            <w:tcBorders>
              <w:top w:val="nil"/>
              <w:left w:val="nil"/>
              <w:bottom w:val="single" w:sz="4" w:space="0" w:color="FFFFFF"/>
              <w:right w:val="single" w:sz="4" w:space="0" w:color="FFFFFF"/>
            </w:tcBorders>
            <w:shd w:val="clear" w:color="FCE4D6" w:fill="FCE4D6"/>
            <w:noWrap/>
            <w:vAlign w:val="center"/>
            <w:hideMark/>
          </w:tcPr>
          <w:p w14:paraId="2F7BC914"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1,07</w:t>
            </w:r>
          </w:p>
        </w:tc>
        <w:tc>
          <w:tcPr>
            <w:tcW w:w="712" w:type="pct"/>
            <w:tcBorders>
              <w:top w:val="nil"/>
              <w:left w:val="nil"/>
              <w:bottom w:val="single" w:sz="4" w:space="0" w:color="FFFFFF"/>
              <w:right w:val="single" w:sz="4" w:space="0" w:color="FFFFFF"/>
            </w:tcBorders>
            <w:shd w:val="clear" w:color="FCE4D6" w:fill="FCE4D6"/>
            <w:noWrap/>
            <w:vAlign w:val="center"/>
            <w:hideMark/>
          </w:tcPr>
          <w:p w14:paraId="3ADDD5CA"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35,72</w:t>
            </w:r>
          </w:p>
        </w:tc>
        <w:tc>
          <w:tcPr>
            <w:tcW w:w="712" w:type="pct"/>
            <w:tcBorders>
              <w:top w:val="nil"/>
              <w:left w:val="nil"/>
              <w:bottom w:val="single" w:sz="4" w:space="0" w:color="FFFFFF"/>
              <w:right w:val="single" w:sz="4" w:space="0" w:color="FFFFFF"/>
            </w:tcBorders>
            <w:shd w:val="clear" w:color="FCE4D6" w:fill="FCE4D6"/>
            <w:noWrap/>
            <w:vAlign w:val="center"/>
            <w:hideMark/>
          </w:tcPr>
          <w:p w14:paraId="6B5F71D5"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99,89</w:t>
            </w:r>
          </w:p>
        </w:tc>
        <w:tc>
          <w:tcPr>
            <w:tcW w:w="729" w:type="pct"/>
            <w:tcBorders>
              <w:top w:val="nil"/>
              <w:left w:val="nil"/>
              <w:bottom w:val="single" w:sz="4" w:space="0" w:color="FFFFFF"/>
              <w:right w:val="single" w:sz="4" w:space="0" w:color="FFFFFF"/>
            </w:tcBorders>
            <w:shd w:val="clear" w:color="FCE4D6" w:fill="FCE4D6"/>
            <w:noWrap/>
            <w:vAlign w:val="center"/>
            <w:hideMark/>
          </w:tcPr>
          <w:p w14:paraId="479EF536"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1,96</w:t>
            </w:r>
          </w:p>
        </w:tc>
        <w:tc>
          <w:tcPr>
            <w:tcW w:w="712" w:type="pct"/>
            <w:tcBorders>
              <w:top w:val="nil"/>
              <w:left w:val="nil"/>
              <w:bottom w:val="single" w:sz="4" w:space="0" w:color="FFFFFF"/>
              <w:right w:val="single" w:sz="4" w:space="0" w:color="FFFFFF"/>
            </w:tcBorders>
            <w:shd w:val="clear" w:color="FCE4D6" w:fill="FCE4D6"/>
            <w:noWrap/>
            <w:vAlign w:val="center"/>
            <w:hideMark/>
          </w:tcPr>
          <w:p w14:paraId="3831E3C5"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69,66</w:t>
            </w:r>
          </w:p>
        </w:tc>
        <w:tc>
          <w:tcPr>
            <w:tcW w:w="712" w:type="pct"/>
            <w:tcBorders>
              <w:top w:val="nil"/>
              <w:left w:val="nil"/>
              <w:bottom w:val="single" w:sz="4" w:space="0" w:color="FFFFFF"/>
              <w:right w:val="nil"/>
            </w:tcBorders>
            <w:shd w:val="clear" w:color="FCE4D6" w:fill="FCE4D6"/>
            <w:noWrap/>
            <w:vAlign w:val="center"/>
            <w:hideMark/>
          </w:tcPr>
          <w:p w14:paraId="6CFBDD85"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33,46</w:t>
            </w:r>
          </w:p>
        </w:tc>
      </w:tr>
      <w:tr w:rsidR="00587A6B" w:rsidRPr="00662DA6" w14:paraId="327C538C" w14:textId="77777777" w:rsidTr="00587A6B">
        <w:trPr>
          <w:trHeight w:val="300"/>
          <w:jc w:val="center"/>
        </w:trPr>
        <w:tc>
          <w:tcPr>
            <w:tcW w:w="712" w:type="pct"/>
            <w:tcBorders>
              <w:top w:val="nil"/>
              <w:left w:val="nil"/>
              <w:bottom w:val="single" w:sz="4" w:space="0" w:color="FFFFFF"/>
              <w:right w:val="single" w:sz="4" w:space="0" w:color="FFFFFF"/>
            </w:tcBorders>
            <w:shd w:val="clear" w:color="F8CBAD" w:fill="F8CBAD"/>
            <w:noWrap/>
            <w:vAlign w:val="center"/>
            <w:hideMark/>
          </w:tcPr>
          <w:p w14:paraId="4093F838" w14:textId="77777777" w:rsidR="00587A6B" w:rsidRPr="00587A6B" w:rsidRDefault="00587A6B" w:rsidP="00595448">
            <w:pPr>
              <w:rPr>
                <w:color w:val="000000"/>
                <w:sz w:val="20"/>
              </w:rPr>
            </w:pPr>
            <w:r w:rsidRPr="00587A6B">
              <w:rPr>
                <w:color w:val="000000"/>
                <w:sz w:val="20"/>
              </w:rPr>
              <w:t>V.SKUPINA (&gt;10 000 PŘ.OB.)</w:t>
            </w:r>
          </w:p>
        </w:tc>
        <w:tc>
          <w:tcPr>
            <w:tcW w:w="712" w:type="pct"/>
            <w:tcBorders>
              <w:top w:val="nil"/>
              <w:left w:val="nil"/>
              <w:bottom w:val="single" w:sz="4" w:space="0" w:color="FFFFFF"/>
              <w:right w:val="single" w:sz="4" w:space="0" w:color="FFFFFF"/>
            </w:tcBorders>
            <w:shd w:val="clear" w:color="F8CBAD" w:fill="F8CBAD"/>
            <w:noWrap/>
            <w:vAlign w:val="center"/>
            <w:hideMark/>
          </w:tcPr>
          <w:p w14:paraId="07A64EC5"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1,08</w:t>
            </w:r>
          </w:p>
        </w:tc>
        <w:tc>
          <w:tcPr>
            <w:tcW w:w="712" w:type="pct"/>
            <w:tcBorders>
              <w:top w:val="nil"/>
              <w:left w:val="nil"/>
              <w:bottom w:val="single" w:sz="4" w:space="0" w:color="FFFFFF"/>
              <w:right w:val="single" w:sz="4" w:space="0" w:color="FFFFFF"/>
            </w:tcBorders>
            <w:shd w:val="clear" w:color="F8CBAD" w:fill="F8CBAD"/>
            <w:noWrap/>
            <w:vAlign w:val="center"/>
            <w:hideMark/>
          </w:tcPr>
          <w:p w14:paraId="1228878D"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34,70</w:t>
            </w:r>
          </w:p>
        </w:tc>
        <w:tc>
          <w:tcPr>
            <w:tcW w:w="712" w:type="pct"/>
            <w:tcBorders>
              <w:top w:val="nil"/>
              <w:left w:val="nil"/>
              <w:bottom w:val="single" w:sz="4" w:space="0" w:color="FFFFFF"/>
              <w:right w:val="single" w:sz="4" w:space="0" w:color="FFFFFF"/>
            </w:tcBorders>
            <w:shd w:val="clear" w:color="F8CBAD" w:fill="F8CBAD"/>
            <w:noWrap/>
            <w:vAlign w:val="center"/>
            <w:hideMark/>
          </w:tcPr>
          <w:p w14:paraId="37E4F79A"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99,97</w:t>
            </w:r>
          </w:p>
        </w:tc>
        <w:tc>
          <w:tcPr>
            <w:tcW w:w="729" w:type="pct"/>
            <w:tcBorders>
              <w:top w:val="nil"/>
              <w:left w:val="nil"/>
              <w:bottom w:val="single" w:sz="4" w:space="0" w:color="FFFFFF"/>
              <w:right w:val="single" w:sz="4" w:space="0" w:color="FFFFFF"/>
            </w:tcBorders>
            <w:shd w:val="clear" w:color="F8CBAD" w:fill="F8CBAD"/>
            <w:noWrap/>
            <w:vAlign w:val="center"/>
            <w:hideMark/>
          </w:tcPr>
          <w:p w14:paraId="65FB9E71"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2,21</w:t>
            </w:r>
          </w:p>
        </w:tc>
        <w:tc>
          <w:tcPr>
            <w:tcW w:w="712" w:type="pct"/>
            <w:tcBorders>
              <w:top w:val="nil"/>
              <w:left w:val="nil"/>
              <w:bottom w:val="single" w:sz="4" w:space="0" w:color="FFFFFF"/>
              <w:right w:val="single" w:sz="4" w:space="0" w:color="FFFFFF"/>
            </w:tcBorders>
            <w:shd w:val="clear" w:color="F8CBAD" w:fill="F8CBAD"/>
            <w:noWrap/>
            <w:vAlign w:val="center"/>
            <w:hideMark/>
          </w:tcPr>
          <w:p w14:paraId="00FA4A8B"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68,61</w:t>
            </w:r>
          </w:p>
        </w:tc>
        <w:tc>
          <w:tcPr>
            <w:tcW w:w="712" w:type="pct"/>
            <w:tcBorders>
              <w:top w:val="nil"/>
              <w:left w:val="nil"/>
              <w:bottom w:val="single" w:sz="4" w:space="0" w:color="FFFFFF"/>
              <w:right w:val="nil"/>
            </w:tcBorders>
            <w:shd w:val="clear" w:color="F8CBAD" w:fill="F8CBAD"/>
            <w:noWrap/>
            <w:vAlign w:val="center"/>
            <w:hideMark/>
          </w:tcPr>
          <w:p w14:paraId="1D0A62C8"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32,18</w:t>
            </w:r>
          </w:p>
        </w:tc>
      </w:tr>
      <w:tr w:rsidR="00587A6B" w:rsidRPr="00662DA6" w14:paraId="2FD94BDD" w14:textId="77777777" w:rsidTr="00587A6B">
        <w:trPr>
          <w:trHeight w:val="300"/>
          <w:jc w:val="center"/>
        </w:trPr>
        <w:tc>
          <w:tcPr>
            <w:tcW w:w="712" w:type="pct"/>
            <w:tcBorders>
              <w:top w:val="nil"/>
              <w:left w:val="nil"/>
              <w:bottom w:val="single" w:sz="4" w:space="0" w:color="FFFFFF"/>
              <w:right w:val="single" w:sz="4" w:space="0" w:color="FFFFFF"/>
            </w:tcBorders>
            <w:shd w:val="clear" w:color="FCE4D6" w:fill="FCE4D6"/>
            <w:noWrap/>
            <w:vAlign w:val="center"/>
            <w:hideMark/>
          </w:tcPr>
          <w:p w14:paraId="669DEC60" w14:textId="77777777" w:rsidR="00587A6B" w:rsidRPr="00587A6B" w:rsidRDefault="00587A6B" w:rsidP="00595448">
            <w:pPr>
              <w:rPr>
                <w:color w:val="000000"/>
                <w:sz w:val="20"/>
              </w:rPr>
            </w:pPr>
            <w:r w:rsidRPr="00587A6B">
              <w:rPr>
                <w:color w:val="000000"/>
                <w:sz w:val="20"/>
              </w:rPr>
              <w:t>VI.SKUPINA (&gt;1 000 PŘ.OB.)</w:t>
            </w:r>
          </w:p>
        </w:tc>
        <w:tc>
          <w:tcPr>
            <w:tcW w:w="712" w:type="pct"/>
            <w:tcBorders>
              <w:top w:val="nil"/>
              <w:left w:val="nil"/>
              <w:bottom w:val="single" w:sz="4" w:space="0" w:color="FFFFFF"/>
              <w:right w:val="single" w:sz="4" w:space="0" w:color="FFFFFF"/>
            </w:tcBorders>
            <w:shd w:val="clear" w:color="FCE4D6" w:fill="FCE4D6"/>
            <w:noWrap/>
            <w:vAlign w:val="center"/>
            <w:hideMark/>
          </w:tcPr>
          <w:p w14:paraId="5381FE25"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1,07</w:t>
            </w:r>
          </w:p>
        </w:tc>
        <w:tc>
          <w:tcPr>
            <w:tcW w:w="712" w:type="pct"/>
            <w:tcBorders>
              <w:top w:val="nil"/>
              <w:left w:val="nil"/>
              <w:bottom w:val="single" w:sz="4" w:space="0" w:color="FFFFFF"/>
              <w:right w:val="single" w:sz="4" w:space="0" w:color="FFFFFF"/>
            </w:tcBorders>
            <w:shd w:val="clear" w:color="FCE4D6" w:fill="FCE4D6"/>
            <w:noWrap/>
            <w:vAlign w:val="center"/>
            <w:hideMark/>
          </w:tcPr>
          <w:p w14:paraId="3CFFBCBD"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34,71</w:t>
            </w:r>
          </w:p>
        </w:tc>
        <w:tc>
          <w:tcPr>
            <w:tcW w:w="712" w:type="pct"/>
            <w:tcBorders>
              <w:top w:val="nil"/>
              <w:left w:val="nil"/>
              <w:bottom w:val="single" w:sz="4" w:space="0" w:color="FFFFFF"/>
              <w:right w:val="single" w:sz="4" w:space="0" w:color="FFFFFF"/>
            </w:tcBorders>
            <w:shd w:val="clear" w:color="FCE4D6" w:fill="FCE4D6"/>
            <w:noWrap/>
            <w:vAlign w:val="center"/>
            <w:hideMark/>
          </w:tcPr>
          <w:p w14:paraId="39F87CB2"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99,92</w:t>
            </w:r>
          </w:p>
        </w:tc>
        <w:tc>
          <w:tcPr>
            <w:tcW w:w="729" w:type="pct"/>
            <w:tcBorders>
              <w:top w:val="nil"/>
              <w:left w:val="nil"/>
              <w:bottom w:val="single" w:sz="4" w:space="0" w:color="FFFFFF"/>
              <w:right w:val="single" w:sz="4" w:space="0" w:color="FFFFFF"/>
            </w:tcBorders>
            <w:shd w:val="clear" w:color="FCE4D6" w:fill="FCE4D6"/>
            <w:noWrap/>
            <w:vAlign w:val="center"/>
            <w:hideMark/>
          </w:tcPr>
          <w:p w14:paraId="0CD490EF"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1,84</w:t>
            </w:r>
          </w:p>
        </w:tc>
        <w:tc>
          <w:tcPr>
            <w:tcW w:w="712" w:type="pct"/>
            <w:tcBorders>
              <w:top w:val="nil"/>
              <w:left w:val="nil"/>
              <w:bottom w:val="single" w:sz="4" w:space="0" w:color="FFFFFF"/>
              <w:right w:val="single" w:sz="4" w:space="0" w:color="FFFFFF"/>
            </w:tcBorders>
            <w:shd w:val="clear" w:color="FCE4D6" w:fill="FCE4D6"/>
            <w:noWrap/>
            <w:vAlign w:val="center"/>
            <w:hideMark/>
          </w:tcPr>
          <w:p w14:paraId="51C8D340"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77,69</w:t>
            </w:r>
          </w:p>
        </w:tc>
        <w:tc>
          <w:tcPr>
            <w:tcW w:w="712" w:type="pct"/>
            <w:tcBorders>
              <w:top w:val="nil"/>
              <w:left w:val="nil"/>
              <w:bottom w:val="single" w:sz="4" w:space="0" w:color="FFFFFF"/>
              <w:right w:val="nil"/>
            </w:tcBorders>
            <w:shd w:val="clear" w:color="FCE4D6" w:fill="FCE4D6"/>
            <w:noWrap/>
            <w:vAlign w:val="center"/>
            <w:hideMark/>
          </w:tcPr>
          <w:p w14:paraId="205D2175"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32,08</w:t>
            </w:r>
          </w:p>
        </w:tc>
      </w:tr>
      <w:tr w:rsidR="00587A6B" w:rsidRPr="00662DA6" w14:paraId="00BCE78A" w14:textId="77777777" w:rsidTr="00587A6B">
        <w:trPr>
          <w:trHeight w:val="300"/>
          <w:jc w:val="center"/>
        </w:trPr>
        <w:tc>
          <w:tcPr>
            <w:tcW w:w="712" w:type="pct"/>
            <w:tcBorders>
              <w:top w:val="nil"/>
              <w:left w:val="nil"/>
              <w:bottom w:val="single" w:sz="4" w:space="0" w:color="FFFFFF"/>
              <w:right w:val="single" w:sz="4" w:space="0" w:color="FFFFFF"/>
            </w:tcBorders>
            <w:shd w:val="clear" w:color="F8CBAD" w:fill="F8CBAD"/>
            <w:noWrap/>
            <w:vAlign w:val="center"/>
            <w:hideMark/>
          </w:tcPr>
          <w:p w14:paraId="3E402644" w14:textId="77777777" w:rsidR="00587A6B" w:rsidRPr="00587A6B" w:rsidRDefault="00587A6B" w:rsidP="00595448">
            <w:pPr>
              <w:rPr>
                <w:color w:val="000000"/>
                <w:sz w:val="20"/>
              </w:rPr>
            </w:pPr>
            <w:r w:rsidRPr="00587A6B">
              <w:rPr>
                <w:color w:val="000000"/>
                <w:sz w:val="20"/>
              </w:rPr>
              <w:t>VII.SKUPINA (&gt;300 PŘ.OB.)</w:t>
            </w:r>
          </w:p>
        </w:tc>
        <w:tc>
          <w:tcPr>
            <w:tcW w:w="712" w:type="pct"/>
            <w:tcBorders>
              <w:top w:val="nil"/>
              <w:left w:val="nil"/>
              <w:bottom w:val="single" w:sz="4" w:space="0" w:color="FFFFFF"/>
              <w:right w:val="single" w:sz="4" w:space="0" w:color="FFFFFF"/>
            </w:tcBorders>
            <w:shd w:val="clear" w:color="F8CBAD" w:fill="F8CBAD"/>
            <w:noWrap/>
            <w:vAlign w:val="center"/>
            <w:hideMark/>
          </w:tcPr>
          <w:p w14:paraId="3E08D565"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1,10</w:t>
            </w:r>
          </w:p>
        </w:tc>
        <w:tc>
          <w:tcPr>
            <w:tcW w:w="712" w:type="pct"/>
            <w:tcBorders>
              <w:top w:val="nil"/>
              <w:left w:val="nil"/>
              <w:bottom w:val="single" w:sz="4" w:space="0" w:color="FFFFFF"/>
              <w:right w:val="single" w:sz="4" w:space="0" w:color="FFFFFF"/>
            </w:tcBorders>
            <w:shd w:val="clear" w:color="F8CBAD" w:fill="F8CBAD"/>
            <w:noWrap/>
            <w:vAlign w:val="center"/>
            <w:hideMark/>
          </w:tcPr>
          <w:p w14:paraId="73EF6399"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35,71</w:t>
            </w:r>
          </w:p>
        </w:tc>
        <w:tc>
          <w:tcPr>
            <w:tcW w:w="712" w:type="pct"/>
            <w:tcBorders>
              <w:top w:val="nil"/>
              <w:left w:val="nil"/>
              <w:bottom w:val="single" w:sz="4" w:space="0" w:color="FFFFFF"/>
              <w:right w:val="single" w:sz="4" w:space="0" w:color="FFFFFF"/>
            </w:tcBorders>
            <w:shd w:val="clear" w:color="F8CBAD" w:fill="F8CBAD"/>
            <w:noWrap/>
            <w:vAlign w:val="center"/>
            <w:hideMark/>
          </w:tcPr>
          <w:p w14:paraId="41CCD19A"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100,00</w:t>
            </w:r>
          </w:p>
        </w:tc>
        <w:tc>
          <w:tcPr>
            <w:tcW w:w="729" w:type="pct"/>
            <w:tcBorders>
              <w:top w:val="nil"/>
              <w:left w:val="nil"/>
              <w:bottom w:val="single" w:sz="4" w:space="0" w:color="FFFFFF"/>
              <w:right w:val="single" w:sz="4" w:space="0" w:color="FFFFFF"/>
            </w:tcBorders>
            <w:shd w:val="clear" w:color="F8CBAD" w:fill="F8CBAD"/>
            <w:noWrap/>
            <w:vAlign w:val="center"/>
            <w:hideMark/>
          </w:tcPr>
          <w:p w14:paraId="6991E5DF"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2,84</w:t>
            </w:r>
          </w:p>
        </w:tc>
        <w:tc>
          <w:tcPr>
            <w:tcW w:w="712" w:type="pct"/>
            <w:tcBorders>
              <w:top w:val="nil"/>
              <w:left w:val="nil"/>
              <w:bottom w:val="single" w:sz="4" w:space="0" w:color="FFFFFF"/>
              <w:right w:val="single" w:sz="4" w:space="0" w:color="FFFFFF"/>
            </w:tcBorders>
            <w:shd w:val="clear" w:color="F8CBAD" w:fill="F8CBAD"/>
            <w:noWrap/>
            <w:vAlign w:val="center"/>
            <w:hideMark/>
          </w:tcPr>
          <w:p w14:paraId="1D2C8F8E"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65,16</w:t>
            </w:r>
          </w:p>
        </w:tc>
        <w:tc>
          <w:tcPr>
            <w:tcW w:w="712" w:type="pct"/>
            <w:tcBorders>
              <w:top w:val="nil"/>
              <w:left w:val="nil"/>
              <w:bottom w:val="single" w:sz="4" w:space="0" w:color="FFFFFF"/>
              <w:right w:val="nil"/>
            </w:tcBorders>
            <w:shd w:val="clear" w:color="F8CBAD" w:fill="F8CBAD"/>
            <w:noWrap/>
            <w:vAlign w:val="center"/>
            <w:hideMark/>
          </w:tcPr>
          <w:p w14:paraId="518BF182"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31,17</w:t>
            </w:r>
          </w:p>
        </w:tc>
      </w:tr>
      <w:tr w:rsidR="00587A6B" w:rsidRPr="00662DA6" w14:paraId="28D6958B" w14:textId="77777777" w:rsidTr="00587A6B">
        <w:trPr>
          <w:trHeight w:val="300"/>
          <w:jc w:val="center"/>
        </w:trPr>
        <w:tc>
          <w:tcPr>
            <w:tcW w:w="712" w:type="pct"/>
            <w:tcBorders>
              <w:top w:val="single" w:sz="4" w:space="0" w:color="FFFFFF"/>
              <w:left w:val="nil"/>
              <w:bottom w:val="single" w:sz="4" w:space="0" w:color="auto"/>
              <w:right w:val="single" w:sz="4" w:space="0" w:color="FFFFFF"/>
            </w:tcBorders>
            <w:shd w:val="clear" w:color="FCE4D6" w:fill="FCE4D6"/>
            <w:noWrap/>
            <w:vAlign w:val="center"/>
            <w:hideMark/>
          </w:tcPr>
          <w:p w14:paraId="6A0B4E68" w14:textId="77777777" w:rsidR="00587A6B" w:rsidRPr="00587A6B" w:rsidRDefault="00587A6B" w:rsidP="00595448">
            <w:pPr>
              <w:rPr>
                <w:color w:val="000000"/>
                <w:sz w:val="20"/>
              </w:rPr>
            </w:pPr>
            <w:r w:rsidRPr="00587A6B">
              <w:rPr>
                <w:color w:val="000000"/>
                <w:sz w:val="20"/>
              </w:rPr>
              <w:t>VIII.SKUPINA (&lt;300 PŘ.OB.)</w:t>
            </w:r>
          </w:p>
        </w:tc>
        <w:tc>
          <w:tcPr>
            <w:tcW w:w="712" w:type="pct"/>
            <w:tcBorders>
              <w:top w:val="single" w:sz="4" w:space="0" w:color="FFFFFF"/>
              <w:left w:val="nil"/>
              <w:bottom w:val="single" w:sz="4" w:space="0" w:color="auto"/>
              <w:right w:val="single" w:sz="4" w:space="0" w:color="FFFFFF"/>
            </w:tcBorders>
            <w:shd w:val="clear" w:color="FCE4D6" w:fill="FCE4D6"/>
            <w:noWrap/>
            <w:vAlign w:val="center"/>
            <w:hideMark/>
          </w:tcPr>
          <w:p w14:paraId="4ECBCB3E"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1,04</w:t>
            </w:r>
          </w:p>
        </w:tc>
        <w:tc>
          <w:tcPr>
            <w:tcW w:w="712" w:type="pct"/>
            <w:tcBorders>
              <w:top w:val="single" w:sz="4" w:space="0" w:color="FFFFFF"/>
              <w:left w:val="nil"/>
              <w:bottom w:val="single" w:sz="4" w:space="0" w:color="auto"/>
              <w:right w:val="single" w:sz="4" w:space="0" w:color="FFFFFF"/>
            </w:tcBorders>
            <w:shd w:val="clear" w:color="FCE4D6" w:fill="FCE4D6"/>
            <w:noWrap/>
            <w:vAlign w:val="center"/>
            <w:hideMark/>
          </w:tcPr>
          <w:p w14:paraId="7B40D832"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37,84</w:t>
            </w:r>
          </w:p>
        </w:tc>
        <w:tc>
          <w:tcPr>
            <w:tcW w:w="712" w:type="pct"/>
            <w:tcBorders>
              <w:top w:val="single" w:sz="4" w:space="0" w:color="FFFFFF"/>
              <w:left w:val="nil"/>
              <w:bottom w:val="single" w:sz="4" w:space="0" w:color="auto"/>
              <w:right w:val="single" w:sz="4" w:space="0" w:color="FFFFFF"/>
            </w:tcBorders>
            <w:shd w:val="clear" w:color="FCE4D6" w:fill="FCE4D6"/>
            <w:noWrap/>
            <w:vAlign w:val="center"/>
            <w:hideMark/>
          </w:tcPr>
          <w:p w14:paraId="01B2EBBB"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96,41</w:t>
            </w:r>
          </w:p>
        </w:tc>
        <w:tc>
          <w:tcPr>
            <w:tcW w:w="729" w:type="pct"/>
            <w:tcBorders>
              <w:top w:val="single" w:sz="4" w:space="0" w:color="FFFFFF"/>
              <w:left w:val="nil"/>
              <w:bottom w:val="single" w:sz="4" w:space="0" w:color="auto"/>
              <w:right w:val="single" w:sz="4" w:space="0" w:color="FFFFFF"/>
            </w:tcBorders>
            <w:shd w:val="clear" w:color="FCE4D6" w:fill="FCE4D6"/>
            <w:noWrap/>
            <w:vAlign w:val="center"/>
            <w:hideMark/>
          </w:tcPr>
          <w:p w14:paraId="480A1842"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1,74</w:t>
            </w:r>
          </w:p>
        </w:tc>
        <w:tc>
          <w:tcPr>
            <w:tcW w:w="712" w:type="pct"/>
            <w:tcBorders>
              <w:top w:val="single" w:sz="4" w:space="0" w:color="FFFFFF"/>
              <w:left w:val="nil"/>
              <w:bottom w:val="single" w:sz="4" w:space="0" w:color="auto"/>
              <w:right w:val="single" w:sz="4" w:space="0" w:color="FFFFFF"/>
            </w:tcBorders>
            <w:shd w:val="clear" w:color="FCE4D6" w:fill="FCE4D6"/>
            <w:noWrap/>
            <w:vAlign w:val="center"/>
            <w:hideMark/>
          </w:tcPr>
          <w:p w14:paraId="46518614"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71,70</w:t>
            </w:r>
          </w:p>
        </w:tc>
        <w:tc>
          <w:tcPr>
            <w:tcW w:w="712" w:type="pct"/>
            <w:tcBorders>
              <w:top w:val="single" w:sz="4" w:space="0" w:color="FFFFFF"/>
              <w:left w:val="nil"/>
              <w:bottom w:val="single" w:sz="4" w:space="0" w:color="auto"/>
              <w:right w:val="nil"/>
            </w:tcBorders>
            <w:shd w:val="clear" w:color="FCE4D6" w:fill="FCE4D6"/>
            <w:noWrap/>
            <w:vAlign w:val="center"/>
            <w:hideMark/>
          </w:tcPr>
          <w:p w14:paraId="40917F8A" w14:textId="77777777" w:rsidR="00587A6B" w:rsidRPr="00A26A62" w:rsidRDefault="00587A6B" w:rsidP="00A26A62">
            <w:pPr>
              <w:spacing w:before="0" w:after="0"/>
              <w:contextualSpacing w:val="0"/>
              <w:jc w:val="center"/>
              <w:rPr>
                <w:rFonts w:asciiTheme="majorHAnsi" w:eastAsia="Times New Roman" w:hAnsiTheme="majorHAnsi"/>
                <w:color w:val="000000"/>
                <w:sz w:val="20"/>
                <w:lang w:eastAsia="cs-CZ"/>
              </w:rPr>
            </w:pPr>
            <w:r w:rsidRPr="00A26A62">
              <w:rPr>
                <w:rFonts w:asciiTheme="majorHAnsi" w:eastAsia="Times New Roman" w:hAnsiTheme="majorHAnsi"/>
                <w:color w:val="000000"/>
                <w:sz w:val="20"/>
                <w:lang w:eastAsia="cs-CZ"/>
              </w:rPr>
              <w:t>36,08</w:t>
            </w:r>
          </w:p>
        </w:tc>
      </w:tr>
      <w:tr w:rsidR="00A26A62" w:rsidRPr="00662DA6" w14:paraId="1D16A8D8" w14:textId="77777777" w:rsidTr="00587A6B">
        <w:trPr>
          <w:trHeight w:val="546"/>
          <w:jc w:val="center"/>
        </w:trPr>
        <w:tc>
          <w:tcPr>
            <w:tcW w:w="712" w:type="pct"/>
            <w:tcBorders>
              <w:top w:val="single" w:sz="4" w:space="0" w:color="auto"/>
              <w:left w:val="nil"/>
              <w:bottom w:val="nil"/>
              <w:right w:val="single" w:sz="4" w:space="0" w:color="FFFFFF"/>
            </w:tcBorders>
            <w:shd w:val="clear" w:color="F8CBAD" w:fill="F8CBAD"/>
            <w:noWrap/>
            <w:vAlign w:val="center"/>
            <w:hideMark/>
          </w:tcPr>
          <w:p w14:paraId="4B33C91E" w14:textId="77777777" w:rsidR="00A26A62" w:rsidRPr="00662DA6" w:rsidRDefault="00587A6B" w:rsidP="00587A6B">
            <w:pPr>
              <w:spacing w:before="0" w:after="0"/>
              <w:contextualSpacing w:val="0"/>
              <w:jc w:val="left"/>
              <w:rPr>
                <w:rFonts w:asciiTheme="majorHAnsi" w:eastAsia="Times New Roman" w:hAnsiTheme="majorHAnsi"/>
                <w:b/>
                <w:i/>
                <w:color w:val="000000"/>
                <w:sz w:val="18"/>
                <w:lang w:eastAsia="cs-CZ"/>
              </w:rPr>
            </w:pPr>
            <w:r>
              <w:rPr>
                <w:rFonts w:asciiTheme="majorHAnsi" w:eastAsia="Times New Roman" w:hAnsiTheme="majorHAnsi"/>
                <w:b/>
                <w:i/>
                <w:color w:val="000000"/>
                <w:sz w:val="18"/>
                <w:lang w:eastAsia="cs-CZ"/>
              </w:rPr>
              <w:t>P</w:t>
            </w:r>
            <w:r w:rsidRPr="00662DA6">
              <w:rPr>
                <w:rFonts w:asciiTheme="majorHAnsi" w:eastAsia="Times New Roman" w:hAnsiTheme="majorHAnsi"/>
                <w:b/>
                <w:i/>
                <w:color w:val="000000"/>
                <w:sz w:val="18"/>
                <w:lang w:eastAsia="cs-CZ"/>
              </w:rPr>
              <w:t>RŮMĚR</w:t>
            </w:r>
            <w:r>
              <w:rPr>
                <w:rFonts w:asciiTheme="majorHAnsi" w:eastAsia="Times New Roman" w:hAnsiTheme="majorHAnsi"/>
                <w:b/>
                <w:i/>
                <w:color w:val="000000"/>
                <w:sz w:val="18"/>
                <w:lang w:eastAsia="cs-CZ"/>
              </w:rPr>
              <w:t xml:space="preserve"> VŠECH SKUPIN</w:t>
            </w:r>
          </w:p>
        </w:tc>
        <w:tc>
          <w:tcPr>
            <w:tcW w:w="712" w:type="pct"/>
            <w:tcBorders>
              <w:top w:val="single" w:sz="4" w:space="0" w:color="auto"/>
              <w:left w:val="nil"/>
              <w:bottom w:val="nil"/>
              <w:right w:val="single" w:sz="4" w:space="0" w:color="FFFFFF"/>
            </w:tcBorders>
            <w:shd w:val="clear" w:color="F8CBAD" w:fill="F8CBAD"/>
            <w:noWrap/>
            <w:vAlign w:val="center"/>
            <w:hideMark/>
          </w:tcPr>
          <w:p w14:paraId="1CB752A7" w14:textId="77777777" w:rsidR="00A26A62" w:rsidRPr="00A26A62" w:rsidRDefault="00587A6B" w:rsidP="00A26A62">
            <w:pPr>
              <w:spacing w:before="0" w:after="0"/>
              <w:contextualSpacing w:val="0"/>
              <w:jc w:val="center"/>
              <w:rPr>
                <w:rFonts w:asciiTheme="majorHAnsi" w:eastAsia="Times New Roman" w:hAnsiTheme="majorHAnsi"/>
                <w:b/>
                <w:i/>
                <w:color w:val="000000"/>
                <w:sz w:val="20"/>
                <w:lang w:eastAsia="cs-CZ"/>
              </w:rPr>
            </w:pPr>
            <w:r w:rsidRPr="00A26A62">
              <w:rPr>
                <w:rFonts w:asciiTheme="majorHAnsi" w:eastAsia="Times New Roman" w:hAnsiTheme="majorHAnsi"/>
                <w:b/>
                <w:i/>
                <w:color w:val="000000"/>
                <w:sz w:val="20"/>
                <w:lang w:eastAsia="cs-CZ"/>
              </w:rPr>
              <w:t>1,09</w:t>
            </w:r>
          </w:p>
        </w:tc>
        <w:tc>
          <w:tcPr>
            <w:tcW w:w="712" w:type="pct"/>
            <w:tcBorders>
              <w:top w:val="single" w:sz="4" w:space="0" w:color="auto"/>
              <w:left w:val="nil"/>
              <w:bottom w:val="nil"/>
              <w:right w:val="single" w:sz="4" w:space="0" w:color="FFFFFF"/>
            </w:tcBorders>
            <w:shd w:val="clear" w:color="F8CBAD" w:fill="F8CBAD"/>
            <w:noWrap/>
            <w:vAlign w:val="center"/>
            <w:hideMark/>
          </w:tcPr>
          <w:p w14:paraId="3FEA8079" w14:textId="77777777" w:rsidR="00A26A62" w:rsidRPr="00A26A62" w:rsidRDefault="00587A6B" w:rsidP="00A26A62">
            <w:pPr>
              <w:spacing w:before="0" w:after="0"/>
              <w:contextualSpacing w:val="0"/>
              <w:jc w:val="center"/>
              <w:rPr>
                <w:rFonts w:asciiTheme="majorHAnsi" w:eastAsia="Times New Roman" w:hAnsiTheme="majorHAnsi"/>
                <w:b/>
                <w:i/>
                <w:color w:val="000000"/>
                <w:sz w:val="20"/>
                <w:lang w:eastAsia="cs-CZ"/>
              </w:rPr>
            </w:pPr>
            <w:r w:rsidRPr="00A26A62">
              <w:rPr>
                <w:rFonts w:asciiTheme="majorHAnsi" w:eastAsia="Times New Roman" w:hAnsiTheme="majorHAnsi"/>
                <w:b/>
                <w:i/>
                <w:color w:val="000000"/>
                <w:sz w:val="20"/>
                <w:lang w:eastAsia="cs-CZ"/>
              </w:rPr>
              <w:t>35,53</w:t>
            </w:r>
          </w:p>
        </w:tc>
        <w:tc>
          <w:tcPr>
            <w:tcW w:w="712" w:type="pct"/>
            <w:tcBorders>
              <w:top w:val="single" w:sz="4" w:space="0" w:color="auto"/>
              <w:left w:val="nil"/>
              <w:bottom w:val="nil"/>
              <w:right w:val="single" w:sz="4" w:space="0" w:color="FFFFFF"/>
            </w:tcBorders>
            <w:shd w:val="clear" w:color="F8CBAD" w:fill="F8CBAD"/>
            <w:noWrap/>
            <w:vAlign w:val="center"/>
            <w:hideMark/>
          </w:tcPr>
          <w:p w14:paraId="224F7774" w14:textId="77777777" w:rsidR="00A26A62" w:rsidRPr="00A26A62" w:rsidRDefault="00587A6B" w:rsidP="00A26A62">
            <w:pPr>
              <w:spacing w:before="0" w:after="0"/>
              <w:contextualSpacing w:val="0"/>
              <w:jc w:val="center"/>
              <w:rPr>
                <w:rFonts w:asciiTheme="majorHAnsi" w:eastAsia="Times New Roman" w:hAnsiTheme="majorHAnsi"/>
                <w:b/>
                <w:i/>
                <w:color w:val="000000"/>
                <w:sz w:val="20"/>
                <w:lang w:eastAsia="cs-CZ"/>
              </w:rPr>
            </w:pPr>
            <w:r w:rsidRPr="00A26A62">
              <w:rPr>
                <w:rFonts w:asciiTheme="majorHAnsi" w:eastAsia="Times New Roman" w:hAnsiTheme="majorHAnsi"/>
                <w:b/>
                <w:i/>
                <w:color w:val="000000"/>
                <w:sz w:val="20"/>
                <w:lang w:eastAsia="cs-CZ"/>
              </w:rPr>
              <w:t>99,04</w:t>
            </w:r>
          </w:p>
        </w:tc>
        <w:tc>
          <w:tcPr>
            <w:tcW w:w="729" w:type="pct"/>
            <w:tcBorders>
              <w:top w:val="single" w:sz="4" w:space="0" w:color="auto"/>
              <w:left w:val="nil"/>
              <w:bottom w:val="nil"/>
              <w:right w:val="single" w:sz="4" w:space="0" w:color="FFFFFF"/>
            </w:tcBorders>
            <w:shd w:val="clear" w:color="F8CBAD" w:fill="F8CBAD"/>
            <w:noWrap/>
            <w:vAlign w:val="center"/>
            <w:hideMark/>
          </w:tcPr>
          <w:p w14:paraId="5DA65A48" w14:textId="77777777" w:rsidR="00A26A62" w:rsidRPr="00A26A62" w:rsidRDefault="00587A6B" w:rsidP="00A26A62">
            <w:pPr>
              <w:spacing w:before="0" w:after="0"/>
              <w:contextualSpacing w:val="0"/>
              <w:jc w:val="center"/>
              <w:rPr>
                <w:rFonts w:asciiTheme="majorHAnsi" w:eastAsia="Times New Roman" w:hAnsiTheme="majorHAnsi"/>
                <w:b/>
                <w:i/>
                <w:color w:val="000000"/>
                <w:sz w:val="20"/>
                <w:lang w:eastAsia="cs-CZ"/>
              </w:rPr>
            </w:pPr>
            <w:r w:rsidRPr="00A26A62">
              <w:rPr>
                <w:rFonts w:asciiTheme="majorHAnsi" w:eastAsia="Times New Roman" w:hAnsiTheme="majorHAnsi"/>
                <w:b/>
                <w:i/>
                <w:color w:val="000000"/>
                <w:sz w:val="20"/>
                <w:lang w:eastAsia="cs-CZ"/>
              </w:rPr>
              <w:t>2,13</w:t>
            </w:r>
          </w:p>
        </w:tc>
        <w:tc>
          <w:tcPr>
            <w:tcW w:w="712" w:type="pct"/>
            <w:tcBorders>
              <w:top w:val="single" w:sz="4" w:space="0" w:color="auto"/>
              <w:left w:val="nil"/>
              <w:bottom w:val="nil"/>
              <w:right w:val="single" w:sz="4" w:space="0" w:color="FFFFFF"/>
            </w:tcBorders>
            <w:shd w:val="clear" w:color="F8CBAD" w:fill="F8CBAD"/>
            <w:noWrap/>
            <w:vAlign w:val="center"/>
            <w:hideMark/>
          </w:tcPr>
          <w:p w14:paraId="51E25E63" w14:textId="77777777" w:rsidR="00A26A62" w:rsidRPr="00A26A62" w:rsidRDefault="00587A6B" w:rsidP="00A26A62">
            <w:pPr>
              <w:spacing w:before="0" w:after="0"/>
              <w:contextualSpacing w:val="0"/>
              <w:jc w:val="center"/>
              <w:rPr>
                <w:rFonts w:asciiTheme="majorHAnsi" w:eastAsia="Times New Roman" w:hAnsiTheme="majorHAnsi"/>
                <w:b/>
                <w:i/>
                <w:color w:val="000000"/>
                <w:sz w:val="20"/>
                <w:lang w:eastAsia="cs-CZ"/>
              </w:rPr>
            </w:pPr>
            <w:r w:rsidRPr="00A26A62">
              <w:rPr>
                <w:rFonts w:asciiTheme="majorHAnsi" w:eastAsia="Times New Roman" w:hAnsiTheme="majorHAnsi"/>
                <w:b/>
                <w:i/>
                <w:color w:val="000000"/>
                <w:sz w:val="20"/>
                <w:lang w:eastAsia="cs-CZ"/>
              </w:rPr>
              <w:t>84,19</w:t>
            </w:r>
          </w:p>
        </w:tc>
        <w:tc>
          <w:tcPr>
            <w:tcW w:w="712" w:type="pct"/>
            <w:tcBorders>
              <w:top w:val="single" w:sz="4" w:space="0" w:color="auto"/>
              <w:left w:val="nil"/>
              <w:bottom w:val="nil"/>
              <w:right w:val="nil"/>
            </w:tcBorders>
            <w:shd w:val="clear" w:color="F8CBAD" w:fill="F8CBAD"/>
            <w:noWrap/>
            <w:vAlign w:val="center"/>
            <w:hideMark/>
          </w:tcPr>
          <w:p w14:paraId="744BDAD2" w14:textId="77777777" w:rsidR="00A26A62" w:rsidRPr="00A26A62" w:rsidRDefault="00587A6B" w:rsidP="00A26A62">
            <w:pPr>
              <w:spacing w:before="0" w:after="0"/>
              <w:contextualSpacing w:val="0"/>
              <w:jc w:val="center"/>
              <w:rPr>
                <w:rFonts w:asciiTheme="majorHAnsi" w:eastAsia="Times New Roman" w:hAnsiTheme="majorHAnsi"/>
                <w:b/>
                <w:i/>
                <w:color w:val="000000"/>
                <w:sz w:val="20"/>
                <w:lang w:eastAsia="cs-CZ"/>
              </w:rPr>
            </w:pPr>
            <w:r w:rsidRPr="00A26A62">
              <w:rPr>
                <w:rFonts w:asciiTheme="majorHAnsi" w:eastAsia="Times New Roman" w:hAnsiTheme="majorHAnsi"/>
                <w:b/>
                <w:i/>
                <w:color w:val="000000"/>
                <w:sz w:val="20"/>
                <w:lang w:eastAsia="cs-CZ"/>
              </w:rPr>
              <w:t>32,59</w:t>
            </w:r>
          </w:p>
        </w:tc>
      </w:tr>
    </w:tbl>
    <w:p w14:paraId="0958385E" w14:textId="77777777" w:rsidR="007D7C8F" w:rsidRPr="00C62639" w:rsidRDefault="00DB6454" w:rsidP="00662DA6">
      <w:pPr>
        <w:pStyle w:val="Normlnzprva"/>
        <w:rPr>
          <w:noProof/>
        </w:rPr>
      </w:pPr>
      <w:r w:rsidRPr="00C62639">
        <w:rPr>
          <w:noProof/>
        </w:rPr>
        <w:br w:type="page"/>
      </w:r>
      <w:bookmarkEnd w:id="56"/>
      <w:bookmarkEnd w:id="57"/>
    </w:p>
    <w:p w14:paraId="18773615" w14:textId="77777777" w:rsidR="0026569A" w:rsidRPr="007827BA" w:rsidRDefault="007D7C8F" w:rsidP="0026569A">
      <w:pPr>
        <w:pStyle w:val="Nadpis2"/>
        <w:rPr>
          <w:rFonts w:asciiTheme="minorHAnsi" w:eastAsia="Calibri Light" w:hAnsiTheme="minorHAnsi"/>
          <w:noProof/>
        </w:rPr>
      </w:pPr>
      <w:r w:rsidRPr="00C62639">
        <w:rPr>
          <w:rFonts w:asciiTheme="minorHAnsi" w:hAnsiTheme="minorHAnsi"/>
          <w:noProof/>
        </w:rPr>
        <w:lastRenderedPageBreak/>
        <w:t xml:space="preserve"> </w:t>
      </w:r>
      <w:bookmarkStart w:id="60" w:name="_Toc3292015"/>
      <w:r w:rsidR="0026569A" w:rsidRPr="007827BA">
        <w:rPr>
          <w:rFonts w:asciiTheme="minorHAnsi" w:eastAsia="Calibri Light" w:hAnsiTheme="minorHAnsi"/>
          <w:noProof/>
        </w:rPr>
        <w:t xml:space="preserve">Závěry benchmarkingového projektu provozovatelských subjektů </w:t>
      </w:r>
      <w:r w:rsidR="0026569A" w:rsidRPr="007827BA">
        <w:rPr>
          <w:rFonts w:asciiTheme="minorHAnsi" w:eastAsia="Calibri Light" w:hAnsiTheme="minorHAnsi"/>
          <w:noProof/>
        </w:rPr>
        <w:br/>
        <w:t>za rok 201</w:t>
      </w:r>
      <w:r w:rsidR="00D846D6" w:rsidRPr="007827BA">
        <w:rPr>
          <w:rFonts w:asciiTheme="minorHAnsi" w:eastAsia="Calibri Light" w:hAnsiTheme="minorHAnsi"/>
          <w:noProof/>
        </w:rPr>
        <w:t>7</w:t>
      </w:r>
      <w:bookmarkEnd w:id="60"/>
    </w:p>
    <w:p w14:paraId="3062857E" w14:textId="77777777" w:rsidR="0026569A" w:rsidRPr="0026569A" w:rsidRDefault="0026569A" w:rsidP="0026569A">
      <w:pPr>
        <w:pStyle w:val="Nadpis3"/>
        <w:rPr>
          <w:rFonts w:asciiTheme="minorHAnsi" w:eastAsia="Calibri Light" w:hAnsiTheme="minorHAnsi"/>
          <w:noProof/>
        </w:rPr>
      </w:pPr>
      <w:bookmarkStart w:id="61" w:name="_Toc3292016"/>
      <w:r>
        <w:t>SWOT analýza</w:t>
      </w:r>
      <w:bookmarkEnd w:id="61"/>
    </w:p>
    <w:tbl>
      <w:tblPr>
        <w:tblW w:w="10842" w:type="dxa"/>
        <w:jc w:val="center"/>
        <w:tblBorders>
          <w:top w:val="single" w:sz="6" w:space="0" w:color="B2A1C7"/>
          <w:left w:val="single" w:sz="6" w:space="0" w:color="B2A1C7"/>
          <w:bottom w:val="single" w:sz="6" w:space="0" w:color="B2A1C7"/>
          <w:right w:val="single" w:sz="6" w:space="0" w:color="B2A1C7"/>
          <w:insideH w:val="single" w:sz="6" w:space="0" w:color="B2A1C7"/>
          <w:insideV w:val="single" w:sz="6" w:space="0" w:color="B2A1C7"/>
        </w:tblBorders>
        <w:tblLook w:val="04A0" w:firstRow="1" w:lastRow="0" w:firstColumn="1" w:lastColumn="0" w:noHBand="0" w:noVBand="1"/>
      </w:tblPr>
      <w:tblGrid>
        <w:gridCol w:w="5240"/>
        <w:gridCol w:w="5602"/>
      </w:tblGrid>
      <w:tr w:rsidR="00D94D79" w:rsidRPr="00C62639" w14:paraId="1DA3CE10" w14:textId="77777777" w:rsidTr="00762B0A">
        <w:trPr>
          <w:jc w:val="center"/>
        </w:trPr>
        <w:tc>
          <w:tcPr>
            <w:tcW w:w="5240" w:type="dxa"/>
            <w:shd w:val="clear" w:color="auto" w:fill="B2A1C7"/>
          </w:tcPr>
          <w:p w14:paraId="4EA7FFA6" w14:textId="77777777" w:rsidR="00D94D79" w:rsidRPr="00C62639" w:rsidRDefault="00D94D79" w:rsidP="00A9704A">
            <w:pPr>
              <w:spacing w:before="0" w:after="0"/>
              <w:rPr>
                <w:rFonts w:asciiTheme="minorHAnsi" w:hAnsiTheme="minorHAnsi"/>
                <w:bCs/>
                <w:smallCaps/>
                <w:noProof/>
                <w:color w:val="FFFFFF"/>
                <w:szCs w:val="20"/>
              </w:rPr>
            </w:pPr>
            <w:r w:rsidRPr="00C62639">
              <w:rPr>
                <w:rFonts w:asciiTheme="minorHAnsi" w:hAnsiTheme="minorHAnsi"/>
                <w:bCs/>
                <w:smallCaps/>
                <w:noProof/>
                <w:color w:val="FFFFFF"/>
                <w:szCs w:val="20"/>
              </w:rPr>
              <w:t>Silné stránky</w:t>
            </w:r>
          </w:p>
        </w:tc>
        <w:tc>
          <w:tcPr>
            <w:tcW w:w="5602" w:type="dxa"/>
            <w:shd w:val="clear" w:color="auto" w:fill="B2A1C7"/>
          </w:tcPr>
          <w:p w14:paraId="1E076B15" w14:textId="77777777" w:rsidR="00D94D79" w:rsidRPr="007D2345" w:rsidRDefault="00D94D79" w:rsidP="007D2345">
            <w:pPr>
              <w:spacing w:before="0" w:after="60" w:line="276" w:lineRule="auto"/>
              <w:rPr>
                <w:rFonts w:asciiTheme="majorHAnsi" w:hAnsiTheme="majorHAnsi"/>
                <w:b/>
                <w:bCs/>
                <w:smallCaps/>
                <w:noProof/>
                <w:color w:val="FFFFFF"/>
                <w:szCs w:val="20"/>
              </w:rPr>
            </w:pPr>
            <w:r w:rsidRPr="007D2345">
              <w:rPr>
                <w:rFonts w:asciiTheme="majorHAnsi" w:hAnsiTheme="majorHAnsi"/>
                <w:b/>
                <w:bCs/>
                <w:smallCaps/>
                <w:noProof/>
                <w:color w:val="FFFFFF"/>
                <w:szCs w:val="20"/>
              </w:rPr>
              <w:t>Slabé stránky</w:t>
            </w:r>
          </w:p>
        </w:tc>
      </w:tr>
      <w:tr w:rsidR="00C34FE5" w:rsidRPr="00C62639" w14:paraId="78FF1984" w14:textId="77777777" w:rsidTr="00762B0A">
        <w:trPr>
          <w:jc w:val="center"/>
        </w:trPr>
        <w:tc>
          <w:tcPr>
            <w:tcW w:w="5240" w:type="dxa"/>
            <w:tcBorders>
              <w:bottom w:val="single" w:sz="6" w:space="0" w:color="B2A1C7"/>
            </w:tcBorders>
            <w:shd w:val="clear" w:color="auto" w:fill="FFFFFF"/>
          </w:tcPr>
          <w:p w14:paraId="3024EF97" w14:textId="77777777" w:rsidR="00C34FE5" w:rsidRPr="00A45C61" w:rsidRDefault="00C34FE5" w:rsidP="00C34FE5">
            <w:pPr>
              <w:pStyle w:val="Odstavecseseznamem"/>
              <w:spacing w:before="0" w:after="60" w:line="276" w:lineRule="auto"/>
              <w:ind w:left="313" w:hanging="313"/>
              <w:rPr>
                <w:rFonts w:ascii="Calibri Light" w:hAnsi="Calibri Light"/>
                <w:b/>
                <w:bCs/>
                <w:sz w:val="22"/>
                <w:szCs w:val="20"/>
              </w:rPr>
            </w:pPr>
            <w:r w:rsidRPr="000C7519">
              <w:rPr>
                <w:rFonts w:ascii="Calibri Light" w:hAnsi="Calibri Light"/>
                <w:sz w:val="22"/>
                <w:szCs w:val="20"/>
              </w:rPr>
              <w:t>1.</w:t>
            </w:r>
            <w:r w:rsidRPr="000C7519">
              <w:rPr>
                <w:rFonts w:ascii="Calibri Light" w:hAnsi="Calibri Light"/>
                <w:sz w:val="22"/>
                <w:szCs w:val="20"/>
              </w:rPr>
              <w:tab/>
            </w:r>
            <w:r w:rsidRPr="00A45C61">
              <w:rPr>
                <w:rFonts w:ascii="Calibri Light" w:hAnsi="Calibri Light"/>
                <w:sz w:val="22"/>
                <w:szCs w:val="20"/>
              </w:rPr>
              <w:t>Rozvinutá síť VIM a</w:t>
            </w:r>
            <w:r>
              <w:rPr>
                <w:rFonts w:ascii="Calibri Light" w:hAnsi="Calibri Light"/>
                <w:sz w:val="22"/>
                <w:szCs w:val="20"/>
              </w:rPr>
              <w:t> </w:t>
            </w:r>
            <w:r w:rsidRPr="00A45C61">
              <w:rPr>
                <w:rFonts w:ascii="Calibri Light" w:hAnsi="Calibri Light"/>
                <w:sz w:val="22"/>
                <w:szCs w:val="20"/>
              </w:rPr>
              <w:t>prozatím dostatek vodních přírodních zdrojů na většině území ČR.</w:t>
            </w:r>
          </w:p>
          <w:p w14:paraId="14083B0A" w14:textId="77777777" w:rsidR="00C34FE5" w:rsidRPr="00A45C61" w:rsidRDefault="00C34FE5" w:rsidP="00C34FE5">
            <w:pPr>
              <w:pStyle w:val="Odstavecseseznamem"/>
              <w:spacing w:before="0" w:after="60" w:line="276" w:lineRule="auto"/>
              <w:ind w:left="313" w:hanging="313"/>
              <w:rPr>
                <w:rFonts w:ascii="Calibri Light" w:hAnsi="Calibri Light"/>
                <w:b/>
                <w:bCs/>
                <w:sz w:val="22"/>
                <w:szCs w:val="20"/>
              </w:rPr>
            </w:pPr>
            <w:r w:rsidRPr="00A45C61">
              <w:rPr>
                <w:rFonts w:ascii="Calibri Light" w:hAnsi="Calibri Light"/>
                <w:sz w:val="22"/>
                <w:szCs w:val="20"/>
              </w:rPr>
              <w:t>2.</w:t>
            </w:r>
            <w:r w:rsidRPr="00A45C61">
              <w:rPr>
                <w:rFonts w:ascii="Calibri Light" w:hAnsi="Calibri Light"/>
                <w:sz w:val="22"/>
                <w:szCs w:val="20"/>
              </w:rPr>
              <w:tab/>
              <w:t>Legislativní rámec upravující práva a</w:t>
            </w:r>
            <w:r>
              <w:rPr>
                <w:rFonts w:ascii="Calibri Light" w:hAnsi="Calibri Light"/>
                <w:sz w:val="22"/>
                <w:szCs w:val="20"/>
              </w:rPr>
              <w:t> </w:t>
            </w:r>
            <w:r w:rsidRPr="00A45C61">
              <w:rPr>
                <w:rFonts w:ascii="Calibri Light" w:hAnsi="Calibri Light"/>
                <w:sz w:val="22"/>
                <w:szCs w:val="20"/>
              </w:rPr>
              <w:t>povinnosti vlastníků a</w:t>
            </w:r>
            <w:r>
              <w:rPr>
                <w:rFonts w:ascii="Calibri Light" w:hAnsi="Calibri Light"/>
                <w:sz w:val="22"/>
                <w:szCs w:val="20"/>
              </w:rPr>
              <w:t> </w:t>
            </w:r>
            <w:r w:rsidRPr="00A45C61">
              <w:rPr>
                <w:rFonts w:ascii="Calibri Light" w:hAnsi="Calibri Light"/>
                <w:sz w:val="22"/>
                <w:szCs w:val="20"/>
              </w:rPr>
              <w:t>provozovatelů VIM.</w:t>
            </w:r>
          </w:p>
          <w:p w14:paraId="1ACDB78A" w14:textId="77777777" w:rsidR="00C34FE5" w:rsidRPr="00A45C61" w:rsidRDefault="00C34FE5" w:rsidP="00C34FE5">
            <w:pPr>
              <w:pStyle w:val="Odstavecseseznamem"/>
              <w:spacing w:before="0" w:after="60" w:line="276" w:lineRule="auto"/>
              <w:ind w:left="313" w:hanging="313"/>
              <w:rPr>
                <w:rFonts w:ascii="Calibri Light" w:hAnsi="Calibri Light"/>
                <w:b/>
                <w:bCs/>
                <w:sz w:val="22"/>
                <w:szCs w:val="20"/>
              </w:rPr>
            </w:pPr>
            <w:r w:rsidRPr="00A45C61">
              <w:rPr>
                <w:rFonts w:ascii="Calibri Light" w:hAnsi="Calibri Light"/>
                <w:sz w:val="22"/>
                <w:szCs w:val="20"/>
              </w:rPr>
              <w:t>3.</w:t>
            </w:r>
            <w:r w:rsidRPr="00A45C61">
              <w:rPr>
                <w:rFonts w:ascii="Calibri Light" w:hAnsi="Calibri Light"/>
                <w:sz w:val="22"/>
                <w:szCs w:val="20"/>
              </w:rPr>
              <w:tab/>
              <w:t>Vysoké % napojení obyvatelstva k</w:t>
            </w:r>
            <w:r>
              <w:rPr>
                <w:rFonts w:ascii="Calibri Light" w:hAnsi="Calibri Light"/>
                <w:sz w:val="22"/>
                <w:szCs w:val="20"/>
              </w:rPr>
              <w:t> </w:t>
            </w:r>
            <w:r w:rsidRPr="00A45C61">
              <w:rPr>
                <w:rFonts w:ascii="Calibri Light" w:hAnsi="Calibri Light"/>
                <w:sz w:val="22"/>
                <w:szCs w:val="20"/>
              </w:rPr>
              <w:t>vodovodu a</w:t>
            </w:r>
            <w:r>
              <w:rPr>
                <w:rFonts w:ascii="Calibri Light" w:hAnsi="Calibri Light"/>
                <w:sz w:val="22"/>
                <w:szCs w:val="20"/>
              </w:rPr>
              <w:t> </w:t>
            </w:r>
            <w:r w:rsidRPr="00A45C61">
              <w:rPr>
                <w:rFonts w:ascii="Calibri Light" w:hAnsi="Calibri Light"/>
                <w:sz w:val="22"/>
                <w:szCs w:val="20"/>
              </w:rPr>
              <w:t>ke kanalizaci pro veřejnou potřebu.</w:t>
            </w:r>
          </w:p>
          <w:p w14:paraId="6106F8DB" w14:textId="77777777" w:rsidR="00C34FE5" w:rsidRPr="00A45C61" w:rsidRDefault="00C34FE5" w:rsidP="00C34FE5">
            <w:pPr>
              <w:pStyle w:val="Odstavecseseznamem"/>
              <w:spacing w:before="0" w:after="60" w:line="276" w:lineRule="auto"/>
              <w:ind w:left="313" w:hanging="313"/>
              <w:rPr>
                <w:rFonts w:ascii="Calibri Light" w:hAnsi="Calibri Light"/>
                <w:b/>
                <w:bCs/>
                <w:sz w:val="22"/>
                <w:szCs w:val="20"/>
              </w:rPr>
            </w:pPr>
            <w:r w:rsidRPr="00A45C61">
              <w:rPr>
                <w:rFonts w:ascii="Calibri Light" w:hAnsi="Calibri Light"/>
                <w:sz w:val="22"/>
                <w:szCs w:val="20"/>
              </w:rPr>
              <w:t>4.</w:t>
            </w:r>
            <w:r w:rsidRPr="00A45C61">
              <w:rPr>
                <w:rFonts w:ascii="Calibri Light" w:hAnsi="Calibri Light"/>
                <w:sz w:val="22"/>
                <w:szCs w:val="20"/>
              </w:rPr>
              <w:tab/>
              <w:t>Legislativně zaveden systém cenotvorby, který umožňuje pokrývat všechny náklady z</w:t>
            </w:r>
            <w:r>
              <w:rPr>
                <w:rFonts w:ascii="Calibri Light" w:hAnsi="Calibri Light"/>
                <w:sz w:val="22"/>
                <w:szCs w:val="20"/>
              </w:rPr>
              <w:t> </w:t>
            </w:r>
            <w:r w:rsidRPr="00A45C61">
              <w:rPr>
                <w:rFonts w:ascii="Calibri Light" w:hAnsi="Calibri Light"/>
                <w:sz w:val="22"/>
                <w:szCs w:val="20"/>
              </w:rPr>
              <w:t>ceny vodného a</w:t>
            </w:r>
            <w:r>
              <w:rPr>
                <w:rFonts w:ascii="Calibri Light" w:hAnsi="Calibri Light"/>
                <w:sz w:val="22"/>
                <w:szCs w:val="20"/>
              </w:rPr>
              <w:t> </w:t>
            </w:r>
            <w:r w:rsidRPr="00A45C61">
              <w:rPr>
                <w:rFonts w:ascii="Calibri Light" w:hAnsi="Calibri Light"/>
                <w:sz w:val="22"/>
                <w:szCs w:val="20"/>
              </w:rPr>
              <w:t>stočného - předpoklad pro dosažení samofinancovatelnosti vodovodů a</w:t>
            </w:r>
            <w:r>
              <w:rPr>
                <w:rFonts w:ascii="Calibri Light" w:hAnsi="Calibri Light"/>
                <w:sz w:val="22"/>
                <w:szCs w:val="20"/>
              </w:rPr>
              <w:t> </w:t>
            </w:r>
            <w:r w:rsidRPr="00A45C61">
              <w:rPr>
                <w:rFonts w:ascii="Calibri Light" w:hAnsi="Calibri Light"/>
                <w:sz w:val="22"/>
                <w:szCs w:val="20"/>
              </w:rPr>
              <w:t xml:space="preserve">kanalizací. </w:t>
            </w:r>
          </w:p>
          <w:p w14:paraId="6385CD96" w14:textId="77777777" w:rsidR="00C34FE5" w:rsidRPr="00A45C61" w:rsidRDefault="00C34FE5" w:rsidP="00C34FE5">
            <w:pPr>
              <w:pStyle w:val="Odstavecseseznamem"/>
              <w:spacing w:before="0" w:after="60" w:line="276" w:lineRule="auto"/>
              <w:ind w:left="313" w:hanging="313"/>
              <w:rPr>
                <w:rFonts w:ascii="Calibri Light" w:hAnsi="Calibri Light"/>
                <w:b/>
                <w:bCs/>
                <w:sz w:val="22"/>
                <w:szCs w:val="20"/>
              </w:rPr>
            </w:pPr>
            <w:r w:rsidRPr="00A45C61">
              <w:rPr>
                <w:rFonts w:ascii="Calibri Light" w:hAnsi="Calibri Light"/>
                <w:sz w:val="22"/>
                <w:szCs w:val="20"/>
              </w:rPr>
              <w:t>5.</w:t>
            </w:r>
            <w:r w:rsidRPr="00A45C61">
              <w:rPr>
                <w:rFonts w:ascii="Calibri Light" w:hAnsi="Calibri Light"/>
                <w:sz w:val="22"/>
                <w:szCs w:val="20"/>
              </w:rPr>
              <w:tab/>
              <w:t>Možnost využití nástroje „smlouva mezi vlastníkem a</w:t>
            </w:r>
            <w:r>
              <w:rPr>
                <w:rFonts w:ascii="Calibri Light" w:hAnsi="Calibri Light"/>
                <w:sz w:val="22"/>
                <w:szCs w:val="20"/>
              </w:rPr>
              <w:t> </w:t>
            </w:r>
            <w:r w:rsidRPr="00A45C61">
              <w:rPr>
                <w:rFonts w:ascii="Calibri Light" w:hAnsi="Calibri Light"/>
                <w:sz w:val="22"/>
                <w:szCs w:val="20"/>
              </w:rPr>
              <w:t>nájemcem o</w:t>
            </w:r>
            <w:r>
              <w:rPr>
                <w:rFonts w:ascii="Calibri Light" w:hAnsi="Calibri Light"/>
                <w:sz w:val="22"/>
                <w:szCs w:val="20"/>
              </w:rPr>
              <w:t> </w:t>
            </w:r>
            <w:r w:rsidRPr="00A45C61">
              <w:rPr>
                <w:rFonts w:ascii="Calibri Light" w:hAnsi="Calibri Light"/>
                <w:sz w:val="22"/>
                <w:szCs w:val="20"/>
              </w:rPr>
              <w:t>přenechání části zisku nájemci“ v</w:t>
            </w:r>
            <w:r>
              <w:rPr>
                <w:rFonts w:ascii="Calibri Light" w:hAnsi="Calibri Light"/>
                <w:sz w:val="22"/>
                <w:szCs w:val="20"/>
              </w:rPr>
              <w:t> </w:t>
            </w:r>
            <w:r w:rsidRPr="00A45C61">
              <w:rPr>
                <w:rFonts w:ascii="Calibri Light" w:hAnsi="Calibri Light"/>
                <w:sz w:val="22"/>
                <w:szCs w:val="20"/>
              </w:rPr>
              <w:t>cenovém výměru.</w:t>
            </w:r>
          </w:p>
          <w:p w14:paraId="1F2CE024" w14:textId="77777777" w:rsidR="00C34FE5" w:rsidRPr="00A45C61" w:rsidRDefault="00C34FE5" w:rsidP="00C34FE5">
            <w:pPr>
              <w:pStyle w:val="Odstavecseseznamem"/>
              <w:spacing w:before="0" w:after="60" w:line="276" w:lineRule="auto"/>
              <w:ind w:left="313" w:hanging="313"/>
              <w:rPr>
                <w:rFonts w:ascii="Calibri Light" w:hAnsi="Calibri Light"/>
                <w:b/>
                <w:bCs/>
                <w:sz w:val="22"/>
                <w:szCs w:val="20"/>
              </w:rPr>
            </w:pPr>
            <w:r w:rsidRPr="00A45C61">
              <w:rPr>
                <w:rFonts w:ascii="Calibri Light" w:hAnsi="Calibri Light"/>
                <w:sz w:val="22"/>
                <w:szCs w:val="20"/>
              </w:rPr>
              <w:t>6.</w:t>
            </w:r>
            <w:r w:rsidRPr="00A45C61">
              <w:rPr>
                <w:rFonts w:ascii="Calibri Light" w:hAnsi="Calibri Light"/>
                <w:sz w:val="22"/>
                <w:szCs w:val="20"/>
              </w:rPr>
              <w:tab/>
              <w:t>Organizovaný sběr dat upraven legislativou (vybrané údaje z</w:t>
            </w:r>
            <w:r>
              <w:rPr>
                <w:rFonts w:ascii="Calibri Light" w:hAnsi="Calibri Light"/>
                <w:sz w:val="22"/>
                <w:szCs w:val="20"/>
              </w:rPr>
              <w:t> </w:t>
            </w:r>
            <w:r w:rsidRPr="00A45C61">
              <w:rPr>
                <w:rFonts w:ascii="Calibri Light" w:hAnsi="Calibri Light"/>
                <w:sz w:val="22"/>
                <w:szCs w:val="20"/>
              </w:rPr>
              <w:t>majetkové a</w:t>
            </w:r>
            <w:r>
              <w:rPr>
                <w:rFonts w:ascii="Calibri Light" w:hAnsi="Calibri Light"/>
                <w:sz w:val="22"/>
                <w:szCs w:val="20"/>
              </w:rPr>
              <w:t> </w:t>
            </w:r>
            <w:r w:rsidRPr="00A45C61">
              <w:rPr>
                <w:rFonts w:ascii="Calibri Light" w:hAnsi="Calibri Light"/>
                <w:sz w:val="22"/>
                <w:szCs w:val="20"/>
              </w:rPr>
              <w:t>provozní evidence, „Porovnání“, hlášení pro ČSÚ, mechanizmy sběru dat o</w:t>
            </w:r>
            <w:r>
              <w:rPr>
                <w:rFonts w:ascii="Calibri Light" w:hAnsi="Calibri Light"/>
                <w:sz w:val="22"/>
                <w:szCs w:val="20"/>
              </w:rPr>
              <w:t> </w:t>
            </w:r>
            <w:r w:rsidRPr="00A45C61">
              <w:rPr>
                <w:rFonts w:ascii="Calibri Light" w:hAnsi="Calibri Light"/>
                <w:sz w:val="22"/>
                <w:szCs w:val="20"/>
              </w:rPr>
              <w:t>kvalitě pitné vody a</w:t>
            </w:r>
            <w:r>
              <w:rPr>
                <w:rFonts w:ascii="Calibri Light" w:hAnsi="Calibri Light"/>
                <w:sz w:val="22"/>
                <w:szCs w:val="20"/>
              </w:rPr>
              <w:t> </w:t>
            </w:r>
            <w:r w:rsidRPr="00A45C61">
              <w:rPr>
                <w:rFonts w:ascii="Calibri Light" w:hAnsi="Calibri Light"/>
                <w:sz w:val="22"/>
                <w:szCs w:val="20"/>
              </w:rPr>
              <w:t>hodnotách vyčištěných odpadních vod).</w:t>
            </w:r>
          </w:p>
          <w:p w14:paraId="179F8718" w14:textId="77777777" w:rsidR="00C34FE5" w:rsidRPr="000C7519" w:rsidRDefault="00C34FE5" w:rsidP="00C34FE5">
            <w:pPr>
              <w:pStyle w:val="Odstavecseseznamem"/>
              <w:spacing w:before="0" w:after="60" w:line="276" w:lineRule="auto"/>
              <w:ind w:left="313" w:hanging="313"/>
              <w:rPr>
                <w:rFonts w:ascii="Calibri Light" w:hAnsi="Calibri Light"/>
                <w:bCs/>
                <w:sz w:val="22"/>
                <w:szCs w:val="20"/>
              </w:rPr>
            </w:pPr>
            <w:r w:rsidRPr="00A45C61">
              <w:rPr>
                <w:rFonts w:ascii="Calibri Light" w:hAnsi="Calibri Light"/>
                <w:sz w:val="22"/>
                <w:szCs w:val="20"/>
              </w:rPr>
              <w:t>7.</w:t>
            </w:r>
            <w:r w:rsidRPr="00A45C61">
              <w:rPr>
                <w:rFonts w:ascii="Calibri Light" w:hAnsi="Calibri Light"/>
                <w:sz w:val="22"/>
                <w:szCs w:val="20"/>
              </w:rPr>
              <w:tab/>
              <w:t>Existence dotačních titulů na rozvoj VIM.</w:t>
            </w:r>
          </w:p>
          <w:p w14:paraId="5E0E582B" w14:textId="77777777" w:rsidR="00C34FE5" w:rsidRPr="000C7519" w:rsidRDefault="00C34FE5" w:rsidP="00C34FE5">
            <w:pPr>
              <w:pStyle w:val="Odstavecseseznamem"/>
              <w:spacing w:before="0" w:after="60" w:line="276" w:lineRule="auto"/>
              <w:ind w:left="313" w:hanging="313"/>
              <w:rPr>
                <w:rFonts w:ascii="Calibri Light" w:hAnsi="Calibri Light"/>
                <w:b/>
                <w:sz w:val="22"/>
                <w:szCs w:val="20"/>
              </w:rPr>
            </w:pPr>
          </w:p>
        </w:tc>
        <w:tc>
          <w:tcPr>
            <w:tcW w:w="5602" w:type="dxa"/>
            <w:tcBorders>
              <w:bottom w:val="single" w:sz="6" w:space="0" w:color="B2A1C7"/>
            </w:tcBorders>
            <w:shd w:val="clear" w:color="auto" w:fill="auto"/>
          </w:tcPr>
          <w:p w14:paraId="67594927"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1.</w:t>
            </w:r>
            <w:r w:rsidRPr="00A45C61">
              <w:rPr>
                <w:rFonts w:ascii="Calibri Light" w:hAnsi="Calibri Light"/>
                <w:sz w:val="22"/>
                <w:szCs w:val="20"/>
              </w:rPr>
              <w:tab/>
              <w:t>Vysoký stupeň atomizace trhu (dle evidence MZe 6</w:t>
            </w:r>
            <w:r>
              <w:rPr>
                <w:rFonts w:ascii="Calibri Light" w:hAnsi="Calibri Light"/>
                <w:sz w:val="22"/>
                <w:szCs w:val="20"/>
              </w:rPr>
              <w:t> </w:t>
            </w:r>
            <w:r w:rsidRPr="00A45C61">
              <w:rPr>
                <w:rFonts w:ascii="Calibri Light" w:hAnsi="Calibri Light"/>
                <w:sz w:val="22"/>
                <w:szCs w:val="20"/>
              </w:rPr>
              <w:t>795 vlastníků, 2</w:t>
            </w:r>
            <w:r>
              <w:rPr>
                <w:rFonts w:ascii="Calibri Light" w:hAnsi="Calibri Light"/>
                <w:sz w:val="22"/>
                <w:szCs w:val="20"/>
              </w:rPr>
              <w:t> </w:t>
            </w:r>
            <w:r w:rsidRPr="00A45C61">
              <w:rPr>
                <w:rFonts w:ascii="Calibri Light" w:hAnsi="Calibri Light"/>
                <w:sz w:val="22"/>
                <w:szCs w:val="20"/>
              </w:rPr>
              <w:t xml:space="preserve">878 provozovatelů). </w:t>
            </w:r>
          </w:p>
          <w:p w14:paraId="67584DB5"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2.</w:t>
            </w:r>
            <w:r w:rsidRPr="00A45C61">
              <w:rPr>
                <w:rFonts w:ascii="Calibri Light" w:hAnsi="Calibri Light"/>
                <w:sz w:val="22"/>
                <w:szCs w:val="20"/>
              </w:rPr>
              <w:tab/>
              <w:t>Různorodost struktury obchodních vztahů v</w:t>
            </w:r>
            <w:r>
              <w:rPr>
                <w:rFonts w:ascii="Calibri Light" w:hAnsi="Calibri Light"/>
                <w:sz w:val="22"/>
                <w:szCs w:val="20"/>
              </w:rPr>
              <w:t> </w:t>
            </w:r>
            <w:r w:rsidRPr="00A45C61">
              <w:rPr>
                <w:rFonts w:ascii="Calibri Light" w:hAnsi="Calibri Light"/>
                <w:sz w:val="22"/>
                <w:szCs w:val="20"/>
              </w:rPr>
              <w:t>rámci jednotlivých modelů provozování ovlivňuje možnosti vlastníka rozhodovat o</w:t>
            </w:r>
            <w:r>
              <w:rPr>
                <w:rFonts w:ascii="Calibri Light" w:hAnsi="Calibri Light"/>
                <w:sz w:val="22"/>
                <w:szCs w:val="20"/>
              </w:rPr>
              <w:t> </w:t>
            </w:r>
            <w:r w:rsidRPr="00A45C61">
              <w:rPr>
                <w:rFonts w:ascii="Calibri Light" w:hAnsi="Calibri Light"/>
                <w:sz w:val="22"/>
                <w:szCs w:val="20"/>
              </w:rPr>
              <w:t>způsobu generování prostředků na obnovu, o</w:t>
            </w:r>
            <w:r>
              <w:rPr>
                <w:rFonts w:ascii="Calibri Light" w:hAnsi="Calibri Light"/>
                <w:sz w:val="22"/>
                <w:szCs w:val="20"/>
              </w:rPr>
              <w:t> </w:t>
            </w:r>
            <w:r w:rsidRPr="00A45C61">
              <w:rPr>
                <w:rFonts w:ascii="Calibri Light" w:hAnsi="Calibri Light"/>
                <w:sz w:val="22"/>
                <w:szCs w:val="20"/>
              </w:rPr>
              <w:t>jejich výši a</w:t>
            </w:r>
            <w:r>
              <w:rPr>
                <w:rFonts w:ascii="Calibri Light" w:hAnsi="Calibri Light"/>
                <w:sz w:val="22"/>
                <w:szCs w:val="20"/>
              </w:rPr>
              <w:t> </w:t>
            </w:r>
            <w:r w:rsidRPr="00A45C61">
              <w:rPr>
                <w:rFonts w:ascii="Calibri Light" w:hAnsi="Calibri Light"/>
                <w:sz w:val="22"/>
                <w:szCs w:val="20"/>
              </w:rPr>
              <w:t>době akumulace, která může souviset s</w:t>
            </w:r>
            <w:r>
              <w:rPr>
                <w:rFonts w:ascii="Calibri Light" w:hAnsi="Calibri Light"/>
                <w:sz w:val="22"/>
                <w:szCs w:val="20"/>
              </w:rPr>
              <w:t> </w:t>
            </w:r>
            <w:r w:rsidRPr="00A45C61">
              <w:rPr>
                <w:rFonts w:ascii="Calibri Light" w:hAnsi="Calibri Light"/>
                <w:sz w:val="22"/>
                <w:szCs w:val="20"/>
              </w:rPr>
              <w:t>délkou trvání smlouvy uzavřené mezi vlastníkem VIM a</w:t>
            </w:r>
            <w:r>
              <w:rPr>
                <w:rFonts w:ascii="Calibri Light" w:hAnsi="Calibri Light"/>
                <w:sz w:val="22"/>
                <w:szCs w:val="20"/>
              </w:rPr>
              <w:t> </w:t>
            </w:r>
            <w:r w:rsidRPr="00A45C61">
              <w:rPr>
                <w:rFonts w:ascii="Calibri Light" w:hAnsi="Calibri Light"/>
                <w:sz w:val="22"/>
                <w:szCs w:val="20"/>
              </w:rPr>
              <w:t>provozovatelem.</w:t>
            </w:r>
          </w:p>
          <w:p w14:paraId="41AA1236"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3.</w:t>
            </w:r>
            <w:r w:rsidRPr="00A45C61">
              <w:rPr>
                <w:rFonts w:ascii="Calibri Light" w:hAnsi="Calibri Light"/>
                <w:sz w:val="22"/>
                <w:szCs w:val="20"/>
              </w:rPr>
              <w:tab/>
              <w:t>Slabá vyjednávací pozice vlastníka vůči provozovateli zapříčiněná nedostatečnou znalostí práv a</w:t>
            </w:r>
            <w:r>
              <w:rPr>
                <w:rFonts w:ascii="Calibri Light" w:hAnsi="Calibri Light"/>
                <w:sz w:val="22"/>
                <w:szCs w:val="20"/>
              </w:rPr>
              <w:t> </w:t>
            </w:r>
            <w:r w:rsidRPr="00A45C61">
              <w:rPr>
                <w:rFonts w:ascii="Calibri Light" w:hAnsi="Calibri Light"/>
                <w:sz w:val="22"/>
                <w:szCs w:val="20"/>
              </w:rPr>
              <w:t>povinností vlastníka VIM (zejména u</w:t>
            </w:r>
            <w:r>
              <w:rPr>
                <w:rFonts w:ascii="Calibri Light" w:hAnsi="Calibri Light"/>
                <w:sz w:val="22"/>
                <w:szCs w:val="20"/>
              </w:rPr>
              <w:t> </w:t>
            </w:r>
            <w:r w:rsidRPr="00A45C61">
              <w:rPr>
                <w:rFonts w:ascii="Calibri Light" w:hAnsi="Calibri Light"/>
                <w:sz w:val="22"/>
                <w:szCs w:val="20"/>
              </w:rPr>
              <w:t>menších vlastníků).</w:t>
            </w:r>
          </w:p>
          <w:p w14:paraId="34898C51"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4.</w:t>
            </w:r>
            <w:r w:rsidRPr="00A45C61">
              <w:rPr>
                <w:rFonts w:ascii="Calibri Light" w:hAnsi="Calibri Light"/>
                <w:sz w:val="22"/>
                <w:szCs w:val="20"/>
              </w:rPr>
              <w:tab/>
              <w:t>Nedodržování legislativy ze strany vlastníků a</w:t>
            </w:r>
            <w:r>
              <w:rPr>
                <w:rFonts w:ascii="Calibri Light" w:hAnsi="Calibri Light"/>
                <w:sz w:val="22"/>
                <w:szCs w:val="20"/>
              </w:rPr>
              <w:t> </w:t>
            </w:r>
            <w:r w:rsidRPr="00A45C61">
              <w:rPr>
                <w:rFonts w:ascii="Calibri Light" w:hAnsi="Calibri Light"/>
                <w:sz w:val="22"/>
                <w:szCs w:val="20"/>
              </w:rPr>
              <w:t>provozovatelů (zákon o</w:t>
            </w:r>
            <w:r>
              <w:rPr>
                <w:rFonts w:ascii="Calibri Light" w:hAnsi="Calibri Light"/>
                <w:sz w:val="22"/>
                <w:szCs w:val="20"/>
              </w:rPr>
              <w:t> </w:t>
            </w:r>
            <w:r w:rsidRPr="00A45C61">
              <w:rPr>
                <w:rFonts w:ascii="Calibri Light" w:hAnsi="Calibri Light"/>
                <w:sz w:val="22"/>
                <w:szCs w:val="20"/>
              </w:rPr>
              <w:t>cenách, vyhláška č. 428/2001 Sb., zákon o</w:t>
            </w:r>
            <w:r>
              <w:rPr>
                <w:rFonts w:ascii="Calibri Light" w:hAnsi="Calibri Light"/>
                <w:sz w:val="22"/>
                <w:szCs w:val="20"/>
              </w:rPr>
              <w:t> </w:t>
            </w:r>
            <w:r w:rsidRPr="00A45C61">
              <w:rPr>
                <w:rFonts w:ascii="Calibri Light" w:hAnsi="Calibri Light"/>
                <w:sz w:val="22"/>
                <w:szCs w:val="20"/>
              </w:rPr>
              <w:t>vodovodech a</w:t>
            </w:r>
            <w:r>
              <w:rPr>
                <w:rFonts w:ascii="Calibri Light" w:hAnsi="Calibri Light"/>
                <w:sz w:val="22"/>
                <w:szCs w:val="20"/>
              </w:rPr>
              <w:t> </w:t>
            </w:r>
            <w:r w:rsidRPr="00A45C61">
              <w:rPr>
                <w:rFonts w:ascii="Calibri Light" w:hAnsi="Calibri Light"/>
                <w:sz w:val="22"/>
                <w:szCs w:val="20"/>
              </w:rPr>
              <w:t>kanalizacích č. 274/2001 Sb., Koncesní zákon 139/2006 Sb. platný 1. 1. 2014 - 30. 9. 2016, zákon č. 134/2016 Sb., o</w:t>
            </w:r>
            <w:r>
              <w:rPr>
                <w:rFonts w:ascii="Calibri Light" w:hAnsi="Calibri Light"/>
                <w:sz w:val="22"/>
                <w:szCs w:val="20"/>
              </w:rPr>
              <w:t> </w:t>
            </w:r>
            <w:r w:rsidRPr="00A45C61">
              <w:rPr>
                <w:rFonts w:ascii="Calibri Light" w:hAnsi="Calibri Light"/>
                <w:sz w:val="22"/>
                <w:szCs w:val="20"/>
              </w:rPr>
              <w:t>zadávání veřejných zakázek).</w:t>
            </w:r>
          </w:p>
          <w:p w14:paraId="1BD8CC14"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5.</w:t>
            </w:r>
            <w:r w:rsidRPr="00A45C61">
              <w:rPr>
                <w:rFonts w:ascii="Calibri Light" w:hAnsi="Calibri Light"/>
                <w:sz w:val="22"/>
                <w:szCs w:val="20"/>
              </w:rPr>
              <w:tab/>
              <w:t>Neexistence legislativní úpravy pro stanovení minimální výše nájemného nebo ceny pro vodné a</w:t>
            </w:r>
            <w:r>
              <w:rPr>
                <w:rFonts w:ascii="Calibri Light" w:hAnsi="Calibri Light"/>
                <w:sz w:val="22"/>
                <w:szCs w:val="20"/>
              </w:rPr>
              <w:t> </w:t>
            </w:r>
            <w:r w:rsidRPr="00A45C61">
              <w:rPr>
                <w:rFonts w:ascii="Calibri Light" w:hAnsi="Calibri Light"/>
                <w:sz w:val="22"/>
                <w:szCs w:val="20"/>
              </w:rPr>
              <w:t>pro stočné s</w:t>
            </w:r>
            <w:r>
              <w:rPr>
                <w:rFonts w:ascii="Calibri Light" w:hAnsi="Calibri Light"/>
                <w:sz w:val="22"/>
                <w:szCs w:val="20"/>
              </w:rPr>
              <w:t> </w:t>
            </w:r>
            <w:r w:rsidRPr="00A45C61">
              <w:rPr>
                <w:rFonts w:ascii="Calibri Light" w:hAnsi="Calibri Light"/>
                <w:sz w:val="22"/>
                <w:szCs w:val="20"/>
              </w:rPr>
              <w:t>vazbou na dosažení samofinancovatelnosti VIM. Nedostatečný dozor nad dodržováním legislativy (cenotvorba, plán financování obnovy a</w:t>
            </w:r>
            <w:r>
              <w:rPr>
                <w:rFonts w:ascii="Calibri Light" w:hAnsi="Calibri Light"/>
                <w:sz w:val="22"/>
                <w:szCs w:val="20"/>
              </w:rPr>
              <w:t> </w:t>
            </w:r>
            <w:r w:rsidRPr="00A45C61">
              <w:rPr>
                <w:rFonts w:ascii="Calibri Light" w:hAnsi="Calibri Light"/>
                <w:sz w:val="22"/>
                <w:szCs w:val="20"/>
              </w:rPr>
              <w:t>jeho realizace, kalkulace neoprávněných nákladů, servisní smlouvy).</w:t>
            </w:r>
          </w:p>
          <w:p w14:paraId="6719EE22"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6.</w:t>
            </w:r>
            <w:r w:rsidRPr="00A45C61">
              <w:rPr>
                <w:rFonts w:ascii="Calibri Light" w:hAnsi="Calibri Light"/>
                <w:sz w:val="22"/>
                <w:szCs w:val="20"/>
              </w:rPr>
              <w:tab/>
              <w:t>Zejména u</w:t>
            </w:r>
            <w:r>
              <w:rPr>
                <w:rFonts w:ascii="Calibri Light" w:hAnsi="Calibri Light"/>
                <w:sz w:val="22"/>
                <w:szCs w:val="20"/>
              </w:rPr>
              <w:t> </w:t>
            </w:r>
            <w:r w:rsidRPr="00A45C61">
              <w:rPr>
                <w:rFonts w:ascii="Calibri Light" w:hAnsi="Calibri Light"/>
                <w:sz w:val="22"/>
                <w:szCs w:val="20"/>
              </w:rPr>
              <w:t>menších vlastníků prioritní využívání zdrojů vody ve vlastním katastru a</w:t>
            </w:r>
            <w:r>
              <w:rPr>
                <w:rFonts w:ascii="Calibri Light" w:hAnsi="Calibri Light"/>
                <w:sz w:val="22"/>
                <w:szCs w:val="20"/>
              </w:rPr>
              <w:t> </w:t>
            </w:r>
            <w:r w:rsidRPr="00A45C61">
              <w:rPr>
                <w:rFonts w:ascii="Calibri Light" w:hAnsi="Calibri Light"/>
                <w:sz w:val="22"/>
                <w:szCs w:val="20"/>
              </w:rPr>
              <w:t>případné doplňování nedostatečné kapacity vlastních zdrojů z</w:t>
            </w:r>
            <w:r>
              <w:rPr>
                <w:rFonts w:ascii="Calibri Light" w:hAnsi="Calibri Light"/>
                <w:sz w:val="22"/>
                <w:szCs w:val="20"/>
              </w:rPr>
              <w:t> </w:t>
            </w:r>
            <w:r w:rsidRPr="00A45C61">
              <w:rPr>
                <w:rFonts w:ascii="Calibri Light" w:hAnsi="Calibri Light"/>
                <w:sz w:val="22"/>
                <w:szCs w:val="20"/>
              </w:rPr>
              <w:t>oblastních vodovodů, často na úkor ekonomické efektivity a</w:t>
            </w:r>
            <w:r>
              <w:rPr>
                <w:rFonts w:ascii="Calibri Light" w:hAnsi="Calibri Light"/>
                <w:sz w:val="22"/>
                <w:szCs w:val="20"/>
              </w:rPr>
              <w:t> </w:t>
            </w:r>
            <w:r w:rsidRPr="00A45C61">
              <w:rPr>
                <w:rFonts w:ascii="Calibri Light" w:hAnsi="Calibri Light"/>
                <w:sz w:val="22"/>
                <w:szCs w:val="20"/>
              </w:rPr>
              <w:t xml:space="preserve">kolísající úrovně kvality dodávané vody. </w:t>
            </w:r>
          </w:p>
          <w:p w14:paraId="68D18A81"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7.</w:t>
            </w:r>
            <w:r w:rsidRPr="00A45C61">
              <w:rPr>
                <w:rFonts w:ascii="Calibri Light" w:hAnsi="Calibri Light"/>
                <w:sz w:val="22"/>
                <w:szCs w:val="20"/>
              </w:rPr>
              <w:tab/>
              <w:t>Dotace ceny vlastníkem přes položku kalkulační zisk – trend u</w:t>
            </w:r>
            <w:r>
              <w:rPr>
                <w:rFonts w:ascii="Calibri Light" w:hAnsi="Calibri Light"/>
                <w:sz w:val="22"/>
                <w:szCs w:val="20"/>
              </w:rPr>
              <w:t> </w:t>
            </w:r>
            <w:r w:rsidRPr="00A45C61">
              <w:rPr>
                <w:rFonts w:ascii="Calibri Light" w:hAnsi="Calibri Light"/>
                <w:sz w:val="22"/>
                <w:szCs w:val="20"/>
              </w:rPr>
              <w:t>komunálních vlastníků. Tento postup zamezuje dosažení samofinancovatelnosti sektoru. V</w:t>
            </w:r>
            <w:r>
              <w:rPr>
                <w:rFonts w:ascii="Calibri Light" w:hAnsi="Calibri Light"/>
                <w:sz w:val="22"/>
                <w:szCs w:val="20"/>
              </w:rPr>
              <w:t> </w:t>
            </w:r>
            <w:r w:rsidRPr="00A45C61">
              <w:rPr>
                <w:rFonts w:ascii="Calibri Light" w:hAnsi="Calibri Light"/>
                <w:sz w:val="22"/>
                <w:szCs w:val="20"/>
              </w:rPr>
              <w:t>případě vlastnického modelu provozování tak dochází k</w:t>
            </w:r>
            <w:r>
              <w:rPr>
                <w:rFonts w:ascii="Calibri Light" w:hAnsi="Calibri Light"/>
                <w:sz w:val="22"/>
                <w:szCs w:val="20"/>
              </w:rPr>
              <w:t> </w:t>
            </w:r>
            <w:r w:rsidRPr="00A45C61">
              <w:rPr>
                <w:rFonts w:ascii="Calibri Light" w:hAnsi="Calibri Light"/>
                <w:sz w:val="22"/>
                <w:szCs w:val="20"/>
              </w:rPr>
              <w:t>dotování samotného provozu – zejména u</w:t>
            </w:r>
            <w:r>
              <w:rPr>
                <w:rFonts w:ascii="Calibri Light" w:hAnsi="Calibri Light"/>
                <w:sz w:val="22"/>
                <w:szCs w:val="20"/>
              </w:rPr>
              <w:t> </w:t>
            </w:r>
            <w:r w:rsidRPr="00A45C61">
              <w:rPr>
                <w:rFonts w:ascii="Calibri Light" w:hAnsi="Calibri Light"/>
                <w:sz w:val="22"/>
                <w:szCs w:val="20"/>
              </w:rPr>
              <w:t>vlastníků s</w:t>
            </w:r>
            <w:r>
              <w:rPr>
                <w:rFonts w:ascii="Calibri Light" w:hAnsi="Calibri Light"/>
                <w:sz w:val="22"/>
                <w:szCs w:val="20"/>
              </w:rPr>
              <w:t> </w:t>
            </w:r>
            <w:r w:rsidRPr="00A45C61">
              <w:rPr>
                <w:rFonts w:ascii="Calibri Light" w:hAnsi="Calibri Light"/>
                <w:sz w:val="22"/>
                <w:szCs w:val="20"/>
              </w:rPr>
              <w:t>malým počtem připojených osob.</w:t>
            </w:r>
          </w:p>
          <w:p w14:paraId="49BB763E"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8.</w:t>
            </w:r>
            <w:r w:rsidRPr="00A45C61">
              <w:rPr>
                <w:rFonts w:ascii="Calibri Light" w:hAnsi="Calibri Light"/>
                <w:sz w:val="22"/>
                <w:szCs w:val="20"/>
              </w:rPr>
              <w:tab/>
              <w:t>Diskutabilní kvalita dat zasílaných na MZe (výskyt logických chyb, neúplná data, nesouměřitelná data vyplývající z</w:t>
            </w:r>
            <w:r>
              <w:rPr>
                <w:rFonts w:ascii="Calibri Light" w:hAnsi="Calibri Light"/>
                <w:sz w:val="22"/>
                <w:szCs w:val="20"/>
              </w:rPr>
              <w:t> </w:t>
            </w:r>
            <w:r w:rsidRPr="00A45C61">
              <w:rPr>
                <w:rFonts w:ascii="Calibri Light" w:hAnsi="Calibri Light"/>
                <w:sz w:val="22"/>
                <w:szCs w:val="20"/>
              </w:rPr>
              <w:t>nejednotného chápání pojmů, např. obnova, porucha, apod.) a</w:t>
            </w:r>
            <w:r>
              <w:rPr>
                <w:rFonts w:ascii="Calibri Light" w:hAnsi="Calibri Light"/>
                <w:sz w:val="22"/>
                <w:szCs w:val="20"/>
              </w:rPr>
              <w:t> </w:t>
            </w:r>
            <w:r w:rsidRPr="00A45C61">
              <w:rPr>
                <w:rFonts w:ascii="Calibri Light" w:hAnsi="Calibri Light"/>
                <w:sz w:val="22"/>
                <w:szCs w:val="20"/>
              </w:rPr>
              <w:t xml:space="preserve">chybějící informace ke kontrole plnění </w:t>
            </w:r>
            <w:r w:rsidRPr="00A45C61">
              <w:rPr>
                <w:rFonts w:ascii="Calibri Light" w:hAnsi="Calibri Light"/>
                <w:sz w:val="22"/>
                <w:szCs w:val="20"/>
              </w:rPr>
              <w:lastRenderedPageBreak/>
              <w:t>PFO (např. stáří a</w:t>
            </w:r>
            <w:r>
              <w:rPr>
                <w:rFonts w:ascii="Calibri Light" w:hAnsi="Calibri Light"/>
                <w:sz w:val="22"/>
                <w:szCs w:val="20"/>
              </w:rPr>
              <w:t> </w:t>
            </w:r>
            <w:r w:rsidRPr="00A45C61">
              <w:rPr>
                <w:rFonts w:ascii="Calibri Light" w:hAnsi="Calibri Light"/>
                <w:sz w:val="22"/>
                <w:szCs w:val="20"/>
              </w:rPr>
              <w:t>opotřebení VIM, proinvestované dotace, objem plánovaných oprav apod.)</w:t>
            </w:r>
          </w:p>
          <w:p w14:paraId="37B3FA45"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9.</w:t>
            </w:r>
            <w:r w:rsidRPr="00A45C61">
              <w:rPr>
                <w:rFonts w:ascii="Calibri Light" w:hAnsi="Calibri Light"/>
                <w:sz w:val="22"/>
                <w:szCs w:val="20"/>
              </w:rPr>
              <w:tab/>
              <w:t>Ve vybraných údajích majetkové a</w:t>
            </w:r>
            <w:r>
              <w:rPr>
                <w:rFonts w:ascii="Calibri Light" w:hAnsi="Calibri Light"/>
                <w:sz w:val="22"/>
                <w:szCs w:val="20"/>
              </w:rPr>
              <w:t> </w:t>
            </w:r>
            <w:r w:rsidRPr="00A45C61">
              <w:rPr>
                <w:rFonts w:ascii="Calibri Light" w:hAnsi="Calibri Light"/>
                <w:sz w:val="22"/>
                <w:szCs w:val="20"/>
              </w:rPr>
              <w:t>provozní evidence se neposkytovaly informace o</w:t>
            </w:r>
            <w:r>
              <w:rPr>
                <w:rFonts w:ascii="Calibri Light" w:hAnsi="Calibri Light"/>
                <w:sz w:val="22"/>
                <w:szCs w:val="20"/>
              </w:rPr>
              <w:t> </w:t>
            </w:r>
            <w:r w:rsidRPr="00A45C61">
              <w:rPr>
                <w:rFonts w:ascii="Calibri Light" w:hAnsi="Calibri Light"/>
                <w:sz w:val="22"/>
                <w:szCs w:val="20"/>
              </w:rPr>
              <w:t>přivaděčích a</w:t>
            </w:r>
            <w:r>
              <w:rPr>
                <w:rFonts w:ascii="Calibri Light" w:hAnsi="Calibri Light"/>
                <w:sz w:val="22"/>
                <w:szCs w:val="20"/>
              </w:rPr>
              <w:t> </w:t>
            </w:r>
            <w:r w:rsidRPr="00A45C61">
              <w:rPr>
                <w:rFonts w:ascii="Calibri Light" w:hAnsi="Calibri Light"/>
                <w:sz w:val="22"/>
                <w:szCs w:val="20"/>
              </w:rPr>
              <w:t>sběračích, což má přímý vliv na vypovídací hodnotu některých ukazatelů benchmarkingu (např. hodnota VIM v</w:t>
            </w:r>
            <w:r>
              <w:rPr>
                <w:rFonts w:ascii="Calibri Light" w:hAnsi="Calibri Light"/>
                <w:sz w:val="22"/>
                <w:szCs w:val="20"/>
              </w:rPr>
              <w:t> </w:t>
            </w:r>
            <w:r w:rsidRPr="00A45C61">
              <w:rPr>
                <w:rFonts w:ascii="Calibri Light" w:hAnsi="Calibri Light"/>
                <w:sz w:val="22"/>
                <w:szCs w:val="20"/>
              </w:rPr>
              <w:t>reprodukční pořizovací ceně, minimální roční výše prostředků na obnovu, délka řadů a</w:t>
            </w:r>
            <w:r>
              <w:rPr>
                <w:rFonts w:ascii="Calibri Light" w:hAnsi="Calibri Light"/>
                <w:sz w:val="22"/>
                <w:szCs w:val="20"/>
              </w:rPr>
              <w:t> </w:t>
            </w:r>
            <w:r w:rsidRPr="00A45C61">
              <w:rPr>
                <w:rFonts w:ascii="Calibri Light" w:hAnsi="Calibri Light"/>
                <w:sz w:val="22"/>
                <w:szCs w:val="20"/>
              </w:rPr>
              <w:t>stok, množství nefakturované vody, ztrát a</w:t>
            </w:r>
            <w:r>
              <w:rPr>
                <w:rFonts w:ascii="Calibri Light" w:hAnsi="Calibri Light"/>
                <w:sz w:val="22"/>
                <w:szCs w:val="20"/>
              </w:rPr>
              <w:t> </w:t>
            </w:r>
            <w:r w:rsidRPr="00A45C61">
              <w:rPr>
                <w:rFonts w:ascii="Calibri Light" w:hAnsi="Calibri Light"/>
                <w:sz w:val="22"/>
                <w:szCs w:val="20"/>
              </w:rPr>
              <w:t>poruch a</w:t>
            </w:r>
            <w:r>
              <w:rPr>
                <w:rFonts w:ascii="Calibri Light" w:hAnsi="Calibri Light"/>
                <w:sz w:val="22"/>
                <w:szCs w:val="20"/>
              </w:rPr>
              <w:t> </w:t>
            </w:r>
            <w:r w:rsidRPr="00A45C61">
              <w:rPr>
                <w:rFonts w:ascii="Calibri Light" w:hAnsi="Calibri Light"/>
                <w:sz w:val="22"/>
                <w:szCs w:val="20"/>
              </w:rPr>
              <w:t>jejich hodnoty přepočtené na km sítě atd.).</w:t>
            </w:r>
          </w:p>
          <w:p w14:paraId="0E95096D"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10.</w:t>
            </w:r>
            <w:r w:rsidRPr="00A45C61">
              <w:rPr>
                <w:rFonts w:ascii="Calibri Light" w:hAnsi="Calibri Light"/>
                <w:sz w:val="22"/>
                <w:szCs w:val="20"/>
              </w:rPr>
              <w:tab/>
              <w:t>Nedostatky v</w:t>
            </w:r>
            <w:r>
              <w:rPr>
                <w:rFonts w:ascii="Calibri Light" w:hAnsi="Calibri Light"/>
                <w:sz w:val="22"/>
                <w:szCs w:val="20"/>
              </w:rPr>
              <w:t> </w:t>
            </w:r>
            <w:r w:rsidRPr="00A45C61">
              <w:rPr>
                <w:rFonts w:ascii="Calibri Light" w:hAnsi="Calibri Light"/>
                <w:sz w:val="22"/>
                <w:szCs w:val="20"/>
              </w:rPr>
              <w:t>databázích vybraných údajů majetkové a</w:t>
            </w:r>
            <w:r>
              <w:rPr>
                <w:rFonts w:ascii="Calibri Light" w:hAnsi="Calibri Light"/>
                <w:sz w:val="22"/>
                <w:szCs w:val="20"/>
              </w:rPr>
              <w:t> </w:t>
            </w:r>
            <w:r w:rsidRPr="00A45C61">
              <w:rPr>
                <w:rFonts w:ascii="Calibri Light" w:hAnsi="Calibri Light"/>
                <w:sz w:val="22"/>
                <w:szCs w:val="20"/>
              </w:rPr>
              <w:t>provozní evidence a</w:t>
            </w:r>
            <w:r>
              <w:rPr>
                <w:rFonts w:ascii="Calibri Light" w:hAnsi="Calibri Light"/>
                <w:sz w:val="22"/>
                <w:szCs w:val="20"/>
              </w:rPr>
              <w:t> </w:t>
            </w:r>
            <w:r w:rsidRPr="00A45C61">
              <w:rPr>
                <w:rFonts w:ascii="Calibri Light" w:hAnsi="Calibri Light"/>
                <w:sz w:val="22"/>
                <w:szCs w:val="20"/>
              </w:rPr>
              <w:t>v</w:t>
            </w:r>
            <w:r>
              <w:rPr>
                <w:rFonts w:ascii="Calibri Light" w:hAnsi="Calibri Light"/>
                <w:sz w:val="22"/>
                <w:szCs w:val="20"/>
              </w:rPr>
              <w:t> </w:t>
            </w:r>
            <w:r w:rsidRPr="00A45C61">
              <w:rPr>
                <w:rFonts w:ascii="Calibri Light" w:hAnsi="Calibri Light"/>
                <w:sz w:val="22"/>
                <w:szCs w:val="20"/>
              </w:rPr>
              <w:t>databázi povolení k</w:t>
            </w:r>
            <w:r>
              <w:rPr>
                <w:rFonts w:ascii="Calibri Light" w:hAnsi="Calibri Light"/>
                <w:sz w:val="22"/>
                <w:szCs w:val="20"/>
              </w:rPr>
              <w:t> </w:t>
            </w:r>
            <w:r w:rsidRPr="00A45C61">
              <w:rPr>
                <w:rFonts w:ascii="Calibri Light" w:hAnsi="Calibri Light"/>
                <w:sz w:val="22"/>
                <w:szCs w:val="20"/>
              </w:rPr>
              <w:t>provozování neumožňují hloubkovou kontrolu úplnosti databází a</w:t>
            </w:r>
            <w:r>
              <w:rPr>
                <w:rFonts w:ascii="Calibri Light" w:hAnsi="Calibri Light"/>
                <w:sz w:val="22"/>
                <w:szCs w:val="20"/>
              </w:rPr>
              <w:t> </w:t>
            </w:r>
            <w:r w:rsidRPr="00A45C61">
              <w:rPr>
                <w:rFonts w:ascii="Calibri Light" w:hAnsi="Calibri Light"/>
                <w:sz w:val="22"/>
                <w:szCs w:val="20"/>
              </w:rPr>
              <w:t>správnosti údajů v</w:t>
            </w:r>
            <w:r>
              <w:rPr>
                <w:rFonts w:ascii="Calibri Light" w:hAnsi="Calibri Light"/>
                <w:sz w:val="22"/>
                <w:szCs w:val="20"/>
              </w:rPr>
              <w:t> </w:t>
            </w:r>
            <w:r w:rsidRPr="00A45C61">
              <w:rPr>
                <w:rFonts w:ascii="Calibri Light" w:hAnsi="Calibri Light"/>
                <w:sz w:val="22"/>
                <w:szCs w:val="20"/>
              </w:rPr>
              <w:t>nich uváděných.</w:t>
            </w:r>
          </w:p>
          <w:p w14:paraId="069764B5" w14:textId="77777777" w:rsidR="00C34FE5" w:rsidRPr="00013705"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11.</w:t>
            </w:r>
            <w:r w:rsidRPr="00A45C61">
              <w:rPr>
                <w:rFonts w:ascii="Calibri Light" w:hAnsi="Calibri Light"/>
                <w:sz w:val="22"/>
                <w:szCs w:val="20"/>
              </w:rPr>
              <w:tab/>
              <w:t>Nezahrnování veškerých souvisejících ekonomicky oprávněných nákladů v</w:t>
            </w:r>
            <w:r>
              <w:rPr>
                <w:rFonts w:ascii="Calibri Light" w:hAnsi="Calibri Light"/>
                <w:sz w:val="22"/>
                <w:szCs w:val="20"/>
              </w:rPr>
              <w:t> </w:t>
            </w:r>
            <w:r w:rsidRPr="00A45C61">
              <w:rPr>
                <w:rFonts w:ascii="Calibri Light" w:hAnsi="Calibri Light"/>
                <w:sz w:val="22"/>
                <w:szCs w:val="20"/>
              </w:rPr>
              <w:t>plné výši do kalkulace a</w:t>
            </w:r>
            <w:r>
              <w:rPr>
                <w:rFonts w:ascii="Calibri Light" w:hAnsi="Calibri Light"/>
                <w:sz w:val="22"/>
                <w:szCs w:val="20"/>
              </w:rPr>
              <w:t> </w:t>
            </w:r>
            <w:r w:rsidRPr="00A45C61">
              <w:rPr>
                <w:rFonts w:ascii="Calibri Light" w:hAnsi="Calibri Light"/>
                <w:sz w:val="22"/>
                <w:szCs w:val="20"/>
              </w:rPr>
              <w:t>Porovnání zamezuje informovanosti spotřebitele o</w:t>
            </w:r>
            <w:r>
              <w:rPr>
                <w:rFonts w:ascii="Calibri Light" w:hAnsi="Calibri Light"/>
                <w:sz w:val="22"/>
                <w:szCs w:val="20"/>
              </w:rPr>
              <w:t> </w:t>
            </w:r>
            <w:r w:rsidRPr="00A45C61">
              <w:rPr>
                <w:rFonts w:ascii="Calibri Light" w:hAnsi="Calibri Light"/>
                <w:sz w:val="22"/>
                <w:szCs w:val="20"/>
              </w:rPr>
              <w:t>skutečné výši nákladů spojených s</w:t>
            </w:r>
            <w:r>
              <w:rPr>
                <w:rFonts w:ascii="Calibri Light" w:hAnsi="Calibri Light"/>
                <w:sz w:val="22"/>
                <w:szCs w:val="20"/>
              </w:rPr>
              <w:t> </w:t>
            </w:r>
            <w:r w:rsidRPr="00A45C61">
              <w:rPr>
                <w:rFonts w:ascii="Calibri Light" w:hAnsi="Calibri Light"/>
                <w:sz w:val="22"/>
                <w:szCs w:val="20"/>
              </w:rPr>
              <w:t>poskytovanými službami a</w:t>
            </w:r>
            <w:r>
              <w:rPr>
                <w:rFonts w:ascii="Calibri Light" w:hAnsi="Calibri Light"/>
                <w:sz w:val="22"/>
                <w:szCs w:val="20"/>
              </w:rPr>
              <w:t> </w:t>
            </w:r>
            <w:r w:rsidRPr="00A45C61">
              <w:rPr>
                <w:rFonts w:ascii="Calibri Light" w:hAnsi="Calibri Light"/>
                <w:sz w:val="22"/>
                <w:szCs w:val="20"/>
              </w:rPr>
              <w:t>způsobuje snížení vypovídající schopností BM.</w:t>
            </w:r>
          </w:p>
        </w:tc>
      </w:tr>
      <w:tr w:rsidR="00C34FE5" w:rsidRPr="00C62639" w14:paraId="47E5A297" w14:textId="77777777" w:rsidTr="00762B0A">
        <w:trPr>
          <w:jc w:val="center"/>
        </w:trPr>
        <w:tc>
          <w:tcPr>
            <w:tcW w:w="5240" w:type="dxa"/>
            <w:shd w:val="clear" w:color="auto" w:fill="C4BC96"/>
          </w:tcPr>
          <w:p w14:paraId="6D82CBC5" w14:textId="77777777" w:rsidR="00C34FE5" w:rsidRPr="00C62639" w:rsidRDefault="00C34FE5" w:rsidP="00C34FE5">
            <w:pPr>
              <w:spacing w:before="0" w:after="0"/>
              <w:rPr>
                <w:rFonts w:asciiTheme="minorHAnsi" w:hAnsiTheme="minorHAnsi"/>
                <w:bCs/>
                <w:smallCaps/>
                <w:noProof/>
                <w:szCs w:val="20"/>
              </w:rPr>
            </w:pPr>
            <w:r w:rsidRPr="00C62639">
              <w:rPr>
                <w:rFonts w:asciiTheme="minorHAnsi" w:hAnsiTheme="minorHAnsi"/>
                <w:bCs/>
                <w:smallCaps/>
                <w:noProof/>
                <w:szCs w:val="20"/>
              </w:rPr>
              <w:lastRenderedPageBreak/>
              <w:t>Příležitosti</w:t>
            </w:r>
          </w:p>
        </w:tc>
        <w:tc>
          <w:tcPr>
            <w:tcW w:w="5602" w:type="dxa"/>
            <w:shd w:val="clear" w:color="auto" w:fill="C4BC96"/>
          </w:tcPr>
          <w:p w14:paraId="4DD03748" w14:textId="77777777" w:rsidR="00C34FE5" w:rsidRPr="007D2345" w:rsidRDefault="00C34FE5" w:rsidP="00C34FE5">
            <w:pPr>
              <w:spacing w:before="0" w:after="60" w:line="276" w:lineRule="auto"/>
              <w:rPr>
                <w:rFonts w:asciiTheme="majorHAnsi" w:hAnsiTheme="majorHAnsi"/>
                <w:b/>
                <w:smallCaps/>
                <w:noProof/>
                <w:szCs w:val="20"/>
              </w:rPr>
            </w:pPr>
            <w:r w:rsidRPr="007D2345">
              <w:rPr>
                <w:rFonts w:asciiTheme="majorHAnsi" w:hAnsiTheme="majorHAnsi"/>
                <w:smallCaps/>
                <w:noProof/>
                <w:szCs w:val="20"/>
              </w:rPr>
              <w:t>Hrozby</w:t>
            </w:r>
          </w:p>
        </w:tc>
      </w:tr>
      <w:tr w:rsidR="00C34FE5" w:rsidRPr="007D2345" w14:paraId="038EC8B5" w14:textId="77777777" w:rsidTr="00762B0A">
        <w:trPr>
          <w:jc w:val="center"/>
        </w:trPr>
        <w:tc>
          <w:tcPr>
            <w:tcW w:w="5240" w:type="dxa"/>
            <w:shd w:val="clear" w:color="auto" w:fill="FFFFFF"/>
          </w:tcPr>
          <w:p w14:paraId="4F9B681A" w14:textId="77777777" w:rsidR="00C34FE5" w:rsidRPr="00A45C61" w:rsidRDefault="00C34FE5" w:rsidP="00C34FE5">
            <w:pPr>
              <w:pStyle w:val="Odstavecseseznamem"/>
              <w:spacing w:before="0" w:after="60" w:line="276" w:lineRule="auto"/>
              <w:ind w:left="313" w:hanging="313"/>
              <w:rPr>
                <w:rFonts w:ascii="Calibri Light" w:hAnsi="Calibri Light"/>
                <w:b/>
                <w:sz w:val="22"/>
                <w:szCs w:val="20"/>
              </w:rPr>
            </w:pPr>
            <w:r w:rsidRPr="00A45C61">
              <w:rPr>
                <w:rFonts w:ascii="Calibri Light" w:hAnsi="Calibri Light"/>
                <w:sz w:val="22"/>
                <w:szCs w:val="20"/>
              </w:rPr>
              <w:t>1.</w:t>
            </w:r>
            <w:r w:rsidRPr="00A45C61">
              <w:rPr>
                <w:rFonts w:ascii="Calibri Light" w:hAnsi="Calibri Light"/>
                <w:sz w:val="22"/>
                <w:szCs w:val="20"/>
              </w:rPr>
              <w:tab/>
              <w:t>Dosažení sociálně únosné samofinancovatelnosti infrastruktury (splnění EU směrnic, nastavení zodpovědného financování sektoru s</w:t>
            </w:r>
            <w:r>
              <w:rPr>
                <w:rFonts w:ascii="Calibri Light" w:hAnsi="Calibri Light"/>
                <w:sz w:val="22"/>
                <w:szCs w:val="20"/>
              </w:rPr>
              <w:t> </w:t>
            </w:r>
            <w:r w:rsidRPr="00A45C61">
              <w:rPr>
                <w:rFonts w:ascii="Calibri Light" w:hAnsi="Calibri Light"/>
                <w:sz w:val="22"/>
                <w:szCs w:val="20"/>
              </w:rPr>
              <w:t xml:space="preserve">ohledem na nezatěžování dalších generací). </w:t>
            </w:r>
          </w:p>
          <w:p w14:paraId="17F580D8" w14:textId="77777777" w:rsidR="00C34FE5" w:rsidRPr="00A45C61" w:rsidRDefault="00C34FE5" w:rsidP="00C34FE5">
            <w:pPr>
              <w:pStyle w:val="Odstavecseseznamem"/>
              <w:spacing w:before="0" w:after="60" w:line="276" w:lineRule="auto"/>
              <w:ind w:left="313" w:hanging="313"/>
              <w:rPr>
                <w:rFonts w:ascii="Calibri Light" w:hAnsi="Calibri Light"/>
                <w:b/>
                <w:sz w:val="22"/>
                <w:szCs w:val="20"/>
              </w:rPr>
            </w:pPr>
            <w:r w:rsidRPr="00A45C61">
              <w:rPr>
                <w:rFonts w:ascii="Calibri Light" w:hAnsi="Calibri Light"/>
                <w:sz w:val="22"/>
                <w:szCs w:val="20"/>
              </w:rPr>
              <w:t>2.</w:t>
            </w:r>
            <w:r w:rsidRPr="00A45C61">
              <w:rPr>
                <w:rFonts w:ascii="Calibri Light" w:hAnsi="Calibri Light"/>
                <w:sz w:val="22"/>
                <w:szCs w:val="20"/>
              </w:rPr>
              <w:tab/>
              <w:t>Detailnější vypracování podmínek hospodaření s</w:t>
            </w:r>
            <w:r>
              <w:rPr>
                <w:rFonts w:ascii="Calibri Light" w:hAnsi="Calibri Light"/>
                <w:sz w:val="22"/>
                <w:szCs w:val="20"/>
              </w:rPr>
              <w:t> </w:t>
            </w:r>
            <w:r w:rsidRPr="00A45C61">
              <w:rPr>
                <w:rFonts w:ascii="Calibri Light" w:hAnsi="Calibri Light"/>
                <w:sz w:val="22"/>
                <w:szCs w:val="20"/>
              </w:rPr>
              <w:t>prostředky určenými pro PFO.</w:t>
            </w:r>
          </w:p>
          <w:p w14:paraId="405C9850" w14:textId="77777777" w:rsidR="00C34FE5" w:rsidRPr="00A45C61" w:rsidRDefault="00C34FE5" w:rsidP="00C34FE5">
            <w:pPr>
              <w:pStyle w:val="Odstavecseseznamem"/>
              <w:spacing w:before="0" w:after="60" w:line="276" w:lineRule="auto"/>
              <w:ind w:left="313" w:hanging="313"/>
              <w:rPr>
                <w:rFonts w:ascii="Calibri Light" w:hAnsi="Calibri Light"/>
                <w:b/>
                <w:sz w:val="22"/>
                <w:szCs w:val="20"/>
              </w:rPr>
            </w:pPr>
            <w:r w:rsidRPr="00A45C61">
              <w:rPr>
                <w:rFonts w:ascii="Calibri Light" w:hAnsi="Calibri Light"/>
                <w:sz w:val="22"/>
                <w:szCs w:val="20"/>
              </w:rPr>
              <w:t>3.</w:t>
            </w:r>
            <w:r w:rsidRPr="00A45C61">
              <w:rPr>
                <w:rFonts w:ascii="Calibri Light" w:hAnsi="Calibri Light"/>
                <w:sz w:val="22"/>
                <w:szCs w:val="20"/>
              </w:rPr>
              <w:tab/>
              <w:t>Zvýšení informovanosti všech zúčastněných stran sektoru o</w:t>
            </w:r>
            <w:r>
              <w:rPr>
                <w:rFonts w:ascii="Calibri Light" w:hAnsi="Calibri Light"/>
                <w:sz w:val="22"/>
                <w:szCs w:val="20"/>
              </w:rPr>
              <w:t> </w:t>
            </w:r>
            <w:r w:rsidRPr="00A45C61">
              <w:rPr>
                <w:rFonts w:ascii="Calibri Light" w:hAnsi="Calibri Light"/>
                <w:sz w:val="22"/>
                <w:szCs w:val="20"/>
              </w:rPr>
              <w:t>jejich právech a</w:t>
            </w:r>
            <w:r>
              <w:rPr>
                <w:rFonts w:ascii="Calibri Light" w:hAnsi="Calibri Light"/>
                <w:sz w:val="22"/>
                <w:szCs w:val="20"/>
              </w:rPr>
              <w:t> </w:t>
            </w:r>
            <w:r w:rsidRPr="00A45C61">
              <w:rPr>
                <w:rFonts w:ascii="Calibri Light" w:hAnsi="Calibri Light"/>
                <w:sz w:val="22"/>
                <w:szCs w:val="20"/>
              </w:rPr>
              <w:t>povinnostech.</w:t>
            </w:r>
          </w:p>
          <w:p w14:paraId="3B4C1798" w14:textId="77777777" w:rsidR="00C34FE5" w:rsidRPr="00A45C61" w:rsidRDefault="00C34FE5" w:rsidP="00C34FE5">
            <w:pPr>
              <w:pStyle w:val="Odstavecseseznamem"/>
              <w:spacing w:before="0" w:after="60" w:line="276" w:lineRule="auto"/>
              <w:ind w:left="313" w:hanging="313"/>
              <w:rPr>
                <w:rFonts w:ascii="Calibri Light" w:hAnsi="Calibri Light"/>
                <w:b/>
                <w:sz w:val="22"/>
                <w:szCs w:val="20"/>
              </w:rPr>
            </w:pPr>
            <w:r w:rsidRPr="00A45C61">
              <w:rPr>
                <w:rFonts w:ascii="Calibri Light" w:hAnsi="Calibri Light"/>
                <w:sz w:val="22"/>
                <w:szCs w:val="20"/>
              </w:rPr>
              <w:t>4.</w:t>
            </w:r>
            <w:r w:rsidRPr="00A45C61">
              <w:rPr>
                <w:rFonts w:ascii="Calibri Light" w:hAnsi="Calibri Light"/>
                <w:sz w:val="22"/>
                <w:szCs w:val="20"/>
              </w:rPr>
              <w:tab/>
              <w:t>Zavedení pomocných nástrojů pro úpravu vztahu mezi vlastníky a</w:t>
            </w:r>
            <w:r>
              <w:rPr>
                <w:rFonts w:ascii="Calibri Light" w:hAnsi="Calibri Light"/>
                <w:sz w:val="22"/>
                <w:szCs w:val="20"/>
              </w:rPr>
              <w:t> </w:t>
            </w:r>
            <w:r w:rsidRPr="00A45C61">
              <w:rPr>
                <w:rFonts w:ascii="Calibri Light" w:hAnsi="Calibri Light"/>
                <w:sz w:val="22"/>
                <w:szCs w:val="20"/>
              </w:rPr>
              <w:t>provozovateli VIM, zejména doporučené obsahové náležitosti servisní smlouvy a</w:t>
            </w:r>
            <w:r>
              <w:rPr>
                <w:rFonts w:ascii="Calibri Light" w:hAnsi="Calibri Light"/>
                <w:sz w:val="22"/>
                <w:szCs w:val="20"/>
              </w:rPr>
              <w:t> </w:t>
            </w:r>
            <w:r w:rsidRPr="00A45C61">
              <w:rPr>
                <w:rFonts w:ascii="Calibri Light" w:hAnsi="Calibri Light"/>
                <w:sz w:val="22"/>
                <w:szCs w:val="20"/>
              </w:rPr>
              <w:t>smlouvy s</w:t>
            </w:r>
            <w:r>
              <w:rPr>
                <w:rFonts w:ascii="Calibri Light" w:hAnsi="Calibri Light"/>
                <w:sz w:val="22"/>
                <w:szCs w:val="20"/>
              </w:rPr>
              <w:t> </w:t>
            </w:r>
            <w:r w:rsidRPr="00A45C61">
              <w:rPr>
                <w:rFonts w:ascii="Calibri Light" w:hAnsi="Calibri Light"/>
                <w:sz w:val="22"/>
                <w:szCs w:val="20"/>
              </w:rPr>
              <w:t>odborným zástupcem.</w:t>
            </w:r>
          </w:p>
          <w:p w14:paraId="7131F696" w14:textId="77777777" w:rsidR="00C34FE5" w:rsidRPr="00A45C61" w:rsidRDefault="00C34FE5" w:rsidP="00C34FE5">
            <w:pPr>
              <w:pStyle w:val="Odstavecseseznamem"/>
              <w:spacing w:before="0" w:after="60" w:line="276" w:lineRule="auto"/>
              <w:ind w:left="313" w:hanging="313"/>
              <w:rPr>
                <w:rFonts w:ascii="Calibri Light" w:hAnsi="Calibri Light"/>
                <w:b/>
                <w:sz w:val="22"/>
                <w:szCs w:val="20"/>
              </w:rPr>
            </w:pPr>
            <w:r w:rsidRPr="00A45C61">
              <w:rPr>
                <w:rFonts w:ascii="Calibri Light" w:hAnsi="Calibri Light"/>
                <w:sz w:val="22"/>
                <w:szCs w:val="20"/>
              </w:rPr>
              <w:t>5.</w:t>
            </w:r>
            <w:r w:rsidRPr="00A45C61">
              <w:rPr>
                <w:rFonts w:ascii="Calibri Light" w:hAnsi="Calibri Light"/>
                <w:sz w:val="22"/>
                <w:szCs w:val="20"/>
              </w:rPr>
              <w:tab/>
              <w:t>Dosažení cenové úrovně, která by zabezpečila co nejvyšší stupeň samofinancovatelnosti a</w:t>
            </w:r>
            <w:r>
              <w:rPr>
                <w:rFonts w:ascii="Calibri Light" w:hAnsi="Calibri Light"/>
                <w:sz w:val="22"/>
                <w:szCs w:val="20"/>
              </w:rPr>
              <w:t> </w:t>
            </w:r>
            <w:r w:rsidRPr="00A45C61">
              <w:rPr>
                <w:rFonts w:ascii="Calibri Light" w:hAnsi="Calibri Light"/>
                <w:sz w:val="22"/>
                <w:szCs w:val="20"/>
              </w:rPr>
              <w:t>zároveň nepřekročila sociálně únosnou cenu.</w:t>
            </w:r>
          </w:p>
          <w:p w14:paraId="24CDC690" w14:textId="77777777" w:rsidR="00C34FE5" w:rsidRPr="00A45C61" w:rsidRDefault="00C34FE5" w:rsidP="00C34FE5">
            <w:pPr>
              <w:pStyle w:val="Odstavecseseznamem"/>
              <w:spacing w:before="0" w:after="60" w:line="276" w:lineRule="auto"/>
              <w:ind w:left="313" w:hanging="313"/>
              <w:rPr>
                <w:rFonts w:ascii="Calibri Light" w:hAnsi="Calibri Light"/>
                <w:b/>
                <w:sz w:val="22"/>
                <w:szCs w:val="20"/>
              </w:rPr>
            </w:pPr>
            <w:r w:rsidRPr="00A45C61">
              <w:rPr>
                <w:rFonts w:ascii="Calibri Light" w:hAnsi="Calibri Light"/>
                <w:sz w:val="22"/>
                <w:szCs w:val="20"/>
              </w:rPr>
              <w:t>6.</w:t>
            </w:r>
            <w:r w:rsidRPr="00A45C61">
              <w:rPr>
                <w:rFonts w:ascii="Calibri Light" w:hAnsi="Calibri Light"/>
                <w:sz w:val="22"/>
                <w:szCs w:val="20"/>
              </w:rPr>
              <w:tab/>
              <w:t>Větší možnost využívání úspor z</w:t>
            </w:r>
            <w:r>
              <w:rPr>
                <w:rFonts w:ascii="Calibri Light" w:hAnsi="Calibri Light"/>
                <w:sz w:val="22"/>
                <w:szCs w:val="20"/>
              </w:rPr>
              <w:t> </w:t>
            </w:r>
            <w:r w:rsidRPr="00A45C61">
              <w:rPr>
                <w:rFonts w:ascii="Calibri Light" w:hAnsi="Calibri Light"/>
                <w:sz w:val="22"/>
                <w:szCs w:val="20"/>
              </w:rPr>
              <w:t>rozsahu v</w:t>
            </w:r>
            <w:r>
              <w:rPr>
                <w:rFonts w:ascii="Calibri Light" w:hAnsi="Calibri Light"/>
                <w:sz w:val="22"/>
                <w:szCs w:val="20"/>
              </w:rPr>
              <w:t> </w:t>
            </w:r>
            <w:r w:rsidRPr="00A45C61">
              <w:rPr>
                <w:rFonts w:ascii="Calibri Light" w:hAnsi="Calibri Light"/>
                <w:sz w:val="22"/>
                <w:szCs w:val="20"/>
              </w:rPr>
              <w:t>případě snížení atomizace trhu, které by sebou neslo i</w:t>
            </w:r>
            <w:r>
              <w:rPr>
                <w:rFonts w:ascii="Calibri Light" w:hAnsi="Calibri Light"/>
                <w:sz w:val="22"/>
                <w:szCs w:val="20"/>
              </w:rPr>
              <w:t> </w:t>
            </w:r>
            <w:r w:rsidRPr="00A45C61">
              <w:rPr>
                <w:rFonts w:ascii="Calibri Light" w:hAnsi="Calibri Light"/>
                <w:sz w:val="22"/>
                <w:szCs w:val="20"/>
              </w:rPr>
              <w:t>zvýšení odborné úrovně provozování VIM.</w:t>
            </w:r>
          </w:p>
          <w:p w14:paraId="054755B6" w14:textId="77777777" w:rsidR="00C34FE5" w:rsidRPr="00A45C61" w:rsidRDefault="00C34FE5" w:rsidP="00C34FE5">
            <w:pPr>
              <w:pStyle w:val="Odstavecseseznamem"/>
              <w:spacing w:before="0" w:after="60" w:line="276" w:lineRule="auto"/>
              <w:ind w:left="313" w:hanging="313"/>
              <w:rPr>
                <w:rFonts w:ascii="Calibri Light" w:hAnsi="Calibri Light"/>
                <w:b/>
                <w:sz w:val="22"/>
                <w:szCs w:val="20"/>
              </w:rPr>
            </w:pPr>
            <w:r w:rsidRPr="00A45C61">
              <w:rPr>
                <w:rFonts w:ascii="Calibri Light" w:hAnsi="Calibri Light"/>
                <w:sz w:val="22"/>
                <w:szCs w:val="20"/>
              </w:rPr>
              <w:t>7.</w:t>
            </w:r>
            <w:r w:rsidRPr="00A45C61">
              <w:rPr>
                <w:rFonts w:ascii="Calibri Light" w:hAnsi="Calibri Light"/>
                <w:sz w:val="22"/>
                <w:szCs w:val="20"/>
              </w:rPr>
              <w:tab/>
              <w:t>Zvyšování kvality dat, spolupráce se subjekty. Zavedení přesné definice některých termínů např. obnova, oprava, porucha atd.</w:t>
            </w:r>
          </w:p>
          <w:p w14:paraId="7D7B5814" w14:textId="77777777" w:rsidR="00C34FE5"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8.</w:t>
            </w:r>
            <w:r w:rsidRPr="00A45C61">
              <w:rPr>
                <w:rFonts w:ascii="Calibri Light" w:hAnsi="Calibri Light"/>
                <w:sz w:val="22"/>
                <w:szCs w:val="20"/>
              </w:rPr>
              <w:tab/>
              <w:t>Zvyšování informovanosti laické i</w:t>
            </w:r>
            <w:r>
              <w:rPr>
                <w:rFonts w:ascii="Calibri Light" w:hAnsi="Calibri Light"/>
                <w:sz w:val="22"/>
                <w:szCs w:val="20"/>
              </w:rPr>
              <w:t> </w:t>
            </w:r>
            <w:r w:rsidRPr="00A45C61">
              <w:rPr>
                <w:rFonts w:ascii="Calibri Light" w:hAnsi="Calibri Light"/>
                <w:sz w:val="22"/>
                <w:szCs w:val="20"/>
              </w:rPr>
              <w:t>odborné veřejnosti prostřednictvím internetu (online uvádění informací v</w:t>
            </w:r>
            <w:r>
              <w:rPr>
                <w:rFonts w:ascii="Calibri Light" w:hAnsi="Calibri Light"/>
                <w:sz w:val="22"/>
                <w:szCs w:val="20"/>
              </w:rPr>
              <w:t> </w:t>
            </w:r>
            <w:r w:rsidRPr="00A45C61">
              <w:rPr>
                <w:rFonts w:ascii="Calibri Light" w:hAnsi="Calibri Light"/>
                <w:sz w:val="22"/>
                <w:szCs w:val="20"/>
              </w:rPr>
              <w:t>rozsahu přílohy č. 4</w:t>
            </w:r>
            <w:r>
              <w:rPr>
                <w:rFonts w:ascii="Calibri Light" w:hAnsi="Calibri Light"/>
                <w:sz w:val="22"/>
                <w:szCs w:val="20"/>
              </w:rPr>
              <w:t> </w:t>
            </w:r>
            <w:r w:rsidRPr="00A45C61">
              <w:rPr>
                <w:rFonts w:ascii="Calibri Light" w:hAnsi="Calibri Light"/>
                <w:sz w:val="22"/>
                <w:szCs w:val="20"/>
              </w:rPr>
              <w:t xml:space="preserve">návrhu směrnice Evropského </w:t>
            </w:r>
            <w:r w:rsidRPr="00A45C61">
              <w:rPr>
                <w:rFonts w:ascii="Calibri Light" w:hAnsi="Calibri Light"/>
                <w:sz w:val="22"/>
                <w:szCs w:val="20"/>
              </w:rPr>
              <w:lastRenderedPageBreak/>
              <w:t>Parlamentu a</w:t>
            </w:r>
            <w:r>
              <w:rPr>
                <w:rFonts w:ascii="Calibri Light" w:hAnsi="Calibri Light"/>
                <w:sz w:val="22"/>
                <w:szCs w:val="20"/>
              </w:rPr>
              <w:t> </w:t>
            </w:r>
            <w:r w:rsidRPr="00A45C61">
              <w:rPr>
                <w:rFonts w:ascii="Calibri Light" w:hAnsi="Calibri Light"/>
                <w:sz w:val="22"/>
                <w:szCs w:val="20"/>
              </w:rPr>
              <w:t>Rady o</w:t>
            </w:r>
            <w:r>
              <w:rPr>
                <w:rFonts w:ascii="Calibri Light" w:hAnsi="Calibri Light"/>
                <w:sz w:val="22"/>
                <w:szCs w:val="20"/>
              </w:rPr>
              <w:t> </w:t>
            </w:r>
            <w:r w:rsidRPr="00A45C61">
              <w:rPr>
                <w:rFonts w:ascii="Calibri Light" w:hAnsi="Calibri Light"/>
                <w:sz w:val="22"/>
                <w:szCs w:val="20"/>
              </w:rPr>
              <w:t>jakosti vody určené k</w:t>
            </w:r>
            <w:r>
              <w:rPr>
                <w:rFonts w:ascii="Calibri Light" w:hAnsi="Calibri Light"/>
                <w:sz w:val="22"/>
                <w:szCs w:val="20"/>
              </w:rPr>
              <w:t> </w:t>
            </w:r>
            <w:r w:rsidRPr="00A45C61">
              <w:rPr>
                <w:rFonts w:ascii="Calibri Light" w:hAnsi="Calibri Light"/>
                <w:sz w:val="22"/>
                <w:szCs w:val="20"/>
              </w:rPr>
              <w:t>lidské spotřebě. (v</w:t>
            </w:r>
            <w:r>
              <w:rPr>
                <w:rFonts w:ascii="Calibri Light" w:hAnsi="Calibri Light"/>
                <w:sz w:val="22"/>
                <w:szCs w:val="20"/>
              </w:rPr>
              <w:t> </w:t>
            </w:r>
            <w:r w:rsidRPr="00A45C61">
              <w:rPr>
                <w:rFonts w:ascii="Calibri Light" w:hAnsi="Calibri Light"/>
                <w:sz w:val="22"/>
                <w:szCs w:val="20"/>
              </w:rPr>
              <w:t>současnosti v</w:t>
            </w:r>
            <w:r>
              <w:rPr>
                <w:rFonts w:ascii="Calibri Light" w:hAnsi="Calibri Light"/>
                <w:sz w:val="22"/>
                <w:szCs w:val="20"/>
              </w:rPr>
              <w:t> </w:t>
            </w:r>
            <w:r w:rsidRPr="00A45C61">
              <w:rPr>
                <w:rFonts w:ascii="Calibri Light" w:hAnsi="Calibri Light"/>
                <w:sz w:val="22"/>
                <w:szCs w:val="20"/>
              </w:rPr>
              <w:t>legislativním schvalovacím procesu).</w:t>
            </w:r>
          </w:p>
          <w:p w14:paraId="70F72AD6" w14:textId="13BC38E8" w:rsidR="00E8744A" w:rsidRDefault="00E8744A" w:rsidP="00C34FE5">
            <w:pPr>
              <w:pStyle w:val="Odstavecseseznamem"/>
              <w:spacing w:before="0" w:after="60" w:line="276" w:lineRule="auto"/>
              <w:ind w:left="313" w:hanging="313"/>
              <w:rPr>
                <w:rFonts w:ascii="Calibri Light" w:hAnsi="Calibri Light"/>
                <w:sz w:val="22"/>
                <w:szCs w:val="20"/>
              </w:rPr>
            </w:pPr>
            <w:r>
              <w:rPr>
                <w:rFonts w:ascii="Calibri Light" w:hAnsi="Calibri Light"/>
                <w:sz w:val="22"/>
                <w:szCs w:val="20"/>
              </w:rPr>
              <w:t>9.</w:t>
            </w:r>
            <w:r w:rsidR="00BC03D3">
              <w:rPr>
                <w:rFonts w:ascii="Calibri Light" w:hAnsi="Calibri Light"/>
                <w:sz w:val="22"/>
                <w:szCs w:val="20"/>
              </w:rPr>
              <w:t xml:space="preserve"> </w:t>
            </w:r>
            <w:r>
              <w:rPr>
                <w:rFonts w:ascii="Calibri Light" w:hAnsi="Calibri Light"/>
                <w:sz w:val="22"/>
                <w:szCs w:val="20"/>
              </w:rPr>
              <w:t>Je plánováno zavedení nového informačního systému IS VaK, který bude umožňovat vkládání dat přes webové rozhraní.</w:t>
            </w:r>
          </w:p>
          <w:p w14:paraId="1CAFE0F7" w14:textId="77777777" w:rsidR="00E8744A" w:rsidRDefault="00E8744A" w:rsidP="00C34FE5">
            <w:pPr>
              <w:pStyle w:val="Odstavecseseznamem"/>
              <w:spacing w:before="0" w:after="60" w:line="276" w:lineRule="auto"/>
              <w:ind w:left="313" w:hanging="313"/>
              <w:rPr>
                <w:rFonts w:ascii="Calibri Light" w:hAnsi="Calibri Light"/>
                <w:b/>
                <w:sz w:val="22"/>
                <w:szCs w:val="20"/>
              </w:rPr>
            </w:pPr>
          </w:p>
        </w:tc>
        <w:tc>
          <w:tcPr>
            <w:tcW w:w="5602" w:type="dxa"/>
            <w:shd w:val="clear" w:color="auto" w:fill="auto"/>
          </w:tcPr>
          <w:p w14:paraId="22561FE6"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lastRenderedPageBreak/>
              <w:t>1.</w:t>
            </w:r>
            <w:r w:rsidRPr="00A45C61">
              <w:rPr>
                <w:rFonts w:ascii="Calibri Light" w:hAnsi="Calibri Light"/>
                <w:sz w:val="22"/>
                <w:szCs w:val="20"/>
              </w:rPr>
              <w:tab/>
              <w:t>Zhoršující se vodní bilance v</w:t>
            </w:r>
            <w:r>
              <w:rPr>
                <w:rFonts w:ascii="Calibri Light" w:hAnsi="Calibri Light"/>
                <w:sz w:val="22"/>
                <w:szCs w:val="20"/>
              </w:rPr>
              <w:t> </w:t>
            </w:r>
            <w:r w:rsidRPr="00A45C61">
              <w:rPr>
                <w:rFonts w:ascii="Calibri Light" w:hAnsi="Calibri Light"/>
                <w:sz w:val="22"/>
                <w:szCs w:val="20"/>
              </w:rPr>
              <w:t>ČR a</w:t>
            </w:r>
            <w:r>
              <w:rPr>
                <w:rFonts w:ascii="Calibri Light" w:hAnsi="Calibri Light"/>
                <w:sz w:val="22"/>
                <w:szCs w:val="20"/>
              </w:rPr>
              <w:t> </w:t>
            </w:r>
            <w:r w:rsidRPr="00A45C61">
              <w:rPr>
                <w:rFonts w:ascii="Calibri Light" w:hAnsi="Calibri Light"/>
                <w:sz w:val="22"/>
                <w:szCs w:val="20"/>
              </w:rPr>
              <w:t xml:space="preserve">snižující se zásoby vody. </w:t>
            </w:r>
          </w:p>
          <w:p w14:paraId="5D128EEC"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2.</w:t>
            </w:r>
            <w:r w:rsidRPr="00A45C61">
              <w:rPr>
                <w:rFonts w:ascii="Calibri Light" w:hAnsi="Calibri Light"/>
                <w:sz w:val="22"/>
                <w:szCs w:val="20"/>
              </w:rPr>
              <w:tab/>
              <w:t>Neexistence smluv provozně souvisejících vodovodů, které jsou povinností vlastníků VIM danou zákonem o</w:t>
            </w:r>
            <w:r>
              <w:rPr>
                <w:rFonts w:ascii="Calibri Light" w:hAnsi="Calibri Light"/>
                <w:sz w:val="22"/>
                <w:szCs w:val="20"/>
              </w:rPr>
              <w:t> </w:t>
            </w:r>
            <w:r w:rsidRPr="00A45C61">
              <w:rPr>
                <w:rFonts w:ascii="Calibri Light" w:hAnsi="Calibri Light"/>
                <w:sz w:val="22"/>
                <w:szCs w:val="20"/>
              </w:rPr>
              <w:t>vodovodech a</w:t>
            </w:r>
            <w:r>
              <w:rPr>
                <w:rFonts w:ascii="Calibri Light" w:hAnsi="Calibri Light"/>
                <w:sz w:val="22"/>
                <w:szCs w:val="20"/>
              </w:rPr>
              <w:t> </w:t>
            </w:r>
            <w:r w:rsidRPr="00A45C61">
              <w:rPr>
                <w:rFonts w:ascii="Calibri Light" w:hAnsi="Calibri Light"/>
                <w:sz w:val="22"/>
                <w:szCs w:val="20"/>
              </w:rPr>
              <w:t>kanalizacích č. 274/2001 Sb.</w:t>
            </w:r>
          </w:p>
          <w:p w14:paraId="2C01E1CE"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3.</w:t>
            </w:r>
            <w:r w:rsidRPr="00A45C61">
              <w:rPr>
                <w:rFonts w:ascii="Calibri Light" w:hAnsi="Calibri Light"/>
                <w:sz w:val="22"/>
                <w:szCs w:val="20"/>
              </w:rPr>
              <w:tab/>
              <w:t>Nejednotné chápání termínů (obnova, oprava, porucha apod.) a</w:t>
            </w:r>
            <w:r>
              <w:rPr>
                <w:rFonts w:ascii="Calibri Light" w:hAnsi="Calibri Light"/>
                <w:sz w:val="22"/>
                <w:szCs w:val="20"/>
              </w:rPr>
              <w:t> </w:t>
            </w:r>
            <w:r w:rsidRPr="00A45C61">
              <w:rPr>
                <w:rFonts w:ascii="Calibri Light" w:hAnsi="Calibri Light"/>
                <w:sz w:val="22"/>
                <w:szCs w:val="20"/>
              </w:rPr>
              <w:t>nízká úroveň kvality stávajících dat včetně neznalosti některých informací (např. týkajících se stáří a</w:t>
            </w:r>
            <w:r>
              <w:rPr>
                <w:rFonts w:ascii="Calibri Light" w:hAnsi="Calibri Light"/>
                <w:sz w:val="22"/>
                <w:szCs w:val="20"/>
              </w:rPr>
              <w:t> </w:t>
            </w:r>
            <w:r w:rsidRPr="00A45C61">
              <w:rPr>
                <w:rFonts w:ascii="Calibri Light" w:hAnsi="Calibri Light"/>
                <w:sz w:val="22"/>
                <w:szCs w:val="20"/>
              </w:rPr>
              <w:t>opotřebení VIM) mohou zapříčinit chybné rozhodnutí regulátora.</w:t>
            </w:r>
          </w:p>
          <w:p w14:paraId="5F406F28"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4.</w:t>
            </w:r>
            <w:r w:rsidRPr="00A45C61">
              <w:rPr>
                <w:rFonts w:ascii="Calibri Light" w:hAnsi="Calibri Light"/>
                <w:sz w:val="22"/>
                <w:szCs w:val="20"/>
              </w:rPr>
              <w:tab/>
              <w:t>Neexistující legislativní úprava možností využití zisku z</w:t>
            </w:r>
            <w:r>
              <w:rPr>
                <w:rFonts w:ascii="Calibri Light" w:hAnsi="Calibri Light"/>
                <w:sz w:val="22"/>
                <w:szCs w:val="20"/>
              </w:rPr>
              <w:t> </w:t>
            </w:r>
            <w:r w:rsidRPr="00A45C61">
              <w:rPr>
                <w:rFonts w:ascii="Calibri Light" w:hAnsi="Calibri Light"/>
                <w:sz w:val="22"/>
                <w:szCs w:val="20"/>
              </w:rPr>
              <w:t>regulované činnosti a</w:t>
            </w:r>
            <w:r>
              <w:rPr>
                <w:rFonts w:ascii="Calibri Light" w:hAnsi="Calibri Light"/>
                <w:sz w:val="22"/>
                <w:szCs w:val="20"/>
              </w:rPr>
              <w:t> </w:t>
            </w:r>
            <w:r w:rsidRPr="00A45C61">
              <w:rPr>
                <w:rFonts w:ascii="Calibri Light" w:hAnsi="Calibri Light"/>
                <w:sz w:val="22"/>
                <w:szCs w:val="20"/>
              </w:rPr>
              <w:t>přímého omezení možnosti použití zisku plynoucího z</w:t>
            </w:r>
            <w:r>
              <w:rPr>
                <w:rFonts w:ascii="Calibri Light" w:hAnsi="Calibri Light"/>
                <w:sz w:val="22"/>
                <w:szCs w:val="20"/>
              </w:rPr>
              <w:t> </w:t>
            </w:r>
            <w:r w:rsidRPr="00A45C61">
              <w:rPr>
                <w:rFonts w:ascii="Calibri Light" w:hAnsi="Calibri Light"/>
                <w:sz w:val="22"/>
                <w:szCs w:val="20"/>
              </w:rPr>
              <w:t>majetkových podílů vlastníků VIM v</w:t>
            </w:r>
            <w:r>
              <w:rPr>
                <w:rFonts w:ascii="Calibri Light" w:hAnsi="Calibri Light"/>
                <w:sz w:val="22"/>
                <w:szCs w:val="20"/>
              </w:rPr>
              <w:t> </w:t>
            </w:r>
            <w:r w:rsidRPr="00A45C61">
              <w:rPr>
                <w:rFonts w:ascii="Calibri Light" w:hAnsi="Calibri Light"/>
                <w:sz w:val="22"/>
                <w:szCs w:val="20"/>
              </w:rPr>
              <w:t>provozovatelských subjektech (Občanský zákoník a</w:t>
            </w:r>
            <w:r>
              <w:rPr>
                <w:rFonts w:ascii="Calibri Light" w:hAnsi="Calibri Light"/>
                <w:sz w:val="22"/>
                <w:szCs w:val="20"/>
              </w:rPr>
              <w:t> </w:t>
            </w:r>
            <w:r w:rsidRPr="00A45C61">
              <w:rPr>
                <w:rFonts w:ascii="Calibri Light" w:hAnsi="Calibri Light"/>
                <w:sz w:val="22"/>
                <w:szCs w:val="20"/>
              </w:rPr>
              <w:t>zákon o</w:t>
            </w:r>
            <w:r>
              <w:rPr>
                <w:rFonts w:ascii="Calibri Light" w:hAnsi="Calibri Light"/>
                <w:sz w:val="22"/>
                <w:szCs w:val="20"/>
              </w:rPr>
              <w:t> </w:t>
            </w:r>
            <w:r w:rsidRPr="00A45C61">
              <w:rPr>
                <w:rFonts w:ascii="Calibri Light" w:hAnsi="Calibri Light"/>
                <w:sz w:val="22"/>
                <w:szCs w:val="20"/>
              </w:rPr>
              <w:t>obchodních korporacích). Ideální stav - použití zisku z</w:t>
            </w:r>
            <w:r>
              <w:rPr>
                <w:rFonts w:ascii="Calibri Light" w:hAnsi="Calibri Light"/>
                <w:sz w:val="22"/>
                <w:szCs w:val="20"/>
              </w:rPr>
              <w:t> </w:t>
            </w:r>
            <w:r w:rsidRPr="00A45C61">
              <w:rPr>
                <w:rFonts w:ascii="Calibri Light" w:hAnsi="Calibri Light"/>
                <w:sz w:val="22"/>
                <w:szCs w:val="20"/>
              </w:rPr>
              <w:t>regulované činnosti je zákonem účelově vázáno na zabezpečení samofinancovatelnosti VIM.</w:t>
            </w:r>
          </w:p>
          <w:p w14:paraId="45F52AC5"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5.</w:t>
            </w:r>
            <w:r w:rsidRPr="00A45C61">
              <w:rPr>
                <w:rFonts w:ascii="Calibri Light" w:hAnsi="Calibri Light"/>
                <w:sz w:val="22"/>
                <w:szCs w:val="20"/>
              </w:rPr>
              <w:tab/>
              <w:t>Působení dotací EU na cenotvorbu, kdy musí být v</w:t>
            </w:r>
            <w:r>
              <w:rPr>
                <w:rFonts w:ascii="Calibri Light" w:hAnsi="Calibri Light"/>
                <w:sz w:val="22"/>
                <w:szCs w:val="20"/>
              </w:rPr>
              <w:t> </w:t>
            </w:r>
            <w:r w:rsidRPr="00A45C61">
              <w:rPr>
                <w:rFonts w:ascii="Calibri Light" w:hAnsi="Calibri Light"/>
                <w:sz w:val="22"/>
                <w:szCs w:val="20"/>
              </w:rPr>
              <w:t>kalkulaci na určité období použit záporný kalkulační zisk. Dochází k</w:t>
            </w:r>
            <w:r>
              <w:rPr>
                <w:rFonts w:ascii="Calibri Light" w:hAnsi="Calibri Light"/>
                <w:sz w:val="22"/>
                <w:szCs w:val="20"/>
              </w:rPr>
              <w:t> </w:t>
            </w:r>
            <w:r w:rsidRPr="00A45C61">
              <w:rPr>
                <w:rFonts w:ascii="Calibri Light" w:hAnsi="Calibri Light"/>
                <w:sz w:val="22"/>
                <w:szCs w:val="20"/>
              </w:rPr>
              <w:t>deformaci cen pro vodné a</w:t>
            </w:r>
            <w:r>
              <w:rPr>
                <w:rFonts w:ascii="Calibri Light" w:hAnsi="Calibri Light"/>
                <w:sz w:val="22"/>
                <w:szCs w:val="20"/>
              </w:rPr>
              <w:t> </w:t>
            </w:r>
            <w:r w:rsidRPr="00A45C61">
              <w:rPr>
                <w:rFonts w:ascii="Calibri Light" w:hAnsi="Calibri Light"/>
                <w:sz w:val="22"/>
                <w:szCs w:val="20"/>
              </w:rPr>
              <w:t xml:space="preserve">stočné. </w:t>
            </w:r>
          </w:p>
          <w:p w14:paraId="6976AE37"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6.</w:t>
            </w:r>
            <w:r w:rsidRPr="00A45C61">
              <w:rPr>
                <w:rFonts w:ascii="Calibri Light" w:hAnsi="Calibri Light"/>
                <w:sz w:val="22"/>
                <w:szCs w:val="20"/>
              </w:rPr>
              <w:tab/>
              <w:t>Rozdílná pravidla účtování pořízení a</w:t>
            </w:r>
            <w:r>
              <w:rPr>
                <w:rFonts w:ascii="Calibri Light" w:hAnsi="Calibri Light"/>
                <w:sz w:val="22"/>
                <w:szCs w:val="20"/>
              </w:rPr>
              <w:t> </w:t>
            </w:r>
            <w:r w:rsidRPr="00A45C61">
              <w:rPr>
                <w:rFonts w:ascii="Calibri Light" w:hAnsi="Calibri Light"/>
                <w:sz w:val="22"/>
                <w:szCs w:val="20"/>
              </w:rPr>
              <w:t>odepisování dlouhodobého majetku</w:t>
            </w:r>
            <w:r>
              <w:rPr>
                <w:rFonts w:ascii="Calibri Light" w:hAnsi="Calibri Light"/>
                <w:sz w:val="22"/>
                <w:szCs w:val="20"/>
              </w:rPr>
              <w:t xml:space="preserve"> </w:t>
            </w:r>
            <w:r w:rsidRPr="00A45C61">
              <w:rPr>
                <w:rFonts w:ascii="Calibri Light" w:hAnsi="Calibri Light"/>
                <w:sz w:val="22"/>
                <w:szCs w:val="20"/>
              </w:rPr>
              <w:t>pořízeného z</w:t>
            </w:r>
            <w:r>
              <w:rPr>
                <w:rFonts w:ascii="Calibri Light" w:hAnsi="Calibri Light"/>
                <w:sz w:val="22"/>
                <w:szCs w:val="20"/>
              </w:rPr>
              <w:t> </w:t>
            </w:r>
            <w:r w:rsidRPr="00A45C61">
              <w:rPr>
                <w:rFonts w:ascii="Calibri Light" w:hAnsi="Calibri Light"/>
                <w:sz w:val="22"/>
                <w:szCs w:val="20"/>
              </w:rPr>
              <w:t>dotačních prostředků mezi podnikatelskými subjekty</w:t>
            </w:r>
            <w:r>
              <w:rPr>
                <w:rFonts w:ascii="Calibri Light" w:hAnsi="Calibri Light"/>
                <w:sz w:val="22"/>
                <w:szCs w:val="20"/>
              </w:rPr>
              <w:t xml:space="preserve"> </w:t>
            </w:r>
            <w:r w:rsidRPr="00A45C61">
              <w:rPr>
                <w:rFonts w:ascii="Calibri Light" w:hAnsi="Calibri Light"/>
                <w:sz w:val="22"/>
                <w:szCs w:val="20"/>
              </w:rPr>
              <w:t>a</w:t>
            </w:r>
            <w:r>
              <w:rPr>
                <w:rFonts w:ascii="Calibri Light" w:hAnsi="Calibri Light"/>
                <w:sz w:val="22"/>
                <w:szCs w:val="20"/>
              </w:rPr>
              <w:t> </w:t>
            </w:r>
            <w:r w:rsidRPr="00A45C61">
              <w:rPr>
                <w:rFonts w:ascii="Calibri Light" w:hAnsi="Calibri Light"/>
                <w:sz w:val="22"/>
                <w:szCs w:val="20"/>
              </w:rPr>
              <w:t xml:space="preserve">municipalitami, což má za následek nemožnost využití </w:t>
            </w:r>
            <w:r w:rsidRPr="00A45C61">
              <w:rPr>
                <w:rFonts w:ascii="Calibri Light" w:hAnsi="Calibri Light"/>
                <w:sz w:val="22"/>
                <w:szCs w:val="20"/>
              </w:rPr>
              <w:lastRenderedPageBreak/>
              <w:t>informací o</w:t>
            </w:r>
            <w:r>
              <w:rPr>
                <w:rFonts w:ascii="Calibri Light" w:hAnsi="Calibri Light"/>
                <w:sz w:val="22"/>
                <w:szCs w:val="20"/>
              </w:rPr>
              <w:t> </w:t>
            </w:r>
            <w:r w:rsidRPr="00A45C61">
              <w:rPr>
                <w:rFonts w:ascii="Calibri Light" w:hAnsi="Calibri Light"/>
                <w:sz w:val="22"/>
                <w:szCs w:val="20"/>
              </w:rPr>
              <w:t>pořizovací hodnotě majetku z</w:t>
            </w:r>
            <w:r>
              <w:rPr>
                <w:rFonts w:ascii="Calibri Light" w:hAnsi="Calibri Light"/>
                <w:sz w:val="22"/>
                <w:szCs w:val="20"/>
              </w:rPr>
              <w:t> </w:t>
            </w:r>
            <w:r w:rsidRPr="00A45C61">
              <w:rPr>
                <w:rFonts w:ascii="Calibri Light" w:hAnsi="Calibri Light"/>
                <w:sz w:val="22"/>
                <w:szCs w:val="20"/>
              </w:rPr>
              <w:t>účetní evidence.</w:t>
            </w:r>
          </w:p>
          <w:p w14:paraId="09066E58"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7.</w:t>
            </w:r>
            <w:r w:rsidRPr="00A45C61">
              <w:rPr>
                <w:rFonts w:ascii="Calibri Light" w:hAnsi="Calibri Light"/>
                <w:sz w:val="22"/>
                <w:szCs w:val="20"/>
              </w:rPr>
              <w:tab/>
              <w:t>Ustanovení §6</w:t>
            </w:r>
            <w:r>
              <w:rPr>
                <w:rFonts w:ascii="Calibri Light" w:hAnsi="Calibri Light"/>
                <w:sz w:val="22"/>
                <w:szCs w:val="20"/>
              </w:rPr>
              <w:t> </w:t>
            </w:r>
            <w:r w:rsidRPr="00A45C61">
              <w:rPr>
                <w:rFonts w:ascii="Calibri Light" w:hAnsi="Calibri Light"/>
                <w:sz w:val="22"/>
                <w:szCs w:val="20"/>
              </w:rPr>
              <w:t>odst. 6</w:t>
            </w:r>
            <w:r>
              <w:rPr>
                <w:rFonts w:ascii="Calibri Light" w:hAnsi="Calibri Light"/>
                <w:sz w:val="22"/>
                <w:szCs w:val="20"/>
              </w:rPr>
              <w:t> </w:t>
            </w:r>
            <w:r w:rsidRPr="00A45C61">
              <w:rPr>
                <w:rFonts w:ascii="Calibri Light" w:hAnsi="Calibri Light"/>
                <w:sz w:val="22"/>
                <w:szCs w:val="20"/>
              </w:rPr>
              <w:t>zák. č. 274/2001 Sb., umožňující získání povolení k</w:t>
            </w:r>
            <w:r>
              <w:rPr>
                <w:rFonts w:ascii="Calibri Light" w:hAnsi="Calibri Light"/>
                <w:sz w:val="22"/>
                <w:szCs w:val="20"/>
              </w:rPr>
              <w:t> </w:t>
            </w:r>
            <w:r w:rsidRPr="00A45C61">
              <w:rPr>
                <w:rFonts w:ascii="Calibri Light" w:hAnsi="Calibri Light"/>
                <w:sz w:val="22"/>
                <w:szCs w:val="20"/>
              </w:rPr>
              <w:t>provozování bez živnostenského oprávnění pro obce, organizační složky státu nebo sdružením vlastníků vodovodů a</w:t>
            </w:r>
            <w:r>
              <w:rPr>
                <w:rFonts w:ascii="Calibri Light" w:hAnsi="Calibri Light"/>
                <w:sz w:val="22"/>
                <w:szCs w:val="20"/>
              </w:rPr>
              <w:t> </w:t>
            </w:r>
            <w:r w:rsidRPr="00A45C61">
              <w:rPr>
                <w:rFonts w:ascii="Calibri Light" w:hAnsi="Calibri Light"/>
                <w:sz w:val="22"/>
                <w:szCs w:val="20"/>
              </w:rPr>
              <w:t>kanalizací, které jsou právnickými osobami, pokud neprovozují vodovod nebo kanalizaci za účelem dosažení zisku, znemožňuje využití kalkulačního zisku pro generování prostředků na obnovu. Uvedené ustanovení je vlastníky různě chápáno a</w:t>
            </w:r>
            <w:r>
              <w:rPr>
                <w:rFonts w:ascii="Calibri Light" w:hAnsi="Calibri Light"/>
                <w:sz w:val="22"/>
                <w:szCs w:val="20"/>
              </w:rPr>
              <w:t> </w:t>
            </w:r>
            <w:r w:rsidRPr="00A45C61">
              <w:rPr>
                <w:rFonts w:ascii="Calibri Light" w:hAnsi="Calibri Light"/>
                <w:sz w:val="22"/>
                <w:szCs w:val="20"/>
              </w:rPr>
              <w:t>vlastnickým subjektům komplikuje dosažení samofinancovatelnosti VIM (záměr regulátora).</w:t>
            </w:r>
          </w:p>
          <w:p w14:paraId="56C3CAD5" w14:textId="77777777" w:rsidR="00C34FE5" w:rsidRPr="00A45C61"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8.</w:t>
            </w:r>
            <w:r w:rsidRPr="00A45C61">
              <w:rPr>
                <w:rFonts w:ascii="Calibri Light" w:hAnsi="Calibri Light"/>
                <w:sz w:val="22"/>
                <w:szCs w:val="20"/>
              </w:rPr>
              <w:tab/>
              <w:t>Příliš dlouhá doba potřebná k</w:t>
            </w:r>
            <w:r>
              <w:rPr>
                <w:rFonts w:ascii="Calibri Light" w:hAnsi="Calibri Light"/>
                <w:sz w:val="22"/>
                <w:szCs w:val="20"/>
              </w:rPr>
              <w:t> </w:t>
            </w:r>
            <w:r w:rsidRPr="00A45C61">
              <w:rPr>
                <w:rFonts w:ascii="Calibri Light" w:hAnsi="Calibri Light"/>
                <w:sz w:val="22"/>
                <w:szCs w:val="20"/>
              </w:rPr>
              <w:t>dosažení samofinancovatelnosti</w:t>
            </w:r>
            <w:r>
              <w:rPr>
                <w:rFonts w:ascii="Calibri Light" w:hAnsi="Calibri Light"/>
                <w:sz w:val="22"/>
                <w:szCs w:val="20"/>
              </w:rPr>
              <w:t xml:space="preserve"> </w:t>
            </w:r>
            <w:r w:rsidRPr="00A45C61">
              <w:rPr>
                <w:rFonts w:ascii="Calibri Light" w:hAnsi="Calibri Light"/>
                <w:sz w:val="22"/>
                <w:szCs w:val="20"/>
              </w:rPr>
              <w:t>může vést k</w:t>
            </w:r>
            <w:r>
              <w:rPr>
                <w:rFonts w:ascii="Calibri Light" w:hAnsi="Calibri Light"/>
                <w:sz w:val="22"/>
                <w:szCs w:val="20"/>
              </w:rPr>
              <w:t> </w:t>
            </w:r>
            <w:r w:rsidRPr="00A45C61">
              <w:rPr>
                <w:rFonts w:ascii="Calibri Light" w:hAnsi="Calibri Light"/>
                <w:sz w:val="22"/>
                <w:szCs w:val="20"/>
              </w:rPr>
              <w:t>opětovnému tlaku sektoru na dotace (na obnovu) nebo</w:t>
            </w:r>
            <w:r>
              <w:rPr>
                <w:rFonts w:ascii="Calibri Light" w:hAnsi="Calibri Light"/>
                <w:sz w:val="22"/>
                <w:szCs w:val="20"/>
              </w:rPr>
              <w:t xml:space="preserve"> </w:t>
            </w:r>
            <w:r w:rsidRPr="00A45C61">
              <w:rPr>
                <w:rFonts w:ascii="Calibri Light" w:hAnsi="Calibri Light"/>
                <w:sz w:val="22"/>
                <w:szCs w:val="20"/>
              </w:rPr>
              <w:t>ke skokovým nárůstům cen vodného a</w:t>
            </w:r>
            <w:r>
              <w:rPr>
                <w:rFonts w:ascii="Calibri Light" w:hAnsi="Calibri Light"/>
                <w:sz w:val="22"/>
                <w:szCs w:val="20"/>
              </w:rPr>
              <w:t> </w:t>
            </w:r>
            <w:r w:rsidRPr="00A45C61">
              <w:rPr>
                <w:rFonts w:ascii="Calibri Light" w:hAnsi="Calibri Light"/>
                <w:sz w:val="22"/>
                <w:szCs w:val="20"/>
              </w:rPr>
              <w:t>stočného, které mohou být za sociální únosností. Tento postup může znamenat významné ekonomické zatížení budoucích generací, případně snížení kvality služeb.</w:t>
            </w:r>
          </w:p>
          <w:p w14:paraId="3049354E" w14:textId="77777777" w:rsidR="00C34FE5" w:rsidRPr="00013705" w:rsidRDefault="00C34FE5" w:rsidP="00C34FE5">
            <w:pPr>
              <w:pStyle w:val="Odstavecseseznamem"/>
              <w:spacing w:before="0" w:after="60" w:line="276" w:lineRule="auto"/>
              <w:ind w:left="313" w:hanging="313"/>
              <w:rPr>
                <w:rFonts w:ascii="Calibri Light" w:hAnsi="Calibri Light"/>
                <w:sz w:val="22"/>
                <w:szCs w:val="20"/>
              </w:rPr>
            </w:pPr>
            <w:r w:rsidRPr="00A45C61">
              <w:rPr>
                <w:rFonts w:ascii="Calibri Light" w:hAnsi="Calibri Light"/>
                <w:sz w:val="22"/>
                <w:szCs w:val="20"/>
              </w:rPr>
              <w:t>9.</w:t>
            </w:r>
            <w:r w:rsidRPr="00A45C61">
              <w:rPr>
                <w:rFonts w:ascii="Calibri Light" w:hAnsi="Calibri Light"/>
                <w:sz w:val="22"/>
                <w:szCs w:val="20"/>
              </w:rPr>
              <w:tab/>
              <w:t>Neúčelové použití prostředků plánu financování obnovy (jakožto veřejných zdrojů) v</w:t>
            </w:r>
            <w:r>
              <w:rPr>
                <w:rFonts w:ascii="Calibri Light" w:hAnsi="Calibri Light"/>
                <w:sz w:val="22"/>
                <w:szCs w:val="20"/>
              </w:rPr>
              <w:t> </w:t>
            </w:r>
            <w:r w:rsidRPr="00A45C61">
              <w:rPr>
                <w:rFonts w:ascii="Calibri Light" w:hAnsi="Calibri Light"/>
                <w:sz w:val="22"/>
                <w:szCs w:val="20"/>
              </w:rPr>
              <w:t>důsledku neexistence detailních pravidel pro hospodaření s</w:t>
            </w:r>
            <w:r>
              <w:rPr>
                <w:rFonts w:ascii="Calibri Light" w:hAnsi="Calibri Light"/>
                <w:sz w:val="22"/>
                <w:szCs w:val="20"/>
              </w:rPr>
              <w:t> </w:t>
            </w:r>
            <w:r w:rsidRPr="00A45C61">
              <w:rPr>
                <w:rFonts w:ascii="Calibri Light" w:hAnsi="Calibri Light"/>
                <w:sz w:val="22"/>
                <w:szCs w:val="20"/>
              </w:rPr>
              <w:t>nimi.</w:t>
            </w:r>
          </w:p>
        </w:tc>
      </w:tr>
    </w:tbl>
    <w:p w14:paraId="17B6734A" w14:textId="09ED3D93" w:rsidR="00BC03D3" w:rsidRDefault="00BC03D3" w:rsidP="00D94D79">
      <w:pPr>
        <w:rPr>
          <w:rFonts w:asciiTheme="minorHAnsi" w:hAnsiTheme="minorHAnsi"/>
          <w:noProof/>
        </w:rPr>
      </w:pPr>
      <w:r>
        <w:rPr>
          <w:rFonts w:asciiTheme="minorHAnsi" w:hAnsiTheme="minorHAnsi"/>
          <w:noProof/>
        </w:rPr>
        <w:lastRenderedPageBreak/>
        <w:br w:type="page"/>
      </w:r>
    </w:p>
    <w:p w14:paraId="4D71A5D0" w14:textId="5E5ECF98" w:rsidR="007D7C8F" w:rsidRPr="00C62639" w:rsidRDefault="007D7C8F" w:rsidP="0026569A">
      <w:pPr>
        <w:pStyle w:val="Nadpis3"/>
        <w:rPr>
          <w:noProof/>
        </w:rPr>
      </w:pPr>
      <w:bookmarkStart w:id="62" w:name="_Toc474143441"/>
      <w:bookmarkStart w:id="63" w:name="_Toc495564971"/>
      <w:bookmarkStart w:id="64" w:name="_Toc3292017"/>
      <w:r w:rsidRPr="00C62639">
        <w:rPr>
          <w:noProof/>
        </w:rPr>
        <w:lastRenderedPageBreak/>
        <w:t>Závěr, zhodnocení a návrh dalšího postupu</w:t>
      </w:r>
      <w:bookmarkEnd w:id="62"/>
      <w:bookmarkEnd w:id="63"/>
      <w:bookmarkEnd w:id="64"/>
    </w:p>
    <w:p w14:paraId="1BF304CA" w14:textId="77777777" w:rsidR="00C34FE5" w:rsidRPr="007A0798" w:rsidRDefault="00C34FE5" w:rsidP="00C34FE5">
      <w:pPr>
        <w:pStyle w:val="normlntextvodstavcch"/>
        <w:spacing w:line="264" w:lineRule="auto"/>
        <w:rPr>
          <w:i/>
        </w:rPr>
      </w:pPr>
      <w:r w:rsidRPr="007A0798">
        <w:rPr>
          <w:i/>
        </w:rPr>
        <w:t>Výsledky provedené analýzy SWOT a</w:t>
      </w:r>
      <w:r>
        <w:rPr>
          <w:i/>
        </w:rPr>
        <w:t> </w:t>
      </w:r>
      <w:r w:rsidRPr="007A0798">
        <w:rPr>
          <w:i/>
        </w:rPr>
        <w:t>výstupy z</w:t>
      </w:r>
      <w:r>
        <w:rPr>
          <w:i/>
        </w:rPr>
        <w:t> </w:t>
      </w:r>
      <w:r w:rsidRPr="007A0798">
        <w:rPr>
          <w:i/>
        </w:rPr>
        <w:t>benchmarkingu potvrdily a</w:t>
      </w:r>
      <w:r>
        <w:rPr>
          <w:i/>
        </w:rPr>
        <w:t> </w:t>
      </w:r>
      <w:r w:rsidRPr="007A0798">
        <w:rPr>
          <w:i/>
        </w:rPr>
        <w:t>upřesnily závěry, které byly uvedeny ve zprávách z</w:t>
      </w:r>
      <w:r>
        <w:rPr>
          <w:i/>
        </w:rPr>
        <w:t> </w:t>
      </w:r>
      <w:r w:rsidRPr="007A0798">
        <w:rPr>
          <w:i/>
        </w:rPr>
        <w:t xml:space="preserve">benchmarkingu provozovatelských </w:t>
      </w:r>
      <w:r>
        <w:rPr>
          <w:i/>
        </w:rPr>
        <w:t>subjektů za předchozí dva roky.</w:t>
      </w:r>
    </w:p>
    <w:p w14:paraId="550B8642" w14:textId="77777777" w:rsidR="00C34FE5" w:rsidRPr="007A0798" w:rsidRDefault="00C34FE5" w:rsidP="00C34FE5">
      <w:pPr>
        <w:pStyle w:val="normlntextvodstavcch"/>
        <w:spacing w:line="264" w:lineRule="auto"/>
        <w:rPr>
          <w:i/>
        </w:rPr>
      </w:pPr>
      <w:r w:rsidRPr="007A0798">
        <w:rPr>
          <w:i/>
        </w:rPr>
        <w:t>V</w:t>
      </w:r>
      <w:r>
        <w:rPr>
          <w:i/>
        </w:rPr>
        <w:t> </w:t>
      </w:r>
      <w:r w:rsidRPr="007A0798">
        <w:rPr>
          <w:i/>
        </w:rPr>
        <w:t>návaznosti na stanovené záměry regulace (zejména zabezpečení rovnováhy mezi cenou za služby a</w:t>
      </w:r>
      <w:r>
        <w:rPr>
          <w:i/>
        </w:rPr>
        <w:t> </w:t>
      </w:r>
      <w:r w:rsidRPr="007A0798">
        <w:rPr>
          <w:i/>
        </w:rPr>
        <w:t>náklady na poskytování služeb, zajištění dostateční kvality služeb a</w:t>
      </w:r>
      <w:r>
        <w:rPr>
          <w:i/>
        </w:rPr>
        <w:t> </w:t>
      </w:r>
      <w:r w:rsidRPr="007A0798">
        <w:rPr>
          <w:i/>
        </w:rPr>
        <w:t>ochrany životního prostředí) je pro fungování sektoru vodovodů a</w:t>
      </w:r>
      <w:r>
        <w:rPr>
          <w:i/>
        </w:rPr>
        <w:t> </w:t>
      </w:r>
      <w:r w:rsidRPr="007A0798">
        <w:rPr>
          <w:i/>
        </w:rPr>
        <w:t>kanalizací důležité se zabývat následujícími oblastmi:</w:t>
      </w:r>
      <w:r>
        <w:rPr>
          <w:i/>
        </w:rPr>
        <w:t xml:space="preserve"> </w:t>
      </w:r>
      <w:r w:rsidRPr="007A0798">
        <w:rPr>
          <w:i/>
        </w:rPr>
        <w:t>dosažení co nejvyššího stupně samofinancování (ve vztahu k</w:t>
      </w:r>
      <w:r>
        <w:rPr>
          <w:i/>
        </w:rPr>
        <w:t> </w:t>
      </w:r>
      <w:r w:rsidRPr="007A0798">
        <w:rPr>
          <w:i/>
        </w:rPr>
        <w:t>sociální únosnosti ceny), cenotvorba, kondice provozovaného VIM (systematická péče o</w:t>
      </w:r>
      <w:r>
        <w:rPr>
          <w:i/>
        </w:rPr>
        <w:t> </w:t>
      </w:r>
      <w:r w:rsidRPr="007A0798">
        <w:rPr>
          <w:i/>
        </w:rPr>
        <w:t>VIM) a</w:t>
      </w:r>
      <w:r>
        <w:rPr>
          <w:i/>
        </w:rPr>
        <w:t> </w:t>
      </w:r>
      <w:r w:rsidRPr="007A0798">
        <w:rPr>
          <w:i/>
        </w:rPr>
        <w:t>snižování negativn</w:t>
      </w:r>
      <w:r>
        <w:rPr>
          <w:i/>
        </w:rPr>
        <w:t>ích vlivů na životní prostředí.</w:t>
      </w:r>
    </w:p>
    <w:p w14:paraId="362A79C1" w14:textId="1510D820" w:rsidR="00C34FE5" w:rsidRPr="007A0798" w:rsidRDefault="00C34FE5" w:rsidP="00C34FE5">
      <w:pPr>
        <w:pStyle w:val="normlntextvodstavcch"/>
        <w:spacing w:line="264" w:lineRule="auto"/>
        <w:rPr>
          <w:i/>
        </w:rPr>
      </w:pPr>
      <w:r w:rsidRPr="007A0798">
        <w:rPr>
          <w:i/>
        </w:rPr>
        <w:t>O</w:t>
      </w:r>
      <w:r>
        <w:rPr>
          <w:i/>
        </w:rPr>
        <w:t> </w:t>
      </w:r>
      <w:r w:rsidRPr="007A0798">
        <w:rPr>
          <w:i/>
        </w:rPr>
        <w:t xml:space="preserve">dosaženém stupni samofinancovatelnosti vypovídá ukazatel </w:t>
      </w:r>
      <w:r>
        <w:rPr>
          <w:i/>
        </w:rPr>
        <w:t>OKF</w:t>
      </w:r>
      <w:r w:rsidRPr="007A0798">
        <w:rPr>
          <w:i/>
        </w:rPr>
        <w:t>. Pokud je jeho hodnota rovna nebo je vyšší než 1, lze uvažovat, že je zabezpečeno pokrytí souvisejících nákladů a</w:t>
      </w:r>
      <w:r>
        <w:rPr>
          <w:i/>
        </w:rPr>
        <w:t> </w:t>
      </w:r>
      <w:r w:rsidRPr="007A0798">
        <w:rPr>
          <w:i/>
        </w:rPr>
        <w:t>příslušné části výdajů na obnovu VIM pro daný rok z</w:t>
      </w:r>
      <w:r>
        <w:rPr>
          <w:i/>
        </w:rPr>
        <w:t> </w:t>
      </w:r>
      <w:r w:rsidRPr="007A0798">
        <w:rPr>
          <w:i/>
        </w:rPr>
        <w:t>vodného a</w:t>
      </w:r>
      <w:r>
        <w:rPr>
          <w:i/>
        </w:rPr>
        <w:t> </w:t>
      </w:r>
      <w:r w:rsidRPr="007A0798">
        <w:rPr>
          <w:i/>
        </w:rPr>
        <w:t xml:space="preserve">stočného. </w:t>
      </w:r>
      <w:r>
        <w:rPr>
          <w:i/>
        </w:rPr>
        <w:t>OKF</w:t>
      </w:r>
      <w:r w:rsidRPr="007A0798">
        <w:rPr>
          <w:i/>
        </w:rPr>
        <w:t xml:space="preserve"> menší než jedna byl nalezen pouze ve skupinách provozovatelů, kteří poskytují služby méně než 20</w:t>
      </w:r>
      <w:r>
        <w:rPr>
          <w:i/>
        </w:rPr>
        <w:t>0 </w:t>
      </w:r>
      <w:r w:rsidRPr="007A0798">
        <w:rPr>
          <w:i/>
        </w:rPr>
        <w:t>tis. odběratelů. Jedná se o</w:t>
      </w:r>
      <w:r>
        <w:rPr>
          <w:i/>
        </w:rPr>
        <w:t> </w:t>
      </w:r>
      <w:r w:rsidRPr="007A0798">
        <w:rPr>
          <w:i/>
        </w:rPr>
        <w:t>více než 8</w:t>
      </w:r>
      <w:r>
        <w:rPr>
          <w:i/>
        </w:rPr>
        <w:t>0 </w:t>
      </w:r>
      <w:r w:rsidRPr="007A0798">
        <w:rPr>
          <w:i/>
        </w:rPr>
        <w:t>% počtu všech analyzovaných Porovnání. Tento s</w:t>
      </w:r>
      <w:r>
        <w:rPr>
          <w:i/>
        </w:rPr>
        <w:t>tav je výsledkem působení více</w:t>
      </w:r>
      <w:r w:rsidRPr="007A0798">
        <w:rPr>
          <w:i/>
        </w:rPr>
        <w:t xml:space="preserve"> faktorů: atomizace trhu, rozhodnutí vlastníků o</w:t>
      </w:r>
      <w:r>
        <w:rPr>
          <w:i/>
        </w:rPr>
        <w:t> </w:t>
      </w:r>
      <w:r w:rsidRPr="007A0798">
        <w:rPr>
          <w:i/>
        </w:rPr>
        <w:t>dotování ceny, možné překročení úrovně sociální únosnosti ceny. Regulátor by se měl v</w:t>
      </w:r>
      <w:r>
        <w:rPr>
          <w:i/>
        </w:rPr>
        <w:t> </w:t>
      </w:r>
      <w:r w:rsidRPr="007A0798">
        <w:rPr>
          <w:i/>
        </w:rPr>
        <w:t xml:space="preserve">zájmu plnění dlouhodobých záměrů zabývat problematikou nalezení odpovídající (požadované) hodnoty </w:t>
      </w:r>
      <w:r w:rsidR="00625659">
        <w:rPr>
          <w:i/>
        </w:rPr>
        <w:t>OKF</w:t>
      </w:r>
      <w:r w:rsidRPr="007A0798">
        <w:rPr>
          <w:i/>
        </w:rPr>
        <w:t>, a</w:t>
      </w:r>
      <w:r>
        <w:rPr>
          <w:i/>
        </w:rPr>
        <w:t> </w:t>
      </w:r>
      <w:r w:rsidRPr="007A0798">
        <w:rPr>
          <w:i/>
        </w:rPr>
        <w:t>to s</w:t>
      </w:r>
      <w:r>
        <w:rPr>
          <w:i/>
        </w:rPr>
        <w:t> </w:t>
      </w:r>
      <w:r w:rsidRPr="007A0798">
        <w:rPr>
          <w:i/>
        </w:rPr>
        <w:t>přihlédnutím k</w:t>
      </w:r>
      <w:r>
        <w:rPr>
          <w:i/>
        </w:rPr>
        <w:t> </w:t>
      </w:r>
      <w:r w:rsidRPr="007A0798">
        <w:rPr>
          <w:i/>
        </w:rPr>
        <w:t>potřebné výši prostředků obnovy, zachování sociální únosnosti stanovené ceny pro vodné a</w:t>
      </w:r>
      <w:r>
        <w:rPr>
          <w:i/>
        </w:rPr>
        <w:t> </w:t>
      </w:r>
      <w:r w:rsidRPr="007A0798">
        <w:rPr>
          <w:i/>
        </w:rPr>
        <w:t>stočné a</w:t>
      </w:r>
      <w:r>
        <w:rPr>
          <w:i/>
        </w:rPr>
        <w:t> </w:t>
      </w:r>
      <w:r w:rsidRPr="007A0798">
        <w:rPr>
          <w:i/>
        </w:rPr>
        <w:t>také k</w:t>
      </w:r>
      <w:r>
        <w:rPr>
          <w:i/>
        </w:rPr>
        <w:t> </w:t>
      </w:r>
      <w:r w:rsidRPr="007A0798">
        <w:rPr>
          <w:i/>
        </w:rPr>
        <w:t>odpovídající hodnotě podílu zisku k</w:t>
      </w:r>
      <w:r>
        <w:rPr>
          <w:i/>
        </w:rPr>
        <w:t> </w:t>
      </w:r>
      <w:r w:rsidRPr="007A0798">
        <w:rPr>
          <w:i/>
        </w:rPr>
        <w:t xml:space="preserve">rozdělení na </w:t>
      </w:r>
      <w:r w:rsidR="00625659">
        <w:rPr>
          <w:i/>
        </w:rPr>
        <w:t>ÚVN</w:t>
      </w:r>
      <w:r w:rsidRPr="007A0798">
        <w:rPr>
          <w:i/>
        </w:rPr>
        <w:t>. Uvedený postup bude účinný jen za podmínky, že do ceny pro vodné a</w:t>
      </w:r>
      <w:r>
        <w:rPr>
          <w:i/>
        </w:rPr>
        <w:t> </w:t>
      </w:r>
      <w:r w:rsidRPr="007A0798">
        <w:rPr>
          <w:i/>
        </w:rPr>
        <w:t>stočné</w:t>
      </w:r>
      <w:r>
        <w:rPr>
          <w:i/>
        </w:rPr>
        <w:t xml:space="preserve"> </w:t>
      </w:r>
      <w:r w:rsidRPr="007A0798">
        <w:rPr>
          <w:i/>
        </w:rPr>
        <w:t>budou zahrnuty veškeré související ekonomicky oprávněné náklady v</w:t>
      </w:r>
      <w:r>
        <w:rPr>
          <w:i/>
        </w:rPr>
        <w:t> </w:t>
      </w:r>
      <w:r w:rsidRPr="007A0798">
        <w:rPr>
          <w:i/>
        </w:rPr>
        <w:t>plné výši</w:t>
      </w:r>
      <w:r>
        <w:rPr>
          <w:i/>
        </w:rPr>
        <w:t xml:space="preserve"> a tyto náklady budou vykazovány v příslušných hlášeních</w:t>
      </w:r>
      <w:r w:rsidRPr="007A0798">
        <w:rPr>
          <w:i/>
        </w:rPr>
        <w:t>.</w:t>
      </w:r>
    </w:p>
    <w:p w14:paraId="168DAA8C" w14:textId="77777777" w:rsidR="00C34FE5" w:rsidRDefault="00C34FE5" w:rsidP="00C34FE5">
      <w:pPr>
        <w:pStyle w:val="normlntextvodstavcch"/>
        <w:spacing w:line="264" w:lineRule="auto"/>
        <w:rPr>
          <w:i/>
        </w:rPr>
      </w:pPr>
      <w:r w:rsidRPr="007A0798">
        <w:rPr>
          <w:i/>
        </w:rPr>
        <w:t xml:space="preserve">Přestože sektor </w:t>
      </w:r>
      <w:r>
        <w:rPr>
          <w:i/>
        </w:rPr>
        <w:t>jako celek</w:t>
      </w:r>
      <w:r w:rsidRPr="007A0798">
        <w:rPr>
          <w:i/>
        </w:rPr>
        <w:t xml:space="preserve"> dosahuje uspokojivé</w:t>
      </w:r>
      <w:r>
        <w:rPr>
          <w:i/>
        </w:rPr>
        <w:t>ho</w:t>
      </w:r>
      <w:r w:rsidRPr="007A0798">
        <w:rPr>
          <w:i/>
        </w:rPr>
        <w:t xml:space="preserve"> množství vody nefakturované na 1</w:t>
      </w:r>
      <w:r>
        <w:rPr>
          <w:i/>
        </w:rPr>
        <w:t> </w:t>
      </w:r>
      <w:r w:rsidRPr="007A0798">
        <w:rPr>
          <w:i/>
        </w:rPr>
        <w:t>km přepočtené délky a</w:t>
      </w:r>
      <w:r>
        <w:rPr>
          <w:i/>
        </w:rPr>
        <w:t> </w:t>
      </w:r>
      <w:r w:rsidRPr="007A0798">
        <w:rPr>
          <w:i/>
        </w:rPr>
        <w:t>den i</w:t>
      </w:r>
      <w:r>
        <w:rPr>
          <w:i/>
        </w:rPr>
        <w:t> </w:t>
      </w:r>
      <w:r w:rsidRPr="007A0798">
        <w:rPr>
          <w:i/>
        </w:rPr>
        <w:t>ztrát pitné vody v</w:t>
      </w:r>
      <w:r>
        <w:rPr>
          <w:i/>
        </w:rPr>
        <w:t> </w:t>
      </w:r>
      <w:r w:rsidRPr="007A0798">
        <w:rPr>
          <w:i/>
        </w:rPr>
        <w:t>trubní síti, v</w:t>
      </w:r>
      <w:r>
        <w:rPr>
          <w:i/>
        </w:rPr>
        <w:t> </w:t>
      </w:r>
      <w:r w:rsidRPr="007A0798">
        <w:rPr>
          <w:i/>
        </w:rPr>
        <w:t>jednotlivých skupinách se naopak vyskytují Porovnání, u</w:t>
      </w:r>
      <w:r>
        <w:rPr>
          <w:i/>
        </w:rPr>
        <w:t> </w:t>
      </w:r>
      <w:r w:rsidRPr="007A0798">
        <w:rPr>
          <w:i/>
        </w:rPr>
        <w:t>kterých je hodnota uvedených ukazatelů vysoká v</w:t>
      </w:r>
      <w:r>
        <w:rPr>
          <w:i/>
        </w:rPr>
        <w:t> </w:t>
      </w:r>
      <w:r w:rsidRPr="007A0798">
        <w:rPr>
          <w:i/>
        </w:rPr>
        <w:t>porovnání s</w:t>
      </w:r>
      <w:r>
        <w:rPr>
          <w:i/>
        </w:rPr>
        <w:t> </w:t>
      </w:r>
      <w:r w:rsidRPr="007A0798">
        <w:rPr>
          <w:i/>
        </w:rPr>
        <w:t>ostatními Porovnáními ve skupině. Snižování hodnoty nefakturované vody a</w:t>
      </w:r>
      <w:r>
        <w:rPr>
          <w:i/>
        </w:rPr>
        <w:t> </w:t>
      </w:r>
      <w:r w:rsidRPr="007A0798">
        <w:rPr>
          <w:i/>
        </w:rPr>
        <w:t>ztrát vody má kladný vliv na snižování zátěže vodních zdrojů zejména v</w:t>
      </w:r>
      <w:r>
        <w:rPr>
          <w:i/>
        </w:rPr>
        <w:t> </w:t>
      </w:r>
      <w:r w:rsidRPr="007A0798">
        <w:rPr>
          <w:i/>
        </w:rPr>
        <w:t>období sucha, na zlepšení služeb a</w:t>
      </w:r>
      <w:r>
        <w:rPr>
          <w:i/>
        </w:rPr>
        <w:t> </w:t>
      </w:r>
      <w:r w:rsidRPr="007A0798">
        <w:rPr>
          <w:i/>
        </w:rPr>
        <w:t>prodloužení životnosti VIM. Druhou stránkou problému je jeho ekonomická náročnost. Proto by se regulace měla zabývat možností stanovení hraničního množství nefakturované pitné vody, případně ztrát pitné vody, které již signalizuje neuspokojivý stav VIM. Tímto způsobem by regulátor vytvořil tlak na realizaci pravidelné údržby a</w:t>
      </w:r>
      <w:r>
        <w:rPr>
          <w:i/>
        </w:rPr>
        <w:t> </w:t>
      </w:r>
      <w:r w:rsidRPr="007A0798">
        <w:rPr>
          <w:i/>
        </w:rPr>
        <w:t>plánovaných oprav provozovaného VIM i</w:t>
      </w:r>
      <w:r>
        <w:rPr>
          <w:i/>
        </w:rPr>
        <w:t> </w:t>
      </w:r>
      <w:r w:rsidRPr="007A0798">
        <w:rPr>
          <w:i/>
        </w:rPr>
        <w:t>u</w:t>
      </w:r>
      <w:r>
        <w:rPr>
          <w:i/>
        </w:rPr>
        <w:t> </w:t>
      </w:r>
      <w:r w:rsidRPr="007A0798">
        <w:rPr>
          <w:i/>
        </w:rPr>
        <w:t>těch provozovatelů, kteří je dosud opomíjeli.</w:t>
      </w:r>
      <w:r>
        <w:rPr>
          <w:i/>
        </w:rPr>
        <w:t xml:space="preserve"> Vliv na vykazování nefakturované vody má i skutečnost, že jako nefakturovaná voda je často vykazována voda, která byla spotřebovaná v provozech nesouvisejících s výrobou a distribucí pitné vody (zejména u tzv. areálových vodovodů). Zde je nutné jednoznačně definovat pravidla vykazování bilančních údajů ve VÚPE a fakturované vody v Porovnání. </w:t>
      </w:r>
    </w:p>
    <w:p w14:paraId="296178CB" w14:textId="4334F705" w:rsidR="005219C0" w:rsidRDefault="005219C0" w:rsidP="00C34FE5">
      <w:pPr>
        <w:pStyle w:val="normlntextvodstavcch"/>
        <w:spacing w:line="264" w:lineRule="auto"/>
        <w:rPr>
          <w:i/>
        </w:rPr>
      </w:pPr>
      <w:r>
        <w:rPr>
          <w:i/>
        </w:rPr>
        <w:t xml:space="preserve">Vzhledem k významnému </w:t>
      </w:r>
      <w:r w:rsidR="00F53C64">
        <w:rPr>
          <w:i/>
        </w:rPr>
        <w:t>podílu vlastníků využívajících</w:t>
      </w:r>
      <w:r w:rsidR="00536B81">
        <w:rPr>
          <w:i/>
        </w:rPr>
        <w:t xml:space="preserve"> servisní</w:t>
      </w:r>
      <w:r w:rsidR="00584125">
        <w:rPr>
          <w:i/>
        </w:rPr>
        <w:t xml:space="preserve"> smlouvy</w:t>
      </w:r>
      <w:r>
        <w:rPr>
          <w:i/>
        </w:rPr>
        <w:t xml:space="preserve"> je třeba</w:t>
      </w:r>
      <w:r w:rsidR="00BC03D3">
        <w:rPr>
          <w:i/>
        </w:rPr>
        <w:t xml:space="preserve"> </w:t>
      </w:r>
      <w:r w:rsidR="00F53C64">
        <w:rPr>
          <w:i/>
        </w:rPr>
        <w:t xml:space="preserve">zaměřit </w:t>
      </w:r>
      <w:r w:rsidR="00536B81">
        <w:rPr>
          <w:i/>
        </w:rPr>
        <w:t xml:space="preserve">provozovatelský benchmarking také </w:t>
      </w:r>
      <w:r w:rsidR="00F53C64">
        <w:rPr>
          <w:i/>
        </w:rPr>
        <w:t>na sledování výše nákladové položky 5.2. Ostatní</w:t>
      </w:r>
      <w:r>
        <w:rPr>
          <w:i/>
        </w:rPr>
        <w:t xml:space="preserve"> </w:t>
      </w:r>
      <w:r w:rsidR="00F53C64">
        <w:rPr>
          <w:i/>
        </w:rPr>
        <w:t xml:space="preserve">náklady externí v cenových </w:t>
      </w:r>
      <w:r w:rsidR="00536B81">
        <w:rPr>
          <w:i/>
        </w:rPr>
        <w:t>kalkulacích a jejího</w:t>
      </w:r>
      <w:r w:rsidR="00F53C64">
        <w:rPr>
          <w:i/>
        </w:rPr>
        <w:t xml:space="preserve"> podílu na ÚVN. Protože není známa nákladová struktura </w:t>
      </w:r>
      <w:r w:rsidR="00536B81">
        <w:rPr>
          <w:i/>
        </w:rPr>
        <w:lastRenderedPageBreak/>
        <w:t xml:space="preserve">ceny </w:t>
      </w:r>
      <w:r w:rsidR="00584125">
        <w:rPr>
          <w:i/>
        </w:rPr>
        <w:t xml:space="preserve">za poskytování servisních služeb </w:t>
      </w:r>
      <w:r w:rsidR="00536B81">
        <w:rPr>
          <w:i/>
        </w:rPr>
        <w:t>a</w:t>
      </w:r>
      <w:r w:rsidR="00584125">
        <w:rPr>
          <w:i/>
        </w:rPr>
        <w:t>ni</w:t>
      </w:r>
      <w:r w:rsidR="00F53C64">
        <w:rPr>
          <w:i/>
        </w:rPr>
        <w:t xml:space="preserve"> vel</w:t>
      </w:r>
      <w:r w:rsidR="00536B81">
        <w:rPr>
          <w:i/>
        </w:rPr>
        <w:t>i</w:t>
      </w:r>
      <w:r w:rsidR="00F53C64">
        <w:rPr>
          <w:i/>
        </w:rPr>
        <w:t xml:space="preserve">kost zisku plynoucího </w:t>
      </w:r>
      <w:r w:rsidR="00584125">
        <w:rPr>
          <w:i/>
        </w:rPr>
        <w:t>jejich</w:t>
      </w:r>
      <w:r w:rsidR="00F53C64">
        <w:rPr>
          <w:i/>
        </w:rPr>
        <w:t> poskytov</w:t>
      </w:r>
      <w:r w:rsidR="00536B81">
        <w:rPr>
          <w:i/>
        </w:rPr>
        <w:t>ateli</w:t>
      </w:r>
      <w:r w:rsidR="00584125">
        <w:rPr>
          <w:i/>
        </w:rPr>
        <w:t xml:space="preserve">, </w:t>
      </w:r>
      <w:r w:rsidR="00536B81">
        <w:rPr>
          <w:i/>
        </w:rPr>
        <w:t xml:space="preserve">bylo by vhodné rozšířit pravidla </w:t>
      </w:r>
      <w:r w:rsidR="00584125">
        <w:rPr>
          <w:i/>
        </w:rPr>
        <w:t>MF pro věcné</w:t>
      </w:r>
      <w:r w:rsidR="00536B81">
        <w:rPr>
          <w:i/>
        </w:rPr>
        <w:t xml:space="preserve"> usměrňování ceny na tyto služby.</w:t>
      </w:r>
      <w:r w:rsidR="00584125">
        <w:rPr>
          <w:i/>
        </w:rPr>
        <w:t xml:space="preserve"> </w:t>
      </w:r>
    </w:p>
    <w:p w14:paraId="53D470A2" w14:textId="7DB569C9" w:rsidR="00C34FE5" w:rsidRPr="007A0798" w:rsidRDefault="005219C0" w:rsidP="00C34FE5">
      <w:pPr>
        <w:pStyle w:val="normlntextvodstavcch"/>
        <w:spacing w:line="264" w:lineRule="auto"/>
        <w:rPr>
          <w:i/>
        </w:rPr>
      </w:pPr>
      <w:r>
        <w:rPr>
          <w:i/>
        </w:rPr>
        <w:t>Mimo výše uvedená doporučení</w:t>
      </w:r>
      <w:r w:rsidR="00C34FE5" w:rsidRPr="007A0798">
        <w:rPr>
          <w:i/>
        </w:rPr>
        <w:t xml:space="preserve"> je nutné dále pokračovat v</w:t>
      </w:r>
      <w:r w:rsidR="00C34FE5">
        <w:rPr>
          <w:i/>
        </w:rPr>
        <w:t> </w:t>
      </w:r>
      <w:r w:rsidR="00C34FE5" w:rsidRPr="007A0798">
        <w:rPr>
          <w:i/>
        </w:rPr>
        <w:t>komunikaci se zpracovateli jednotlivých hlášení s</w:t>
      </w:r>
      <w:r w:rsidR="00C34FE5">
        <w:rPr>
          <w:i/>
        </w:rPr>
        <w:t> </w:t>
      </w:r>
      <w:r w:rsidR="00C34FE5" w:rsidRPr="007A0798">
        <w:rPr>
          <w:i/>
        </w:rPr>
        <w:t>cílem vyjasnění obsahové nápln</w:t>
      </w:r>
      <w:r w:rsidR="00C34FE5">
        <w:rPr>
          <w:i/>
        </w:rPr>
        <w:t>ě některých vykazovaných údajů.</w:t>
      </w:r>
    </w:p>
    <w:p w14:paraId="17F1E466" w14:textId="77777777" w:rsidR="00C34FE5" w:rsidRPr="007A0798" w:rsidRDefault="00C34FE5" w:rsidP="00C34FE5">
      <w:pPr>
        <w:pStyle w:val="normlntextvodstavcch"/>
        <w:spacing w:line="264" w:lineRule="auto"/>
        <w:rPr>
          <w:i/>
        </w:rPr>
      </w:pPr>
      <w:r w:rsidRPr="007A0798">
        <w:rPr>
          <w:i/>
        </w:rPr>
        <w:t>MZe spustilo v</w:t>
      </w:r>
      <w:r>
        <w:rPr>
          <w:i/>
        </w:rPr>
        <w:t> </w:t>
      </w:r>
      <w:r w:rsidRPr="007A0798">
        <w:rPr>
          <w:i/>
        </w:rPr>
        <w:t>roce 2018 webovou aplikaci zabezpečující zvýšení informovanosti odběratelů, vlastníků a</w:t>
      </w:r>
      <w:r>
        <w:rPr>
          <w:i/>
        </w:rPr>
        <w:t> </w:t>
      </w:r>
      <w:r w:rsidRPr="007A0798">
        <w:rPr>
          <w:i/>
        </w:rPr>
        <w:t>provozovatelů o</w:t>
      </w:r>
      <w:r>
        <w:rPr>
          <w:i/>
        </w:rPr>
        <w:t> </w:t>
      </w:r>
      <w:r w:rsidRPr="007A0798">
        <w:rPr>
          <w:i/>
        </w:rPr>
        <w:t>nákladové struktuře ceny pro vodné a</w:t>
      </w:r>
      <w:r>
        <w:rPr>
          <w:i/>
        </w:rPr>
        <w:t> </w:t>
      </w:r>
      <w:r w:rsidRPr="007A0798">
        <w:rPr>
          <w:i/>
        </w:rPr>
        <w:t>stočné. Spolu s</w:t>
      </w:r>
      <w:r>
        <w:rPr>
          <w:i/>
        </w:rPr>
        <w:t> </w:t>
      </w:r>
      <w:r w:rsidRPr="007A0798">
        <w:rPr>
          <w:i/>
        </w:rPr>
        <w:t>informacemi o</w:t>
      </w:r>
      <w:r>
        <w:rPr>
          <w:i/>
        </w:rPr>
        <w:t> </w:t>
      </w:r>
      <w:r w:rsidRPr="007A0798">
        <w:rPr>
          <w:i/>
        </w:rPr>
        <w:t>cenách jsou zde zveřejněny vybrané informace z</w:t>
      </w:r>
      <w:r>
        <w:rPr>
          <w:i/>
        </w:rPr>
        <w:t> </w:t>
      </w:r>
      <w:r w:rsidRPr="007A0798">
        <w:rPr>
          <w:i/>
        </w:rPr>
        <w:t>Porovnání zahrnutých do benchmarkingu a</w:t>
      </w:r>
      <w:r>
        <w:rPr>
          <w:i/>
        </w:rPr>
        <w:t> </w:t>
      </w:r>
      <w:r w:rsidRPr="007A0798">
        <w:rPr>
          <w:i/>
        </w:rPr>
        <w:t>s</w:t>
      </w:r>
      <w:r>
        <w:rPr>
          <w:i/>
        </w:rPr>
        <w:t> </w:t>
      </w:r>
      <w:r w:rsidRPr="007A0798">
        <w:rPr>
          <w:i/>
        </w:rPr>
        <w:t>nimi souvisejících VÚME a</w:t>
      </w:r>
      <w:r>
        <w:rPr>
          <w:i/>
        </w:rPr>
        <w:t> </w:t>
      </w:r>
      <w:r w:rsidRPr="007A0798">
        <w:rPr>
          <w:i/>
        </w:rPr>
        <w:t>VÚPE. Aplikace může poskytnout další prostor pro interaktivní zpřístupnění výsledků benchmarkingových projektů pro pot</w:t>
      </w:r>
      <w:r>
        <w:rPr>
          <w:i/>
        </w:rPr>
        <w:t>řeby vlastníků a provozovatelů.</w:t>
      </w:r>
    </w:p>
    <w:p w14:paraId="35D3E5F6" w14:textId="77777777" w:rsidR="00C34FE5" w:rsidRPr="007A0798" w:rsidRDefault="00C34FE5" w:rsidP="00C34FE5">
      <w:pPr>
        <w:pStyle w:val="normlntextvodstavcch"/>
        <w:spacing w:line="264" w:lineRule="auto"/>
        <w:rPr>
          <w:i/>
        </w:rPr>
      </w:pPr>
      <w:r w:rsidRPr="007A0798">
        <w:rPr>
          <w:i/>
        </w:rPr>
        <w:t>Dále by se měla rozvíjet platforma, která by s</w:t>
      </w:r>
      <w:r>
        <w:rPr>
          <w:i/>
        </w:rPr>
        <w:t> </w:t>
      </w:r>
      <w:r w:rsidRPr="007A0798">
        <w:rPr>
          <w:i/>
        </w:rPr>
        <w:t>jednotlivými účastníky regulace projednávala zjištění analýz, zprostředkovávala zpětnou vazbu, umožňovala diskusi o</w:t>
      </w:r>
      <w:r>
        <w:rPr>
          <w:i/>
        </w:rPr>
        <w:t> </w:t>
      </w:r>
      <w:r w:rsidRPr="007A0798">
        <w:rPr>
          <w:i/>
        </w:rPr>
        <w:t>plánovaných změnách regulace (zejména legislativního rámce upravujícího fungování oboru) a</w:t>
      </w:r>
      <w:r>
        <w:rPr>
          <w:i/>
        </w:rPr>
        <w:t> </w:t>
      </w:r>
      <w:r w:rsidRPr="007A0798">
        <w:rPr>
          <w:i/>
        </w:rPr>
        <w:t>o</w:t>
      </w:r>
      <w:r>
        <w:rPr>
          <w:i/>
        </w:rPr>
        <w:t> </w:t>
      </w:r>
      <w:r w:rsidRPr="007A0798">
        <w:rPr>
          <w:i/>
        </w:rPr>
        <w:t>dalším možném vývoji, který by zabezpečil plnění s</w:t>
      </w:r>
      <w:r>
        <w:rPr>
          <w:i/>
        </w:rPr>
        <w:t>tanovených dlouhodobých záměrů.</w:t>
      </w:r>
    </w:p>
    <w:p w14:paraId="1D29DE18" w14:textId="77777777" w:rsidR="004E7AA0" w:rsidRPr="00C62639" w:rsidRDefault="00C34FE5" w:rsidP="00C34FE5">
      <w:pPr>
        <w:pStyle w:val="NORMLN0"/>
        <w:spacing w:line="264" w:lineRule="auto"/>
        <w:ind w:firstLine="284"/>
        <w:rPr>
          <w:rFonts w:asciiTheme="minorHAnsi" w:hAnsiTheme="minorHAnsi"/>
          <w:i/>
          <w:noProof/>
        </w:rPr>
      </w:pPr>
      <w:r w:rsidRPr="007A0798">
        <w:rPr>
          <w:i/>
        </w:rPr>
        <w:t>Závěrem je nutné upozornit, že v</w:t>
      </w:r>
      <w:r>
        <w:rPr>
          <w:i/>
        </w:rPr>
        <w:t> </w:t>
      </w:r>
      <w:r w:rsidRPr="007A0798">
        <w:rPr>
          <w:i/>
        </w:rPr>
        <w:t>zájmu zvýšení vypovídací schopnosti výsledků benchmarkingu, které jsou podkladem pro rozhodovací proces regulátora, a</w:t>
      </w:r>
      <w:r>
        <w:rPr>
          <w:i/>
        </w:rPr>
        <w:t> </w:t>
      </w:r>
      <w:r w:rsidRPr="007A0798">
        <w:rPr>
          <w:i/>
        </w:rPr>
        <w:t>v</w:t>
      </w:r>
      <w:r>
        <w:rPr>
          <w:i/>
        </w:rPr>
        <w:t> </w:t>
      </w:r>
      <w:r w:rsidRPr="007A0798">
        <w:rPr>
          <w:i/>
        </w:rPr>
        <w:t>zájmu zlepšení informovanosti odběratele o</w:t>
      </w:r>
      <w:r>
        <w:rPr>
          <w:i/>
        </w:rPr>
        <w:t> </w:t>
      </w:r>
      <w:r w:rsidRPr="007A0798">
        <w:rPr>
          <w:i/>
        </w:rPr>
        <w:t>skutečné ceně služeb, by mělo MZe zpřísnit dohled nad plněním ustanovení §35a, odst. 7, vyhlášky č. 428/2001 Sb., tj. započítat (resp.</w:t>
      </w:r>
      <w:r>
        <w:rPr>
          <w:i/>
        </w:rPr>
        <w:t xml:space="preserve"> </w:t>
      </w:r>
      <w:r w:rsidRPr="007A0798">
        <w:rPr>
          <w:i/>
        </w:rPr>
        <w:t>uvést) všechny skutečné náklady související s</w:t>
      </w:r>
      <w:r>
        <w:rPr>
          <w:i/>
        </w:rPr>
        <w:t> </w:t>
      </w:r>
      <w:r w:rsidRPr="007A0798">
        <w:rPr>
          <w:i/>
        </w:rPr>
        <w:t>poskytováním regulovaných služeb v</w:t>
      </w:r>
      <w:r>
        <w:rPr>
          <w:i/>
        </w:rPr>
        <w:t> </w:t>
      </w:r>
      <w:r w:rsidRPr="007A0798">
        <w:rPr>
          <w:i/>
        </w:rPr>
        <w:t>oboru vodovodů a</w:t>
      </w:r>
      <w:r>
        <w:rPr>
          <w:i/>
        </w:rPr>
        <w:t> </w:t>
      </w:r>
      <w:r w:rsidRPr="007A0798">
        <w:rPr>
          <w:i/>
        </w:rPr>
        <w:t>kanalizací do ceny pro vodné a</w:t>
      </w:r>
      <w:r>
        <w:rPr>
          <w:i/>
        </w:rPr>
        <w:t> </w:t>
      </w:r>
      <w:r w:rsidRPr="007A0798">
        <w:rPr>
          <w:i/>
        </w:rPr>
        <w:t xml:space="preserve">pro stočné. Jinak bude muset regulátor respektovat fakt, že neúplné informace snižují relevantnost </w:t>
      </w:r>
      <w:r>
        <w:rPr>
          <w:i/>
        </w:rPr>
        <w:t>výstupů benchmarkingu a snižují</w:t>
      </w:r>
      <w:r w:rsidRPr="007A0798">
        <w:rPr>
          <w:i/>
        </w:rPr>
        <w:t xml:space="preserve"> tak efektivnost a</w:t>
      </w:r>
      <w:r>
        <w:rPr>
          <w:i/>
        </w:rPr>
        <w:t> </w:t>
      </w:r>
      <w:r w:rsidRPr="007A0798">
        <w:rPr>
          <w:i/>
        </w:rPr>
        <w:t>účinnost jeho rozhodnutí.</w:t>
      </w:r>
    </w:p>
    <w:p w14:paraId="6A39FC62" w14:textId="77777777" w:rsidR="00A91BF5" w:rsidRDefault="00A91BF5">
      <w:pPr>
        <w:spacing w:before="0" w:after="0"/>
        <w:contextualSpacing w:val="0"/>
        <w:jc w:val="left"/>
        <w:rPr>
          <w:rFonts w:asciiTheme="minorHAnsi" w:eastAsia="Times New Roman" w:hAnsiTheme="minorHAnsi"/>
          <w:noProof/>
          <w:color w:val="365F91"/>
          <w:sz w:val="32"/>
          <w:szCs w:val="32"/>
        </w:rPr>
      </w:pPr>
      <w:r>
        <w:rPr>
          <w:rFonts w:asciiTheme="minorHAnsi" w:hAnsiTheme="minorHAnsi"/>
          <w:noProof/>
        </w:rPr>
        <w:br w:type="page"/>
      </w:r>
    </w:p>
    <w:p w14:paraId="4D94283F" w14:textId="77777777" w:rsidR="00656165" w:rsidRPr="00544989" w:rsidRDefault="00F958DD" w:rsidP="00F958DD">
      <w:pPr>
        <w:pStyle w:val="Nadpis1"/>
        <w:rPr>
          <w:rFonts w:asciiTheme="minorHAnsi" w:hAnsiTheme="minorHAnsi"/>
          <w:noProof/>
        </w:rPr>
      </w:pPr>
      <w:bookmarkStart w:id="65" w:name="_Toc3292018"/>
      <w:r w:rsidRPr="00544989">
        <w:rPr>
          <w:rFonts w:asciiTheme="minorHAnsi" w:hAnsiTheme="minorHAnsi"/>
          <w:noProof/>
        </w:rPr>
        <w:lastRenderedPageBreak/>
        <w:t>Posouzení závěrů a jejich porovnání se záměry regulace</w:t>
      </w:r>
      <w:bookmarkEnd w:id="65"/>
    </w:p>
    <w:p w14:paraId="47D8E143" w14:textId="77777777" w:rsidR="00544989" w:rsidRDefault="00544989" w:rsidP="00820558">
      <w:pPr>
        <w:pStyle w:val="NORMLN0"/>
      </w:pPr>
      <w:r>
        <w:t xml:space="preserve">Nalezené anomálie v obou projektech benchmarkingu indikují jako jednu z hlavních příčin jejich výskytu </w:t>
      </w:r>
      <w:r w:rsidRPr="003B3564">
        <w:rPr>
          <w:i/>
        </w:rPr>
        <w:t>vysoký stupeň atomizace sektoru</w:t>
      </w:r>
      <w:r>
        <w:t xml:space="preserve">. </w:t>
      </w:r>
    </w:p>
    <w:p w14:paraId="6646A227" w14:textId="77777777" w:rsidR="00E6025C" w:rsidRDefault="00140C3D" w:rsidP="004A1601">
      <w:pPr>
        <w:pStyle w:val="NORMLN0"/>
      </w:pPr>
      <w:r>
        <w:t xml:space="preserve">Vzhledem k faktu, že </w:t>
      </w:r>
      <w:r w:rsidR="00544989">
        <w:t>v roce 2016 a 2017 byly analyzována data popisující přibližně stejný podíl trhu</w:t>
      </w:r>
      <w:r w:rsidR="0088576C">
        <w:t xml:space="preserve"> stanoven</w:t>
      </w:r>
      <w:r w:rsidR="00785480">
        <w:t>ý</w:t>
      </w:r>
      <w:r w:rsidR="0088576C">
        <w:t xml:space="preserve"> podle objemu fakturované vody (pitná voda: 95,23</w:t>
      </w:r>
      <w:r w:rsidR="00785480">
        <w:t xml:space="preserve"> </w:t>
      </w:r>
      <w:r w:rsidR="0088576C">
        <w:t>% v roce 2016 a 97,5</w:t>
      </w:r>
      <w:r w:rsidR="00F45DA1">
        <w:t> </w:t>
      </w:r>
      <w:r w:rsidR="0088576C">
        <w:t>% v roce 2017; odpadní voda: 92,59</w:t>
      </w:r>
      <w:r w:rsidR="00785480">
        <w:t xml:space="preserve"> </w:t>
      </w:r>
      <w:r w:rsidR="0088576C">
        <w:t>% v roce 2016 a 97,79</w:t>
      </w:r>
      <w:r w:rsidR="00785480">
        <w:t xml:space="preserve"> </w:t>
      </w:r>
      <w:r w:rsidR="0088576C">
        <w:t>% v roce 2017)</w:t>
      </w:r>
      <w:r w:rsidR="00544989">
        <w:t xml:space="preserve">, </w:t>
      </w:r>
      <w:r w:rsidR="00BF149F" w:rsidRPr="004A1601">
        <w:t>bylo možné přistoupit k zevrubnému meziročnímu srovnání (viz tabulky níže).</w:t>
      </w:r>
    </w:p>
    <w:p w14:paraId="3EC791B4" w14:textId="764EDD0C" w:rsidR="004A1601" w:rsidRDefault="005169A6" w:rsidP="008F3C44">
      <w:pPr>
        <w:pStyle w:val="Nadpis2"/>
      </w:pPr>
      <w:bookmarkStart w:id="66" w:name="_Toc3292019"/>
      <w:r>
        <w:rPr>
          <w:noProof/>
        </w:rPr>
        <w:object w:dxaOrig="1440" w:dyaOrig="1440" w14:anchorId="4892AC81">
          <v:shape id="_x0000_s1034" type="#_x0000_t75" style="position:absolute;left:0;text-align:left;margin-left:-45.2pt;margin-top:40.95pt;width:543.65pt;height:205.75pt;z-index:251691008;mso-position-horizontal-relative:text;mso-position-vertical-relative:text">
            <v:imagedata r:id="rId50" o:title=""/>
            <w10:wrap type="topAndBottom"/>
          </v:shape>
          <o:OLEObject Type="Embed" ProgID="Excel.Sheet.12" ShapeID="_x0000_s1034" DrawAspect="Content" ObjectID="_1616393179" r:id="rId51"/>
        </w:object>
      </w:r>
      <w:r w:rsidR="00CE0049" w:rsidRPr="00CE0049">
        <w:t>Benchmarking vlastnických subjektů</w:t>
      </w:r>
      <w:bookmarkEnd w:id="66"/>
    </w:p>
    <w:p w14:paraId="092D7093" w14:textId="77777777" w:rsidR="00CE0049" w:rsidRPr="00CE0049" w:rsidRDefault="005169A6" w:rsidP="00CE0049">
      <w:pPr>
        <w:pStyle w:val="NORMLN0"/>
        <w:ind w:firstLine="0"/>
      </w:pPr>
      <w:r>
        <w:rPr>
          <w:noProof/>
        </w:rPr>
        <w:object w:dxaOrig="1440" w:dyaOrig="1440" w14:anchorId="3DF0BA96">
          <v:shape id="_x0000_s1035" type="#_x0000_t75" style="position:absolute;left:0;text-align:left;margin-left:-47.45pt;margin-top:207.55pt;width:547.65pt;height:182.65pt;z-index:251693056;mso-position-horizontal-relative:text;mso-position-vertical-relative:text">
            <v:imagedata r:id="rId52" o:title=""/>
            <w10:wrap type="topAndBottom"/>
          </v:shape>
          <o:OLEObject Type="Embed" ProgID="Excel.Sheet.12" ShapeID="_x0000_s1035" DrawAspect="Content" ObjectID="_1616393180" r:id="rId53"/>
        </w:object>
      </w:r>
    </w:p>
    <w:p w14:paraId="2F446423" w14:textId="399E38C3" w:rsidR="00344EAD" w:rsidRDefault="00344EAD" w:rsidP="00344EAD">
      <w:pPr>
        <w:pStyle w:val="NORMLN0"/>
      </w:pPr>
      <w:r>
        <w:t>Z tabulek vyplývá, že v roce 2017 pokles</w:t>
      </w:r>
      <w:r w:rsidR="00C0168F">
        <w:t>l</w:t>
      </w:r>
      <w:r>
        <w:t xml:space="preserve"> podíl trhu ovlivněn</w:t>
      </w:r>
      <w:r w:rsidR="00C0168F">
        <w:t>ý</w:t>
      </w:r>
      <w:r>
        <w:t xml:space="preserve"> nedostatečnou tvorbou prostředků na obnovu o necelé </w:t>
      </w:r>
      <w:r w:rsidR="00E52236">
        <w:t>1 %</w:t>
      </w:r>
      <w:r>
        <w:t xml:space="preserve"> </w:t>
      </w:r>
      <w:r w:rsidR="00F45DA1">
        <w:t xml:space="preserve">u Porovnání za pitnou vodu a </w:t>
      </w:r>
      <w:r w:rsidR="008B0082">
        <w:t>u</w:t>
      </w:r>
      <w:r>
        <w:t xml:space="preserve"> </w:t>
      </w:r>
      <w:r w:rsidR="00F45DA1">
        <w:t>Porovnání za vodu odpadní</w:t>
      </w:r>
      <w:r>
        <w:t xml:space="preserve"> poklesl o 2,15</w:t>
      </w:r>
      <w:r w:rsidR="00C0168F">
        <w:t xml:space="preserve"> </w:t>
      </w:r>
      <w:r>
        <w:t xml:space="preserve">%. V případě </w:t>
      </w:r>
      <w:r w:rsidR="00E52236">
        <w:t xml:space="preserve">vykázaného </w:t>
      </w:r>
      <w:r>
        <w:t>záporn</w:t>
      </w:r>
      <w:r w:rsidR="00E52236">
        <w:t>ého</w:t>
      </w:r>
      <w:r>
        <w:t xml:space="preserve"> kalkulační</w:t>
      </w:r>
      <w:r w:rsidR="00E52236">
        <w:t>ho</w:t>
      </w:r>
      <w:r>
        <w:t xml:space="preserve"> zisk</w:t>
      </w:r>
      <w:r w:rsidR="00E52236">
        <w:t>u</w:t>
      </w:r>
      <w:r>
        <w:t xml:space="preserve"> se situace </w:t>
      </w:r>
      <w:r w:rsidR="00E52236">
        <w:t xml:space="preserve">oproti roku 2016 </w:t>
      </w:r>
      <w:r>
        <w:t xml:space="preserve">o necelé </w:t>
      </w:r>
      <w:r w:rsidR="00E52236">
        <w:t>1 %</w:t>
      </w:r>
      <w:r>
        <w:t xml:space="preserve"> zhoršila</w:t>
      </w:r>
      <w:r w:rsidR="00F45DA1">
        <w:t xml:space="preserve"> </w:t>
      </w:r>
      <w:r w:rsidR="008B0082">
        <w:t>jak u pitné, tak i u odpadní vody</w:t>
      </w:r>
      <w:r w:rsidR="00F45DA1">
        <w:t xml:space="preserve">. </w:t>
      </w:r>
      <w:r w:rsidR="00167C3C">
        <w:t>V</w:t>
      </w:r>
      <w:r>
        <w:t> roce 2017</w:t>
      </w:r>
      <w:r w:rsidR="00167C3C">
        <w:t xml:space="preserve"> bylo blíže zjištěno</w:t>
      </w:r>
      <w:r w:rsidR="00C0168F">
        <w:t>,</w:t>
      </w:r>
      <w:r>
        <w:t xml:space="preserve"> </w:t>
      </w:r>
      <w:r w:rsidR="00167C3C">
        <w:t>že u více než poloviny těchto případů</w:t>
      </w:r>
      <w:r>
        <w:t xml:space="preserve"> </w:t>
      </w:r>
      <w:r w:rsidR="008B5265">
        <w:t xml:space="preserve">(55,44 % </w:t>
      </w:r>
      <w:r w:rsidR="00B27891">
        <w:t xml:space="preserve">počtu </w:t>
      </w:r>
      <w:r w:rsidR="008B5265">
        <w:t>Porovnání</w:t>
      </w:r>
      <w:r w:rsidR="00B27891">
        <w:t xml:space="preserve"> za pitnou i odpadní vodu</w:t>
      </w:r>
      <w:r w:rsidR="008B5265">
        <w:t xml:space="preserve">) </w:t>
      </w:r>
      <w:r>
        <w:t xml:space="preserve">je důvodem </w:t>
      </w:r>
      <w:r w:rsidR="00E52236">
        <w:t xml:space="preserve">neplánovaný </w:t>
      </w:r>
      <w:r>
        <w:t>ztrátový výsledek hospodaření</w:t>
      </w:r>
      <w:r w:rsidR="00E52236">
        <w:t xml:space="preserve"> způsobený</w:t>
      </w:r>
      <w:r>
        <w:t xml:space="preserve"> </w:t>
      </w:r>
      <w:r w:rsidR="00E52236">
        <w:t xml:space="preserve">nepředvídanými náklady </w:t>
      </w:r>
      <w:r w:rsidR="00E52236">
        <w:lastRenderedPageBreak/>
        <w:t>popř. výkyvem ve fakturovaném množství.</w:t>
      </w:r>
      <w:r w:rsidR="00BC03D3">
        <w:t xml:space="preserve"> </w:t>
      </w:r>
      <w:r w:rsidR="00167C3C">
        <w:t>U druhé poloviny (</w:t>
      </w:r>
      <w:r w:rsidR="008B5265">
        <w:t>44,57</w:t>
      </w:r>
      <w:r w:rsidR="00C0168F">
        <w:t xml:space="preserve"> </w:t>
      </w:r>
      <w:r w:rsidR="008B5265">
        <w:t>% Porovnání</w:t>
      </w:r>
      <w:r w:rsidR="001B444F">
        <w:t xml:space="preserve"> </w:t>
      </w:r>
      <w:r w:rsidR="00167C3C">
        <w:t>za pitnou i odpadní vodu</w:t>
      </w:r>
      <w:r w:rsidR="001B444F">
        <w:t>)</w:t>
      </w:r>
      <w:r w:rsidR="008B5265">
        <w:t xml:space="preserve"> se jedná o vědomou dotaci ceny</w:t>
      </w:r>
      <w:r w:rsidR="00F334E3">
        <w:t xml:space="preserve"> (zámě</w:t>
      </w:r>
      <w:r w:rsidR="00E52236">
        <w:t>rné snížení ceny)</w:t>
      </w:r>
      <w:r w:rsidR="00F334E3">
        <w:t xml:space="preserve"> motivované např.</w:t>
      </w:r>
      <w:r w:rsidR="00BC03D3">
        <w:t xml:space="preserve"> </w:t>
      </w:r>
      <w:r w:rsidR="001B444F">
        <w:t xml:space="preserve"> eliminací rizika překročení </w:t>
      </w:r>
      <w:r w:rsidR="00167C3C">
        <w:t xml:space="preserve">hranice </w:t>
      </w:r>
      <w:r w:rsidR="001B444F">
        <w:t>sociální únosnosti cen</w:t>
      </w:r>
      <w:r w:rsidR="00167C3C">
        <w:t>y</w:t>
      </w:r>
      <w:r w:rsidR="001B444F">
        <w:t>.</w:t>
      </w:r>
      <w:r w:rsidR="008B5265">
        <w:t xml:space="preserve"> Jak již bylo uvedeno výše</w:t>
      </w:r>
      <w:r w:rsidR="001B444F">
        <w:t>,</w:t>
      </w:r>
      <w:r w:rsidR="008B5265">
        <w:t xml:space="preserve"> příčinou tohoto jevu</w:t>
      </w:r>
      <w:r w:rsidR="00B27891">
        <w:t xml:space="preserve"> je zejména</w:t>
      </w:r>
      <w:r w:rsidR="008B5265">
        <w:t xml:space="preserve"> vysok</w:t>
      </w:r>
      <w:r w:rsidR="00B27891">
        <w:t>ý</w:t>
      </w:r>
      <w:r w:rsidR="008B5265">
        <w:t xml:space="preserve"> stup</w:t>
      </w:r>
      <w:r w:rsidR="00B27891">
        <w:t>eň</w:t>
      </w:r>
      <w:r w:rsidR="00BC03D3">
        <w:t xml:space="preserve"> atomizace trhu.</w:t>
      </w:r>
    </w:p>
    <w:p w14:paraId="6DC2570C" w14:textId="6BD5C6B9" w:rsidR="00344EAD" w:rsidRDefault="00F334E3" w:rsidP="00344EAD">
      <w:pPr>
        <w:pStyle w:val="NORMLN0"/>
      </w:pPr>
      <w:r>
        <w:t xml:space="preserve">Výskyt anomálie </w:t>
      </w:r>
      <w:r w:rsidR="00F45DA1">
        <w:t>n</w:t>
      </w:r>
      <w:r w:rsidR="001B444F">
        <w:t>ulový</w:t>
      </w:r>
      <w:r>
        <w:t xml:space="preserve"> nájem</w:t>
      </w:r>
      <w:r w:rsidR="001B444F">
        <w:t xml:space="preserve"> nebo nájem menší než nula v oddílném a kombinovaném modelu poskytuje informaci o tom, zda vlastníci využívají pro tvorbu prostředků obnovy </w:t>
      </w:r>
      <w:r>
        <w:t>prostředky pocházejícíc</w:t>
      </w:r>
      <w:r w:rsidR="0094699C">
        <w:t>h</w:t>
      </w:r>
      <w:r>
        <w:t xml:space="preserve"> z nájemného VIM</w:t>
      </w:r>
      <w:r w:rsidR="001B444F">
        <w:t xml:space="preserve">. </w:t>
      </w:r>
      <w:r w:rsidR="00167C3C">
        <w:t xml:space="preserve">U Porovnání za </w:t>
      </w:r>
      <w:r w:rsidR="001B444F">
        <w:t>pitn</w:t>
      </w:r>
      <w:r w:rsidR="00167C3C">
        <w:t>ou vodu</w:t>
      </w:r>
      <w:r w:rsidR="001B444F">
        <w:t xml:space="preserve"> byl počet výskytu </w:t>
      </w:r>
      <w:r w:rsidR="00167C3C">
        <w:t xml:space="preserve">této </w:t>
      </w:r>
      <w:r w:rsidR="001B444F">
        <w:t>anomálie</w:t>
      </w:r>
      <w:r w:rsidR="00167C3C">
        <w:t xml:space="preserve"> v obou letech totožný.</w:t>
      </w:r>
      <w:r w:rsidR="001B444F">
        <w:t xml:space="preserve"> V případě odpadní vody došlo k poklesu počtu výskytu Porovnání s nulovou nebo záporn</w:t>
      </w:r>
      <w:r>
        <w:t>ou</w:t>
      </w:r>
      <w:r w:rsidR="001B444F">
        <w:t xml:space="preserve"> hodnotu nájemného, avšak z hlediska zasaženého podílu trhu došlo k nárůstu o 2,63</w:t>
      </w:r>
      <w:r w:rsidR="00B27891">
        <w:t xml:space="preserve"> </w:t>
      </w:r>
      <w:r w:rsidR="001B444F">
        <w:t>%</w:t>
      </w:r>
      <w:r w:rsidR="00E94BE7">
        <w:t xml:space="preserve">. </w:t>
      </w:r>
      <w:r w:rsidR="00D56E91">
        <w:t>Změny ve výskytu anomálie nemohou být meziročně velké, protože závisí na možnostech změny smluvních vztahů mezi vlastníky a provozovateli VIM.</w:t>
      </w:r>
    </w:p>
    <w:p w14:paraId="53925A60" w14:textId="77777777" w:rsidR="00E94BE7" w:rsidRPr="0020396B" w:rsidRDefault="00E94BE7" w:rsidP="0020396B">
      <w:pPr>
        <w:pStyle w:val="NORMLN0"/>
      </w:pPr>
      <w:r>
        <w:t>Jediný ukazatel, který vykazuje zlepšení jak u vody pitné</w:t>
      </w:r>
      <w:r w:rsidR="00E6025C">
        <w:t xml:space="preserve"> (pokles ovlivněného podílu trhu </w:t>
      </w:r>
      <w:r w:rsidR="00E6025C" w:rsidRPr="0020396B">
        <w:t>o 7,59</w:t>
      </w:r>
      <w:r w:rsidR="00D56E91">
        <w:t xml:space="preserve"> </w:t>
      </w:r>
      <w:r w:rsidR="00E6025C" w:rsidRPr="0020396B">
        <w:t>%)</w:t>
      </w:r>
      <w:r w:rsidRPr="0020396B">
        <w:t xml:space="preserve">, tak u vody odpadní </w:t>
      </w:r>
      <w:r w:rsidR="00E6025C" w:rsidRPr="0020396B">
        <w:t>(pokles ovlivněného podílu trhu o 8,20</w:t>
      </w:r>
      <w:r w:rsidR="00F334E3">
        <w:t xml:space="preserve"> </w:t>
      </w:r>
      <w:r w:rsidR="00E6025C" w:rsidRPr="0020396B">
        <w:t xml:space="preserve">%) </w:t>
      </w:r>
      <w:r w:rsidRPr="0020396B">
        <w:t xml:space="preserve">je výskyt nulového řádku 20. </w:t>
      </w:r>
      <w:r w:rsidR="00E6025C" w:rsidRPr="0020396B">
        <w:t>Meziroční pokles četnosti výskytu o více než 33 % je výsledkem zejména adresné osvěty MZe realizované v průběhu posledních dvou let.</w:t>
      </w:r>
    </w:p>
    <w:p w14:paraId="30A1E7D2" w14:textId="77777777" w:rsidR="00A649B6" w:rsidRPr="0020396B" w:rsidRDefault="00A649B6" w:rsidP="0020396B">
      <w:pPr>
        <w:pStyle w:val="NORMLN0"/>
      </w:pPr>
    </w:p>
    <w:p w14:paraId="4E47400D" w14:textId="34CEFFC6" w:rsidR="00A649B6" w:rsidRPr="0020396B" w:rsidRDefault="00A649B6" w:rsidP="0020396B">
      <w:pPr>
        <w:pStyle w:val="NORMLN0"/>
        <w:ind w:firstLine="0"/>
        <w:rPr>
          <w:i/>
        </w:rPr>
      </w:pPr>
      <w:r w:rsidRPr="0020396B">
        <w:rPr>
          <w:i/>
        </w:rPr>
        <w:t xml:space="preserve">Závěry pro regulátora související s vlastníky </w:t>
      </w:r>
      <w:r w:rsidR="0020396B" w:rsidRPr="0020396B">
        <w:rPr>
          <w:i/>
        </w:rPr>
        <w:t xml:space="preserve">VIM </w:t>
      </w:r>
      <w:r w:rsidR="007E1553">
        <w:rPr>
          <w:i/>
        </w:rPr>
        <w:t xml:space="preserve">stanovené v předchozím roce </w:t>
      </w:r>
      <w:r w:rsidR="00470C1D" w:rsidRPr="0020396B">
        <w:rPr>
          <w:i/>
        </w:rPr>
        <w:t>zůstáv</w:t>
      </w:r>
      <w:r w:rsidR="00470C1D">
        <w:rPr>
          <w:i/>
        </w:rPr>
        <w:t>a</w:t>
      </w:r>
      <w:r w:rsidR="00470C1D" w:rsidRPr="0020396B">
        <w:rPr>
          <w:i/>
        </w:rPr>
        <w:t>j</w:t>
      </w:r>
      <w:r w:rsidR="00470C1D">
        <w:rPr>
          <w:i/>
        </w:rPr>
        <w:t>í</w:t>
      </w:r>
      <w:r w:rsidR="007E1553">
        <w:rPr>
          <w:i/>
        </w:rPr>
        <w:t xml:space="preserve"> </w:t>
      </w:r>
      <w:r w:rsidRPr="0020396B">
        <w:rPr>
          <w:i/>
        </w:rPr>
        <w:t>nezměněn</w:t>
      </w:r>
      <w:r w:rsidR="007E1553">
        <w:rPr>
          <w:i/>
        </w:rPr>
        <w:t>y</w:t>
      </w:r>
      <w:r w:rsidR="00D56E91">
        <w:rPr>
          <w:i/>
        </w:rPr>
        <w:t>.</w:t>
      </w:r>
      <w:r w:rsidRPr="0020396B">
        <w:rPr>
          <w:i/>
        </w:rPr>
        <w:t xml:space="preserve"> </w:t>
      </w:r>
    </w:p>
    <w:p w14:paraId="1E71079E" w14:textId="77777777" w:rsidR="00A649B6" w:rsidRPr="0020396B" w:rsidRDefault="00A649B6" w:rsidP="0020396B">
      <w:pPr>
        <w:pStyle w:val="NORMLN0"/>
      </w:pPr>
      <w:r w:rsidRPr="0020396B">
        <w:t>Regulátor by se měl v případě vlastníků VIM aktivněji a detailně zabývat řešením problematiky obnovy VIM (s procesem souvisí anomálie nedostatečná tvorba prostředků na obnovu VIM, využívání záporného kalkulačního zisku a záporného nebo nulového nájemného). Měl by definovat doporučení, jak mají vlastníci VIM postupovat při plnění cíle generování dostatečného množství prostředků na obnovu.</w:t>
      </w:r>
      <w:r w:rsidR="00D56E91">
        <w:t xml:space="preserve"> </w:t>
      </w:r>
    </w:p>
    <w:p w14:paraId="713E0A84" w14:textId="77777777" w:rsidR="00AD6C07" w:rsidRDefault="00AD6C07" w:rsidP="00AD6C07">
      <w:pPr>
        <w:pStyle w:val="NORMLN0"/>
      </w:pPr>
    </w:p>
    <w:p w14:paraId="74266D26" w14:textId="77777777" w:rsidR="008F3C44" w:rsidRDefault="005169A6" w:rsidP="008F3C44">
      <w:pPr>
        <w:pStyle w:val="Nadpis2"/>
        <w:rPr>
          <w:rStyle w:val="Nadpis2Char"/>
          <w:rFonts w:eastAsia="Calibri"/>
        </w:rPr>
      </w:pPr>
      <w:bookmarkStart w:id="67" w:name="_Toc3292020"/>
      <w:r>
        <w:rPr>
          <w:noProof/>
          <w:color w:val="FF0000"/>
        </w:rPr>
        <w:object w:dxaOrig="1440" w:dyaOrig="1440" w14:anchorId="5732F1A5">
          <v:shape id="_x0000_s1036" type="#_x0000_t75" style="position:absolute;left:0;text-align:left;margin-left:-58.15pt;margin-top:48.9pt;width:570pt;height:169.7pt;z-index:251695104;mso-position-horizontal-relative:text;mso-position-vertical-relative:text">
            <v:imagedata r:id="rId54" o:title=""/>
            <w10:wrap type="topAndBottom"/>
          </v:shape>
          <o:OLEObject Type="Embed" ProgID="Excel.Sheet.12" ShapeID="_x0000_s1036" DrawAspect="Content" ObjectID="_1616393181" r:id="rId55"/>
        </w:object>
      </w:r>
      <w:r w:rsidR="00AD6C07" w:rsidRPr="008F3C44">
        <w:rPr>
          <w:rStyle w:val="Nadpis2Char"/>
        </w:rPr>
        <w:t>Benchmarking provozovatelských subjektů</w:t>
      </w:r>
      <w:bookmarkEnd w:id="67"/>
    </w:p>
    <w:p w14:paraId="01364D1C" w14:textId="77777777" w:rsidR="00AF4569" w:rsidRDefault="00AF4569" w:rsidP="00AD6C07">
      <w:pPr>
        <w:pStyle w:val="NORMLN0"/>
        <w:ind w:firstLine="0"/>
      </w:pPr>
    </w:p>
    <w:p w14:paraId="1B38D9DB" w14:textId="77777777" w:rsidR="00385702" w:rsidRPr="00AD6C07" w:rsidRDefault="005169A6" w:rsidP="00AD6C07">
      <w:pPr>
        <w:pStyle w:val="NORMLN0"/>
        <w:ind w:firstLine="0"/>
      </w:pPr>
      <w:r>
        <w:rPr>
          <w:noProof/>
          <w:lang w:eastAsia="cs-CZ"/>
        </w:rPr>
        <w:lastRenderedPageBreak/>
        <w:object w:dxaOrig="1440" w:dyaOrig="1440" w14:anchorId="586D2905">
          <v:shape id="_x0000_s1037" type="#_x0000_t75" style="position:absolute;left:0;text-align:left;margin-left:-49.55pt;margin-top:7.35pt;width:552.2pt;height:117.7pt;z-index:251697152;mso-position-horizontal-relative:text;mso-position-vertical-relative:text">
            <v:imagedata r:id="rId56" o:title=""/>
            <w10:wrap type="topAndBottom"/>
          </v:shape>
          <o:OLEObject Type="Embed" ProgID="Excel.Sheet.12" ShapeID="_x0000_s1037" DrawAspect="Content" ObjectID="_1616393182" r:id="rId57"/>
        </w:object>
      </w:r>
    </w:p>
    <w:p w14:paraId="6F0A6041" w14:textId="2B04B1DC" w:rsidR="00C837A4" w:rsidRPr="008F3C44" w:rsidRDefault="00C837A4" w:rsidP="00344EAD">
      <w:pPr>
        <w:pStyle w:val="NORMLN0"/>
      </w:pPr>
      <w:r w:rsidRPr="008F3C44">
        <w:t xml:space="preserve">Pro vyjádření </w:t>
      </w:r>
      <w:r w:rsidR="0020396B" w:rsidRPr="008F3C44">
        <w:t>dosažené</w:t>
      </w:r>
      <w:r w:rsidRPr="008F3C44">
        <w:t>ho</w:t>
      </w:r>
      <w:r w:rsidR="0020396B" w:rsidRPr="008F3C44">
        <w:t xml:space="preserve"> stupn</w:t>
      </w:r>
      <w:r w:rsidRPr="008F3C44">
        <w:t>ě</w:t>
      </w:r>
      <w:r w:rsidR="0020396B" w:rsidRPr="008F3C44">
        <w:t xml:space="preserve"> samofinancovatelnosti sektoru vodovodů a kanalizací </w:t>
      </w:r>
      <w:r w:rsidRPr="008F3C44">
        <w:t xml:space="preserve">lze využít ukazatel </w:t>
      </w:r>
      <w:r w:rsidR="00F334E3">
        <w:t>OKF</w:t>
      </w:r>
      <w:r w:rsidRPr="008F3C44">
        <w:t>, který vyjadřuje</w:t>
      </w:r>
      <w:r w:rsidR="00F334E3">
        <w:t xml:space="preserve"> skutečnost</w:t>
      </w:r>
      <w:r w:rsidRPr="008F3C44">
        <w:t xml:space="preserve">, zda výše tržeb za vodné </w:t>
      </w:r>
      <w:r w:rsidR="0094699C">
        <w:t xml:space="preserve">nebo stočné </w:t>
      </w:r>
      <w:r w:rsidRPr="008F3C44">
        <w:t>pokryla všechny náklady</w:t>
      </w:r>
      <w:r w:rsidR="00EC7347" w:rsidRPr="00EC7347">
        <w:t xml:space="preserve"> </w:t>
      </w:r>
      <w:r w:rsidR="00EC7347" w:rsidRPr="008F3C44">
        <w:t>související s poskytování služby</w:t>
      </w:r>
      <w:r w:rsidR="00EC7347">
        <w:t>, minimální výši obnovy</w:t>
      </w:r>
      <w:r w:rsidRPr="008F3C44">
        <w:t xml:space="preserve"> a </w:t>
      </w:r>
      <w:r w:rsidR="00EC7347">
        <w:t xml:space="preserve">přiměřený </w:t>
      </w:r>
      <w:r w:rsidRPr="008F3C44">
        <w:t>zisk. Dosažení samofinancovatelnosti je jedním z požadavků Evropské směrnice o vodě.</w:t>
      </w:r>
      <w:r w:rsidR="00BC03D3">
        <w:t xml:space="preserve"> </w:t>
      </w:r>
      <w:r w:rsidRPr="008F3C44">
        <w:t xml:space="preserve">Jak vyplývá z meziročního porovnání, </w:t>
      </w:r>
      <w:r w:rsidR="00EC7347">
        <w:t>zvýšil se počet Porovnání s OKF &lt; 1 o</w:t>
      </w:r>
      <w:r w:rsidRPr="008F3C44">
        <w:t xml:space="preserve"> 131 Porovnání</w:t>
      </w:r>
      <w:r w:rsidR="0094699C">
        <w:t xml:space="preserve"> u pitné vody a o 208 Porovnání u vody odpadní</w:t>
      </w:r>
      <w:r w:rsidRPr="008F3C44">
        <w:t>.</w:t>
      </w:r>
      <w:r w:rsidR="00BC03D3">
        <w:t xml:space="preserve"> </w:t>
      </w:r>
      <w:r w:rsidR="00200BC6">
        <w:t>P</w:t>
      </w:r>
      <w:r w:rsidRPr="008F3C44">
        <w:t>odíl trhu</w:t>
      </w:r>
      <w:r w:rsidR="00200BC6">
        <w:t xml:space="preserve"> s touto anomálií</w:t>
      </w:r>
      <w:r w:rsidR="003B3564">
        <w:t>,</w:t>
      </w:r>
      <w:r w:rsidRPr="008F3C44">
        <w:t xml:space="preserve"> </w:t>
      </w:r>
      <w:r w:rsidR="00200BC6">
        <w:t>činí</w:t>
      </w:r>
      <w:r w:rsidRPr="008F3C44">
        <w:t xml:space="preserve"> více než 12</w:t>
      </w:r>
      <w:r w:rsidR="00200BC6">
        <w:t xml:space="preserve"> </w:t>
      </w:r>
      <w:r w:rsidRPr="008F3C44">
        <w:t>%</w:t>
      </w:r>
      <w:r w:rsidR="00200BC6">
        <w:t xml:space="preserve"> u pitné vody a</w:t>
      </w:r>
      <w:r w:rsidR="00BC03D3">
        <w:t xml:space="preserve"> </w:t>
      </w:r>
      <w:r w:rsidR="00200BC6">
        <w:t>15 % u vody odpadní.</w:t>
      </w:r>
      <w:r w:rsidRPr="008F3C44">
        <w:t xml:space="preserve"> </w:t>
      </w:r>
      <w:r w:rsidR="00200BC6">
        <w:t>V</w:t>
      </w:r>
      <w:r w:rsidRPr="008F3C44">
        <w:t xml:space="preserve">ysoká četnost výskytu </w:t>
      </w:r>
      <w:r w:rsidR="00200BC6">
        <w:t xml:space="preserve">Porovnání, </w:t>
      </w:r>
      <w:r w:rsidR="007E1553">
        <w:t xml:space="preserve">u kterých </w:t>
      </w:r>
      <w:r w:rsidR="00200BC6">
        <w:t xml:space="preserve">lze identifikovat nedosažení samofinancovatelnosti provozování a obnovy VIM </w:t>
      </w:r>
      <w:r w:rsidR="00EC7347">
        <w:t>(</w:t>
      </w:r>
      <w:r w:rsidRPr="008F3C44">
        <w:t>1</w:t>
      </w:r>
      <w:r w:rsidR="00200BC6">
        <w:t> </w:t>
      </w:r>
      <w:r w:rsidRPr="008F3C44">
        <w:t xml:space="preserve">339 </w:t>
      </w:r>
      <w:r w:rsidR="003B3564">
        <w:t>Porovnání</w:t>
      </w:r>
      <w:r w:rsidR="00200BC6">
        <w:t xml:space="preserve"> za pitnou vodu, resp. 1 757 Porovnání za odpadní vodu</w:t>
      </w:r>
      <w:r w:rsidR="00EC7347">
        <w:t>)</w:t>
      </w:r>
      <w:r w:rsidR="007E1553">
        <w:t>,</w:t>
      </w:r>
      <w:r w:rsidR="003B3564">
        <w:t xml:space="preserve"> indikuje</w:t>
      </w:r>
      <w:r w:rsidR="007E1553">
        <w:t xml:space="preserve"> </w:t>
      </w:r>
      <w:r w:rsidRPr="008F3C44">
        <w:t xml:space="preserve">problém vyskytující se u menších provozovatelů. Opět se jedná o důsledek vysokého stupně atomizace trhu. </w:t>
      </w:r>
    </w:p>
    <w:p w14:paraId="7C1B7DB5" w14:textId="107F4691" w:rsidR="00C837A4" w:rsidRDefault="008F3C44" w:rsidP="00344EAD">
      <w:pPr>
        <w:pStyle w:val="NORMLN0"/>
      </w:pPr>
      <w:r>
        <w:t xml:space="preserve">Jedním </w:t>
      </w:r>
      <w:r w:rsidR="00200BC6">
        <w:t>z</w:t>
      </w:r>
      <w:r>
        <w:t xml:space="preserve"> ukazatelů, kterým lze hodnotit kvalitu dodávaných služeb </w:t>
      </w:r>
      <w:r w:rsidR="004E06E9">
        <w:t>v případě pitné vody</w:t>
      </w:r>
      <w:r w:rsidR="007E1553">
        <w:t>,</w:t>
      </w:r>
      <w:r w:rsidR="004E06E9">
        <w:t xml:space="preserve"> </w:t>
      </w:r>
      <w:r>
        <w:t>je</w:t>
      </w:r>
      <w:r w:rsidR="00BC03D3">
        <w:t xml:space="preserve"> </w:t>
      </w:r>
      <w:r>
        <w:t>ukazatel podílu ztrát vody na vodě určené k realizaci. Pro identifikaci vysokého podílu byla použita základna dat z roku 2017 očištěná o Porovnání nesledující ztráty vody</w:t>
      </w:r>
      <w:r w:rsidR="007E1553">
        <w:t>. Mezní hranice byla stanovena</w:t>
      </w:r>
      <w:r w:rsidR="00995FCE">
        <w:t xml:space="preserve"> ve výši </w:t>
      </w:r>
      <w:r w:rsidR="00B03316">
        <w:t>1,5</w:t>
      </w:r>
      <w:r w:rsidR="007E1553">
        <w:t xml:space="preserve"> </w:t>
      </w:r>
      <w:r w:rsidR="00B03316">
        <w:t>násob</w:t>
      </w:r>
      <w:r w:rsidR="00995FCE">
        <w:t>ku</w:t>
      </w:r>
      <w:r w:rsidR="00B03316">
        <w:t xml:space="preserve"> průměrné hodnoty, tj. 25,125</w:t>
      </w:r>
      <w:r w:rsidR="00995FCE">
        <w:t xml:space="preserve"> </w:t>
      </w:r>
      <w:r w:rsidR="00B03316">
        <w:t>%</w:t>
      </w:r>
      <w:r w:rsidR="00995FCE">
        <w:t>.</w:t>
      </w:r>
      <w:r>
        <w:t xml:space="preserve"> Meziročně došlo k nárůstu podílu trhu ovlivněného </w:t>
      </w:r>
      <w:r w:rsidR="00200BC6">
        <w:t xml:space="preserve">takto </w:t>
      </w:r>
      <w:r>
        <w:t>vysokým podílem ztrát o 0,57</w:t>
      </w:r>
      <w:r w:rsidR="00200BC6">
        <w:t xml:space="preserve"> </w:t>
      </w:r>
      <w:r>
        <w:t>% a navýšení podílu ovlivněného trhu na 7,96</w:t>
      </w:r>
      <w:r w:rsidR="00995FCE">
        <w:t xml:space="preserve"> </w:t>
      </w:r>
      <w:r>
        <w:t xml:space="preserve">%. </w:t>
      </w:r>
      <w:r w:rsidR="007C001B">
        <w:t>Č</w:t>
      </w:r>
      <w:r>
        <w:t xml:space="preserve">etnost výskytu anomálie se meziročně změnila </w:t>
      </w:r>
      <w:r w:rsidR="007C001B">
        <w:t xml:space="preserve">také </w:t>
      </w:r>
      <w:r>
        <w:t xml:space="preserve">minimálně. </w:t>
      </w:r>
      <w:r w:rsidR="00B03316">
        <w:t xml:space="preserve">Podobná situace je i v případě Porovnání, která nevykazují ztráty vody, tj. provozovatelé se ztrátami vody nepracují. </w:t>
      </w:r>
      <w:r w:rsidR="00C00687">
        <w:t>Jejich počty i podíly ovlivněného trhu se meziročně téměř nezměnily.</w:t>
      </w:r>
    </w:p>
    <w:p w14:paraId="46D6FC07" w14:textId="77777777" w:rsidR="007E1553" w:rsidRDefault="007E1553" w:rsidP="00344EAD">
      <w:pPr>
        <w:pStyle w:val="NORMLN0"/>
      </w:pPr>
    </w:p>
    <w:p w14:paraId="0E9FE096" w14:textId="58A800F2" w:rsidR="007E1553" w:rsidRPr="0020396B" w:rsidRDefault="00B03316" w:rsidP="007E1553">
      <w:pPr>
        <w:pStyle w:val="NORMLN0"/>
        <w:ind w:firstLine="0"/>
        <w:rPr>
          <w:i/>
        </w:rPr>
      </w:pPr>
      <w:r w:rsidRPr="0020396B">
        <w:rPr>
          <w:i/>
        </w:rPr>
        <w:t>Závěry pro regulátora související s</w:t>
      </w:r>
      <w:r w:rsidR="00385702">
        <w:rPr>
          <w:i/>
        </w:rPr>
        <w:t> </w:t>
      </w:r>
      <w:r>
        <w:rPr>
          <w:i/>
        </w:rPr>
        <w:t>provozovateli</w:t>
      </w:r>
      <w:r w:rsidR="00385702">
        <w:rPr>
          <w:i/>
        </w:rPr>
        <w:t xml:space="preserve"> </w:t>
      </w:r>
      <w:r w:rsidR="007E1553">
        <w:rPr>
          <w:i/>
        </w:rPr>
        <w:t>VIM</w:t>
      </w:r>
      <w:r w:rsidRPr="0020396B">
        <w:rPr>
          <w:i/>
        </w:rPr>
        <w:t xml:space="preserve"> </w:t>
      </w:r>
      <w:r w:rsidR="007E1553">
        <w:rPr>
          <w:i/>
        </w:rPr>
        <w:t xml:space="preserve">stanovené v předchozím roce </w:t>
      </w:r>
      <w:r w:rsidR="00470C1D" w:rsidRPr="0020396B">
        <w:rPr>
          <w:i/>
        </w:rPr>
        <w:t>zůstáv</w:t>
      </w:r>
      <w:r w:rsidR="00470C1D">
        <w:rPr>
          <w:i/>
        </w:rPr>
        <w:t>a</w:t>
      </w:r>
      <w:r w:rsidR="00470C1D" w:rsidRPr="0020396B">
        <w:rPr>
          <w:i/>
        </w:rPr>
        <w:t>j</w:t>
      </w:r>
      <w:r w:rsidR="00470C1D">
        <w:rPr>
          <w:i/>
        </w:rPr>
        <w:t>í</w:t>
      </w:r>
      <w:r w:rsidR="007E1553">
        <w:rPr>
          <w:i/>
        </w:rPr>
        <w:t xml:space="preserve"> nezměněny.</w:t>
      </w:r>
    </w:p>
    <w:p w14:paraId="45B27420" w14:textId="43ECBB47" w:rsidR="00B03316" w:rsidRDefault="00B03316" w:rsidP="00B03316">
      <w:pPr>
        <w:pStyle w:val="NORMLN0"/>
        <w:ind w:firstLine="0"/>
        <w:rPr>
          <w:i/>
        </w:rPr>
      </w:pPr>
    </w:p>
    <w:p w14:paraId="6A1DD4B3" w14:textId="77777777" w:rsidR="00B03316" w:rsidRPr="00BC03D3" w:rsidRDefault="00B03316" w:rsidP="00BC03D3">
      <w:pPr>
        <w:pStyle w:val="NORMLN0"/>
      </w:pPr>
      <w:r>
        <w:t xml:space="preserve">Pro plnění </w:t>
      </w:r>
      <w:r w:rsidRPr="00BC03D3">
        <w:t xml:space="preserve">záměru dosažení kvality služeb v případě pitné vody a zlepšení stavu související VIM je důležité, aby se regulátor blíže věnoval rozsáhlé problematice ztrát pitné vody. </w:t>
      </w:r>
    </w:p>
    <w:p w14:paraId="1575D882" w14:textId="77777777" w:rsidR="00B03316" w:rsidRPr="00BC03D3" w:rsidRDefault="00B03316" w:rsidP="00BC03D3">
      <w:pPr>
        <w:pStyle w:val="NORMLN0"/>
      </w:pPr>
      <w:r w:rsidRPr="00BC03D3">
        <w:t>Jako součást řešení výše uvedených doporučení bude nutné v uvedených oblastech kvantitativně a kvalitativně stanovit požadovaný cílový stav, a to na základě podrobnějších analýz zaměřených na konkrétní oblast. Tento cílový stav bude součástí specifikace cílů regulace a jeho dosahování bude sledováno systematickým benchmarkingem v následujících obdobích.</w:t>
      </w:r>
    </w:p>
    <w:sectPr w:rsidR="00B03316" w:rsidRPr="00BC03D3" w:rsidSect="00210122">
      <w:footerReference w:type="default" r:id="rId5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048C0" w14:textId="77777777" w:rsidR="002E12F7" w:rsidRDefault="002E12F7" w:rsidP="007D222B">
      <w:pPr>
        <w:spacing w:before="0" w:after="0"/>
      </w:pPr>
      <w:r>
        <w:separator/>
      </w:r>
    </w:p>
    <w:p w14:paraId="44C3B8C1" w14:textId="77777777" w:rsidR="002E12F7" w:rsidRDefault="002E12F7"/>
    <w:p w14:paraId="23939723" w14:textId="77777777" w:rsidR="002E12F7" w:rsidRDefault="002E12F7" w:rsidP="006A4F53"/>
  </w:endnote>
  <w:endnote w:type="continuationSeparator" w:id="0">
    <w:p w14:paraId="2A5D1167" w14:textId="77777777" w:rsidR="002E12F7" w:rsidRDefault="002E12F7" w:rsidP="007D222B">
      <w:pPr>
        <w:spacing w:before="0" w:after="0"/>
      </w:pPr>
      <w:r>
        <w:continuationSeparator/>
      </w:r>
    </w:p>
    <w:p w14:paraId="4F716F10" w14:textId="77777777" w:rsidR="002E12F7" w:rsidRDefault="002E12F7"/>
    <w:p w14:paraId="4DBEA010" w14:textId="77777777" w:rsidR="002E12F7" w:rsidRDefault="002E12F7" w:rsidP="006A4F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F25DC" w14:textId="77777777" w:rsidR="002E12F7" w:rsidRPr="00683E07" w:rsidRDefault="002E12F7">
    <w:pPr>
      <w:pStyle w:val="Zpat"/>
      <w:jc w:val="right"/>
      <w:rPr>
        <w:rFonts w:ascii="Calibri Light" w:hAnsi="Calibri Light"/>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3C10B" w14:textId="77777777" w:rsidR="002E12F7" w:rsidRPr="00762B0A" w:rsidRDefault="002E12F7" w:rsidP="00F23EEA">
    <w:pPr>
      <w:pStyle w:val="Zpat"/>
      <w:tabs>
        <w:tab w:val="left" w:pos="8160"/>
        <w:tab w:val="left" w:pos="8505"/>
      </w:tabs>
      <w:spacing w:before="0" w:after="0"/>
      <w:jc w:val="left"/>
    </w:pPr>
    <w:r w:rsidRPr="00762B0A">
      <w:t>Zpráva z benchmarkingu za rok 201</w:t>
    </w:r>
    <w:r>
      <w:t>7</w:t>
    </w:r>
    <w:r w:rsidRPr="00762B0A">
      <w:tab/>
    </w:r>
    <w:r w:rsidRPr="00762B0A">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5169A6">
      <w:rPr>
        <w:rFonts w:ascii="Calibri Light" w:hAnsi="Calibri Light"/>
        <w:noProof/>
        <w:sz w:val="22"/>
        <w:szCs w:val="18"/>
      </w:rPr>
      <w:t>73</w:t>
    </w:r>
    <w:r w:rsidRPr="001B0257">
      <w:rPr>
        <w:rFonts w:ascii="Calibri Light" w:hAnsi="Calibri Light"/>
        <w:sz w:val="22"/>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9A758" w14:textId="77777777" w:rsidR="002E12F7" w:rsidRPr="00762B0A" w:rsidRDefault="002E12F7" w:rsidP="001B0257">
    <w:pPr>
      <w:pStyle w:val="Zpat"/>
      <w:tabs>
        <w:tab w:val="left" w:pos="8505"/>
      </w:tabs>
      <w:spacing w:before="0" w:after="0"/>
      <w:jc w:val="left"/>
    </w:pPr>
    <w:r w:rsidRPr="00762B0A">
      <w:t>Zpráva z benchmarkingu za rok 201</w:t>
    </w:r>
    <w:r>
      <w:t>7</w:t>
    </w:r>
    <w:r w:rsidRPr="00762B0A">
      <w:tab/>
    </w:r>
    <w:r w:rsidRPr="00762B0A">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5169A6">
      <w:rPr>
        <w:rFonts w:ascii="Calibri Light" w:hAnsi="Calibri Light"/>
        <w:noProof/>
        <w:sz w:val="22"/>
        <w:szCs w:val="18"/>
      </w:rPr>
      <w:t>33</w:t>
    </w:r>
    <w:r w:rsidRPr="001B0257">
      <w:rPr>
        <w:rFonts w:ascii="Calibri Light" w:hAnsi="Calibri Light"/>
        <w:sz w:val="22"/>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EF130" w14:textId="77777777" w:rsidR="002E12F7" w:rsidRPr="00762B0A" w:rsidRDefault="002E12F7" w:rsidP="001B0257">
    <w:pPr>
      <w:pStyle w:val="Zpat"/>
      <w:tabs>
        <w:tab w:val="left" w:pos="8505"/>
      </w:tabs>
      <w:spacing w:before="0" w:after="0"/>
      <w:jc w:val="left"/>
    </w:pPr>
    <w:r w:rsidRPr="00762B0A">
      <w:t>Zpráva z benchmarkingu za rok 2016</w:t>
    </w:r>
    <w:r w:rsidRPr="00762B0A">
      <w:tab/>
    </w:r>
    <w:r w:rsidRPr="00762B0A">
      <w:tab/>
    </w:r>
    <w:r>
      <w:tab/>
    </w:r>
    <w:r>
      <w:tab/>
    </w:r>
    <w:r>
      <w:tab/>
    </w:r>
    <w:r>
      <w:tab/>
    </w:r>
    <w:r>
      <w:tab/>
    </w:r>
    <w:r>
      <w:tab/>
    </w:r>
    <w:r>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463C77">
      <w:rPr>
        <w:rFonts w:ascii="Calibri Light" w:hAnsi="Calibri Light"/>
        <w:noProof/>
        <w:sz w:val="22"/>
        <w:szCs w:val="18"/>
      </w:rPr>
      <w:t>35</w:t>
    </w:r>
    <w:r w:rsidRPr="001B0257">
      <w:rPr>
        <w:rFonts w:ascii="Calibri Light" w:hAnsi="Calibri Light"/>
        <w:sz w:val="22"/>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4E67B" w14:textId="77777777" w:rsidR="002E12F7" w:rsidRPr="00762B0A" w:rsidRDefault="002E12F7" w:rsidP="001B0257">
    <w:pPr>
      <w:pStyle w:val="Zpat"/>
      <w:tabs>
        <w:tab w:val="left" w:pos="8505"/>
      </w:tabs>
      <w:spacing w:before="0" w:after="0"/>
      <w:jc w:val="left"/>
    </w:pPr>
    <w:r w:rsidRPr="00762B0A">
      <w:t>Zpráva z benchmarkingu za rok 201</w:t>
    </w:r>
    <w:r>
      <w:t>7</w:t>
    </w:r>
    <w:r w:rsidRPr="00762B0A">
      <w:tab/>
    </w:r>
    <w:r w:rsidRPr="00762B0A">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5169A6">
      <w:rPr>
        <w:rFonts w:ascii="Calibri Light" w:hAnsi="Calibri Light"/>
        <w:noProof/>
        <w:sz w:val="22"/>
        <w:szCs w:val="18"/>
      </w:rPr>
      <w:t>46</w:t>
    </w:r>
    <w:r w:rsidRPr="001B0257">
      <w:rPr>
        <w:rFonts w:ascii="Calibri Light" w:hAnsi="Calibri Light"/>
        <w:sz w:val="22"/>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89802" w14:textId="77777777" w:rsidR="002E12F7" w:rsidRPr="00762B0A" w:rsidRDefault="002E12F7" w:rsidP="001B0257">
    <w:pPr>
      <w:pStyle w:val="Zpat"/>
      <w:tabs>
        <w:tab w:val="left" w:pos="8505"/>
      </w:tabs>
      <w:spacing w:before="0" w:after="0"/>
      <w:jc w:val="left"/>
    </w:pPr>
    <w:r w:rsidRPr="00762B0A">
      <w:t>Zpráva z benchmarkingu za rok 201</w:t>
    </w:r>
    <w:r>
      <w:t>7</w:t>
    </w:r>
    <w:r w:rsidRPr="00762B0A">
      <w:tab/>
    </w:r>
    <w:r w:rsidRPr="00762B0A">
      <w:tab/>
    </w:r>
    <w:r>
      <w:tab/>
    </w:r>
    <w:r>
      <w:tab/>
    </w:r>
    <w:r>
      <w:tab/>
    </w:r>
    <w:r>
      <w:tab/>
    </w:r>
    <w:r>
      <w:tab/>
    </w:r>
    <w:r>
      <w:tab/>
    </w:r>
    <w:r>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5169A6">
      <w:rPr>
        <w:rFonts w:ascii="Calibri Light" w:hAnsi="Calibri Light"/>
        <w:noProof/>
        <w:sz w:val="22"/>
        <w:szCs w:val="18"/>
      </w:rPr>
      <w:t>47</w:t>
    </w:r>
    <w:r w:rsidRPr="001B0257">
      <w:rPr>
        <w:rFonts w:ascii="Calibri Light" w:hAnsi="Calibri Light"/>
        <w:sz w:val="22"/>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57984" w14:textId="77777777" w:rsidR="002E12F7" w:rsidRPr="00762B0A" w:rsidRDefault="002E12F7" w:rsidP="001B0257">
    <w:pPr>
      <w:pStyle w:val="Zpat"/>
      <w:tabs>
        <w:tab w:val="left" w:pos="8505"/>
      </w:tabs>
      <w:spacing w:before="0" w:after="0"/>
      <w:jc w:val="left"/>
    </w:pPr>
    <w:r w:rsidRPr="00762B0A">
      <w:t>Zpráva z benchmarkingu za rok 201</w:t>
    </w:r>
    <w:r>
      <w:t>7</w:t>
    </w:r>
    <w:r w:rsidRPr="00762B0A">
      <w:tab/>
    </w:r>
    <w:r w:rsidRPr="00762B0A">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5169A6">
      <w:rPr>
        <w:rFonts w:ascii="Calibri Light" w:hAnsi="Calibri Light"/>
        <w:noProof/>
        <w:sz w:val="22"/>
        <w:szCs w:val="18"/>
      </w:rPr>
      <w:t>49</w:t>
    </w:r>
    <w:r w:rsidRPr="001B0257">
      <w:rPr>
        <w:rFonts w:ascii="Calibri Light" w:hAnsi="Calibri Light"/>
        <w:sz w:val="22"/>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F9FB0" w14:textId="77777777" w:rsidR="002E12F7" w:rsidRPr="00762B0A" w:rsidRDefault="002E12F7" w:rsidP="00F14B2F">
    <w:pPr>
      <w:pStyle w:val="Zpat"/>
      <w:tabs>
        <w:tab w:val="left" w:pos="7064"/>
        <w:tab w:val="left" w:pos="8505"/>
      </w:tabs>
      <w:spacing w:before="0" w:after="0"/>
      <w:jc w:val="left"/>
    </w:pPr>
    <w:r w:rsidRPr="00762B0A">
      <w:t>Zpráva z benchmarkingu za rok 2016</w:t>
    </w:r>
    <w:r w:rsidRPr="00762B0A">
      <w:tab/>
    </w:r>
    <w:r w:rsidRPr="00762B0A">
      <w:tab/>
    </w:r>
    <w:r>
      <w:tab/>
    </w:r>
    <w:r>
      <w:tab/>
    </w:r>
    <w:r>
      <w:tab/>
    </w:r>
    <w:r>
      <w:tab/>
    </w:r>
    <w:r>
      <w:tab/>
    </w:r>
    <w:r>
      <w:tab/>
    </w:r>
    <w:r>
      <w:tab/>
    </w:r>
    <w:r>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5169A6">
      <w:rPr>
        <w:rFonts w:ascii="Calibri Light" w:hAnsi="Calibri Light"/>
        <w:noProof/>
        <w:sz w:val="22"/>
        <w:szCs w:val="18"/>
      </w:rPr>
      <w:t>59</w:t>
    </w:r>
    <w:r w:rsidRPr="001B0257">
      <w:rPr>
        <w:rFonts w:ascii="Calibri Light" w:hAnsi="Calibri Light"/>
        <w:sz w:val="22"/>
        <w:szCs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0A73A" w14:textId="77777777" w:rsidR="002E12F7" w:rsidRPr="00762B0A" w:rsidRDefault="002E12F7" w:rsidP="00F14B2F">
    <w:pPr>
      <w:pStyle w:val="Zpat"/>
      <w:tabs>
        <w:tab w:val="left" w:pos="7064"/>
        <w:tab w:val="left" w:pos="8505"/>
      </w:tabs>
      <w:spacing w:before="0" w:after="0"/>
      <w:jc w:val="left"/>
    </w:pPr>
    <w:r w:rsidRPr="00762B0A">
      <w:t>Zpráva z benchmarkingu za rok 201</w:t>
    </w:r>
    <w:r>
      <w:t>7</w:t>
    </w:r>
    <w:r w:rsidRPr="00762B0A">
      <w:tab/>
    </w:r>
    <w:r w:rsidRPr="00762B0A">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5169A6">
      <w:rPr>
        <w:rFonts w:ascii="Calibri Light" w:hAnsi="Calibri Light"/>
        <w:noProof/>
        <w:sz w:val="22"/>
        <w:szCs w:val="18"/>
      </w:rPr>
      <w:t>68</w:t>
    </w:r>
    <w:r w:rsidRPr="001B0257">
      <w:rPr>
        <w:rFonts w:ascii="Calibri Light" w:hAnsi="Calibri Light"/>
        <w:sz w:val="22"/>
        <w:szCs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D333A" w14:textId="77777777" w:rsidR="002E12F7" w:rsidRPr="00762B0A" w:rsidRDefault="002E12F7" w:rsidP="00F23EEA">
    <w:pPr>
      <w:pStyle w:val="Zpat"/>
      <w:tabs>
        <w:tab w:val="left" w:pos="8160"/>
        <w:tab w:val="left" w:pos="8505"/>
      </w:tabs>
      <w:spacing w:before="0" w:after="0"/>
      <w:jc w:val="left"/>
    </w:pPr>
    <w:r w:rsidRPr="00762B0A">
      <w:t>Zpráva z benchmarkingu za rok 201</w:t>
    </w:r>
    <w:r>
      <w:t>7</w:t>
    </w:r>
    <w:r w:rsidRPr="00762B0A">
      <w:tab/>
    </w:r>
    <w:r w:rsidRPr="00762B0A">
      <w:tab/>
    </w:r>
    <w:r>
      <w:tab/>
    </w:r>
    <w:r>
      <w:tab/>
    </w:r>
    <w:r>
      <w:tab/>
    </w:r>
    <w:r>
      <w:tab/>
    </w:r>
    <w:r>
      <w:tab/>
    </w:r>
    <w:r>
      <w:tab/>
    </w:r>
    <w:r>
      <w:tab/>
    </w:r>
    <w:r>
      <w:tab/>
    </w:r>
    <w:r>
      <w:tab/>
    </w:r>
    <w:r w:rsidRPr="00762B0A">
      <w:fldChar w:fldCharType="begin"/>
    </w:r>
    <w:r w:rsidRPr="00762B0A">
      <w:instrText xml:space="preserve">  </w:instrText>
    </w:r>
    <w:r w:rsidRPr="00762B0A">
      <w:fldChar w:fldCharType="end"/>
    </w:r>
    <w:r w:rsidRPr="001B0257">
      <w:rPr>
        <w:rFonts w:ascii="Calibri Light" w:hAnsi="Calibri Light"/>
        <w:sz w:val="22"/>
        <w:szCs w:val="18"/>
      </w:rPr>
      <w:fldChar w:fldCharType="begin"/>
    </w:r>
    <w:r w:rsidRPr="001B0257">
      <w:rPr>
        <w:rFonts w:ascii="Calibri Light" w:hAnsi="Calibri Light"/>
        <w:sz w:val="22"/>
        <w:szCs w:val="18"/>
      </w:rPr>
      <w:instrText>PAGE   \* MERGEFORMAT</w:instrText>
    </w:r>
    <w:r w:rsidRPr="001B0257">
      <w:rPr>
        <w:rFonts w:ascii="Calibri Light" w:hAnsi="Calibri Light"/>
        <w:sz w:val="22"/>
        <w:szCs w:val="18"/>
      </w:rPr>
      <w:fldChar w:fldCharType="separate"/>
    </w:r>
    <w:r w:rsidR="005169A6">
      <w:rPr>
        <w:rFonts w:ascii="Calibri Light" w:hAnsi="Calibri Light"/>
        <w:noProof/>
        <w:sz w:val="22"/>
        <w:szCs w:val="18"/>
      </w:rPr>
      <w:t>70</w:t>
    </w:r>
    <w:r w:rsidRPr="001B0257">
      <w:rPr>
        <w:rFonts w:ascii="Calibri Light" w:hAnsi="Calibri Light"/>
        <w:sz w:val="22"/>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3B3F7" w14:textId="77777777" w:rsidR="002E12F7" w:rsidRDefault="002E12F7" w:rsidP="007D222B">
      <w:pPr>
        <w:spacing w:before="0" w:after="0"/>
      </w:pPr>
      <w:r>
        <w:separator/>
      </w:r>
    </w:p>
    <w:p w14:paraId="765BDF3F" w14:textId="77777777" w:rsidR="002E12F7" w:rsidRDefault="002E12F7"/>
    <w:p w14:paraId="3D906FE5" w14:textId="77777777" w:rsidR="002E12F7" w:rsidRDefault="002E12F7" w:rsidP="006A4F53"/>
  </w:footnote>
  <w:footnote w:type="continuationSeparator" w:id="0">
    <w:p w14:paraId="42B963ED" w14:textId="77777777" w:rsidR="002E12F7" w:rsidRDefault="002E12F7" w:rsidP="007D222B">
      <w:pPr>
        <w:spacing w:before="0" w:after="0"/>
      </w:pPr>
      <w:r>
        <w:continuationSeparator/>
      </w:r>
    </w:p>
    <w:p w14:paraId="5D3B5695" w14:textId="77777777" w:rsidR="002E12F7" w:rsidRDefault="002E12F7"/>
    <w:p w14:paraId="48758A04" w14:textId="77777777" w:rsidR="002E12F7" w:rsidRDefault="002E12F7" w:rsidP="006A4F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0076C" w14:textId="173EF135" w:rsidR="002E12F7" w:rsidRPr="006A4C8D" w:rsidRDefault="002E12F7" w:rsidP="00847300">
    <w:pPr>
      <w:pStyle w:val="Styl2"/>
    </w:pPr>
    <w:r>
      <w:t>č. j 10503</w:t>
    </w:r>
    <w:r w:rsidRPr="00652EA8">
      <w:t>/201</w:t>
    </w:r>
    <w:r>
      <w:t>9</w:t>
    </w:r>
    <w:r w:rsidRPr="00652EA8">
      <w:t>-MZE-15161</w:t>
    </w:r>
  </w:p>
  <w:p w14:paraId="3F79A528" w14:textId="77777777" w:rsidR="002E12F7" w:rsidRPr="006A4C8D" w:rsidRDefault="002E12F7" w:rsidP="006A4F53">
    <w:pPr>
      <w:pStyle w:val="Sty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C6AAD"/>
    <w:multiLevelType w:val="hybridMultilevel"/>
    <w:tmpl w:val="8E66716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AA75E65"/>
    <w:multiLevelType w:val="multilevel"/>
    <w:tmpl w:val="4FBE86CE"/>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6125EEF"/>
    <w:multiLevelType w:val="multilevel"/>
    <w:tmpl w:val="F97CAC6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D51E22"/>
    <w:multiLevelType w:val="hybridMultilevel"/>
    <w:tmpl w:val="224E67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EF529A"/>
    <w:multiLevelType w:val="hybridMultilevel"/>
    <w:tmpl w:val="0E8C91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AF0FD6"/>
    <w:multiLevelType w:val="hybridMultilevel"/>
    <w:tmpl w:val="E7507C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C153C0"/>
    <w:multiLevelType w:val="multilevel"/>
    <w:tmpl w:val="F97CAC6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25E0ED0"/>
    <w:multiLevelType w:val="hybridMultilevel"/>
    <w:tmpl w:val="C3E491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97440C"/>
    <w:multiLevelType w:val="hybridMultilevel"/>
    <w:tmpl w:val="CB1C75C2"/>
    <w:lvl w:ilvl="0" w:tplc="0B2E6974">
      <w:start w:val="1"/>
      <w:numFmt w:val="decimal"/>
      <w:pStyle w:val="1Nadpis"/>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383C25E1"/>
    <w:multiLevelType w:val="hybridMultilevel"/>
    <w:tmpl w:val="82407AC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3B68D6"/>
    <w:multiLevelType w:val="hybridMultilevel"/>
    <w:tmpl w:val="31D297E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4E06C7"/>
    <w:multiLevelType w:val="hybridMultilevel"/>
    <w:tmpl w:val="86EC872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2" w15:restartNumberingAfterBreak="0">
    <w:nsid w:val="41285F2E"/>
    <w:multiLevelType w:val="hybridMultilevel"/>
    <w:tmpl w:val="6D3AD74A"/>
    <w:lvl w:ilvl="0" w:tplc="0405000F">
      <w:start w:val="1"/>
      <w:numFmt w:val="decimal"/>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2125C4C"/>
    <w:multiLevelType w:val="multilevel"/>
    <w:tmpl w:val="8EA4B4FC"/>
    <w:lvl w:ilvl="0">
      <w:start w:val="1"/>
      <w:numFmt w:val="decimal"/>
      <w:lvlText w:val="%1"/>
      <w:lvlJc w:val="left"/>
      <w:pPr>
        <w:ind w:left="360" w:hanging="360"/>
      </w:pPr>
      <w:rPr>
        <w:rFonts w:hint="default"/>
      </w:rPr>
    </w:lvl>
    <w:lvl w:ilvl="1">
      <w:start w:val="1"/>
      <w:numFmt w:val="decimal"/>
      <w:lvlText w:val="%1.3"/>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33D4604"/>
    <w:multiLevelType w:val="hybridMultilevel"/>
    <w:tmpl w:val="82407AC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6B6746"/>
    <w:multiLevelType w:val="hybridMultilevel"/>
    <w:tmpl w:val="E7507C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015484"/>
    <w:multiLevelType w:val="hybridMultilevel"/>
    <w:tmpl w:val="4D3EC4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54B7841"/>
    <w:multiLevelType w:val="hybridMultilevel"/>
    <w:tmpl w:val="EC4269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9F96F00"/>
    <w:multiLevelType w:val="multilevel"/>
    <w:tmpl w:val="54801506"/>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375" w:hanging="375"/>
      </w:pPr>
      <w:rPr>
        <w:rFonts w:hint="default"/>
      </w:rPr>
    </w:lvl>
    <w:lvl w:ilvl="2">
      <w:start w:val="1"/>
      <w:numFmt w:val="decimal"/>
      <w:pStyle w:val="Nadpis3"/>
      <w:lvlText w:val="%1.%2.%3"/>
      <w:lvlJc w:val="left"/>
      <w:pPr>
        <w:ind w:left="720" w:hanging="720"/>
      </w:pPr>
      <w:rPr>
        <w:rFonts w:cs="Times New Roman"/>
        <w:b w:val="0"/>
        <w:bCs w:val="0"/>
        <w:iCs w:val="0"/>
        <w:caps w:val="0"/>
        <w:smallCaps w:val="0"/>
        <w:strike w:val="0"/>
        <w:dstrike w:val="0"/>
        <w:noProof w:val="0"/>
        <w:vanish w:val="0"/>
        <w:color w:val="1F3864" w:themeColor="accent5" w:themeShade="80"/>
        <w:spacing w:val="0"/>
        <w:kern w:val="0"/>
        <w:position w:val="0"/>
        <w:u w:val="none"/>
        <w:vertAlign w:val="baseline"/>
        <w:em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FBF7F18"/>
    <w:multiLevelType w:val="hybridMultilevel"/>
    <w:tmpl w:val="18061C4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15:restartNumberingAfterBreak="0">
    <w:nsid w:val="63C1268F"/>
    <w:multiLevelType w:val="multilevel"/>
    <w:tmpl w:val="F97CAC6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60C2C42"/>
    <w:multiLevelType w:val="hybridMultilevel"/>
    <w:tmpl w:val="5CD60844"/>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2" w15:restartNumberingAfterBreak="0">
    <w:nsid w:val="6AA46BDB"/>
    <w:multiLevelType w:val="hybridMultilevel"/>
    <w:tmpl w:val="224E67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B3B7391"/>
    <w:multiLevelType w:val="hybridMultilevel"/>
    <w:tmpl w:val="A9187A3C"/>
    <w:lvl w:ilvl="0" w:tplc="0405000F">
      <w:start w:val="1"/>
      <w:numFmt w:val="decimal"/>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6C083799"/>
    <w:multiLevelType w:val="hybridMultilevel"/>
    <w:tmpl w:val="224E67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1286C29"/>
    <w:multiLevelType w:val="hybridMultilevel"/>
    <w:tmpl w:val="67E8A1F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7B071D03"/>
    <w:multiLevelType w:val="hybridMultilevel"/>
    <w:tmpl w:val="8416C5E0"/>
    <w:lvl w:ilvl="0" w:tplc="04050001">
      <w:start w:val="1"/>
      <w:numFmt w:val="bullet"/>
      <w:lvlText w:val=""/>
      <w:lvlJc w:val="left"/>
      <w:pPr>
        <w:ind w:left="80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27" w15:restartNumberingAfterBreak="0">
    <w:nsid w:val="7BE717B0"/>
    <w:multiLevelType w:val="hybridMultilevel"/>
    <w:tmpl w:val="E7507C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4"/>
  </w:num>
  <w:num w:numId="3">
    <w:abstractNumId w:val="6"/>
  </w:num>
  <w:num w:numId="4">
    <w:abstractNumId w:val="27"/>
  </w:num>
  <w:num w:numId="5">
    <w:abstractNumId w:val="1"/>
  </w:num>
  <w:num w:numId="6">
    <w:abstractNumId w:val="8"/>
  </w:num>
  <w:num w:numId="7">
    <w:abstractNumId w:val="18"/>
  </w:num>
  <w:num w:numId="8">
    <w:abstractNumId w:val="15"/>
  </w:num>
  <w:num w:numId="9">
    <w:abstractNumId w:val="17"/>
  </w:num>
  <w:num w:numId="10">
    <w:abstractNumId w:val="22"/>
  </w:num>
  <w:num w:numId="11">
    <w:abstractNumId w:val="20"/>
  </w:num>
  <w:num w:numId="12">
    <w:abstractNumId w:val="4"/>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3"/>
  </w:num>
  <w:num w:numId="19">
    <w:abstractNumId w:val="5"/>
  </w:num>
  <w:num w:numId="20">
    <w:abstractNumId w:val="9"/>
  </w:num>
  <w:num w:numId="21">
    <w:abstractNumId w:val="24"/>
  </w:num>
  <w:num w:numId="22">
    <w:abstractNumId w:val="2"/>
  </w:num>
  <w:num w:numId="23">
    <w:abstractNumId w:val="26"/>
  </w:num>
  <w:num w:numId="24">
    <w:abstractNumId w:val="19"/>
  </w:num>
  <w:num w:numId="25">
    <w:abstractNumId w:val="11"/>
  </w:num>
  <w:num w:numId="26">
    <w:abstractNumId w:val="16"/>
  </w:num>
  <w:num w:numId="27">
    <w:abstractNumId w:val="7"/>
  </w:num>
  <w:num w:numId="28">
    <w:abstractNumId w:val="0"/>
  </w:num>
  <w:num w:numId="29">
    <w:abstractNumId w:val="10"/>
  </w:num>
  <w:num w:numId="30">
    <w:abstractNumId w:val="25"/>
  </w:num>
  <w:num w:numId="31">
    <w:abstractNumId w:val="12"/>
  </w:num>
  <w:num w:numId="3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65"/>
    <w:rsid w:val="000006C8"/>
    <w:rsid w:val="00003096"/>
    <w:rsid w:val="00003BEA"/>
    <w:rsid w:val="000048C1"/>
    <w:rsid w:val="00004FC9"/>
    <w:rsid w:val="000066BC"/>
    <w:rsid w:val="00010D7F"/>
    <w:rsid w:val="00010F57"/>
    <w:rsid w:val="00011029"/>
    <w:rsid w:val="000115A4"/>
    <w:rsid w:val="00011A33"/>
    <w:rsid w:val="00011ECC"/>
    <w:rsid w:val="000128FB"/>
    <w:rsid w:val="00012F8C"/>
    <w:rsid w:val="0001342A"/>
    <w:rsid w:val="00013E98"/>
    <w:rsid w:val="00014818"/>
    <w:rsid w:val="000211A7"/>
    <w:rsid w:val="0002392C"/>
    <w:rsid w:val="0002462E"/>
    <w:rsid w:val="000255C2"/>
    <w:rsid w:val="00026490"/>
    <w:rsid w:val="0002699F"/>
    <w:rsid w:val="00027F8A"/>
    <w:rsid w:val="000302AB"/>
    <w:rsid w:val="000305CD"/>
    <w:rsid w:val="0003065C"/>
    <w:rsid w:val="000306EC"/>
    <w:rsid w:val="00030F74"/>
    <w:rsid w:val="000312E6"/>
    <w:rsid w:val="000331FE"/>
    <w:rsid w:val="00033FD8"/>
    <w:rsid w:val="0003741C"/>
    <w:rsid w:val="00037FDB"/>
    <w:rsid w:val="00040A17"/>
    <w:rsid w:val="0004117F"/>
    <w:rsid w:val="00041531"/>
    <w:rsid w:val="000448AE"/>
    <w:rsid w:val="000449CC"/>
    <w:rsid w:val="000450DC"/>
    <w:rsid w:val="00050E3A"/>
    <w:rsid w:val="000516D9"/>
    <w:rsid w:val="000543B7"/>
    <w:rsid w:val="00054418"/>
    <w:rsid w:val="000555EA"/>
    <w:rsid w:val="00055D4D"/>
    <w:rsid w:val="00061825"/>
    <w:rsid w:val="00061A88"/>
    <w:rsid w:val="00061DEF"/>
    <w:rsid w:val="000620B2"/>
    <w:rsid w:val="00062D24"/>
    <w:rsid w:val="00062D3E"/>
    <w:rsid w:val="00063F5F"/>
    <w:rsid w:val="00067600"/>
    <w:rsid w:val="00067A9A"/>
    <w:rsid w:val="00067C84"/>
    <w:rsid w:val="0007090D"/>
    <w:rsid w:val="00071A92"/>
    <w:rsid w:val="000737E6"/>
    <w:rsid w:val="0007473E"/>
    <w:rsid w:val="00075DD0"/>
    <w:rsid w:val="0007624E"/>
    <w:rsid w:val="00076466"/>
    <w:rsid w:val="0007664A"/>
    <w:rsid w:val="00081E54"/>
    <w:rsid w:val="00083D0E"/>
    <w:rsid w:val="00083D1F"/>
    <w:rsid w:val="000908C7"/>
    <w:rsid w:val="000909B1"/>
    <w:rsid w:val="000937F8"/>
    <w:rsid w:val="000963DD"/>
    <w:rsid w:val="00097D32"/>
    <w:rsid w:val="000A02AF"/>
    <w:rsid w:val="000A06BE"/>
    <w:rsid w:val="000A159C"/>
    <w:rsid w:val="000A15EF"/>
    <w:rsid w:val="000A4E9F"/>
    <w:rsid w:val="000A6926"/>
    <w:rsid w:val="000A6CF4"/>
    <w:rsid w:val="000A74FC"/>
    <w:rsid w:val="000B3942"/>
    <w:rsid w:val="000B3FF1"/>
    <w:rsid w:val="000B4C0D"/>
    <w:rsid w:val="000B4E2B"/>
    <w:rsid w:val="000B565F"/>
    <w:rsid w:val="000B6162"/>
    <w:rsid w:val="000B785D"/>
    <w:rsid w:val="000C0870"/>
    <w:rsid w:val="000C0BD0"/>
    <w:rsid w:val="000C3837"/>
    <w:rsid w:val="000C45FF"/>
    <w:rsid w:val="000C4954"/>
    <w:rsid w:val="000C5319"/>
    <w:rsid w:val="000C60DB"/>
    <w:rsid w:val="000D074A"/>
    <w:rsid w:val="000D1881"/>
    <w:rsid w:val="000D41A2"/>
    <w:rsid w:val="000D4CE9"/>
    <w:rsid w:val="000D5CC4"/>
    <w:rsid w:val="000D6206"/>
    <w:rsid w:val="000D7E91"/>
    <w:rsid w:val="000E1432"/>
    <w:rsid w:val="000E38AE"/>
    <w:rsid w:val="000E45D3"/>
    <w:rsid w:val="000E48A7"/>
    <w:rsid w:val="000E4F41"/>
    <w:rsid w:val="000E5D61"/>
    <w:rsid w:val="000E6066"/>
    <w:rsid w:val="000E72CC"/>
    <w:rsid w:val="000E795C"/>
    <w:rsid w:val="000E7C0E"/>
    <w:rsid w:val="000F0D38"/>
    <w:rsid w:val="000F3EC9"/>
    <w:rsid w:val="000F40EB"/>
    <w:rsid w:val="000F4BA7"/>
    <w:rsid w:val="000F559B"/>
    <w:rsid w:val="000F5D90"/>
    <w:rsid w:val="000F7562"/>
    <w:rsid w:val="00100A94"/>
    <w:rsid w:val="001014DD"/>
    <w:rsid w:val="001042CB"/>
    <w:rsid w:val="001046FB"/>
    <w:rsid w:val="00104787"/>
    <w:rsid w:val="0010527B"/>
    <w:rsid w:val="00107DBC"/>
    <w:rsid w:val="001118B6"/>
    <w:rsid w:val="00112520"/>
    <w:rsid w:val="00114717"/>
    <w:rsid w:val="001150E0"/>
    <w:rsid w:val="001155F5"/>
    <w:rsid w:val="00115621"/>
    <w:rsid w:val="001159F2"/>
    <w:rsid w:val="00115BC3"/>
    <w:rsid w:val="001222B5"/>
    <w:rsid w:val="00123395"/>
    <w:rsid w:val="0012437D"/>
    <w:rsid w:val="00125FA2"/>
    <w:rsid w:val="00126161"/>
    <w:rsid w:val="00126958"/>
    <w:rsid w:val="0012707B"/>
    <w:rsid w:val="0012753A"/>
    <w:rsid w:val="00132940"/>
    <w:rsid w:val="00132C97"/>
    <w:rsid w:val="0013324A"/>
    <w:rsid w:val="00133A56"/>
    <w:rsid w:val="001347ED"/>
    <w:rsid w:val="00134E21"/>
    <w:rsid w:val="00135CDE"/>
    <w:rsid w:val="00136909"/>
    <w:rsid w:val="00136B18"/>
    <w:rsid w:val="00140C3D"/>
    <w:rsid w:val="00141742"/>
    <w:rsid w:val="001425E3"/>
    <w:rsid w:val="00143287"/>
    <w:rsid w:val="0014328E"/>
    <w:rsid w:val="001434DA"/>
    <w:rsid w:val="00145DB3"/>
    <w:rsid w:val="00147C4A"/>
    <w:rsid w:val="00150ED1"/>
    <w:rsid w:val="00152079"/>
    <w:rsid w:val="00152198"/>
    <w:rsid w:val="00152FED"/>
    <w:rsid w:val="001546CA"/>
    <w:rsid w:val="00154A9C"/>
    <w:rsid w:val="00156B72"/>
    <w:rsid w:val="00160B72"/>
    <w:rsid w:val="00160E49"/>
    <w:rsid w:val="001612A8"/>
    <w:rsid w:val="00162138"/>
    <w:rsid w:val="00163184"/>
    <w:rsid w:val="00163DF4"/>
    <w:rsid w:val="001657BD"/>
    <w:rsid w:val="00165BB4"/>
    <w:rsid w:val="00166638"/>
    <w:rsid w:val="00167C3C"/>
    <w:rsid w:val="00170DB2"/>
    <w:rsid w:val="00171AE6"/>
    <w:rsid w:val="001732A3"/>
    <w:rsid w:val="00173D02"/>
    <w:rsid w:val="00175EAF"/>
    <w:rsid w:val="001778DE"/>
    <w:rsid w:val="00177FC0"/>
    <w:rsid w:val="00180A56"/>
    <w:rsid w:val="00183884"/>
    <w:rsid w:val="00184F09"/>
    <w:rsid w:val="0018552D"/>
    <w:rsid w:val="00185A84"/>
    <w:rsid w:val="00187398"/>
    <w:rsid w:val="0018766C"/>
    <w:rsid w:val="00187982"/>
    <w:rsid w:val="001900D1"/>
    <w:rsid w:val="00191E74"/>
    <w:rsid w:val="00192C90"/>
    <w:rsid w:val="00194804"/>
    <w:rsid w:val="001952F6"/>
    <w:rsid w:val="00196C68"/>
    <w:rsid w:val="001A004B"/>
    <w:rsid w:val="001A012A"/>
    <w:rsid w:val="001A1419"/>
    <w:rsid w:val="001A2244"/>
    <w:rsid w:val="001A357E"/>
    <w:rsid w:val="001A4065"/>
    <w:rsid w:val="001A4582"/>
    <w:rsid w:val="001A48F9"/>
    <w:rsid w:val="001A5DAA"/>
    <w:rsid w:val="001A5E1E"/>
    <w:rsid w:val="001A67BE"/>
    <w:rsid w:val="001A7B72"/>
    <w:rsid w:val="001A7D43"/>
    <w:rsid w:val="001A7DEE"/>
    <w:rsid w:val="001B0257"/>
    <w:rsid w:val="001B11BD"/>
    <w:rsid w:val="001B25B3"/>
    <w:rsid w:val="001B2A36"/>
    <w:rsid w:val="001B3150"/>
    <w:rsid w:val="001B370C"/>
    <w:rsid w:val="001B444F"/>
    <w:rsid w:val="001B4F36"/>
    <w:rsid w:val="001B5BD9"/>
    <w:rsid w:val="001B64BF"/>
    <w:rsid w:val="001B6C6A"/>
    <w:rsid w:val="001C0402"/>
    <w:rsid w:val="001C1807"/>
    <w:rsid w:val="001C221B"/>
    <w:rsid w:val="001C24D2"/>
    <w:rsid w:val="001C2505"/>
    <w:rsid w:val="001C2E7E"/>
    <w:rsid w:val="001C51CB"/>
    <w:rsid w:val="001C51E5"/>
    <w:rsid w:val="001D00D8"/>
    <w:rsid w:val="001D022B"/>
    <w:rsid w:val="001D02DE"/>
    <w:rsid w:val="001D1B4D"/>
    <w:rsid w:val="001D2A9D"/>
    <w:rsid w:val="001D4DE5"/>
    <w:rsid w:val="001D5305"/>
    <w:rsid w:val="001D779C"/>
    <w:rsid w:val="001E0C0E"/>
    <w:rsid w:val="001E10F7"/>
    <w:rsid w:val="001E111A"/>
    <w:rsid w:val="001E179C"/>
    <w:rsid w:val="001E2CDC"/>
    <w:rsid w:val="001E3036"/>
    <w:rsid w:val="001E3B57"/>
    <w:rsid w:val="001E409E"/>
    <w:rsid w:val="001E60C1"/>
    <w:rsid w:val="001E62D7"/>
    <w:rsid w:val="001E7952"/>
    <w:rsid w:val="001F02E1"/>
    <w:rsid w:val="001F0E78"/>
    <w:rsid w:val="001F25D1"/>
    <w:rsid w:val="001F2A35"/>
    <w:rsid w:val="001F3728"/>
    <w:rsid w:val="001F3E56"/>
    <w:rsid w:val="001F460A"/>
    <w:rsid w:val="001F46EE"/>
    <w:rsid w:val="001F474C"/>
    <w:rsid w:val="001F4927"/>
    <w:rsid w:val="001F5B53"/>
    <w:rsid w:val="00200BC6"/>
    <w:rsid w:val="00200D36"/>
    <w:rsid w:val="00201A75"/>
    <w:rsid w:val="0020242E"/>
    <w:rsid w:val="0020396B"/>
    <w:rsid w:val="00203F13"/>
    <w:rsid w:val="0020479B"/>
    <w:rsid w:val="002050BE"/>
    <w:rsid w:val="00205D02"/>
    <w:rsid w:val="00206414"/>
    <w:rsid w:val="00207ECD"/>
    <w:rsid w:val="00210122"/>
    <w:rsid w:val="002101EA"/>
    <w:rsid w:val="0021257D"/>
    <w:rsid w:val="00212AC3"/>
    <w:rsid w:val="002144C0"/>
    <w:rsid w:val="002146FC"/>
    <w:rsid w:val="00214DA2"/>
    <w:rsid w:val="002156C9"/>
    <w:rsid w:val="00216099"/>
    <w:rsid w:val="00220EB6"/>
    <w:rsid w:val="00222F80"/>
    <w:rsid w:val="00230599"/>
    <w:rsid w:val="00230A65"/>
    <w:rsid w:val="00232ACA"/>
    <w:rsid w:val="0023338A"/>
    <w:rsid w:val="00235587"/>
    <w:rsid w:val="00235CAC"/>
    <w:rsid w:val="00236619"/>
    <w:rsid w:val="00237083"/>
    <w:rsid w:val="002371C2"/>
    <w:rsid w:val="00240BFF"/>
    <w:rsid w:val="00243F54"/>
    <w:rsid w:val="002450C7"/>
    <w:rsid w:val="00245795"/>
    <w:rsid w:val="00245802"/>
    <w:rsid w:val="00245A3E"/>
    <w:rsid w:val="0024647D"/>
    <w:rsid w:val="00247B59"/>
    <w:rsid w:val="002501C7"/>
    <w:rsid w:val="002505EC"/>
    <w:rsid w:val="00250B89"/>
    <w:rsid w:val="002510DF"/>
    <w:rsid w:val="00251731"/>
    <w:rsid w:val="00251F6D"/>
    <w:rsid w:val="0025489F"/>
    <w:rsid w:val="00254B75"/>
    <w:rsid w:val="0025510F"/>
    <w:rsid w:val="0025790F"/>
    <w:rsid w:val="0026016C"/>
    <w:rsid w:val="00262737"/>
    <w:rsid w:val="00263D39"/>
    <w:rsid w:val="0026569A"/>
    <w:rsid w:val="002716A2"/>
    <w:rsid w:val="002726B2"/>
    <w:rsid w:val="00274819"/>
    <w:rsid w:val="00277DD3"/>
    <w:rsid w:val="00280C56"/>
    <w:rsid w:val="0028157C"/>
    <w:rsid w:val="00281B26"/>
    <w:rsid w:val="002821D1"/>
    <w:rsid w:val="00284ED7"/>
    <w:rsid w:val="00285406"/>
    <w:rsid w:val="00286BF5"/>
    <w:rsid w:val="00287CC0"/>
    <w:rsid w:val="00290659"/>
    <w:rsid w:val="00291323"/>
    <w:rsid w:val="00293B91"/>
    <w:rsid w:val="00294728"/>
    <w:rsid w:val="00295FEE"/>
    <w:rsid w:val="002A0246"/>
    <w:rsid w:val="002A0852"/>
    <w:rsid w:val="002A2172"/>
    <w:rsid w:val="002A2B9F"/>
    <w:rsid w:val="002A3893"/>
    <w:rsid w:val="002A584D"/>
    <w:rsid w:val="002B0485"/>
    <w:rsid w:val="002B0FF3"/>
    <w:rsid w:val="002B20DB"/>
    <w:rsid w:val="002B33A8"/>
    <w:rsid w:val="002B58C5"/>
    <w:rsid w:val="002B7086"/>
    <w:rsid w:val="002B7D81"/>
    <w:rsid w:val="002C01A8"/>
    <w:rsid w:val="002C3AE2"/>
    <w:rsid w:val="002C71E2"/>
    <w:rsid w:val="002C7645"/>
    <w:rsid w:val="002C7A4B"/>
    <w:rsid w:val="002C7CC4"/>
    <w:rsid w:val="002D1051"/>
    <w:rsid w:val="002D2891"/>
    <w:rsid w:val="002D3A66"/>
    <w:rsid w:val="002E0859"/>
    <w:rsid w:val="002E0CE1"/>
    <w:rsid w:val="002E1015"/>
    <w:rsid w:val="002E12F7"/>
    <w:rsid w:val="002E14C2"/>
    <w:rsid w:val="002E4725"/>
    <w:rsid w:val="002E4CED"/>
    <w:rsid w:val="002E4EAD"/>
    <w:rsid w:val="002E7E3D"/>
    <w:rsid w:val="002F0233"/>
    <w:rsid w:val="002F1C1F"/>
    <w:rsid w:val="002F44D7"/>
    <w:rsid w:val="002F4C99"/>
    <w:rsid w:val="002F6144"/>
    <w:rsid w:val="002F61A3"/>
    <w:rsid w:val="002F6442"/>
    <w:rsid w:val="002F6B9F"/>
    <w:rsid w:val="002F73D9"/>
    <w:rsid w:val="003013EC"/>
    <w:rsid w:val="00303493"/>
    <w:rsid w:val="00304B61"/>
    <w:rsid w:val="00306B69"/>
    <w:rsid w:val="00315927"/>
    <w:rsid w:val="0031644B"/>
    <w:rsid w:val="00316A94"/>
    <w:rsid w:val="00320A35"/>
    <w:rsid w:val="00320C41"/>
    <w:rsid w:val="00320CD6"/>
    <w:rsid w:val="003225AF"/>
    <w:rsid w:val="003249F9"/>
    <w:rsid w:val="00324D46"/>
    <w:rsid w:val="0032532D"/>
    <w:rsid w:val="00326896"/>
    <w:rsid w:val="00326EB5"/>
    <w:rsid w:val="0032742F"/>
    <w:rsid w:val="003300AA"/>
    <w:rsid w:val="003311F8"/>
    <w:rsid w:val="00331754"/>
    <w:rsid w:val="00331D08"/>
    <w:rsid w:val="00331E53"/>
    <w:rsid w:val="003340B5"/>
    <w:rsid w:val="00335EC5"/>
    <w:rsid w:val="00337C1B"/>
    <w:rsid w:val="003409B3"/>
    <w:rsid w:val="00340E82"/>
    <w:rsid w:val="0034197E"/>
    <w:rsid w:val="003445F0"/>
    <w:rsid w:val="00344EAD"/>
    <w:rsid w:val="003466F3"/>
    <w:rsid w:val="003471FD"/>
    <w:rsid w:val="00350223"/>
    <w:rsid w:val="00351EEC"/>
    <w:rsid w:val="00352207"/>
    <w:rsid w:val="00352D28"/>
    <w:rsid w:val="0035376C"/>
    <w:rsid w:val="0035434B"/>
    <w:rsid w:val="00354369"/>
    <w:rsid w:val="003565F6"/>
    <w:rsid w:val="00356EFF"/>
    <w:rsid w:val="0035737C"/>
    <w:rsid w:val="00360D80"/>
    <w:rsid w:val="0036188E"/>
    <w:rsid w:val="00362280"/>
    <w:rsid w:val="00366E84"/>
    <w:rsid w:val="003705BA"/>
    <w:rsid w:val="003712C0"/>
    <w:rsid w:val="003717EF"/>
    <w:rsid w:val="00371828"/>
    <w:rsid w:val="0037316E"/>
    <w:rsid w:val="003759BB"/>
    <w:rsid w:val="00376C0B"/>
    <w:rsid w:val="003778BB"/>
    <w:rsid w:val="00377A53"/>
    <w:rsid w:val="00377EE6"/>
    <w:rsid w:val="00380421"/>
    <w:rsid w:val="00380932"/>
    <w:rsid w:val="00382CAA"/>
    <w:rsid w:val="0038464F"/>
    <w:rsid w:val="00384A62"/>
    <w:rsid w:val="00384CC9"/>
    <w:rsid w:val="00385702"/>
    <w:rsid w:val="003868EC"/>
    <w:rsid w:val="0039035F"/>
    <w:rsid w:val="00394127"/>
    <w:rsid w:val="00394A92"/>
    <w:rsid w:val="00396A0E"/>
    <w:rsid w:val="003A1F76"/>
    <w:rsid w:val="003A248F"/>
    <w:rsid w:val="003A4A7A"/>
    <w:rsid w:val="003A6341"/>
    <w:rsid w:val="003A66C9"/>
    <w:rsid w:val="003B0A57"/>
    <w:rsid w:val="003B2F99"/>
    <w:rsid w:val="003B3564"/>
    <w:rsid w:val="003B4FC2"/>
    <w:rsid w:val="003B708D"/>
    <w:rsid w:val="003B7E54"/>
    <w:rsid w:val="003C01D7"/>
    <w:rsid w:val="003C0472"/>
    <w:rsid w:val="003C3A45"/>
    <w:rsid w:val="003C5045"/>
    <w:rsid w:val="003C548E"/>
    <w:rsid w:val="003D08FA"/>
    <w:rsid w:val="003D54E6"/>
    <w:rsid w:val="003D594A"/>
    <w:rsid w:val="003D6613"/>
    <w:rsid w:val="003D703E"/>
    <w:rsid w:val="003D732F"/>
    <w:rsid w:val="003D77E1"/>
    <w:rsid w:val="003D7A23"/>
    <w:rsid w:val="003E21FD"/>
    <w:rsid w:val="003E268E"/>
    <w:rsid w:val="003E3519"/>
    <w:rsid w:val="003E40F7"/>
    <w:rsid w:val="003E5575"/>
    <w:rsid w:val="003E60F4"/>
    <w:rsid w:val="003E6302"/>
    <w:rsid w:val="003E74EE"/>
    <w:rsid w:val="003F1346"/>
    <w:rsid w:val="003F1917"/>
    <w:rsid w:val="003F22DC"/>
    <w:rsid w:val="003F32FA"/>
    <w:rsid w:val="003F3825"/>
    <w:rsid w:val="003F38FE"/>
    <w:rsid w:val="003F39C3"/>
    <w:rsid w:val="003F4AD9"/>
    <w:rsid w:val="003F4D07"/>
    <w:rsid w:val="003F50C2"/>
    <w:rsid w:val="003F554A"/>
    <w:rsid w:val="003F7EDF"/>
    <w:rsid w:val="00400400"/>
    <w:rsid w:val="00400437"/>
    <w:rsid w:val="00403BAF"/>
    <w:rsid w:val="00403D12"/>
    <w:rsid w:val="00404A69"/>
    <w:rsid w:val="0041089C"/>
    <w:rsid w:val="00411100"/>
    <w:rsid w:val="004142CF"/>
    <w:rsid w:val="00414541"/>
    <w:rsid w:val="00414C3E"/>
    <w:rsid w:val="00415784"/>
    <w:rsid w:val="004165F8"/>
    <w:rsid w:val="0041683D"/>
    <w:rsid w:val="00417D80"/>
    <w:rsid w:val="004239E4"/>
    <w:rsid w:val="00425DDC"/>
    <w:rsid w:val="004265A4"/>
    <w:rsid w:val="00430622"/>
    <w:rsid w:val="004320BF"/>
    <w:rsid w:val="00433405"/>
    <w:rsid w:val="00433A6F"/>
    <w:rsid w:val="00433BE4"/>
    <w:rsid w:val="004343E4"/>
    <w:rsid w:val="00434517"/>
    <w:rsid w:val="004352B9"/>
    <w:rsid w:val="00436927"/>
    <w:rsid w:val="004414AB"/>
    <w:rsid w:val="0044159E"/>
    <w:rsid w:val="004419C5"/>
    <w:rsid w:val="00443CD9"/>
    <w:rsid w:val="0044551A"/>
    <w:rsid w:val="00445DF5"/>
    <w:rsid w:val="0044627E"/>
    <w:rsid w:val="00446335"/>
    <w:rsid w:val="004501A7"/>
    <w:rsid w:val="00451A26"/>
    <w:rsid w:val="00452803"/>
    <w:rsid w:val="00452AC9"/>
    <w:rsid w:val="004545AD"/>
    <w:rsid w:val="004559BE"/>
    <w:rsid w:val="00456C7E"/>
    <w:rsid w:val="004573DC"/>
    <w:rsid w:val="00457CB2"/>
    <w:rsid w:val="00457CF5"/>
    <w:rsid w:val="00460D65"/>
    <w:rsid w:val="00463168"/>
    <w:rsid w:val="00463C77"/>
    <w:rsid w:val="004643DE"/>
    <w:rsid w:val="004669F2"/>
    <w:rsid w:val="00470C1D"/>
    <w:rsid w:val="00471951"/>
    <w:rsid w:val="00472327"/>
    <w:rsid w:val="00472A24"/>
    <w:rsid w:val="00473A72"/>
    <w:rsid w:val="00473BCD"/>
    <w:rsid w:val="004747F3"/>
    <w:rsid w:val="0047549B"/>
    <w:rsid w:val="0047569D"/>
    <w:rsid w:val="00476B5F"/>
    <w:rsid w:val="00477C9D"/>
    <w:rsid w:val="004800EE"/>
    <w:rsid w:val="00482659"/>
    <w:rsid w:val="00482894"/>
    <w:rsid w:val="00482F43"/>
    <w:rsid w:val="00486357"/>
    <w:rsid w:val="004864BE"/>
    <w:rsid w:val="00487A63"/>
    <w:rsid w:val="004917B0"/>
    <w:rsid w:val="00491939"/>
    <w:rsid w:val="00492591"/>
    <w:rsid w:val="00492CB1"/>
    <w:rsid w:val="00492F1A"/>
    <w:rsid w:val="00493C25"/>
    <w:rsid w:val="00493D78"/>
    <w:rsid w:val="0049509D"/>
    <w:rsid w:val="004958C5"/>
    <w:rsid w:val="00496FCD"/>
    <w:rsid w:val="004A06CC"/>
    <w:rsid w:val="004A0B2F"/>
    <w:rsid w:val="004A1601"/>
    <w:rsid w:val="004A19FC"/>
    <w:rsid w:val="004A5F01"/>
    <w:rsid w:val="004A6E08"/>
    <w:rsid w:val="004A760F"/>
    <w:rsid w:val="004A768F"/>
    <w:rsid w:val="004A7829"/>
    <w:rsid w:val="004A7C01"/>
    <w:rsid w:val="004B1720"/>
    <w:rsid w:val="004B35ED"/>
    <w:rsid w:val="004B4141"/>
    <w:rsid w:val="004B5D4E"/>
    <w:rsid w:val="004B6734"/>
    <w:rsid w:val="004B75E4"/>
    <w:rsid w:val="004B7BAD"/>
    <w:rsid w:val="004C1238"/>
    <w:rsid w:val="004C21C4"/>
    <w:rsid w:val="004C342D"/>
    <w:rsid w:val="004C3A4C"/>
    <w:rsid w:val="004C598A"/>
    <w:rsid w:val="004C7C21"/>
    <w:rsid w:val="004D10BD"/>
    <w:rsid w:val="004D28A2"/>
    <w:rsid w:val="004D3AC6"/>
    <w:rsid w:val="004D3C97"/>
    <w:rsid w:val="004D4CB6"/>
    <w:rsid w:val="004D5780"/>
    <w:rsid w:val="004D5799"/>
    <w:rsid w:val="004D6688"/>
    <w:rsid w:val="004E06E9"/>
    <w:rsid w:val="004E24E4"/>
    <w:rsid w:val="004E2989"/>
    <w:rsid w:val="004E369D"/>
    <w:rsid w:val="004E3D47"/>
    <w:rsid w:val="004E5689"/>
    <w:rsid w:val="004E5FFE"/>
    <w:rsid w:val="004E7AA0"/>
    <w:rsid w:val="004F05F0"/>
    <w:rsid w:val="004F0C74"/>
    <w:rsid w:val="004F15DC"/>
    <w:rsid w:val="004F1917"/>
    <w:rsid w:val="004F306C"/>
    <w:rsid w:val="004F4D13"/>
    <w:rsid w:val="004F510A"/>
    <w:rsid w:val="004F5FED"/>
    <w:rsid w:val="004F62AC"/>
    <w:rsid w:val="004F7129"/>
    <w:rsid w:val="004F7495"/>
    <w:rsid w:val="004F7A12"/>
    <w:rsid w:val="005010DB"/>
    <w:rsid w:val="00502E4D"/>
    <w:rsid w:val="0050355F"/>
    <w:rsid w:val="0050484E"/>
    <w:rsid w:val="00504C2D"/>
    <w:rsid w:val="005051E8"/>
    <w:rsid w:val="005073CB"/>
    <w:rsid w:val="00507462"/>
    <w:rsid w:val="00507FDE"/>
    <w:rsid w:val="00512184"/>
    <w:rsid w:val="005128C9"/>
    <w:rsid w:val="005169A6"/>
    <w:rsid w:val="005169F2"/>
    <w:rsid w:val="00516AD8"/>
    <w:rsid w:val="00516FC3"/>
    <w:rsid w:val="005203A9"/>
    <w:rsid w:val="005205B0"/>
    <w:rsid w:val="00521787"/>
    <w:rsid w:val="005219C0"/>
    <w:rsid w:val="0052364E"/>
    <w:rsid w:val="00523D95"/>
    <w:rsid w:val="005245F2"/>
    <w:rsid w:val="0052479E"/>
    <w:rsid w:val="00525C46"/>
    <w:rsid w:val="0052613E"/>
    <w:rsid w:val="00526683"/>
    <w:rsid w:val="00526935"/>
    <w:rsid w:val="0052710F"/>
    <w:rsid w:val="005300AB"/>
    <w:rsid w:val="00530512"/>
    <w:rsid w:val="005307A2"/>
    <w:rsid w:val="00531531"/>
    <w:rsid w:val="00532373"/>
    <w:rsid w:val="005326EE"/>
    <w:rsid w:val="00536055"/>
    <w:rsid w:val="00536B81"/>
    <w:rsid w:val="00537178"/>
    <w:rsid w:val="005407D9"/>
    <w:rsid w:val="005407FD"/>
    <w:rsid w:val="00542674"/>
    <w:rsid w:val="00542FE3"/>
    <w:rsid w:val="00544989"/>
    <w:rsid w:val="00544DFC"/>
    <w:rsid w:val="00545B65"/>
    <w:rsid w:val="00545F1C"/>
    <w:rsid w:val="005468B0"/>
    <w:rsid w:val="0054741E"/>
    <w:rsid w:val="00547D7C"/>
    <w:rsid w:val="00551596"/>
    <w:rsid w:val="00552C1D"/>
    <w:rsid w:val="0055423E"/>
    <w:rsid w:val="00555238"/>
    <w:rsid w:val="00555D8C"/>
    <w:rsid w:val="00557E51"/>
    <w:rsid w:val="005601D2"/>
    <w:rsid w:val="00560B3C"/>
    <w:rsid w:val="005610F0"/>
    <w:rsid w:val="0056423C"/>
    <w:rsid w:val="00564502"/>
    <w:rsid w:val="0056517A"/>
    <w:rsid w:val="005670DE"/>
    <w:rsid w:val="00567243"/>
    <w:rsid w:val="00567832"/>
    <w:rsid w:val="00570A00"/>
    <w:rsid w:val="00571A2C"/>
    <w:rsid w:val="005723B9"/>
    <w:rsid w:val="00573904"/>
    <w:rsid w:val="00574BC6"/>
    <w:rsid w:val="0057567D"/>
    <w:rsid w:val="00575A59"/>
    <w:rsid w:val="0057698A"/>
    <w:rsid w:val="00577B7C"/>
    <w:rsid w:val="00577E66"/>
    <w:rsid w:val="005802CA"/>
    <w:rsid w:val="005816CC"/>
    <w:rsid w:val="00581A9B"/>
    <w:rsid w:val="0058218D"/>
    <w:rsid w:val="00582403"/>
    <w:rsid w:val="0058243A"/>
    <w:rsid w:val="00584125"/>
    <w:rsid w:val="0058489E"/>
    <w:rsid w:val="00584A8E"/>
    <w:rsid w:val="0058795E"/>
    <w:rsid w:val="00587A6B"/>
    <w:rsid w:val="00587B8D"/>
    <w:rsid w:val="00587DF5"/>
    <w:rsid w:val="00590C71"/>
    <w:rsid w:val="00590F65"/>
    <w:rsid w:val="005914A5"/>
    <w:rsid w:val="00595448"/>
    <w:rsid w:val="00597925"/>
    <w:rsid w:val="005A23D2"/>
    <w:rsid w:val="005A2E4E"/>
    <w:rsid w:val="005A3BF2"/>
    <w:rsid w:val="005A3C44"/>
    <w:rsid w:val="005A5177"/>
    <w:rsid w:val="005A6D85"/>
    <w:rsid w:val="005A77FB"/>
    <w:rsid w:val="005A7CB1"/>
    <w:rsid w:val="005B09C6"/>
    <w:rsid w:val="005B3AFF"/>
    <w:rsid w:val="005B4273"/>
    <w:rsid w:val="005B5DAB"/>
    <w:rsid w:val="005B662D"/>
    <w:rsid w:val="005C2CDF"/>
    <w:rsid w:val="005C3500"/>
    <w:rsid w:val="005C4C74"/>
    <w:rsid w:val="005C4D93"/>
    <w:rsid w:val="005C5BF2"/>
    <w:rsid w:val="005D3852"/>
    <w:rsid w:val="005D49E8"/>
    <w:rsid w:val="005D619C"/>
    <w:rsid w:val="005D7161"/>
    <w:rsid w:val="005E0DC1"/>
    <w:rsid w:val="005E1124"/>
    <w:rsid w:val="005E19C0"/>
    <w:rsid w:val="005E1E31"/>
    <w:rsid w:val="005E465A"/>
    <w:rsid w:val="005E50BB"/>
    <w:rsid w:val="005E6A02"/>
    <w:rsid w:val="005E7C90"/>
    <w:rsid w:val="005F12E0"/>
    <w:rsid w:val="005F337B"/>
    <w:rsid w:val="005F3432"/>
    <w:rsid w:val="005F37F5"/>
    <w:rsid w:val="005F438E"/>
    <w:rsid w:val="005F5220"/>
    <w:rsid w:val="005F65BA"/>
    <w:rsid w:val="00600813"/>
    <w:rsid w:val="006008E1"/>
    <w:rsid w:val="0060163F"/>
    <w:rsid w:val="0060180E"/>
    <w:rsid w:val="00602456"/>
    <w:rsid w:val="00603A45"/>
    <w:rsid w:val="00604129"/>
    <w:rsid w:val="00604DDF"/>
    <w:rsid w:val="00605CA2"/>
    <w:rsid w:val="00606C0F"/>
    <w:rsid w:val="00607D76"/>
    <w:rsid w:val="00607DF5"/>
    <w:rsid w:val="006107D0"/>
    <w:rsid w:val="00612BAF"/>
    <w:rsid w:val="0061533F"/>
    <w:rsid w:val="00615CC0"/>
    <w:rsid w:val="006163F4"/>
    <w:rsid w:val="00617E33"/>
    <w:rsid w:val="00617E75"/>
    <w:rsid w:val="0062111D"/>
    <w:rsid w:val="006239F6"/>
    <w:rsid w:val="00625659"/>
    <w:rsid w:val="00625E37"/>
    <w:rsid w:val="0062613B"/>
    <w:rsid w:val="00626682"/>
    <w:rsid w:val="00626F4D"/>
    <w:rsid w:val="006276F4"/>
    <w:rsid w:val="0063090E"/>
    <w:rsid w:val="006345A1"/>
    <w:rsid w:val="00635BFD"/>
    <w:rsid w:val="0063723E"/>
    <w:rsid w:val="006379AB"/>
    <w:rsid w:val="0064170D"/>
    <w:rsid w:val="00641C60"/>
    <w:rsid w:val="00641F2B"/>
    <w:rsid w:val="0065070E"/>
    <w:rsid w:val="0065077A"/>
    <w:rsid w:val="00650859"/>
    <w:rsid w:val="00651900"/>
    <w:rsid w:val="00651CB1"/>
    <w:rsid w:val="00652EA8"/>
    <w:rsid w:val="0065581D"/>
    <w:rsid w:val="00655941"/>
    <w:rsid w:val="00656165"/>
    <w:rsid w:val="00657640"/>
    <w:rsid w:val="0065787D"/>
    <w:rsid w:val="00662DA6"/>
    <w:rsid w:val="00663154"/>
    <w:rsid w:val="00663BBB"/>
    <w:rsid w:val="00665674"/>
    <w:rsid w:val="00667820"/>
    <w:rsid w:val="00670E65"/>
    <w:rsid w:val="00671055"/>
    <w:rsid w:val="0067191B"/>
    <w:rsid w:val="00671B83"/>
    <w:rsid w:val="00672288"/>
    <w:rsid w:val="006727E8"/>
    <w:rsid w:val="00672C35"/>
    <w:rsid w:val="0067415B"/>
    <w:rsid w:val="00676118"/>
    <w:rsid w:val="006774F8"/>
    <w:rsid w:val="00682FFE"/>
    <w:rsid w:val="006843CA"/>
    <w:rsid w:val="00684D87"/>
    <w:rsid w:val="00685FF7"/>
    <w:rsid w:val="006905E2"/>
    <w:rsid w:val="00691F88"/>
    <w:rsid w:val="00692CE6"/>
    <w:rsid w:val="00692EA0"/>
    <w:rsid w:val="0069458D"/>
    <w:rsid w:val="0069499F"/>
    <w:rsid w:val="00694DE2"/>
    <w:rsid w:val="00696670"/>
    <w:rsid w:val="00697A55"/>
    <w:rsid w:val="006A054B"/>
    <w:rsid w:val="006A1A18"/>
    <w:rsid w:val="006A1B6B"/>
    <w:rsid w:val="006A24E2"/>
    <w:rsid w:val="006A37B2"/>
    <w:rsid w:val="006A4F53"/>
    <w:rsid w:val="006A4F7B"/>
    <w:rsid w:val="006A6847"/>
    <w:rsid w:val="006B4295"/>
    <w:rsid w:val="006B444E"/>
    <w:rsid w:val="006B52D2"/>
    <w:rsid w:val="006B59F6"/>
    <w:rsid w:val="006B5D19"/>
    <w:rsid w:val="006B7A44"/>
    <w:rsid w:val="006C0A89"/>
    <w:rsid w:val="006C6C6E"/>
    <w:rsid w:val="006D070B"/>
    <w:rsid w:val="006D0FEF"/>
    <w:rsid w:val="006D1E75"/>
    <w:rsid w:val="006D1E7E"/>
    <w:rsid w:val="006D2248"/>
    <w:rsid w:val="006D36B4"/>
    <w:rsid w:val="006D4F4D"/>
    <w:rsid w:val="006D60BE"/>
    <w:rsid w:val="006D6490"/>
    <w:rsid w:val="006D6608"/>
    <w:rsid w:val="006D74C8"/>
    <w:rsid w:val="006D7883"/>
    <w:rsid w:val="006E1513"/>
    <w:rsid w:val="006E1FA2"/>
    <w:rsid w:val="006E24D8"/>
    <w:rsid w:val="006E286B"/>
    <w:rsid w:val="006E2F29"/>
    <w:rsid w:val="006E2F4F"/>
    <w:rsid w:val="006E3288"/>
    <w:rsid w:val="006E515B"/>
    <w:rsid w:val="006E589E"/>
    <w:rsid w:val="006E7775"/>
    <w:rsid w:val="006F03C4"/>
    <w:rsid w:val="006F09D1"/>
    <w:rsid w:val="006F0BE5"/>
    <w:rsid w:val="006F0D02"/>
    <w:rsid w:val="006F0D58"/>
    <w:rsid w:val="006F2AC5"/>
    <w:rsid w:val="006F2CBC"/>
    <w:rsid w:val="006F4F26"/>
    <w:rsid w:val="006F53CC"/>
    <w:rsid w:val="006F6838"/>
    <w:rsid w:val="006F7E8C"/>
    <w:rsid w:val="006F7F1C"/>
    <w:rsid w:val="0070070C"/>
    <w:rsid w:val="00700FF2"/>
    <w:rsid w:val="00701B56"/>
    <w:rsid w:val="00701C51"/>
    <w:rsid w:val="007023B3"/>
    <w:rsid w:val="007038AF"/>
    <w:rsid w:val="00703A73"/>
    <w:rsid w:val="00703FD9"/>
    <w:rsid w:val="007049F3"/>
    <w:rsid w:val="00704ACA"/>
    <w:rsid w:val="00705565"/>
    <w:rsid w:val="007055B6"/>
    <w:rsid w:val="0070653F"/>
    <w:rsid w:val="00706AC6"/>
    <w:rsid w:val="007073DF"/>
    <w:rsid w:val="00707603"/>
    <w:rsid w:val="0071058D"/>
    <w:rsid w:val="00710AAE"/>
    <w:rsid w:val="00712687"/>
    <w:rsid w:val="00713299"/>
    <w:rsid w:val="00713514"/>
    <w:rsid w:val="007145B0"/>
    <w:rsid w:val="00714B65"/>
    <w:rsid w:val="00715918"/>
    <w:rsid w:val="007169AB"/>
    <w:rsid w:val="00716F34"/>
    <w:rsid w:val="007224A4"/>
    <w:rsid w:val="00722DC0"/>
    <w:rsid w:val="00725331"/>
    <w:rsid w:val="0073164D"/>
    <w:rsid w:val="00731E62"/>
    <w:rsid w:val="007327D9"/>
    <w:rsid w:val="00733943"/>
    <w:rsid w:val="0073489A"/>
    <w:rsid w:val="00734C8C"/>
    <w:rsid w:val="00736E1F"/>
    <w:rsid w:val="0073748A"/>
    <w:rsid w:val="0074096B"/>
    <w:rsid w:val="007449D9"/>
    <w:rsid w:val="007456E1"/>
    <w:rsid w:val="007507FB"/>
    <w:rsid w:val="00751E32"/>
    <w:rsid w:val="007538B8"/>
    <w:rsid w:val="00753C5F"/>
    <w:rsid w:val="00754353"/>
    <w:rsid w:val="00754FA4"/>
    <w:rsid w:val="0075590C"/>
    <w:rsid w:val="0075759F"/>
    <w:rsid w:val="00757B68"/>
    <w:rsid w:val="007604AA"/>
    <w:rsid w:val="00760D8D"/>
    <w:rsid w:val="00762B0A"/>
    <w:rsid w:val="0076588B"/>
    <w:rsid w:val="0077183B"/>
    <w:rsid w:val="007731EA"/>
    <w:rsid w:val="00773702"/>
    <w:rsid w:val="00775588"/>
    <w:rsid w:val="00775F08"/>
    <w:rsid w:val="0078166F"/>
    <w:rsid w:val="00781BAD"/>
    <w:rsid w:val="007827BA"/>
    <w:rsid w:val="00782E52"/>
    <w:rsid w:val="00783157"/>
    <w:rsid w:val="00783895"/>
    <w:rsid w:val="007847AE"/>
    <w:rsid w:val="00785480"/>
    <w:rsid w:val="0078566A"/>
    <w:rsid w:val="0078718D"/>
    <w:rsid w:val="0078793E"/>
    <w:rsid w:val="00791966"/>
    <w:rsid w:val="007928CE"/>
    <w:rsid w:val="007943A7"/>
    <w:rsid w:val="0079579D"/>
    <w:rsid w:val="00795F51"/>
    <w:rsid w:val="007A054B"/>
    <w:rsid w:val="007A0E54"/>
    <w:rsid w:val="007A0E71"/>
    <w:rsid w:val="007A1BF4"/>
    <w:rsid w:val="007A1FD9"/>
    <w:rsid w:val="007A20D2"/>
    <w:rsid w:val="007A3FF5"/>
    <w:rsid w:val="007A4776"/>
    <w:rsid w:val="007A52F7"/>
    <w:rsid w:val="007A63FE"/>
    <w:rsid w:val="007B043C"/>
    <w:rsid w:val="007B1B6C"/>
    <w:rsid w:val="007B5F63"/>
    <w:rsid w:val="007B6448"/>
    <w:rsid w:val="007B7365"/>
    <w:rsid w:val="007C001B"/>
    <w:rsid w:val="007C4F8F"/>
    <w:rsid w:val="007C7DCD"/>
    <w:rsid w:val="007C7EAF"/>
    <w:rsid w:val="007D0CD6"/>
    <w:rsid w:val="007D1204"/>
    <w:rsid w:val="007D15AA"/>
    <w:rsid w:val="007D1C80"/>
    <w:rsid w:val="007D222B"/>
    <w:rsid w:val="007D2345"/>
    <w:rsid w:val="007D31F2"/>
    <w:rsid w:val="007D6541"/>
    <w:rsid w:val="007D6CEB"/>
    <w:rsid w:val="007D7C8F"/>
    <w:rsid w:val="007E0E32"/>
    <w:rsid w:val="007E1553"/>
    <w:rsid w:val="007E4486"/>
    <w:rsid w:val="007E471F"/>
    <w:rsid w:val="007E6A05"/>
    <w:rsid w:val="007E6A2D"/>
    <w:rsid w:val="007E6F8C"/>
    <w:rsid w:val="007E6FE8"/>
    <w:rsid w:val="007F0AF0"/>
    <w:rsid w:val="007F1042"/>
    <w:rsid w:val="007F1189"/>
    <w:rsid w:val="007F1ACF"/>
    <w:rsid w:val="007F2472"/>
    <w:rsid w:val="007F2549"/>
    <w:rsid w:val="007F2578"/>
    <w:rsid w:val="007F38F5"/>
    <w:rsid w:val="007F51D9"/>
    <w:rsid w:val="007F74EA"/>
    <w:rsid w:val="007F7A7B"/>
    <w:rsid w:val="00801755"/>
    <w:rsid w:val="00801B17"/>
    <w:rsid w:val="00802AC2"/>
    <w:rsid w:val="008030AF"/>
    <w:rsid w:val="00803878"/>
    <w:rsid w:val="008039E7"/>
    <w:rsid w:val="00804B42"/>
    <w:rsid w:val="00807229"/>
    <w:rsid w:val="00807829"/>
    <w:rsid w:val="00807D40"/>
    <w:rsid w:val="00811798"/>
    <w:rsid w:val="00814ADC"/>
    <w:rsid w:val="008160B2"/>
    <w:rsid w:val="00817A75"/>
    <w:rsid w:val="00820558"/>
    <w:rsid w:val="0082092D"/>
    <w:rsid w:val="008222A3"/>
    <w:rsid w:val="00824322"/>
    <w:rsid w:val="00824D91"/>
    <w:rsid w:val="00825F59"/>
    <w:rsid w:val="00826835"/>
    <w:rsid w:val="008269C9"/>
    <w:rsid w:val="00830715"/>
    <w:rsid w:val="008314CB"/>
    <w:rsid w:val="008316A6"/>
    <w:rsid w:val="008343E7"/>
    <w:rsid w:val="00834DCF"/>
    <w:rsid w:val="00836D6E"/>
    <w:rsid w:val="00837030"/>
    <w:rsid w:val="0083753D"/>
    <w:rsid w:val="008400FE"/>
    <w:rsid w:val="0084099C"/>
    <w:rsid w:val="00840A86"/>
    <w:rsid w:val="008413B5"/>
    <w:rsid w:val="00841B0E"/>
    <w:rsid w:val="00842349"/>
    <w:rsid w:val="0084445E"/>
    <w:rsid w:val="00844C21"/>
    <w:rsid w:val="0084637E"/>
    <w:rsid w:val="00846DFB"/>
    <w:rsid w:val="00847300"/>
    <w:rsid w:val="008477AC"/>
    <w:rsid w:val="00847C9D"/>
    <w:rsid w:val="00847E78"/>
    <w:rsid w:val="00847F65"/>
    <w:rsid w:val="0085050E"/>
    <w:rsid w:val="00851423"/>
    <w:rsid w:val="00855000"/>
    <w:rsid w:val="008565BE"/>
    <w:rsid w:val="00857D4D"/>
    <w:rsid w:val="008608E9"/>
    <w:rsid w:val="008615FD"/>
    <w:rsid w:val="008658BA"/>
    <w:rsid w:val="00867331"/>
    <w:rsid w:val="0086754D"/>
    <w:rsid w:val="00873606"/>
    <w:rsid w:val="0087368B"/>
    <w:rsid w:val="00873983"/>
    <w:rsid w:val="00873A2A"/>
    <w:rsid w:val="0087745A"/>
    <w:rsid w:val="008778AE"/>
    <w:rsid w:val="0088010A"/>
    <w:rsid w:val="008820FF"/>
    <w:rsid w:val="00882E6C"/>
    <w:rsid w:val="00883612"/>
    <w:rsid w:val="00883D41"/>
    <w:rsid w:val="0088576C"/>
    <w:rsid w:val="008867C8"/>
    <w:rsid w:val="00887CCB"/>
    <w:rsid w:val="00887CD6"/>
    <w:rsid w:val="00890442"/>
    <w:rsid w:val="00891968"/>
    <w:rsid w:val="0089218F"/>
    <w:rsid w:val="00896470"/>
    <w:rsid w:val="00896CBE"/>
    <w:rsid w:val="00896DC7"/>
    <w:rsid w:val="0089767B"/>
    <w:rsid w:val="00897D0A"/>
    <w:rsid w:val="00897ED3"/>
    <w:rsid w:val="008A1427"/>
    <w:rsid w:val="008A1982"/>
    <w:rsid w:val="008A359C"/>
    <w:rsid w:val="008A3941"/>
    <w:rsid w:val="008A49FC"/>
    <w:rsid w:val="008A572A"/>
    <w:rsid w:val="008A71C1"/>
    <w:rsid w:val="008A7D8C"/>
    <w:rsid w:val="008B0082"/>
    <w:rsid w:val="008B09FE"/>
    <w:rsid w:val="008B1EDC"/>
    <w:rsid w:val="008B2A1B"/>
    <w:rsid w:val="008B2EA0"/>
    <w:rsid w:val="008B48EE"/>
    <w:rsid w:val="008B5265"/>
    <w:rsid w:val="008B5ED4"/>
    <w:rsid w:val="008B6EAB"/>
    <w:rsid w:val="008B7445"/>
    <w:rsid w:val="008B749F"/>
    <w:rsid w:val="008C09A1"/>
    <w:rsid w:val="008C1837"/>
    <w:rsid w:val="008C1B55"/>
    <w:rsid w:val="008C1DE3"/>
    <w:rsid w:val="008C2910"/>
    <w:rsid w:val="008C38F6"/>
    <w:rsid w:val="008C3D49"/>
    <w:rsid w:val="008C4621"/>
    <w:rsid w:val="008C56E8"/>
    <w:rsid w:val="008D079A"/>
    <w:rsid w:val="008D210E"/>
    <w:rsid w:val="008D2461"/>
    <w:rsid w:val="008D48EE"/>
    <w:rsid w:val="008D4B28"/>
    <w:rsid w:val="008D5AEC"/>
    <w:rsid w:val="008D6493"/>
    <w:rsid w:val="008D7AE1"/>
    <w:rsid w:val="008E1F4C"/>
    <w:rsid w:val="008E242B"/>
    <w:rsid w:val="008E41DA"/>
    <w:rsid w:val="008F05E2"/>
    <w:rsid w:val="008F123E"/>
    <w:rsid w:val="008F1500"/>
    <w:rsid w:val="008F2FA2"/>
    <w:rsid w:val="008F3454"/>
    <w:rsid w:val="008F3C44"/>
    <w:rsid w:val="008F3CD0"/>
    <w:rsid w:val="008F3F27"/>
    <w:rsid w:val="008F4301"/>
    <w:rsid w:val="008F61DD"/>
    <w:rsid w:val="00900571"/>
    <w:rsid w:val="00901DD8"/>
    <w:rsid w:val="00905271"/>
    <w:rsid w:val="00905EE9"/>
    <w:rsid w:val="00910BE6"/>
    <w:rsid w:val="00911DE8"/>
    <w:rsid w:val="00912ED1"/>
    <w:rsid w:val="0091403F"/>
    <w:rsid w:val="009142B8"/>
    <w:rsid w:val="00914F6E"/>
    <w:rsid w:val="00915D2B"/>
    <w:rsid w:val="00916352"/>
    <w:rsid w:val="0091641C"/>
    <w:rsid w:val="00917B9F"/>
    <w:rsid w:val="009201D5"/>
    <w:rsid w:val="00921505"/>
    <w:rsid w:val="00921614"/>
    <w:rsid w:val="00921CAA"/>
    <w:rsid w:val="009221C8"/>
    <w:rsid w:val="00922681"/>
    <w:rsid w:val="009229E5"/>
    <w:rsid w:val="00925C30"/>
    <w:rsid w:val="0092628F"/>
    <w:rsid w:val="0092661E"/>
    <w:rsid w:val="00926FE2"/>
    <w:rsid w:val="00931C00"/>
    <w:rsid w:val="0093204A"/>
    <w:rsid w:val="00932360"/>
    <w:rsid w:val="00932CFB"/>
    <w:rsid w:val="00933042"/>
    <w:rsid w:val="00934258"/>
    <w:rsid w:val="00934D76"/>
    <w:rsid w:val="00935A8A"/>
    <w:rsid w:val="00935DA0"/>
    <w:rsid w:val="00936C9F"/>
    <w:rsid w:val="009371BB"/>
    <w:rsid w:val="00937E94"/>
    <w:rsid w:val="0094002B"/>
    <w:rsid w:val="0094649F"/>
    <w:rsid w:val="0094699C"/>
    <w:rsid w:val="009478F5"/>
    <w:rsid w:val="00954A53"/>
    <w:rsid w:val="009564FA"/>
    <w:rsid w:val="00956AE7"/>
    <w:rsid w:val="00960437"/>
    <w:rsid w:val="0096102B"/>
    <w:rsid w:val="00961A5D"/>
    <w:rsid w:val="00961B0F"/>
    <w:rsid w:val="009625EF"/>
    <w:rsid w:val="0096356F"/>
    <w:rsid w:val="0096628B"/>
    <w:rsid w:val="00971CFC"/>
    <w:rsid w:val="009722AF"/>
    <w:rsid w:val="009741A5"/>
    <w:rsid w:val="009741EC"/>
    <w:rsid w:val="0098116B"/>
    <w:rsid w:val="00981813"/>
    <w:rsid w:val="00981E2C"/>
    <w:rsid w:val="00982B16"/>
    <w:rsid w:val="009842AA"/>
    <w:rsid w:val="00984F5C"/>
    <w:rsid w:val="00985187"/>
    <w:rsid w:val="009857A8"/>
    <w:rsid w:val="00987F7F"/>
    <w:rsid w:val="009915DD"/>
    <w:rsid w:val="0099182E"/>
    <w:rsid w:val="0099530A"/>
    <w:rsid w:val="00995FCE"/>
    <w:rsid w:val="00996006"/>
    <w:rsid w:val="00996186"/>
    <w:rsid w:val="00997593"/>
    <w:rsid w:val="0099759A"/>
    <w:rsid w:val="00997897"/>
    <w:rsid w:val="009A0E5B"/>
    <w:rsid w:val="009A28D5"/>
    <w:rsid w:val="009A2CE6"/>
    <w:rsid w:val="009A2E48"/>
    <w:rsid w:val="009A5D21"/>
    <w:rsid w:val="009A5E4E"/>
    <w:rsid w:val="009A6A78"/>
    <w:rsid w:val="009A71E0"/>
    <w:rsid w:val="009A7FA1"/>
    <w:rsid w:val="009B0B5A"/>
    <w:rsid w:val="009B3131"/>
    <w:rsid w:val="009B3CE4"/>
    <w:rsid w:val="009B45B3"/>
    <w:rsid w:val="009B6AA3"/>
    <w:rsid w:val="009B6BE8"/>
    <w:rsid w:val="009C15B9"/>
    <w:rsid w:val="009C15EE"/>
    <w:rsid w:val="009C311E"/>
    <w:rsid w:val="009C440F"/>
    <w:rsid w:val="009C59EF"/>
    <w:rsid w:val="009C6260"/>
    <w:rsid w:val="009D17A8"/>
    <w:rsid w:val="009D78FB"/>
    <w:rsid w:val="009E060E"/>
    <w:rsid w:val="009E0877"/>
    <w:rsid w:val="009E13CE"/>
    <w:rsid w:val="009E23E0"/>
    <w:rsid w:val="009E6821"/>
    <w:rsid w:val="009E71F3"/>
    <w:rsid w:val="009E7E1B"/>
    <w:rsid w:val="009F053F"/>
    <w:rsid w:val="009F0CB3"/>
    <w:rsid w:val="009F1F50"/>
    <w:rsid w:val="009F240B"/>
    <w:rsid w:val="009F2AB8"/>
    <w:rsid w:val="009F3083"/>
    <w:rsid w:val="009F36D5"/>
    <w:rsid w:val="009F3A5B"/>
    <w:rsid w:val="009F536F"/>
    <w:rsid w:val="009F5496"/>
    <w:rsid w:val="009F5BE5"/>
    <w:rsid w:val="009F5D21"/>
    <w:rsid w:val="009F7034"/>
    <w:rsid w:val="009F7BB0"/>
    <w:rsid w:val="00A0147D"/>
    <w:rsid w:val="00A061F4"/>
    <w:rsid w:val="00A10041"/>
    <w:rsid w:val="00A11845"/>
    <w:rsid w:val="00A13D5B"/>
    <w:rsid w:val="00A1537B"/>
    <w:rsid w:val="00A21D0F"/>
    <w:rsid w:val="00A22564"/>
    <w:rsid w:val="00A2335B"/>
    <w:rsid w:val="00A26A62"/>
    <w:rsid w:val="00A27406"/>
    <w:rsid w:val="00A306BA"/>
    <w:rsid w:val="00A3111F"/>
    <w:rsid w:val="00A31136"/>
    <w:rsid w:val="00A340F8"/>
    <w:rsid w:val="00A34B20"/>
    <w:rsid w:val="00A34FC9"/>
    <w:rsid w:val="00A35C09"/>
    <w:rsid w:val="00A36E5B"/>
    <w:rsid w:val="00A36E67"/>
    <w:rsid w:val="00A37C32"/>
    <w:rsid w:val="00A40036"/>
    <w:rsid w:val="00A420E2"/>
    <w:rsid w:val="00A42926"/>
    <w:rsid w:val="00A43376"/>
    <w:rsid w:val="00A45FEB"/>
    <w:rsid w:val="00A46377"/>
    <w:rsid w:val="00A46974"/>
    <w:rsid w:val="00A50715"/>
    <w:rsid w:val="00A5162E"/>
    <w:rsid w:val="00A528B6"/>
    <w:rsid w:val="00A53C6D"/>
    <w:rsid w:val="00A56A32"/>
    <w:rsid w:val="00A570C9"/>
    <w:rsid w:val="00A5729B"/>
    <w:rsid w:val="00A5736A"/>
    <w:rsid w:val="00A57787"/>
    <w:rsid w:val="00A606CC"/>
    <w:rsid w:val="00A60D21"/>
    <w:rsid w:val="00A62E98"/>
    <w:rsid w:val="00A649B6"/>
    <w:rsid w:val="00A656DA"/>
    <w:rsid w:val="00A660CB"/>
    <w:rsid w:val="00A66534"/>
    <w:rsid w:val="00A66B28"/>
    <w:rsid w:val="00A70DCF"/>
    <w:rsid w:val="00A71E3B"/>
    <w:rsid w:val="00A7456D"/>
    <w:rsid w:val="00A754DC"/>
    <w:rsid w:val="00A7634B"/>
    <w:rsid w:val="00A77A47"/>
    <w:rsid w:val="00A81253"/>
    <w:rsid w:val="00A83382"/>
    <w:rsid w:val="00A8387B"/>
    <w:rsid w:val="00A83FBB"/>
    <w:rsid w:val="00A84148"/>
    <w:rsid w:val="00A86E08"/>
    <w:rsid w:val="00A87BC2"/>
    <w:rsid w:val="00A91BF5"/>
    <w:rsid w:val="00A9232B"/>
    <w:rsid w:val="00A95649"/>
    <w:rsid w:val="00A9704A"/>
    <w:rsid w:val="00A9753A"/>
    <w:rsid w:val="00AA0CFE"/>
    <w:rsid w:val="00AA1527"/>
    <w:rsid w:val="00AA3038"/>
    <w:rsid w:val="00AA30D3"/>
    <w:rsid w:val="00AA3108"/>
    <w:rsid w:val="00AA6628"/>
    <w:rsid w:val="00AB0C23"/>
    <w:rsid w:val="00AB1FE1"/>
    <w:rsid w:val="00AB574B"/>
    <w:rsid w:val="00AB6F0F"/>
    <w:rsid w:val="00AB6FC6"/>
    <w:rsid w:val="00AC2184"/>
    <w:rsid w:val="00AC2371"/>
    <w:rsid w:val="00AC433C"/>
    <w:rsid w:val="00AC4E81"/>
    <w:rsid w:val="00AC5131"/>
    <w:rsid w:val="00AC7194"/>
    <w:rsid w:val="00AC74C6"/>
    <w:rsid w:val="00AC7B86"/>
    <w:rsid w:val="00AD2FB6"/>
    <w:rsid w:val="00AD4CBE"/>
    <w:rsid w:val="00AD5947"/>
    <w:rsid w:val="00AD62D6"/>
    <w:rsid w:val="00AD6863"/>
    <w:rsid w:val="00AD6C07"/>
    <w:rsid w:val="00AE0274"/>
    <w:rsid w:val="00AE02CA"/>
    <w:rsid w:val="00AE0BB7"/>
    <w:rsid w:val="00AE2049"/>
    <w:rsid w:val="00AE241F"/>
    <w:rsid w:val="00AE27C8"/>
    <w:rsid w:val="00AE415C"/>
    <w:rsid w:val="00AE4740"/>
    <w:rsid w:val="00AE4EC3"/>
    <w:rsid w:val="00AE6B7F"/>
    <w:rsid w:val="00AF0B45"/>
    <w:rsid w:val="00AF11F9"/>
    <w:rsid w:val="00AF1366"/>
    <w:rsid w:val="00AF387D"/>
    <w:rsid w:val="00AF3A86"/>
    <w:rsid w:val="00AF4566"/>
    <w:rsid w:val="00AF4569"/>
    <w:rsid w:val="00AF4D13"/>
    <w:rsid w:val="00AF55D1"/>
    <w:rsid w:val="00AF5B58"/>
    <w:rsid w:val="00AF6E99"/>
    <w:rsid w:val="00AF7D88"/>
    <w:rsid w:val="00B017D2"/>
    <w:rsid w:val="00B01FA0"/>
    <w:rsid w:val="00B02E57"/>
    <w:rsid w:val="00B02FE7"/>
    <w:rsid w:val="00B03316"/>
    <w:rsid w:val="00B05560"/>
    <w:rsid w:val="00B06B4B"/>
    <w:rsid w:val="00B07D83"/>
    <w:rsid w:val="00B07D8D"/>
    <w:rsid w:val="00B10EB6"/>
    <w:rsid w:val="00B11C96"/>
    <w:rsid w:val="00B121F5"/>
    <w:rsid w:val="00B127B4"/>
    <w:rsid w:val="00B13308"/>
    <w:rsid w:val="00B144AC"/>
    <w:rsid w:val="00B15905"/>
    <w:rsid w:val="00B16F41"/>
    <w:rsid w:val="00B219FB"/>
    <w:rsid w:val="00B229B3"/>
    <w:rsid w:val="00B22EF3"/>
    <w:rsid w:val="00B232F5"/>
    <w:rsid w:val="00B23DB8"/>
    <w:rsid w:val="00B250E7"/>
    <w:rsid w:val="00B2549F"/>
    <w:rsid w:val="00B25679"/>
    <w:rsid w:val="00B25883"/>
    <w:rsid w:val="00B25BDC"/>
    <w:rsid w:val="00B260E1"/>
    <w:rsid w:val="00B26631"/>
    <w:rsid w:val="00B27891"/>
    <w:rsid w:val="00B27E33"/>
    <w:rsid w:val="00B30268"/>
    <w:rsid w:val="00B328DC"/>
    <w:rsid w:val="00B33997"/>
    <w:rsid w:val="00B34468"/>
    <w:rsid w:val="00B346C7"/>
    <w:rsid w:val="00B34CEE"/>
    <w:rsid w:val="00B3513F"/>
    <w:rsid w:val="00B3532B"/>
    <w:rsid w:val="00B3794D"/>
    <w:rsid w:val="00B405DD"/>
    <w:rsid w:val="00B41916"/>
    <w:rsid w:val="00B4275B"/>
    <w:rsid w:val="00B431FB"/>
    <w:rsid w:val="00B44406"/>
    <w:rsid w:val="00B521C4"/>
    <w:rsid w:val="00B52AFE"/>
    <w:rsid w:val="00B52D96"/>
    <w:rsid w:val="00B53683"/>
    <w:rsid w:val="00B553B3"/>
    <w:rsid w:val="00B57EE7"/>
    <w:rsid w:val="00B618D6"/>
    <w:rsid w:val="00B6388D"/>
    <w:rsid w:val="00B646B3"/>
    <w:rsid w:val="00B65918"/>
    <w:rsid w:val="00B65E0E"/>
    <w:rsid w:val="00B66E4F"/>
    <w:rsid w:val="00B673CC"/>
    <w:rsid w:val="00B67FFD"/>
    <w:rsid w:val="00B7137E"/>
    <w:rsid w:val="00B71525"/>
    <w:rsid w:val="00B71E5E"/>
    <w:rsid w:val="00B76BF3"/>
    <w:rsid w:val="00B775CE"/>
    <w:rsid w:val="00B77BA1"/>
    <w:rsid w:val="00B809EA"/>
    <w:rsid w:val="00B80DA1"/>
    <w:rsid w:val="00B83423"/>
    <w:rsid w:val="00B83F37"/>
    <w:rsid w:val="00B86497"/>
    <w:rsid w:val="00B87BD4"/>
    <w:rsid w:val="00B9129E"/>
    <w:rsid w:val="00B91555"/>
    <w:rsid w:val="00B975D8"/>
    <w:rsid w:val="00B97B7F"/>
    <w:rsid w:val="00BA08C0"/>
    <w:rsid w:val="00BA092E"/>
    <w:rsid w:val="00BA0B2E"/>
    <w:rsid w:val="00BA2484"/>
    <w:rsid w:val="00BA4490"/>
    <w:rsid w:val="00BA475B"/>
    <w:rsid w:val="00BA4EC7"/>
    <w:rsid w:val="00BA6143"/>
    <w:rsid w:val="00BA7035"/>
    <w:rsid w:val="00BA78A1"/>
    <w:rsid w:val="00BB1156"/>
    <w:rsid w:val="00BB1E53"/>
    <w:rsid w:val="00BB1F55"/>
    <w:rsid w:val="00BB2DE7"/>
    <w:rsid w:val="00BB316E"/>
    <w:rsid w:val="00BB3273"/>
    <w:rsid w:val="00BB394B"/>
    <w:rsid w:val="00BB4A98"/>
    <w:rsid w:val="00BB6E99"/>
    <w:rsid w:val="00BB7365"/>
    <w:rsid w:val="00BC03D3"/>
    <w:rsid w:val="00BC41E5"/>
    <w:rsid w:val="00BC485B"/>
    <w:rsid w:val="00BC4E57"/>
    <w:rsid w:val="00BC5180"/>
    <w:rsid w:val="00BC542A"/>
    <w:rsid w:val="00BC6BC0"/>
    <w:rsid w:val="00BC6E2F"/>
    <w:rsid w:val="00BC73C5"/>
    <w:rsid w:val="00BC7FC4"/>
    <w:rsid w:val="00BD20AF"/>
    <w:rsid w:val="00BD2DC9"/>
    <w:rsid w:val="00BD3184"/>
    <w:rsid w:val="00BD3619"/>
    <w:rsid w:val="00BD3C2F"/>
    <w:rsid w:val="00BD79BB"/>
    <w:rsid w:val="00BD7B0F"/>
    <w:rsid w:val="00BE0B1A"/>
    <w:rsid w:val="00BE3D37"/>
    <w:rsid w:val="00BE4DB3"/>
    <w:rsid w:val="00BE6C21"/>
    <w:rsid w:val="00BE700F"/>
    <w:rsid w:val="00BE74D1"/>
    <w:rsid w:val="00BF047A"/>
    <w:rsid w:val="00BF149F"/>
    <w:rsid w:val="00BF3B37"/>
    <w:rsid w:val="00BF56FA"/>
    <w:rsid w:val="00BF7324"/>
    <w:rsid w:val="00C0048E"/>
    <w:rsid w:val="00C00687"/>
    <w:rsid w:val="00C01291"/>
    <w:rsid w:val="00C0168F"/>
    <w:rsid w:val="00C01C67"/>
    <w:rsid w:val="00C02D8E"/>
    <w:rsid w:val="00C03E01"/>
    <w:rsid w:val="00C04251"/>
    <w:rsid w:val="00C05CE1"/>
    <w:rsid w:val="00C06311"/>
    <w:rsid w:val="00C10040"/>
    <w:rsid w:val="00C1241E"/>
    <w:rsid w:val="00C12A31"/>
    <w:rsid w:val="00C14900"/>
    <w:rsid w:val="00C14EE7"/>
    <w:rsid w:val="00C1539B"/>
    <w:rsid w:val="00C169B3"/>
    <w:rsid w:val="00C174C3"/>
    <w:rsid w:val="00C17B07"/>
    <w:rsid w:val="00C17B67"/>
    <w:rsid w:val="00C20993"/>
    <w:rsid w:val="00C23C54"/>
    <w:rsid w:val="00C23CF6"/>
    <w:rsid w:val="00C24850"/>
    <w:rsid w:val="00C24C4D"/>
    <w:rsid w:val="00C25E73"/>
    <w:rsid w:val="00C27FFC"/>
    <w:rsid w:val="00C316EA"/>
    <w:rsid w:val="00C32559"/>
    <w:rsid w:val="00C335D9"/>
    <w:rsid w:val="00C34838"/>
    <w:rsid w:val="00C34FE5"/>
    <w:rsid w:val="00C3504B"/>
    <w:rsid w:val="00C3504E"/>
    <w:rsid w:val="00C358BA"/>
    <w:rsid w:val="00C37229"/>
    <w:rsid w:val="00C374FF"/>
    <w:rsid w:val="00C406CE"/>
    <w:rsid w:val="00C410C4"/>
    <w:rsid w:val="00C4178D"/>
    <w:rsid w:val="00C42090"/>
    <w:rsid w:val="00C42CAA"/>
    <w:rsid w:val="00C46A27"/>
    <w:rsid w:val="00C50482"/>
    <w:rsid w:val="00C507A7"/>
    <w:rsid w:val="00C518BA"/>
    <w:rsid w:val="00C51CA2"/>
    <w:rsid w:val="00C521E7"/>
    <w:rsid w:val="00C52D63"/>
    <w:rsid w:val="00C53167"/>
    <w:rsid w:val="00C54332"/>
    <w:rsid w:val="00C54BB6"/>
    <w:rsid w:val="00C54C1D"/>
    <w:rsid w:val="00C557A6"/>
    <w:rsid w:val="00C600CE"/>
    <w:rsid w:val="00C6014F"/>
    <w:rsid w:val="00C6153D"/>
    <w:rsid w:val="00C6248D"/>
    <w:rsid w:val="00C62499"/>
    <w:rsid w:val="00C62639"/>
    <w:rsid w:val="00C63181"/>
    <w:rsid w:val="00C659F6"/>
    <w:rsid w:val="00C65A2E"/>
    <w:rsid w:val="00C67F59"/>
    <w:rsid w:val="00C71D86"/>
    <w:rsid w:val="00C73AD7"/>
    <w:rsid w:val="00C7680E"/>
    <w:rsid w:val="00C77AE0"/>
    <w:rsid w:val="00C80C61"/>
    <w:rsid w:val="00C82799"/>
    <w:rsid w:val="00C82F6A"/>
    <w:rsid w:val="00C837A4"/>
    <w:rsid w:val="00C83AA1"/>
    <w:rsid w:val="00C84282"/>
    <w:rsid w:val="00C843F4"/>
    <w:rsid w:val="00C90C86"/>
    <w:rsid w:val="00C90FC1"/>
    <w:rsid w:val="00C914A3"/>
    <w:rsid w:val="00C91853"/>
    <w:rsid w:val="00C92CFD"/>
    <w:rsid w:val="00C92E4B"/>
    <w:rsid w:val="00C9480D"/>
    <w:rsid w:val="00C94B5F"/>
    <w:rsid w:val="00C94CAC"/>
    <w:rsid w:val="00C96AF8"/>
    <w:rsid w:val="00C96E2F"/>
    <w:rsid w:val="00CA0B10"/>
    <w:rsid w:val="00CA0DCA"/>
    <w:rsid w:val="00CA1897"/>
    <w:rsid w:val="00CA1C9A"/>
    <w:rsid w:val="00CA2298"/>
    <w:rsid w:val="00CA34A8"/>
    <w:rsid w:val="00CA3F0B"/>
    <w:rsid w:val="00CA545C"/>
    <w:rsid w:val="00CA79F6"/>
    <w:rsid w:val="00CB05D6"/>
    <w:rsid w:val="00CB2804"/>
    <w:rsid w:val="00CB29E4"/>
    <w:rsid w:val="00CB3779"/>
    <w:rsid w:val="00CB3F9D"/>
    <w:rsid w:val="00CB5AF0"/>
    <w:rsid w:val="00CB5E46"/>
    <w:rsid w:val="00CB60B2"/>
    <w:rsid w:val="00CB62B3"/>
    <w:rsid w:val="00CC0176"/>
    <w:rsid w:val="00CC1448"/>
    <w:rsid w:val="00CC2826"/>
    <w:rsid w:val="00CC2DB4"/>
    <w:rsid w:val="00CC3B49"/>
    <w:rsid w:val="00CC3CE5"/>
    <w:rsid w:val="00CC4746"/>
    <w:rsid w:val="00CC4B29"/>
    <w:rsid w:val="00CC63C1"/>
    <w:rsid w:val="00CC7BB4"/>
    <w:rsid w:val="00CC7C02"/>
    <w:rsid w:val="00CD094F"/>
    <w:rsid w:val="00CD152F"/>
    <w:rsid w:val="00CD163E"/>
    <w:rsid w:val="00CD30A8"/>
    <w:rsid w:val="00CD45E8"/>
    <w:rsid w:val="00CD4A32"/>
    <w:rsid w:val="00CD73EA"/>
    <w:rsid w:val="00CD7E0C"/>
    <w:rsid w:val="00CD7F36"/>
    <w:rsid w:val="00CE0049"/>
    <w:rsid w:val="00CE11E0"/>
    <w:rsid w:val="00CE1DF2"/>
    <w:rsid w:val="00CE1F23"/>
    <w:rsid w:val="00CE242E"/>
    <w:rsid w:val="00CE3AD4"/>
    <w:rsid w:val="00CE41A5"/>
    <w:rsid w:val="00CE4AF0"/>
    <w:rsid w:val="00CE4EC0"/>
    <w:rsid w:val="00CE581A"/>
    <w:rsid w:val="00CE5B91"/>
    <w:rsid w:val="00CF02E4"/>
    <w:rsid w:val="00CF1590"/>
    <w:rsid w:val="00CF1A17"/>
    <w:rsid w:val="00CF46DF"/>
    <w:rsid w:val="00CF66D5"/>
    <w:rsid w:val="00CF6D59"/>
    <w:rsid w:val="00D002E8"/>
    <w:rsid w:val="00D00408"/>
    <w:rsid w:val="00D00AE3"/>
    <w:rsid w:val="00D011CD"/>
    <w:rsid w:val="00D01239"/>
    <w:rsid w:val="00D01B7E"/>
    <w:rsid w:val="00D05061"/>
    <w:rsid w:val="00D05E34"/>
    <w:rsid w:val="00D0616F"/>
    <w:rsid w:val="00D1048C"/>
    <w:rsid w:val="00D10768"/>
    <w:rsid w:val="00D12412"/>
    <w:rsid w:val="00D14C63"/>
    <w:rsid w:val="00D1631C"/>
    <w:rsid w:val="00D16669"/>
    <w:rsid w:val="00D16970"/>
    <w:rsid w:val="00D16E35"/>
    <w:rsid w:val="00D175B1"/>
    <w:rsid w:val="00D20018"/>
    <w:rsid w:val="00D22F4B"/>
    <w:rsid w:val="00D234AD"/>
    <w:rsid w:val="00D23589"/>
    <w:rsid w:val="00D24F81"/>
    <w:rsid w:val="00D24F8E"/>
    <w:rsid w:val="00D25F53"/>
    <w:rsid w:val="00D30267"/>
    <w:rsid w:val="00D310E0"/>
    <w:rsid w:val="00D3198B"/>
    <w:rsid w:val="00D326B7"/>
    <w:rsid w:val="00D33842"/>
    <w:rsid w:val="00D34DCA"/>
    <w:rsid w:val="00D36791"/>
    <w:rsid w:val="00D3746E"/>
    <w:rsid w:val="00D42092"/>
    <w:rsid w:val="00D42E7B"/>
    <w:rsid w:val="00D42F3B"/>
    <w:rsid w:val="00D44823"/>
    <w:rsid w:val="00D44B97"/>
    <w:rsid w:val="00D44E23"/>
    <w:rsid w:val="00D4617E"/>
    <w:rsid w:val="00D50028"/>
    <w:rsid w:val="00D51D3A"/>
    <w:rsid w:val="00D54497"/>
    <w:rsid w:val="00D551E2"/>
    <w:rsid w:val="00D55797"/>
    <w:rsid w:val="00D56E91"/>
    <w:rsid w:val="00D5733C"/>
    <w:rsid w:val="00D578A6"/>
    <w:rsid w:val="00D60CD5"/>
    <w:rsid w:val="00D6301D"/>
    <w:rsid w:val="00D63123"/>
    <w:rsid w:val="00D63C3C"/>
    <w:rsid w:val="00D656CF"/>
    <w:rsid w:val="00D659EE"/>
    <w:rsid w:val="00D65E19"/>
    <w:rsid w:val="00D666C9"/>
    <w:rsid w:val="00D67044"/>
    <w:rsid w:val="00D67271"/>
    <w:rsid w:val="00D67677"/>
    <w:rsid w:val="00D70188"/>
    <w:rsid w:val="00D70B87"/>
    <w:rsid w:val="00D7224F"/>
    <w:rsid w:val="00D7366F"/>
    <w:rsid w:val="00D76189"/>
    <w:rsid w:val="00D765A7"/>
    <w:rsid w:val="00D76860"/>
    <w:rsid w:val="00D77744"/>
    <w:rsid w:val="00D77ACF"/>
    <w:rsid w:val="00D80FFB"/>
    <w:rsid w:val="00D81904"/>
    <w:rsid w:val="00D82FAE"/>
    <w:rsid w:val="00D83141"/>
    <w:rsid w:val="00D83F1E"/>
    <w:rsid w:val="00D842C4"/>
    <w:rsid w:val="00D846D6"/>
    <w:rsid w:val="00D86723"/>
    <w:rsid w:val="00D86CCD"/>
    <w:rsid w:val="00D90B19"/>
    <w:rsid w:val="00D91DC4"/>
    <w:rsid w:val="00D94D79"/>
    <w:rsid w:val="00D96ECE"/>
    <w:rsid w:val="00DA06DC"/>
    <w:rsid w:val="00DA1704"/>
    <w:rsid w:val="00DA2711"/>
    <w:rsid w:val="00DA28B7"/>
    <w:rsid w:val="00DA29FB"/>
    <w:rsid w:val="00DA4E23"/>
    <w:rsid w:val="00DA56B9"/>
    <w:rsid w:val="00DB0111"/>
    <w:rsid w:val="00DB2937"/>
    <w:rsid w:val="00DB3350"/>
    <w:rsid w:val="00DB4366"/>
    <w:rsid w:val="00DB4EE8"/>
    <w:rsid w:val="00DB4FD5"/>
    <w:rsid w:val="00DB57DB"/>
    <w:rsid w:val="00DB6454"/>
    <w:rsid w:val="00DB6A83"/>
    <w:rsid w:val="00DB7A3D"/>
    <w:rsid w:val="00DC0178"/>
    <w:rsid w:val="00DC0FB1"/>
    <w:rsid w:val="00DC2BEB"/>
    <w:rsid w:val="00DC3894"/>
    <w:rsid w:val="00DC4310"/>
    <w:rsid w:val="00DC4855"/>
    <w:rsid w:val="00DC48C6"/>
    <w:rsid w:val="00DC5472"/>
    <w:rsid w:val="00DC706D"/>
    <w:rsid w:val="00DD08D2"/>
    <w:rsid w:val="00DD0D42"/>
    <w:rsid w:val="00DD17F0"/>
    <w:rsid w:val="00DD233A"/>
    <w:rsid w:val="00DD39C4"/>
    <w:rsid w:val="00DD3C3C"/>
    <w:rsid w:val="00DD5C0A"/>
    <w:rsid w:val="00DD6C5F"/>
    <w:rsid w:val="00DD7AC4"/>
    <w:rsid w:val="00DE1B23"/>
    <w:rsid w:val="00DE30CB"/>
    <w:rsid w:val="00DE4DA6"/>
    <w:rsid w:val="00DE5378"/>
    <w:rsid w:val="00DE5379"/>
    <w:rsid w:val="00DE5B2D"/>
    <w:rsid w:val="00DE6E07"/>
    <w:rsid w:val="00DE76FA"/>
    <w:rsid w:val="00DE7D01"/>
    <w:rsid w:val="00DF0C4D"/>
    <w:rsid w:val="00DF1232"/>
    <w:rsid w:val="00DF1345"/>
    <w:rsid w:val="00DF1405"/>
    <w:rsid w:val="00DF360C"/>
    <w:rsid w:val="00DF44A1"/>
    <w:rsid w:val="00DF5417"/>
    <w:rsid w:val="00DF5B39"/>
    <w:rsid w:val="00DF650C"/>
    <w:rsid w:val="00DF6C57"/>
    <w:rsid w:val="00DF77A4"/>
    <w:rsid w:val="00DF7B58"/>
    <w:rsid w:val="00DF7D70"/>
    <w:rsid w:val="00E03049"/>
    <w:rsid w:val="00E0512C"/>
    <w:rsid w:val="00E06A21"/>
    <w:rsid w:val="00E1036A"/>
    <w:rsid w:val="00E109DC"/>
    <w:rsid w:val="00E116CC"/>
    <w:rsid w:val="00E1242F"/>
    <w:rsid w:val="00E12CD2"/>
    <w:rsid w:val="00E13273"/>
    <w:rsid w:val="00E141EB"/>
    <w:rsid w:val="00E1478C"/>
    <w:rsid w:val="00E16DA9"/>
    <w:rsid w:val="00E1785D"/>
    <w:rsid w:val="00E20A31"/>
    <w:rsid w:val="00E21A83"/>
    <w:rsid w:val="00E21B7F"/>
    <w:rsid w:val="00E21BA2"/>
    <w:rsid w:val="00E23BC6"/>
    <w:rsid w:val="00E2468E"/>
    <w:rsid w:val="00E25F7C"/>
    <w:rsid w:val="00E26E68"/>
    <w:rsid w:val="00E27252"/>
    <w:rsid w:val="00E273C1"/>
    <w:rsid w:val="00E27B82"/>
    <w:rsid w:val="00E32D7D"/>
    <w:rsid w:val="00E330B4"/>
    <w:rsid w:val="00E33631"/>
    <w:rsid w:val="00E36051"/>
    <w:rsid w:val="00E360E8"/>
    <w:rsid w:val="00E36348"/>
    <w:rsid w:val="00E36DCB"/>
    <w:rsid w:val="00E36E5D"/>
    <w:rsid w:val="00E37B1A"/>
    <w:rsid w:val="00E411AF"/>
    <w:rsid w:val="00E4339E"/>
    <w:rsid w:val="00E47448"/>
    <w:rsid w:val="00E5088E"/>
    <w:rsid w:val="00E52236"/>
    <w:rsid w:val="00E522E6"/>
    <w:rsid w:val="00E52893"/>
    <w:rsid w:val="00E5309B"/>
    <w:rsid w:val="00E54C62"/>
    <w:rsid w:val="00E56CDC"/>
    <w:rsid w:val="00E56FC8"/>
    <w:rsid w:val="00E6025C"/>
    <w:rsid w:val="00E6179B"/>
    <w:rsid w:val="00E61B21"/>
    <w:rsid w:val="00E62F54"/>
    <w:rsid w:val="00E651DB"/>
    <w:rsid w:val="00E665E9"/>
    <w:rsid w:val="00E67484"/>
    <w:rsid w:val="00E71FF1"/>
    <w:rsid w:val="00E7207A"/>
    <w:rsid w:val="00E731F3"/>
    <w:rsid w:val="00E74CDC"/>
    <w:rsid w:val="00E75738"/>
    <w:rsid w:val="00E75E51"/>
    <w:rsid w:val="00E760B7"/>
    <w:rsid w:val="00E76397"/>
    <w:rsid w:val="00E80601"/>
    <w:rsid w:val="00E82829"/>
    <w:rsid w:val="00E85D80"/>
    <w:rsid w:val="00E8744A"/>
    <w:rsid w:val="00E87D2A"/>
    <w:rsid w:val="00E900C5"/>
    <w:rsid w:val="00E9061C"/>
    <w:rsid w:val="00E9122F"/>
    <w:rsid w:val="00E92A3D"/>
    <w:rsid w:val="00E93AB0"/>
    <w:rsid w:val="00E94496"/>
    <w:rsid w:val="00E94620"/>
    <w:rsid w:val="00E94BE7"/>
    <w:rsid w:val="00E95D57"/>
    <w:rsid w:val="00E96C9A"/>
    <w:rsid w:val="00E97552"/>
    <w:rsid w:val="00E978B8"/>
    <w:rsid w:val="00EA003B"/>
    <w:rsid w:val="00EA00B3"/>
    <w:rsid w:val="00EA17AD"/>
    <w:rsid w:val="00EA1BAB"/>
    <w:rsid w:val="00EA29C3"/>
    <w:rsid w:val="00EA31BE"/>
    <w:rsid w:val="00EA3D59"/>
    <w:rsid w:val="00EA42F9"/>
    <w:rsid w:val="00EA45F0"/>
    <w:rsid w:val="00EA4B24"/>
    <w:rsid w:val="00EA5DD2"/>
    <w:rsid w:val="00EA7FE6"/>
    <w:rsid w:val="00EB04D5"/>
    <w:rsid w:val="00EB07C8"/>
    <w:rsid w:val="00EB23E5"/>
    <w:rsid w:val="00EB427B"/>
    <w:rsid w:val="00EB5D4F"/>
    <w:rsid w:val="00EB647C"/>
    <w:rsid w:val="00EC17BA"/>
    <w:rsid w:val="00EC211F"/>
    <w:rsid w:val="00EC711A"/>
    <w:rsid w:val="00EC712A"/>
    <w:rsid w:val="00EC7347"/>
    <w:rsid w:val="00ED0206"/>
    <w:rsid w:val="00ED12CF"/>
    <w:rsid w:val="00ED2980"/>
    <w:rsid w:val="00ED36DA"/>
    <w:rsid w:val="00ED46ED"/>
    <w:rsid w:val="00ED6DD0"/>
    <w:rsid w:val="00EE1E0F"/>
    <w:rsid w:val="00EE44A4"/>
    <w:rsid w:val="00EE49CB"/>
    <w:rsid w:val="00EE6636"/>
    <w:rsid w:val="00EF1007"/>
    <w:rsid w:val="00EF2430"/>
    <w:rsid w:val="00EF281F"/>
    <w:rsid w:val="00EF2A1E"/>
    <w:rsid w:val="00EF33FE"/>
    <w:rsid w:val="00EF4039"/>
    <w:rsid w:val="00EF52A4"/>
    <w:rsid w:val="00EF7CEE"/>
    <w:rsid w:val="00F01D6B"/>
    <w:rsid w:val="00F02313"/>
    <w:rsid w:val="00F037EC"/>
    <w:rsid w:val="00F0402F"/>
    <w:rsid w:val="00F06011"/>
    <w:rsid w:val="00F07536"/>
    <w:rsid w:val="00F10AB0"/>
    <w:rsid w:val="00F12340"/>
    <w:rsid w:val="00F128A6"/>
    <w:rsid w:val="00F130BE"/>
    <w:rsid w:val="00F131FC"/>
    <w:rsid w:val="00F143BA"/>
    <w:rsid w:val="00F14B2F"/>
    <w:rsid w:val="00F158D5"/>
    <w:rsid w:val="00F15EA7"/>
    <w:rsid w:val="00F16C98"/>
    <w:rsid w:val="00F174BC"/>
    <w:rsid w:val="00F1783F"/>
    <w:rsid w:val="00F2044B"/>
    <w:rsid w:val="00F22837"/>
    <w:rsid w:val="00F23EEA"/>
    <w:rsid w:val="00F240D7"/>
    <w:rsid w:val="00F25461"/>
    <w:rsid w:val="00F26D47"/>
    <w:rsid w:val="00F31C99"/>
    <w:rsid w:val="00F32221"/>
    <w:rsid w:val="00F334E3"/>
    <w:rsid w:val="00F371EA"/>
    <w:rsid w:val="00F400D3"/>
    <w:rsid w:val="00F416DF"/>
    <w:rsid w:val="00F421DF"/>
    <w:rsid w:val="00F4239E"/>
    <w:rsid w:val="00F45DA1"/>
    <w:rsid w:val="00F46A27"/>
    <w:rsid w:val="00F5275F"/>
    <w:rsid w:val="00F52DD1"/>
    <w:rsid w:val="00F53C64"/>
    <w:rsid w:val="00F5434C"/>
    <w:rsid w:val="00F54F2B"/>
    <w:rsid w:val="00F57B40"/>
    <w:rsid w:val="00F57E61"/>
    <w:rsid w:val="00F60733"/>
    <w:rsid w:val="00F609A7"/>
    <w:rsid w:val="00F623AA"/>
    <w:rsid w:val="00F6250E"/>
    <w:rsid w:val="00F62881"/>
    <w:rsid w:val="00F64446"/>
    <w:rsid w:val="00F66110"/>
    <w:rsid w:val="00F666F7"/>
    <w:rsid w:val="00F66935"/>
    <w:rsid w:val="00F67F2F"/>
    <w:rsid w:val="00F706FE"/>
    <w:rsid w:val="00F73F99"/>
    <w:rsid w:val="00F7523D"/>
    <w:rsid w:val="00F762DB"/>
    <w:rsid w:val="00F76408"/>
    <w:rsid w:val="00F8287B"/>
    <w:rsid w:val="00F82D7D"/>
    <w:rsid w:val="00F831DA"/>
    <w:rsid w:val="00F837BF"/>
    <w:rsid w:val="00F848C9"/>
    <w:rsid w:val="00F85DA1"/>
    <w:rsid w:val="00F90328"/>
    <w:rsid w:val="00F916E7"/>
    <w:rsid w:val="00F916E8"/>
    <w:rsid w:val="00F92D72"/>
    <w:rsid w:val="00F92E2F"/>
    <w:rsid w:val="00F93FB5"/>
    <w:rsid w:val="00F957B5"/>
    <w:rsid w:val="00F958DD"/>
    <w:rsid w:val="00F9748B"/>
    <w:rsid w:val="00FA03E3"/>
    <w:rsid w:val="00FA06E0"/>
    <w:rsid w:val="00FA0C49"/>
    <w:rsid w:val="00FA33F5"/>
    <w:rsid w:val="00FA40C9"/>
    <w:rsid w:val="00FA4E3C"/>
    <w:rsid w:val="00FA716C"/>
    <w:rsid w:val="00FA7623"/>
    <w:rsid w:val="00FB2F03"/>
    <w:rsid w:val="00FB33CD"/>
    <w:rsid w:val="00FB360C"/>
    <w:rsid w:val="00FB372F"/>
    <w:rsid w:val="00FB4C8C"/>
    <w:rsid w:val="00FB5246"/>
    <w:rsid w:val="00FB6A45"/>
    <w:rsid w:val="00FB717A"/>
    <w:rsid w:val="00FB77F8"/>
    <w:rsid w:val="00FB78FA"/>
    <w:rsid w:val="00FC0BCF"/>
    <w:rsid w:val="00FC0EC8"/>
    <w:rsid w:val="00FC1C1F"/>
    <w:rsid w:val="00FC2428"/>
    <w:rsid w:val="00FC28CA"/>
    <w:rsid w:val="00FC3520"/>
    <w:rsid w:val="00FC6468"/>
    <w:rsid w:val="00FC655F"/>
    <w:rsid w:val="00FC662F"/>
    <w:rsid w:val="00FC70CC"/>
    <w:rsid w:val="00FC7AD0"/>
    <w:rsid w:val="00FD0C10"/>
    <w:rsid w:val="00FD51B9"/>
    <w:rsid w:val="00FD624B"/>
    <w:rsid w:val="00FD73BA"/>
    <w:rsid w:val="00FD7F4C"/>
    <w:rsid w:val="00FE142B"/>
    <w:rsid w:val="00FE17DE"/>
    <w:rsid w:val="00FE1858"/>
    <w:rsid w:val="00FE213D"/>
    <w:rsid w:val="00FE2782"/>
    <w:rsid w:val="00FE3525"/>
    <w:rsid w:val="00FE451F"/>
    <w:rsid w:val="00FF00AE"/>
    <w:rsid w:val="00FF3434"/>
    <w:rsid w:val="00FF4564"/>
    <w:rsid w:val="00FF50B3"/>
    <w:rsid w:val="00FF546D"/>
    <w:rsid w:val="00FF6F93"/>
    <w:rsid w:val="00FF72B1"/>
    <w:rsid w:val="00FF7F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24B9D2BC"/>
  <w15:docId w15:val="{C5ACBDAE-2D66-442D-9C90-2B9757D4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epoužívat - původní Normální"/>
    <w:qFormat/>
    <w:rsid w:val="00FB717A"/>
    <w:pPr>
      <w:spacing w:before="120" w:after="120"/>
      <w:contextualSpacing/>
      <w:jc w:val="both"/>
    </w:pPr>
    <w:rPr>
      <w:sz w:val="24"/>
      <w:szCs w:val="22"/>
      <w:lang w:eastAsia="en-US"/>
    </w:rPr>
  </w:style>
  <w:style w:type="paragraph" w:styleId="Nadpis1">
    <w:name w:val="heading 1"/>
    <w:basedOn w:val="Normln"/>
    <w:next w:val="Normln"/>
    <w:link w:val="Nadpis1Char"/>
    <w:uiPriority w:val="9"/>
    <w:qFormat/>
    <w:rsid w:val="00E4339E"/>
    <w:pPr>
      <w:keepNext/>
      <w:keepLines/>
      <w:numPr>
        <w:numId w:val="7"/>
      </w:numPr>
      <w:spacing w:before="240" w:after="480"/>
      <w:outlineLvl w:val="0"/>
    </w:pPr>
    <w:rPr>
      <w:rFonts w:ascii="Cambria" w:eastAsia="Times New Roman" w:hAnsi="Cambria"/>
      <w:color w:val="365F91"/>
      <w:sz w:val="32"/>
      <w:szCs w:val="32"/>
    </w:rPr>
  </w:style>
  <w:style w:type="paragraph" w:styleId="Nadpis2">
    <w:name w:val="heading 2"/>
    <w:basedOn w:val="Normln"/>
    <w:next w:val="Normln"/>
    <w:link w:val="Nadpis2Char"/>
    <w:uiPriority w:val="9"/>
    <w:unhideWhenUsed/>
    <w:qFormat/>
    <w:rsid w:val="00E4339E"/>
    <w:pPr>
      <w:keepNext/>
      <w:keepLines/>
      <w:numPr>
        <w:ilvl w:val="1"/>
        <w:numId w:val="7"/>
      </w:numPr>
      <w:spacing w:before="360" w:after="360"/>
      <w:jc w:val="left"/>
      <w:outlineLvl w:val="1"/>
    </w:pPr>
    <w:rPr>
      <w:rFonts w:eastAsia="Times New Roman"/>
      <w:color w:val="365F91"/>
      <w:sz w:val="28"/>
      <w:szCs w:val="26"/>
    </w:rPr>
  </w:style>
  <w:style w:type="paragraph" w:styleId="Nadpis3">
    <w:name w:val="heading 3"/>
    <w:basedOn w:val="Normln"/>
    <w:next w:val="Normln"/>
    <w:link w:val="Nadpis3Char"/>
    <w:uiPriority w:val="9"/>
    <w:unhideWhenUsed/>
    <w:qFormat/>
    <w:rsid w:val="00E4339E"/>
    <w:pPr>
      <w:keepNext/>
      <w:keepLines/>
      <w:numPr>
        <w:ilvl w:val="2"/>
        <w:numId w:val="7"/>
      </w:numPr>
      <w:spacing w:before="360" w:after="240"/>
      <w:contextualSpacing w:val="0"/>
      <w:jc w:val="left"/>
      <w:outlineLvl w:val="2"/>
    </w:pPr>
    <w:rPr>
      <w:rFonts w:eastAsia="Times New Roman"/>
      <w:color w:val="243F60"/>
      <w:szCs w:val="24"/>
    </w:rPr>
  </w:style>
  <w:style w:type="paragraph" w:styleId="Nadpis4">
    <w:name w:val="heading 4"/>
    <w:basedOn w:val="Normln"/>
    <w:next w:val="Normln"/>
    <w:link w:val="Nadpis4Char"/>
    <w:uiPriority w:val="9"/>
    <w:unhideWhenUsed/>
    <w:qFormat/>
    <w:rsid w:val="00590F65"/>
    <w:pPr>
      <w:keepNext/>
      <w:keepLines/>
      <w:numPr>
        <w:ilvl w:val="3"/>
        <w:numId w:val="5"/>
      </w:numPr>
      <w:spacing w:before="40"/>
      <w:outlineLvl w:val="3"/>
    </w:pPr>
    <w:rPr>
      <w:rFonts w:ascii="Cambria" w:eastAsia="Times New Roman" w:hAnsi="Cambria"/>
      <w:i/>
      <w:iCs/>
      <w:color w:val="365F91"/>
      <w:szCs w:val="20"/>
    </w:rPr>
  </w:style>
  <w:style w:type="paragraph" w:styleId="Nadpis5">
    <w:name w:val="heading 5"/>
    <w:basedOn w:val="Normln"/>
    <w:next w:val="Normln"/>
    <w:link w:val="Nadpis5Char"/>
    <w:uiPriority w:val="9"/>
    <w:semiHidden/>
    <w:unhideWhenUsed/>
    <w:qFormat/>
    <w:rsid w:val="00590F65"/>
    <w:pPr>
      <w:keepNext/>
      <w:keepLines/>
      <w:numPr>
        <w:ilvl w:val="4"/>
        <w:numId w:val="5"/>
      </w:numPr>
      <w:spacing w:before="40"/>
      <w:outlineLvl w:val="4"/>
    </w:pPr>
    <w:rPr>
      <w:rFonts w:ascii="Cambria" w:eastAsia="Times New Roman" w:hAnsi="Cambria"/>
      <w:color w:val="365F91"/>
      <w:szCs w:val="20"/>
    </w:rPr>
  </w:style>
  <w:style w:type="paragraph" w:styleId="Nadpis6">
    <w:name w:val="heading 6"/>
    <w:basedOn w:val="Normln"/>
    <w:next w:val="Normln"/>
    <w:link w:val="Nadpis6Char"/>
    <w:uiPriority w:val="9"/>
    <w:semiHidden/>
    <w:unhideWhenUsed/>
    <w:qFormat/>
    <w:rsid w:val="00590F65"/>
    <w:pPr>
      <w:keepNext/>
      <w:keepLines/>
      <w:numPr>
        <w:ilvl w:val="5"/>
        <w:numId w:val="5"/>
      </w:numPr>
      <w:spacing w:before="40"/>
      <w:outlineLvl w:val="5"/>
    </w:pPr>
    <w:rPr>
      <w:rFonts w:ascii="Cambria" w:eastAsia="Times New Roman" w:hAnsi="Cambria"/>
      <w:color w:val="243F60"/>
      <w:szCs w:val="20"/>
    </w:rPr>
  </w:style>
  <w:style w:type="paragraph" w:styleId="Nadpis7">
    <w:name w:val="heading 7"/>
    <w:basedOn w:val="Normln"/>
    <w:next w:val="Normln"/>
    <w:link w:val="Nadpis7Char"/>
    <w:uiPriority w:val="9"/>
    <w:semiHidden/>
    <w:unhideWhenUsed/>
    <w:qFormat/>
    <w:rsid w:val="00590F65"/>
    <w:pPr>
      <w:keepNext/>
      <w:keepLines/>
      <w:numPr>
        <w:ilvl w:val="6"/>
        <w:numId w:val="5"/>
      </w:numPr>
      <w:spacing w:before="40"/>
      <w:outlineLvl w:val="6"/>
    </w:pPr>
    <w:rPr>
      <w:rFonts w:ascii="Cambria" w:eastAsia="Times New Roman" w:hAnsi="Cambria"/>
      <w:i/>
      <w:iCs/>
      <w:color w:val="243F60"/>
      <w:szCs w:val="20"/>
    </w:rPr>
  </w:style>
  <w:style w:type="paragraph" w:styleId="Nadpis8">
    <w:name w:val="heading 8"/>
    <w:basedOn w:val="Normln"/>
    <w:next w:val="Normln"/>
    <w:link w:val="Nadpis8Char"/>
    <w:uiPriority w:val="9"/>
    <w:semiHidden/>
    <w:unhideWhenUsed/>
    <w:qFormat/>
    <w:rsid w:val="00590F65"/>
    <w:pPr>
      <w:keepNext/>
      <w:keepLines/>
      <w:numPr>
        <w:ilvl w:val="7"/>
        <w:numId w:val="5"/>
      </w:numPr>
      <w:spacing w:before="40"/>
      <w:outlineLvl w:val="7"/>
    </w:pPr>
    <w:rPr>
      <w:rFonts w:ascii="Cambria" w:eastAsia="Times New Roman" w:hAnsi="Cambria"/>
      <w:color w:val="272727"/>
      <w:sz w:val="21"/>
      <w:szCs w:val="21"/>
    </w:rPr>
  </w:style>
  <w:style w:type="paragraph" w:styleId="Nadpis9">
    <w:name w:val="heading 9"/>
    <w:basedOn w:val="Normln"/>
    <w:next w:val="Normln"/>
    <w:link w:val="Nadpis9Char"/>
    <w:uiPriority w:val="9"/>
    <w:semiHidden/>
    <w:unhideWhenUsed/>
    <w:qFormat/>
    <w:rsid w:val="00590F65"/>
    <w:pPr>
      <w:keepNext/>
      <w:keepLines/>
      <w:numPr>
        <w:ilvl w:val="8"/>
        <w:numId w:val="5"/>
      </w:numPr>
      <w:spacing w:before="40"/>
      <w:outlineLvl w:val="8"/>
    </w:pPr>
    <w:rPr>
      <w:rFonts w:ascii="Cambria" w:eastAsia="Times New Roman"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E4339E"/>
    <w:rPr>
      <w:rFonts w:ascii="Cambria" w:eastAsia="Times New Roman" w:hAnsi="Cambria" w:cs="Times New Roman"/>
      <w:color w:val="365F91"/>
      <w:sz w:val="32"/>
      <w:szCs w:val="32"/>
    </w:rPr>
  </w:style>
  <w:style w:type="character" w:customStyle="1" w:styleId="Nadpis2Char">
    <w:name w:val="Nadpis 2 Char"/>
    <w:link w:val="Nadpis2"/>
    <w:uiPriority w:val="9"/>
    <w:rsid w:val="00E4339E"/>
    <w:rPr>
      <w:rFonts w:eastAsia="Times New Roman" w:cs="Times New Roman"/>
      <w:color w:val="365F91"/>
      <w:sz w:val="28"/>
      <w:szCs w:val="26"/>
    </w:rPr>
  </w:style>
  <w:style w:type="character" w:customStyle="1" w:styleId="Nadpis3Char">
    <w:name w:val="Nadpis 3 Char"/>
    <w:link w:val="Nadpis3"/>
    <w:uiPriority w:val="9"/>
    <w:rsid w:val="00E4339E"/>
    <w:rPr>
      <w:rFonts w:eastAsia="Times New Roman" w:cs="Times New Roman"/>
      <w:color w:val="243F60"/>
      <w:sz w:val="24"/>
      <w:szCs w:val="24"/>
    </w:rPr>
  </w:style>
  <w:style w:type="character" w:customStyle="1" w:styleId="Nadpis4Char">
    <w:name w:val="Nadpis 4 Char"/>
    <w:link w:val="Nadpis4"/>
    <w:uiPriority w:val="9"/>
    <w:rsid w:val="00590F65"/>
    <w:rPr>
      <w:rFonts w:ascii="Cambria" w:eastAsia="Times New Roman" w:hAnsi="Cambria" w:cs="Times New Roman"/>
      <w:i/>
      <w:iCs/>
      <w:color w:val="365F91"/>
      <w:sz w:val="24"/>
    </w:rPr>
  </w:style>
  <w:style w:type="character" w:customStyle="1" w:styleId="Nadpis5Char">
    <w:name w:val="Nadpis 5 Char"/>
    <w:link w:val="Nadpis5"/>
    <w:uiPriority w:val="9"/>
    <w:semiHidden/>
    <w:rsid w:val="00590F65"/>
    <w:rPr>
      <w:rFonts w:ascii="Cambria" w:eastAsia="Times New Roman" w:hAnsi="Cambria" w:cs="Times New Roman"/>
      <w:color w:val="365F91"/>
      <w:sz w:val="24"/>
    </w:rPr>
  </w:style>
  <w:style w:type="character" w:customStyle="1" w:styleId="Nadpis6Char">
    <w:name w:val="Nadpis 6 Char"/>
    <w:link w:val="Nadpis6"/>
    <w:uiPriority w:val="9"/>
    <w:semiHidden/>
    <w:rsid w:val="00590F65"/>
    <w:rPr>
      <w:rFonts w:ascii="Cambria" w:eastAsia="Times New Roman" w:hAnsi="Cambria" w:cs="Times New Roman"/>
      <w:color w:val="243F60"/>
      <w:sz w:val="24"/>
    </w:rPr>
  </w:style>
  <w:style w:type="character" w:customStyle="1" w:styleId="Nadpis7Char">
    <w:name w:val="Nadpis 7 Char"/>
    <w:link w:val="Nadpis7"/>
    <w:uiPriority w:val="9"/>
    <w:semiHidden/>
    <w:rsid w:val="00590F65"/>
    <w:rPr>
      <w:rFonts w:ascii="Cambria" w:eastAsia="Times New Roman" w:hAnsi="Cambria" w:cs="Times New Roman"/>
      <w:i/>
      <w:iCs/>
      <w:color w:val="243F60"/>
      <w:sz w:val="24"/>
    </w:rPr>
  </w:style>
  <w:style w:type="character" w:customStyle="1" w:styleId="Nadpis8Char">
    <w:name w:val="Nadpis 8 Char"/>
    <w:link w:val="Nadpis8"/>
    <w:uiPriority w:val="9"/>
    <w:semiHidden/>
    <w:rsid w:val="00590F65"/>
    <w:rPr>
      <w:rFonts w:ascii="Cambria" w:eastAsia="Times New Roman" w:hAnsi="Cambria" w:cs="Times New Roman"/>
      <w:color w:val="272727"/>
      <w:sz w:val="21"/>
      <w:szCs w:val="21"/>
    </w:rPr>
  </w:style>
  <w:style w:type="character" w:customStyle="1" w:styleId="Nadpis9Char">
    <w:name w:val="Nadpis 9 Char"/>
    <w:link w:val="Nadpis9"/>
    <w:uiPriority w:val="9"/>
    <w:semiHidden/>
    <w:rsid w:val="00590F65"/>
    <w:rPr>
      <w:rFonts w:ascii="Cambria" w:eastAsia="Times New Roman" w:hAnsi="Cambria" w:cs="Times New Roman"/>
      <w:i/>
      <w:iCs/>
      <w:color w:val="272727"/>
      <w:sz w:val="21"/>
      <w:szCs w:val="21"/>
    </w:rPr>
  </w:style>
  <w:style w:type="character" w:styleId="Odkaznakoment">
    <w:name w:val="annotation reference"/>
    <w:uiPriority w:val="99"/>
    <w:semiHidden/>
    <w:unhideWhenUsed/>
    <w:rsid w:val="00590F65"/>
    <w:rPr>
      <w:sz w:val="16"/>
      <w:szCs w:val="16"/>
    </w:rPr>
  </w:style>
  <w:style w:type="paragraph" w:styleId="Textkomente">
    <w:name w:val="annotation text"/>
    <w:basedOn w:val="Normln"/>
    <w:link w:val="TextkomenteChar"/>
    <w:uiPriority w:val="99"/>
    <w:semiHidden/>
    <w:unhideWhenUsed/>
    <w:rsid w:val="00590F65"/>
    <w:rPr>
      <w:rFonts w:ascii="Arial" w:hAnsi="Arial"/>
      <w:sz w:val="20"/>
      <w:szCs w:val="20"/>
    </w:rPr>
  </w:style>
  <w:style w:type="character" w:customStyle="1" w:styleId="TextkomenteChar">
    <w:name w:val="Text komentáře Char"/>
    <w:link w:val="Textkomente"/>
    <w:uiPriority w:val="99"/>
    <w:semiHidden/>
    <w:rsid w:val="00590F65"/>
    <w:rPr>
      <w:rFonts w:ascii="Arial" w:hAnsi="Arial"/>
      <w:sz w:val="20"/>
      <w:szCs w:val="20"/>
    </w:rPr>
  </w:style>
  <w:style w:type="paragraph" w:styleId="Pedmtkomente">
    <w:name w:val="annotation subject"/>
    <w:basedOn w:val="Textkomente"/>
    <w:next w:val="Textkomente"/>
    <w:link w:val="PedmtkomenteChar"/>
    <w:uiPriority w:val="99"/>
    <w:semiHidden/>
    <w:unhideWhenUsed/>
    <w:rsid w:val="00590F65"/>
    <w:rPr>
      <w:b/>
      <w:bCs/>
    </w:rPr>
  </w:style>
  <w:style w:type="character" w:customStyle="1" w:styleId="PedmtkomenteChar">
    <w:name w:val="Předmět komentáře Char"/>
    <w:link w:val="Pedmtkomente"/>
    <w:uiPriority w:val="99"/>
    <w:semiHidden/>
    <w:rsid w:val="00590F65"/>
    <w:rPr>
      <w:rFonts w:ascii="Arial" w:hAnsi="Arial"/>
      <w:b/>
      <w:bCs/>
      <w:sz w:val="20"/>
      <w:szCs w:val="20"/>
    </w:rPr>
  </w:style>
  <w:style w:type="paragraph" w:styleId="Revize">
    <w:name w:val="Revision"/>
    <w:hidden/>
    <w:uiPriority w:val="99"/>
    <w:semiHidden/>
    <w:rsid w:val="00590F65"/>
    <w:rPr>
      <w:rFonts w:ascii="Arial" w:hAnsi="Arial"/>
      <w:sz w:val="22"/>
      <w:szCs w:val="22"/>
      <w:lang w:eastAsia="en-US"/>
    </w:rPr>
  </w:style>
  <w:style w:type="paragraph" w:styleId="Textbubliny">
    <w:name w:val="Balloon Text"/>
    <w:basedOn w:val="Normln"/>
    <w:link w:val="TextbublinyChar"/>
    <w:uiPriority w:val="99"/>
    <w:semiHidden/>
    <w:unhideWhenUsed/>
    <w:rsid w:val="00590F65"/>
    <w:rPr>
      <w:rFonts w:ascii="Segoe UI" w:hAnsi="Segoe UI"/>
      <w:sz w:val="18"/>
      <w:szCs w:val="18"/>
    </w:rPr>
  </w:style>
  <w:style w:type="character" w:customStyle="1" w:styleId="TextbublinyChar">
    <w:name w:val="Text bubliny Char"/>
    <w:link w:val="Textbubliny"/>
    <w:uiPriority w:val="99"/>
    <w:semiHidden/>
    <w:rsid w:val="00590F65"/>
    <w:rPr>
      <w:rFonts w:ascii="Segoe UI" w:hAnsi="Segoe UI" w:cs="Segoe UI"/>
      <w:sz w:val="18"/>
      <w:szCs w:val="18"/>
    </w:rPr>
  </w:style>
  <w:style w:type="character" w:styleId="Zstupntext">
    <w:name w:val="Placeholder Text"/>
    <w:uiPriority w:val="99"/>
    <w:semiHidden/>
    <w:rsid w:val="00590F65"/>
    <w:rPr>
      <w:color w:val="808080"/>
    </w:rPr>
  </w:style>
  <w:style w:type="character" w:styleId="Nzevknihy">
    <w:name w:val="Book Title"/>
    <w:uiPriority w:val="33"/>
    <w:qFormat/>
    <w:rsid w:val="00590F65"/>
    <w:rPr>
      <w:b/>
      <w:bCs/>
      <w:i/>
      <w:iCs/>
      <w:spacing w:val="5"/>
    </w:rPr>
  </w:style>
  <w:style w:type="paragraph" w:styleId="Nzev">
    <w:name w:val="Title"/>
    <w:basedOn w:val="Normln"/>
    <w:next w:val="Normln"/>
    <w:link w:val="NzevChar"/>
    <w:uiPriority w:val="10"/>
    <w:qFormat/>
    <w:rsid w:val="00590F65"/>
    <w:rPr>
      <w:rFonts w:ascii="Cambria" w:eastAsia="Times New Roman" w:hAnsi="Cambria"/>
      <w:spacing w:val="-10"/>
      <w:kern w:val="28"/>
      <w:sz w:val="56"/>
      <w:szCs w:val="56"/>
    </w:rPr>
  </w:style>
  <w:style w:type="character" w:customStyle="1" w:styleId="NzevChar">
    <w:name w:val="Název Char"/>
    <w:link w:val="Nzev"/>
    <w:uiPriority w:val="10"/>
    <w:rsid w:val="00590F65"/>
    <w:rPr>
      <w:rFonts w:ascii="Cambria" w:eastAsia="Times New Roman" w:hAnsi="Cambria" w:cs="Times New Roman"/>
      <w:spacing w:val="-10"/>
      <w:kern w:val="28"/>
      <w:sz w:val="56"/>
      <w:szCs w:val="56"/>
    </w:rPr>
  </w:style>
  <w:style w:type="paragraph" w:styleId="Zhlav">
    <w:name w:val="header"/>
    <w:basedOn w:val="Normln"/>
    <w:link w:val="ZhlavChar"/>
    <w:uiPriority w:val="99"/>
    <w:unhideWhenUsed/>
    <w:rsid w:val="00590F65"/>
    <w:pPr>
      <w:tabs>
        <w:tab w:val="center" w:pos="4536"/>
        <w:tab w:val="right" w:pos="9072"/>
      </w:tabs>
    </w:pPr>
    <w:rPr>
      <w:rFonts w:ascii="Arial" w:hAnsi="Arial"/>
      <w:sz w:val="20"/>
      <w:szCs w:val="20"/>
    </w:rPr>
  </w:style>
  <w:style w:type="character" w:customStyle="1" w:styleId="ZhlavChar">
    <w:name w:val="Záhlaví Char"/>
    <w:link w:val="Zhlav"/>
    <w:uiPriority w:val="99"/>
    <w:rsid w:val="00590F65"/>
    <w:rPr>
      <w:rFonts w:ascii="Arial" w:hAnsi="Arial"/>
    </w:rPr>
  </w:style>
  <w:style w:type="paragraph" w:styleId="Zpat">
    <w:name w:val="footer"/>
    <w:basedOn w:val="Normln"/>
    <w:link w:val="ZpatChar"/>
    <w:uiPriority w:val="99"/>
    <w:unhideWhenUsed/>
    <w:rsid w:val="00FB717A"/>
    <w:pPr>
      <w:tabs>
        <w:tab w:val="center" w:pos="4536"/>
        <w:tab w:val="right" w:pos="9072"/>
      </w:tabs>
    </w:pPr>
    <w:rPr>
      <w:i/>
      <w:sz w:val="18"/>
      <w:szCs w:val="20"/>
    </w:rPr>
  </w:style>
  <w:style w:type="character" w:customStyle="1" w:styleId="ZpatChar">
    <w:name w:val="Zápatí Char"/>
    <w:link w:val="Zpat"/>
    <w:uiPriority w:val="99"/>
    <w:rsid w:val="00FB717A"/>
    <w:rPr>
      <w:rFonts w:ascii="Calibri" w:hAnsi="Calibri"/>
      <w:i/>
      <w:sz w:val="18"/>
    </w:rPr>
  </w:style>
  <w:style w:type="paragraph" w:styleId="Podtitul">
    <w:name w:val="Subtitle"/>
    <w:basedOn w:val="Normln"/>
    <w:next w:val="Normln"/>
    <w:link w:val="PodtitulChar"/>
    <w:uiPriority w:val="11"/>
    <w:qFormat/>
    <w:rsid w:val="00590F65"/>
    <w:pPr>
      <w:numPr>
        <w:ilvl w:val="1"/>
      </w:numPr>
      <w:spacing w:after="160"/>
    </w:pPr>
    <w:rPr>
      <w:rFonts w:eastAsia="Times New Roman"/>
      <w:color w:val="5A5A5A"/>
      <w:spacing w:val="15"/>
      <w:sz w:val="20"/>
      <w:szCs w:val="20"/>
    </w:rPr>
  </w:style>
  <w:style w:type="character" w:customStyle="1" w:styleId="PodtitulChar">
    <w:name w:val="Podtitul Char"/>
    <w:link w:val="Podtitul"/>
    <w:uiPriority w:val="11"/>
    <w:rsid w:val="00590F65"/>
    <w:rPr>
      <w:rFonts w:eastAsia="Times New Roman"/>
      <w:color w:val="5A5A5A"/>
      <w:spacing w:val="15"/>
    </w:rPr>
  </w:style>
  <w:style w:type="paragraph" w:styleId="Nadpisobsahu">
    <w:name w:val="TOC Heading"/>
    <w:basedOn w:val="Nadpis1"/>
    <w:next w:val="Normln"/>
    <w:uiPriority w:val="39"/>
    <w:unhideWhenUsed/>
    <w:qFormat/>
    <w:rsid w:val="00590F65"/>
    <w:pPr>
      <w:numPr>
        <w:numId w:val="0"/>
      </w:numPr>
      <w:spacing w:line="259" w:lineRule="auto"/>
      <w:outlineLvl w:val="9"/>
    </w:pPr>
    <w:rPr>
      <w:lang w:eastAsia="cs-CZ"/>
    </w:rPr>
  </w:style>
  <w:style w:type="paragraph" w:styleId="Obsah1">
    <w:name w:val="toc 1"/>
    <w:basedOn w:val="Normln"/>
    <w:next w:val="Normln"/>
    <w:autoRedefine/>
    <w:uiPriority w:val="39"/>
    <w:unhideWhenUsed/>
    <w:rsid w:val="009B6BE8"/>
    <w:pPr>
      <w:tabs>
        <w:tab w:val="left" w:pos="708"/>
        <w:tab w:val="right" w:leader="dot" w:pos="9062"/>
      </w:tabs>
      <w:spacing w:after="100"/>
      <w:ind w:left="709" w:hanging="440"/>
      <w:jc w:val="left"/>
    </w:pPr>
  </w:style>
  <w:style w:type="paragraph" w:styleId="Obsah2">
    <w:name w:val="toc 2"/>
    <w:basedOn w:val="Normln"/>
    <w:next w:val="Normln"/>
    <w:autoRedefine/>
    <w:uiPriority w:val="39"/>
    <w:unhideWhenUsed/>
    <w:rsid w:val="00324D46"/>
    <w:pPr>
      <w:tabs>
        <w:tab w:val="left" w:pos="880"/>
        <w:tab w:val="right" w:leader="dot" w:pos="9062"/>
      </w:tabs>
      <w:spacing w:after="100"/>
      <w:ind w:left="708" w:hanging="488"/>
      <w:jc w:val="left"/>
    </w:pPr>
  </w:style>
  <w:style w:type="character" w:styleId="Hypertextovodkaz">
    <w:name w:val="Hyperlink"/>
    <w:uiPriority w:val="99"/>
    <w:unhideWhenUsed/>
    <w:rsid w:val="00590F65"/>
    <w:rPr>
      <w:color w:val="0000FF"/>
      <w:u w:val="single"/>
    </w:rPr>
  </w:style>
  <w:style w:type="paragraph" w:styleId="Odstavecseseznamem">
    <w:name w:val="List Paragraph"/>
    <w:aliases w:val="záložní3"/>
    <w:basedOn w:val="Normln"/>
    <w:uiPriority w:val="34"/>
    <w:qFormat/>
    <w:rsid w:val="00590F65"/>
    <w:pPr>
      <w:ind w:left="720"/>
    </w:pPr>
  </w:style>
  <w:style w:type="character" w:styleId="Sledovanodkaz">
    <w:name w:val="FollowedHyperlink"/>
    <w:uiPriority w:val="99"/>
    <w:semiHidden/>
    <w:unhideWhenUsed/>
    <w:rsid w:val="00590F65"/>
    <w:rPr>
      <w:color w:val="954F72"/>
      <w:u w:val="single"/>
    </w:rPr>
  </w:style>
  <w:style w:type="paragraph" w:customStyle="1" w:styleId="font5">
    <w:name w:val="font5"/>
    <w:basedOn w:val="Normln"/>
    <w:rsid w:val="00590F65"/>
    <w:pPr>
      <w:spacing w:before="100" w:beforeAutospacing="1" w:after="100" w:afterAutospacing="1"/>
    </w:pPr>
    <w:rPr>
      <w:rFonts w:ascii="Tahoma" w:eastAsia="Times New Roman" w:hAnsi="Tahoma" w:cs="Tahoma"/>
      <w:color w:val="000000"/>
      <w:sz w:val="18"/>
      <w:szCs w:val="18"/>
      <w:lang w:eastAsia="cs-CZ"/>
    </w:rPr>
  </w:style>
  <w:style w:type="paragraph" w:customStyle="1" w:styleId="font6">
    <w:name w:val="font6"/>
    <w:basedOn w:val="Normln"/>
    <w:rsid w:val="00590F65"/>
    <w:pPr>
      <w:spacing w:before="100" w:beforeAutospacing="1" w:after="100" w:afterAutospacing="1"/>
    </w:pPr>
    <w:rPr>
      <w:rFonts w:ascii="Tahoma" w:eastAsia="Times New Roman" w:hAnsi="Tahoma" w:cs="Tahoma"/>
      <w:b/>
      <w:bCs/>
      <w:color w:val="000000"/>
      <w:sz w:val="18"/>
      <w:szCs w:val="18"/>
      <w:lang w:eastAsia="cs-CZ"/>
    </w:rPr>
  </w:style>
  <w:style w:type="paragraph" w:customStyle="1" w:styleId="xl65">
    <w:name w:val="xl65"/>
    <w:basedOn w:val="Normln"/>
    <w:rsid w:val="00590F65"/>
    <w:pPr>
      <w:spacing w:before="100" w:beforeAutospacing="1" w:after="100" w:afterAutospacing="1"/>
      <w:jc w:val="center"/>
      <w:textAlignment w:val="center"/>
    </w:pPr>
    <w:rPr>
      <w:rFonts w:ascii="Times New Roman" w:eastAsia="Times New Roman" w:hAnsi="Times New Roman"/>
      <w:sz w:val="20"/>
      <w:szCs w:val="20"/>
      <w:lang w:eastAsia="cs-CZ"/>
    </w:rPr>
  </w:style>
  <w:style w:type="paragraph" w:customStyle="1" w:styleId="xl66">
    <w:name w:val="xl66"/>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customStyle="1" w:styleId="xl67">
    <w:name w:val="xl67"/>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customStyle="1" w:styleId="xl68">
    <w:name w:val="xl68"/>
    <w:basedOn w:val="Normln"/>
    <w:rsid w:val="00590F65"/>
    <w:pPr>
      <w:spacing w:before="100" w:beforeAutospacing="1" w:after="100" w:afterAutospacing="1"/>
      <w:jc w:val="center"/>
      <w:textAlignment w:val="center"/>
    </w:pPr>
    <w:rPr>
      <w:rFonts w:eastAsia="Times New Roman" w:cs="Arial"/>
      <w:b/>
      <w:bCs/>
      <w:i/>
      <w:iCs/>
      <w:color w:val="000000"/>
      <w:sz w:val="16"/>
      <w:szCs w:val="16"/>
      <w:lang w:eastAsia="cs-CZ"/>
    </w:rPr>
  </w:style>
  <w:style w:type="paragraph" w:customStyle="1" w:styleId="xl69">
    <w:name w:val="xl69"/>
    <w:basedOn w:val="Normln"/>
    <w:rsid w:val="00590F65"/>
    <w:pPr>
      <w:spacing w:before="100" w:beforeAutospacing="1" w:after="100" w:afterAutospacing="1"/>
      <w:textAlignment w:val="center"/>
    </w:pPr>
    <w:rPr>
      <w:rFonts w:eastAsia="Times New Roman" w:cs="Arial"/>
      <w:b/>
      <w:bCs/>
      <w:i/>
      <w:iCs/>
      <w:color w:val="000000"/>
      <w:sz w:val="16"/>
      <w:szCs w:val="16"/>
      <w:lang w:eastAsia="cs-CZ"/>
    </w:rPr>
  </w:style>
  <w:style w:type="paragraph" w:customStyle="1" w:styleId="xl70">
    <w:name w:val="xl70"/>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styleId="Textpoznpodarou">
    <w:name w:val="footnote text"/>
    <w:basedOn w:val="Normln"/>
    <w:link w:val="TextpoznpodarouChar"/>
    <w:uiPriority w:val="99"/>
    <w:semiHidden/>
    <w:unhideWhenUsed/>
    <w:rsid w:val="00590F65"/>
    <w:rPr>
      <w:rFonts w:ascii="Arial" w:hAnsi="Arial"/>
      <w:sz w:val="20"/>
      <w:szCs w:val="20"/>
    </w:rPr>
  </w:style>
  <w:style w:type="character" w:customStyle="1" w:styleId="TextpoznpodarouChar">
    <w:name w:val="Text pozn. pod čarou Char"/>
    <w:link w:val="Textpoznpodarou"/>
    <w:uiPriority w:val="99"/>
    <w:semiHidden/>
    <w:rsid w:val="00590F65"/>
    <w:rPr>
      <w:rFonts w:ascii="Arial" w:eastAsia="Calibri" w:hAnsi="Arial" w:cs="Times New Roman"/>
      <w:sz w:val="20"/>
      <w:szCs w:val="20"/>
    </w:rPr>
  </w:style>
  <w:style w:type="character" w:styleId="Znakapoznpodarou">
    <w:name w:val="footnote reference"/>
    <w:uiPriority w:val="99"/>
    <w:semiHidden/>
    <w:unhideWhenUsed/>
    <w:rsid w:val="00590F65"/>
    <w:rPr>
      <w:vertAlign w:val="superscript"/>
    </w:rPr>
  </w:style>
  <w:style w:type="paragraph" w:customStyle="1" w:styleId="xl71">
    <w:name w:val="xl71"/>
    <w:basedOn w:val="Normln"/>
    <w:rsid w:val="00590F65"/>
    <w:pPr>
      <w:spacing w:before="100" w:beforeAutospacing="1" w:after="100" w:afterAutospacing="1"/>
      <w:textAlignment w:val="center"/>
    </w:pPr>
    <w:rPr>
      <w:rFonts w:ascii="Times New Roman" w:eastAsia="Times New Roman" w:hAnsi="Times New Roman"/>
      <w:sz w:val="20"/>
      <w:szCs w:val="20"/>
      <w:lang w:eastAsia="cs-CZ"/>
    </w:rPr>
  </w:style>
  <w:style w:type="paragraph" w:customStyle="1" w:styleId="xl72">
    <w:name w:val="xl72"/>
    <w:basedOn w:val="Normln"/>
    <w:rsid w:val="00590F65"/>
    <w:pPr>
      <w:spacing w:before="100" w:beforeAutospacing="1" w:after="100" w:afterAutospacing="1"/>
      <w:jc w:val="right"/>
    </w:pPr>
    <w:rPr>
      <w:rFonts w:ascii="Times New Roman" w:eastAsia="Times New Roman" w:hAnsi="Times New Roman"/>
      <w:sz w:val="20"/>
      <w:szCs w:val="20"/>
      <w:lang w:eastAsia="cs-CZ"/>
    </w:rPr>
  </w:style>
  <w:style w:type="paragraph" w:customStyle="1" w:styleId="xl73">
    <w:name w:val="xl73"/>
    <w:basedOn w:val="Normln"/>
    <w:rsid w:val="00590F65"/>
    <w:pPr>
      <w:spacing w:before="100" w:beforeAutospacing="1" w:after="100" w:afterAutospacing="1"/>
      <w:jc w:val="right"/>
    </w:pPr>
    <w:rPr>
      <w:rFonts w:ascii="Times New Roman" w:eastAsia="Times New Roman" w:hAnsi="Times New Roman"/>
      <w:sz w:val="20"/>
      <w:szCs w:val="20"/>
      <w:lang w:eastAsia="cs-CZ"/>
    </w:rPr>
  </w:style>
  <w:style w:type="paragraph" w:customStyle="1" w:styleId="xl74">
    <w:name w:val="xl74"/>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customStyle="1" w:styleId="xl75">
    <w:name w:val="xl75"/>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customStyle="1" w:styleId="xl76">
    <w:name w:val="xl76"/>
    <w:basedOn w:val="Normln"/>
    <w:rsid w:val="00590F65"/>
    <w:pPr>
      <w:spacing w:before="100" w:beforeAutospacing="1" w:after="100" w:afterAutospacing="1"/>
      <w:jc w:val="right"/>
    </w:pPr>
    <w:rPr>
      <w:rFonts w:ascii="Times New Roman" w:eastAsia="Times New Roman" w:hAnsi="Times New Roman"/>
      <w:sz w:val="16"/>
      <w:szCs w:val="16"/>
      <w:lang w:eastAsia="cs-CZ"/>
    </w:rPr>
  </w:style>
  <w:style w:type="paragraph" w:customStyle="1" w:styleId="xl77">
    <w:name w:val="xl77"/>
    <w:basedOn w:val="Normln"/>
    <w:rsid w:val="00590F65"/>
    <w:pPr>
      <w:spacing w:before="100" w:beforeAutospacing="1" w:after="100" w:afterAutospacing="1"/>
      <w:jc w:val="right"/>
      <w:textAlignment w:val="center"/>
    </w:pPr>
    <w:rPr>
      <w:rFonts w:ascii="Times New Roman" w:eastAsia="Times New Roman" w:hAnsi="Times New Roman"/>
      <w:sz w:val="16"/>
      <w:szCs w:val="16"/>
      <w:lang w:eastAsia="cs-CZ"/>
    </w:rPr>
  </w:style>
  <w:style w:type="table" w:customStyle="1" w:styleId="Tabulkasmkou4zvraznn61">
    <w:name w:val="Tabulka s mřížkou 4 – zvýraznění 61"/>
    <w:basedOn w:val="Normlntabulka"/>
    <w:uiPriority w:val="49"/>
    <w:rsid w:val="00590F6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xl78">
    <w:name w:val="xl78"/>
    <w:basedOn w:val="Normln"/>
    <w:rsid w:val="00590F65"/>
    <w:pPr>
      <w:pBdr>
        <w:top w:val="single" w:sz="8" w:space="0" w:color="C4D79B"/>
        <w:bottom w:val="single" w:sz="4" w:space="0" w:color="A9D08E"/>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79">
    <w:name w:val="xl79"/>
    <w:basedOn w:val="Normln"/>
    <w:rsid w:val="00590F65"/>
    <w:pPr>
      <w:pBdr>
        <w:top w:val="single" w:sz="4" w:space="0" w:color="A9D08E"/>
        <w:bottom w:val="single" w:sz="4" w:space="0" w:color="A9D08E"/>
      </w:pBdr>
      <w:shd w:val="clear" w:color="70AD47" w:fill="70AD47"/>
      <w:spacing w:before="100" w:beforeAutospacing="1" w:after="100" w:afterAutospacing="1"/>
      <w:textAlignment w:val="center"/>
    </w:pPr>
    <w:rPr>
      <w:rFonts w:ascii="Calibri Light" w:eastAsia="Times New Roman" w:hAnsi="Calibri Light"/>
      <w:b/>
      <w:bCs/>
      <w:sz w:val="18"/>
      <w:szCs w:val="18"/>
      <w:lang w:eastAsia="cs-CZ"/>
    </w:rPr>
  </w:style>
  <w:style w:type="paragraph" w:customStyle="1" w:styleId="xl80">
    <w:name w:val="xl80"/>
    <w:basedOn w:val="Normln"/>
    <w:rsid w:val="00590F65"/>
    <w:pPr>
      <w:pBdr>
        <w:top w:val="single" w:sz="4" w:space="0" w:color="FF0000"/>
        <w:left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1">
    <w:name w:val="xl81"/>
    <w:basedOn w:val="Normln"/>
    <w:rsid w:val="00590F65"/>
    <w:pPr>
      <w:pBdr>
        <w:top w:val="single" w:sz="4" w:space="0" w:color="FF0000"/>
      </w:pBdr>
      <w:spacing w:before="100" w:beforeAutospacing="1" w:after="100" w:afterAutospacing="1"/>
    </w:pPr>
    <w:rPr>
      <w:rFonts w:ascii="Calibri Light" w:eastAsia="Times New Roman" w:hAnsi="Calibri Light"/>
      <w:sz w:val="18"/>
      <w:szCs w:val="18"/>
      <w:lang w:eastAsia="cs-CZ"/>
    </w:rPr>
  </w:style>
  <w:style w:type="paragraph" w:customStyle="1" w:styleId="xl82">
    <w:name w:val="xl82"/>
    <w:basedOn w:val="Normln"/>
    <w:rsid w:val="00590F65"/>
    <w:pPr>
      <w:pBdr>
        <w:top w:val="single" w:sz="4" w:space="0" w:color="FF0000"/>
      </w:pBdr>
      <w:spacing w:before="100" w:beforeAutospacing="1" w:after="100" w:afterAutospacing="1"/>
      <w:jc w:val="center"/>
    </w:pPr>
    <w:rPr>
      <w:rFonts w:ascii="Calibri Light" w:eastAsia="Times New Roman" w:hAnsi="Calibri Light"/>
      <w:sz w:val="18"/>
      <w:szCs w:val="18"/>
      <w:lang w:eastAsia="cs-CZ"/>
    </w:rPr>
  </w:style>
  <w:style w:type="paragraph" w:customStyle="1" w:styleId="xl83">
    <w:name w:val="xl83"/>
    <w:basedOn w:val="Normln"/>
    <w:rsid w:val="00590F65"/>
    <w:pPr>
      <w:pBdr>
        <w:top w:val="single" w:sz="4" w:space="0" w:color="FF0000"/>
        <w:right w:val="single" w:sz="4" w:space="0" w:color="FF0000"/>
      </w:pBdr>
      <w:spacing w:before="100" w:beforeAutospacing="1" w:after="100" w:afterAutospacing="1"/>
      <w:jc w:val="center"/>
    </w:pPr>
    <w:rPr>
      <w:rFonts w:ascii="Calibri Light" w:eastAsia="Times New Roman" w:hAnsi="Calibri Light"/>
      <w:sz w:val="18"/>
      <w:szCs w:val="18"/>
      <w:lang w:eastAsia="cs-CZ"/>
    </w:rPr>
  </w:style>
  <w:style w:type="paragraph" w:customStyle="1" w:styleId="xl84">
    <w:name w:val="xl84"/>
    <w:basedOn w:val="Normln"/>
    <w:rsid w:val="00590F65"/>
    <w:pPr>
      <w:pBdr>
        <w:left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5">
    <w:name w:val="xl85"/>
    <w:basedOn w:val="Normln"/>
    <w:rsid w:val="00590F65"/>
    <w:pPr>
      <w:pBdr>
        <w:right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6">
    <w:name w:val="xl86"/>
    <w:basedOn w:val="Normln"/>
    <w:rsid w:val="00590F65"/>
    <w:pPr>
      <w:pBdr>
        <w:left w:val="single" w:sz="4" w:space="0" w:color="FF0000"/>
        <w:bottom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7">
    <w:name w:val="xl87"/>
    <w:basedOn w:val="Normln"/>
    <w:rsid w:val="00590F65"/>
    <w:pPr>
      <w:pBdr>
        <w:bottom w:val="single" w:sz="4" w:space="0" w:color="FF0000"/>
      </w:pBdr>
      <w:spacing w:before="100" w:beforeAutospacing="1" w:after="100" w:afterAutospacing="1"/>
      <w:textAlignment w:val="center"/>
    </w:pPr>
    <w:rPr>
      <w:rFonts w:ascii="Calibri Light" w:eastAsia="Times New Roman" w:hAnsi="Calibri Light"/>
      <w:sz w:val="18"/>
      <w:szCs w:val="18"/>
      <w:lang w:eastAsia="cs-CZ"/>
    </w:rPr>
  </w:style>
  <w:style w:type="paragraph" w:customStyle="1" w:styleId="xl88">
    <w:name w:val="xl88"/>
    <w:basedOn w:val="Normln"/>
    <w:rsid w:val="00590F65"/>
    <w:pPr>
      <w:pBdr>
        <w:bottom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xl89">
    <w:name w:val="xl89"/>
    <w:basedOn w:val="Normln"/>
    <w:rsid w:val="00590F65"/>
    <w:pPr>
      <w:pBdr>
        <w:bottom w:val="single" w:sz="4" w:space="0" w:color="FF0000"/>
        <w:right w:val="single" w:sz="4" w:space="0" w:color="FF0000"/>
      </w:pBdr>
      <w:spacing w:before="100" w:beforeAutospacing="1" w:after="100" w:afterAutospacing="1"/>
      <w:jc w:val="center"/>
      <w:textAlignment w:val="center"/>
    </w:pPr>
    <w:rPr>
      <w:rFonts w:ascii="Calibri Light" w:eastAsia="Times New Roman" w:hAnsi="Calibri Light"/>
      <w:sz w:val="18"/>
      <w:szCs w:val="18"/>
      <w:lang w:eastAsia="cs-CZ"/>
    </w:rPr>
  </w:style>
  <w:style w:type="paragraph" w:customStyle="1" w:styleId="TABULKYCALIBRI">
    <w:name w:val="TABULKY_CALIBRI"/>
    <w:basedOn w:val="Odstavecseseznamem"/>
    <w:rsid w:val="00590F65"/>
    <w:pPr>
      <w:ind w:left="0"/>
      <w:contextualSpacing w:val="0"/>
    </w:pPr>
    <w:rPr>
      <w:rFonts w:cs="Arial"/>
      <w:sz w:val="20"/>
      <w:szCs w:val="24"/>
    </w:rPr>
  </w:style>
  <w:style w:type="paragraph" w:styleId="Obsah3">
    <w:name w:val="toc 3"/>
    <w:basedOn w:val="Normln"/>
    <w:next w:val="Normln"/>
    <w:autoRedefine/>
    <w:uiPriority w:val="39"/>
    <w:unhideWhenUsed/>
    <w:rsid w:val="00D846D6"/>
    <w:pPr>
      <w:tabs>
        <w:tab w:val="left" w:pos="1320"/>
        <w:tab w:val="right" w:leader="dot" w:pos="9060"/>
      </w:tabs>
      <w:spacing w:after="100"/>
      <w:ind w:left="1320" w:hanging="880"/>
      <w:jc w:val="left"/>
    </w:pPr>
  </w:style>
  <w:style w:type="character" w:customStyle="1" w:styleId="apple-converted-space">
    <w:name w:val="apple-converted-space"/>
    <w:rsid w:val="00590F65"/>
  </w:style>
  <w:style w:type="character" w:customStyle="1" w:styleId="h1a2">
    <w:name w:val="h1a2"/>
    <w:rsid w:val="00590F65"/>
    <w:rPr>
      <w:vanish w:val="0"/>
      <w:webHidden w:val="0"/>
      <w:sz w:val="24"/>
      <w:szCs w:val="24"/>
      <w:specVanish w:val="0"/>
    </w:rPr>
  </w:style>
  <w:style w:type="table" w:customStyle="1" w:styleId="Tabulkasmkou4zvraznn11">
    <w:name w:val="Tabulka s mřížkou 4 – zvýraznění 11"/>
    <w:basedOn w:val="Normlntabulka"/>
    <w:uiPriority w:val="49"/>
    <w:rsid w:val="00590F6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lnweb">
    <w:name w:val="Normal (Web)"/>
    <w:basedOn w:val="Normln"/>
    <w:uiPriority w:val="99"/>
    <w:semiHidden/>
    <w:unhideWhenUsed/>
    <w:rsid w:val="00590F65"/>
    <w:pPr>
      <w:spacing w:after="150"/>
    </w:pPr>
    <w:rPr>
      <w:rFonts w:ascii="Times New Roman" w:eastAsia="Times New Roman" w:hAnsi="Times New Roman"/>
      <w:szCs w:val="24"/>
      <w:lang w:eastAsia="cs-CZ"/>
    </w:rPr>
  </w:style>
  <w:style w:type="character" w:styleId="Siln">
    <w:name w:val="Strong"/>
    <w:uiPriority w:val="22"/>
    <w:qFormat/>
    <w:rsid w:val="00590F65"/>
    <w:rPr>
      <w:b/>
      <w:bCs/>
    </w:rPr>
  </w:style>
  <w:style w:type="character" w:styleId="Zdraznn">
    <w:name w:val="Emphasis"/>
    <w:uiPriority w:val="20"/>
    <w:qFormat/>
    <w:rsid w:val="00590F65"/>
    <w:rPr>
      <w:b/>
      <w:bCs/>
      <w:i w:val="0"/>
      <w:iCs w:val="0"/>
    </w:rPr>
  </w:style>
  <w:style w:type="character" w:customStyle="1" w:styleId="st1">
    <w:name w:val="st1"/>
    <w:rsid w:val="00590F65"/>
  </w:style>
  <w:style w:type="table" w:customStyle="1" w:styleId="Tabulkasmkou4zvraznn111">
    <w:name w:val="Tabulka s mřížkou 4 – zvýraznění 111"/>
    <w:basedOn w:val="Normlntabulka"/>
    <w:uiPriority w:val="49"/>
    <w:rsid w:val="00590F6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mavtabulkasmkou5zvraznn11">
    <w:name w:val="Tmavá tabulka s mřížkou 5 – zvýraznění 11"/>
    <w:basedOn w:val="Normlntabulka"/>
    <w:uiPriority w:val="50"/>
    <w:rsid w:val="00590F6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Default">
    <w:name w:val="Default"/>
    <w:rsid w:val="00590F65"/>
    <w:pPr>
      <w:autoSpaceDE w:val="0"/>
      <w:autoSpaceDN w:val="0"/>
      <w:adjustRightInd w:val="0"/>
    </w:pPr>
    <w:rPr>
      <w:rFonts w:ascii="Arial" w:hAnsi="Arial" w:cs="Arial"/>
      <w:color w:val="000000"/>
      <w:sz w:val="24"/>
      <w:szCs w:val="24"/>
      <w:lang w:eastAsia="en-US"/>
    </w:rPr>
  </w:style>
  <w:style w:type="table" w:customStyle="1" w:styleId="Tabulkaseznamu3zvraznn51">
    <w:name w:val="Tabulka seznamu 3 – zvýraznění 51"/>
    <w:basedOn w:val="Normlntabulka"/>
    <w:uiPriority w:val="48"/>
    <w:rsid w:val="00590F65"/>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xl63">
    <w:name w:val="xl63"/>
    <w:basedOn w:val="Normln"/>
    <w:rsid w:val="00590F65"/>
    <w:pPr>
      <w:spacing w:before="100" w:beforeAutospacing="1" w:after="100" w:afterAutospacing="1"/>
      <w:jc w:val="center"/>
      <w:textAlignment w:val="center"/>
    </w:pPr>
    <w:rPr>
      <w:rFonts w:ascii="Times New Roman" w:eastAsia="Times New Roman" w:hAnsi="Times New Roman"/>
      <w:sz w:val="20"/>
      <w:szCs w:val="20"/>
      <w:lang w:eastAsia="cs-CZ"/>
    </w:rPr>
  </w:style>
  <w:style w:type="paragraph" w:customStyle="1" w:styleId="xl64">
    <w:name w:val="xl64"/>
    <w:basedOn w:val="Normln"/>
    <w:rsid w:val="00590F65"/>
    <w:pPr>
      <w:spacing w:before="100" w:beforeAutospacing="1" w:after="100" w:afterAutospacing="1"/>
    </w:pPr>
    <w:rPr>
      <w:rFonts w:ascii="Times New Roman" w:eastAsia="Times New Roman" w:hAnsi="Times New Roman"/>
      <w:sz w:val="20"/>
      <w:szCs w:val="20"/>
      <w:lang w:eastAsia="cs-CZ"/>
    </w:rPr>
  </w:style>
  <w:style w:type="paragraph" w:styleId="Obsah4">
    <w:name w:val="toc 4"/>
    <w:basedOn w:val="Normln"/>
    <w:next w:val="Normln"/>
    <w:autoRedefine/>
    <w:uiPriority w:val="39"/>
    <w:unhideWhenUsed/>
    <w:rsid w:val="00590F65"/>
    <w:pPr>
      <w:spacing w:after="100" w:line="259" w:lineRule="auto"/>
      <w:ind w:left="660"/>
    </w:pPr>
    <w:rPr>
      <w:rFonts w:eastAsia="Times New Roman"/>
      <w:lang w:eastAsia="cs-CZ"/>
    </w:rPr>
  </w:style>
  <w:style w:type="paragraph" w:styleId="Obsah5">
    <w:name w:val="toc 5"/>
    <w:basedOn w:val="Normln"/>
    <w:next w:val="Normln"/>
    <w:autoRedefine/>
    <w:uiPriority w:val="39"/>
    <w:unhideWhenUsed/>
    <w:rsid w:val="00590F65"/>
    <w:pPr>
      <w:spacing w:after="100" w:line="259" w:lineRule="auto"/>
      <w:ind w:left="880"/>
    </w:pPr>
    <w:rPr>
      <w:rFonts w:eastAsia="Times New Roman"/>
      <w:lang w:eastAsia="cs-CZ"/>
    </w:rPr>
  </w:style>
  <w:style w:type="paragraph" w:styleId="Obsah6">
    <w:name w:val="toc 6"/>
    <w:basedOn w:val="Normln"/>
    <w:next w:val="Normln"/>
    <w:autoRedefine/>
    <w:uiPriority w:val="39"/>
    <w:unhideWhenUsed/>
    <w:rsid w:val="00590F65"/>
    <w:pPr>
      <w:spacing w:after="100" w:line="259" w:lineRule="auto"/>
      <w:ind w:left="1100"/>
    </w:pPr>
    <w:rPr>
      <w:rFonts w:eastAsia="Times New Roman"/>
      <w:lang w:eastAsia="cs-CZ"/>
    </w:rPr>
  </w:style>
  <w:style w:type="paragraph" w:styleId="Obsah7">
    <w:name w:val="toc 7"/>
    <w:basedOn w:val="Normln"/>
    <w:next w:val="Normln"/>
    <w:autoRedefine/>
    <w:uiPriority w:val="39"/>
    <w:unhideWhenUsed/>
    <w:rsid w:val="00590F65"/>
    <w:pPr>
      <w:spacing w:after="100" w:line="259" w:lineRule="auto"/>
      <w:ind w:left="1320"/>
    </w:pPr>
    <w:rPr>
      <w:rFonts w:eastAsia="Times New Roman"/>
      <w:lang w:eastAsia="cs-CZ"/>
    </w:rPr>
  </w:style>
  <w:style w:type="paragraph" w:styleId="Obsah8">
    <w:name w:val="toc 8"/>
    <w:basedOn w:val="Normln"/>
    <w:next w:val="Normln"/>
    <w:autoRedefine/>
    <w:uiPriority w:val="39"/>
    <w:unhideWhenUsed/>
    <w:rsid w:val="00590F65"/>
    <w:pPr>
      <w:spacing w:after="100" w:line="259" w:lineRule="auto"/>
      <w:ind w:left="1540"/>
    </w:pPr>
    <w:rPr>
      <w:rFonts w:eastAsia="Times New Roman"/>
      <w:lang w:eastAsia="cs-CZ"/>
    </w:rPr>
  </w:style>
  <w:style w:type="paragraph" w:styleId="Obsah9">
    <w:name w:val="toc 9"/>
    <w:basedOn w:val="Normln"/>
    <w:next w:val="Normln"/>
    <w:autoRedefine/>
    <w:uiPriority w:val="39"/>
    <w:unhideWhenUsed/>
    <w:rsid w:val="00590F65"/>
    <w:pPr>
      <w:spacing w:after="100" w:line="259" w:lineRule="auto"/>
      <w:ind w:left="1760"/>
    </w:pPr>
    <w:rPr>
      <w:rFonts w:eastAsia="Times New Roman"/>
      <w:lang w:eastAsia="cs-CZ"/>
    </w:rPr>
  </w:style>
  <w:style w:type="paragraph" w:styleId="Bezmezer">
    <w:name w:val="No Spacing"/>
    <w:uiPriority w:val="1"/>
    <w:qFormat/>
    <w:rsid w:val="005051E8"/>
    <w:rPr>
      <w:sz w:val="24"/>
      <w:szCs w:val="22"/>
      <w:lang w:eastAsia="en-US"/>
    </w:rPr>
  </w:style>
  <w:style w:type="paragraph" w:styleId="Titulek">
    <w:name w:val="caption"/>
    <w:basedOn w:val="Normln"/>
    <w:next w:val="Normln"/>
    <w:uiPriority w:val="35"/>
    <w:semiHidden/>
    <w:unhideWhenUsed/>
    <w:qFormat/>
    <w:rsid w:val="00145DB3"/>
    <w:pPr>
      <w:spacing w:before="0" w:after="200"/>
      <w:contextualSpacing w:val="0"/>
      <w:jc w:val="left"/>
    </w:pPr>
    <w:rPr>
      <w:i/>
      <w:iCs/>
      <w:color w:val="1F497D"/>
      <w:sz w:val="18"/>
      <w:szCs w:val="18"/>
    </w:rPr>
  </w:style>
  <w:style w:type="numbering" w:customStyle="1" w:styleId="Bezseznamu1">
    <w:name w:val="Bez seznamu1"/>
    <w:next w:val="Bezseznamu"/>
    <w:uiPriority w:val="99"/>
    <w:semiHidden/>
    <w:unhideWhenUsed/>
    <w:rsid w:val="00D16970"/>
  </w:style>
  <w:style w:type="table" w:styleId="Stednmka1zvraznn6">
    <w:name w:val="Medium Grid 1 Accent 6"/>
    <w:basedOn w:val="Normlntabulka"/>
    <w:uiPriority w:val="67"/>
    <w:rsid w:val="0031592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Stednstnovn1zvraznn6">
    <w:name w:val="Medium Shading 1 Accent 6"/>
    <w:basedOn w:val="Normlntabulka"/>
    <w:uiPriority w:val="63"/>
    <w:rsid w:val="0031592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katabulky">
    <w:name w:val="Table Grid"/>
    <w:basedOn w:val="Normlntabulka"/>
    <w:uiPriority w:val="59"/>
    <w:rsid w:val="00315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6">
    <w:name w:val="Light List Accent 6"/>
    <w:basedOn w:val="Normlntabulka"/>
    <w:uiPriority w:val="61"/>
    <w:rsid w:val="0031592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Svtlmkazvraznn6">
    <w:name w:val="Light Grid Accent 6"/>
    <w:basedOn w:val="Normlntabulka"/>
    <w:uiPriority w:val="62"/>
    <w:rsid w:val="00315927"/>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1">
    <w:name w:val="1"/>
    <w:uiPriority w:val="20"/>
    <w:qFormat/>
    <w:rsid w:val="00315927"/>
    <w:pPr>
      <w:spacing w:before="120" w:after="120"/>
      <w:contextualSpacing/>
      <w:jc w:val="both"/>
    </w:pPr>
    <w:rPr>
      <w:sz w:val="24"/>
      <w:szCs w:val="22"/>
      <w:lang w:eastAsia="en-US"/>
    </w:rPr>
  </w:style>
  <w:style w:type="paragraph" w:customStyle="1" w:styleId="2">
    <w:name w:val="2"/>
    <w:uiPriority w:val="20"/>
    <w:qFormat/>
    <w:rsid w:val="00C91853"/>
    <w:pPr>
      <w:spacing w:before="120" w:after="120"/>
      <w:contextualSpacing/>
      <w:jc w:val="both"/>
    </w:pPr>
    <w:rPr>
      <w:sz w:val="24"/>
      <w:szCs w:val="22"/>
      <w:lang w:eastAsia="en-US"/>
    </w:rPr>
  </w:style>
  <w:style w:type="paragraph" w:customStyle="1" w:styleId="xl125">
    <w:name w:val="xl125"/>
    <w:basedOn w:val="Normln"/>
    <w:rsid w:val="00C91853"/>
    <w:pPr>
      <w:spacing w:before="100" w:beforeAutospacing="1" w:after="100" w:afterAutospacing="1"/>
      <w:contextualSpacing w:val="0"/>
      <w:jc w:val="left"/>
    </w:pPr>
    <w:rPr>
      <w:rFonts w:ascii="Times New Roman" w:eastAsia="Times New Roman" w:hAnsi="Times New Roman"/>
      <w:b/>
      <w:bCs/>
      <w:szCs w:val="24"/>
      <w:lang w:eastAsia="cs-CZ"/>
    </w:rPr>
  </w:style>
  <w:style w:type="paragraph" w:customStyle="1" w:styleId="xl126">
    <w:name w:val="xl126"/>
    <w:basedOn w:val="Normln"/>
    <w:rsid w:val="00C91853"/>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pPr>
    <w:rPr>
      <w:rFonts w:ascii="Times New Roman" w:eastAsia="Times New Roman" w:hAnsi="Times New Roman"/>
      <w:b/>
      <w:bCs/>
      <w:szCs w:val="24"/>
      <w:lang w:eastAsia="cs-CZ"/>
    </w:rPr>
  </w:style>
  <w:style w:type="table" w:customStyle="1" w:styleId="Styl1">
    <w:name w:val="Styl1"/>
    <w:basedOn w:val="Normlntabulka"/>
    <w:uiPriority w:val="99"/>
    <w:rsid w:val="00C91853"/>
    <w:tblPr/>
    <w:tcPr>
      <w:shd w:val="clear" w:color="auto" w:fill="FFFF99"/>
    </w:tcPr>
  </w:style>
  <w:style w:type="paragraph" w:customStyle="1" w:styleId="xl123">
    <w:name w:val="xl123"/>
    <w:basedOn w:val="Normln"/>
    <w:rsid w:val="00C91853"/>
    <w:pPr>
      <w:shd w:val="clear" w:color="000000" w:fill="FFCCCC"/>
      <w:spacing w:before="100" w:beforeAutospacing="1" w:after="100" w:afterAutospacing="1"/>
      <w:contextualSpacing w:val="0"/>
      <w:jc w:val="left"/>
    </w:pPr>
    <w:rPr>
      <w:rFonts w:ascii="Times New Roman" w:eastAsia="Times New Roman" w:hAnsi="Times New Roman"/>
      <w:b/>
      <w:bCs/>
      <w:szCs w:val="24"/>
      <w:lang w:eastAsia="cs-CZ"/>
    </w:rPr>
  </w:style>
  <w:style w:type="table" w:customStyle="1" w:styleId="Tabulkasmkou3zvraznn61">
    <w:name w:val="Tabulka s mřížkou 3 – zvýraznění 61"/>
    <w:basedOn w:val="Normlntabulka"/>
    <w:uiPriority w:val="48"/>
    <w:rsid w:val="00B77BA1"/>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Tabulkasmkou4zvraznn62">
    <w:name w:val="Tabulka s mřížkou 4 – zvýraznění 62"/>
    <w:basedOn w:val="Normlntabulka"/>
    <w:uiPriority w:val="49"/>
    <w:rsid w:val="00B77BA1"/>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xl127">
    <w:name w:val="xl127"/>
    <w:basedOn w:val="Normln"/>
    <w:rsid w:val="006B59F6"/>
    <w:pPr>
      <w:spacing w:before="100" w:beforeAutospacing="1" w:after="100" w:afterAutospacing="1"/>
      <w:contextualSpacing w:val="0"/>
      <w:jc w:val="left"/>
    </w:pPr>
    <w:rPr>
      <w:rFonts w:ascii="Times New Roman" w:eastAsia="Times New Roman" w:hAnsi="Times New Roman"/>
      <w:szCs w:val="24"/>
      <w:lang w:eastAsia="cs-CZ"/>
    </w:rPr>
  </w:style>
  <w:style w:type="paragraph" w:customStyle="1" w:styleId="xl128">
    <w:name w:val="xl128"/>
    <w:basedOn w:val="Normln"/>
    <w:rsid w:val="006B59F6"/>
    <w:pPr>
      <w:pBdr>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29">
    <w:name w:val="xl129"/>
    <w:basedOn w:val="Normln"/>
    <w:rsid w:val="006B59F6"/>
    <w:pPr>
      <w:pBdr>
        <w:left w:val="single" w:sz="4" w:space="0" w:color="F4B084"/>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0">
    <w:name w:val="xl130"/>
    <w:basedOn w:val="Normln"/>
    <w:rsid w:val="006B59F6"/>
    <w:pPr>
      <w:pBdr>
        <w:left w:val="single" w:sz="4" w:space="0" w:color="F4B084"/>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1">
    <w:name w:val="xl131"/>
    <w:basedOn w:val="Normln"/>
    <w:rsid w:val="006B59F6"/>
    <w:pPr>
      <w:pBdr>
        <w:left w:val="single" w:sz="4" w:space="0" w:color="F4B084"/>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2">
    <w:name w:val="xl132"/>
    <w:basedOn w:val="Normln"/>
    <w:rsid w:val="006B59F6"/>
    <w:pPr>
      <w:pBdr>
        <w:left w:val="single" w:sz="4" w:space="0" w:color="F4B084"/>
        <w:bottom w:val="single" w:sz="4" w:space="0" w:color="F4B084"/>
        <w:right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3">
    <w:name w:val="xl133"/>
    <w:basedOn w:val="Normln"/>
    <w:rsid w:val="006B59F6"/>
    <w:pPr>
      <w:pBdr>
        <w:left w:val="single" w:sz="4" w:space="0" w:color="F4B084"/>
        <w:bottom w:val="single" w:sz="4" w:space="0" w:color="F4B084"/>
      </w:pBdr>
      <w:spacing w:before="100" w:beforeAutospacing="1" w:after="100" w:afterAutospacing="1"/>
      <w:contextualSpacing w:val="0"/>
      <w:jc w:val="center"/>
      <w:textAlignment w:val="center"/>
    </w:pPr>
    <w:rPr>
      <w:rFonts w:ascii="Calibri Light" w:eastAsia="Times New Roman" w:hAnsi="Calibri Light"/>
      <w:b/>
      <w:bCs/>
      <w:sz w:val="18"/>
      <w:szCs w:val="18"/>
      <w:lang w:eastAsia="cs-CZ"/>
    </w:rPr>
  </w:style>
  <w:style w:type="paragraph" w:customStyle="1" w:styleId="xl134">
    <w:name w:val="xl134"/>
    <w:basedOn w:val="Normln"/>
    <w:rsid w:val="006B59F6"/>
    <w:pPr>
      <w:pBdr>
        <w:top w:val="single" w:sz="4" w:space="0" w:color="F4B084"/>
        <w:bottom w:val="single" w:sz="4" w:space="0" w:color="F4B084"/>
        <w:right w:val="single" w:sz="4" w:space="0" w:color="F4B084"/>
      </w:pBdr>
      <w:spacing w:before="100" w:beforeAutospacing="1" w:after="100" w:afterAutospacing="1"/>
      <w:contextualSpacing w:val="0"/>
      <w:jc w:val="left"/>
      <w:textAlignment w:val="center"/>
    </w:pPr>
    <w:rPr>
      <w:rFonts w:ascii="Calibri Light" w:eastAsia="Times New Roman" w:hAnsi="Calibri Light"/>
      <w:sz w:val="18"/>
      <w:szCs w:val="18"/>
      <w:lang w:eastAsia="cs-CZ"/>
    </w:rPr>
  </w:style>
  <w:style w:type="paragraph" w:customStyle="1" w:styleId="xl135">
    <w:name w:val="xl135"/>
    <w:basedOn w:val="Normln"/>
    <w:rsid w:val="006B59F6"/>
    <w:pPr>
      <w:pBdr>
        <w:top w:val="single" w:sz="4" w:space="0" w:color="F4B084"/>
        <w:left w:val="single" w:sz="4" w:space="0" w:color="F4B084"/>
        <w:bottom w:val="single" w:sz="4" w:space="0" w:color="F4B084"/>
        <w:right w:val="single" w:sz="4" w:space="0" w:color="F4B084"/>
      </w:pBdr>
      <w:spacing w:before="100" w:beforeAutospacing="1" w:after="100" w:afterAutospacing="1"/>
      <w:contextualSpacing w:val="0"/>
      <w:jc w:val="left"/>
      <w:textAlignment w:val="center"/>
    </w:pPr>
    <w:rPr>
      <w:rFonts w:ascii="Calibri Light" w:eastAsia="Times New Roman" w:hAnsi="Calibri Light"/>
      <w:sz w:val="18"/>
      <w:szCs w:val="18"/>
      <w:lang w:eastAsia="cs-CZ"/>
    </w:rPr>
  </w:style>
  <w:style w:type="paragraph" w:customStyle="1" w:styleId="xl136">
    <w:name w:val="xl136"/>
    <w:basedOn w:val="Normln"/>
    <w:rsid w:val="006B59F6"/>
    <w:pPr>
      <w:pBdr>
        <w:top w:val="single" w:sz="4" w:space="0" w:color="F4B084"/>
        <w:left w:val="single" w:sz="4" w:space="0" w:color="F4B084"/>
        <w:bottom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37">
    <w:name w:val="xl137"/>
    <w:basedOn w:val="Normln"/>
    <w:rsid w:val="006B59F6"/>
    <w:pPr>
      <w:pBdr>
        <w:top w:val="single" w:sz="4" w:space="0" w:color="F4B084"/>
        <w:left w:val="single" w:sz="4" w:space="0" w:color="F4B084"/>
        <w:bottom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38">
    <w:name w:val="xl138"/>
    <w:basedOn w:val="Normln"/>
    <w:rsid w:val="006B59F6"/>
    <w:pPr>
      <w:pBdr>
        <w:top w:val="single" w:sz="4" w:space="0" w:color="F4B084"/>
        <w:left w:val="single" w:sz="4" w:space="0" w:color="F4B084"/>
        <w:bottom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39">
    <w:name w:val="xl139"/>
    <w:basedOn w:val="Normln"/>
    <w:rsid w:val="006B59F6"/>
    <w:pPr>
      <w:pBdr>
        <w:top w:val="single" w:sz="4" w:space="0" w:color="F4B084"/>
        <w:left w:val="single" w:sz="4" w:space="0" w:color="F4B084"/>
        <w:bottom w:val="single" w:sz="4" w:space="0" w:color="F4B084"/>
      </w:pBdr>
      <w:spacing w:before="100" w:beforeAutospacing="1" w:after="100" w:afterAutospacing="1"/>
      <w:contextualSpacing w:val="0"/>
      <w:jc w:val="center"/>
      <w:textAlignment w:val="center"/>
    </w:pPr>
    <w:rPr>
      <w:rFonts w:ascii="Calibri Light" w:eastAsia="Times New Roman" w:hAnsi="Calibri Light"/>
      <w:sz w:val="18"/>
      <w:szCs w:val="18"/>
      <w:lang w:eastAsia="cs-CZ"/>
    </w:rPr>
  </w:style>
  <w:style w:type="paragraph" w:customStyle="1" w:styleId="xl140">
    <w:name w:val="xl140"/>
    <w:basedOn w:val="Normln"/>
    <w:rsid w:val="006B59F6"/>
    <w:pPr>
      <w:pBdr>
        <w:top w:val="single" w:sz="4" w:space="0" w:color="F4B084"/>
        <w:right w:val="single" w:sz="4" w:space="0" w:color="F4B084"/>
      </w:pBdr>
      <w:spacing w:before="100" w:beforeAutospacing="1" w:after="100" w:afterAutospacing="1"/>
      <w:contextualSpacing w:val="0"/>
      <w:jc w:val="left"/>
      <w:textAlignment w:val="center"/>
    </w:pPr>
    <w:rPr>
      <w:rFonts w:ascii="Calibri Light" w:eastAsia="Times New Roman" w:hAnsi="Calibri Light"/>
      <w:sz w:val="18"/>
      <w:szCs w:val="18"/>
      <w:lang w:eastAsia="cs-CZ"/>
    </w:rPr>
  </w:style>
  <w:style w:type="paragraph" w:customStyle="1" w:styleId="xl141">
    <w:name w:val="xl141"/>
    <w:basedOn w:val="Normln"/>
    <w:rsid w:val="006B59F6"/>
    <w:pPr>
      <w:pBdr>
        <w:top w:val="single" w:sz="4" w:space="0" w:color="F4B084"/>
        <w:left w:val="single" w:sz="4" w:space="0" w:color="F4B084"/>
        <w:right w:val="single" w:sz="4" w:space="0" w:color="F4B084"/>
      </w:pBdr>
      <w:spacing w:before="100" w:beforeAutospacing="1" w:after="100" w:afterAutospacing="1"/>
      <w:contextualSpacing w:val="0"/>
      <w:jc w:val="left"/>
      <w:textAlignment w:val="center"/>
    </w:pPr>
    <w:rPr>
      <w:rFonts w:ascii="Calibri Light" w:eastAsia="Times New Roman" w:hAnsi="Calibri Light"/>
      <w:sz w:val="18"/>
      <w:szCs w:val="18"/>
      <w:lang w:eastAsia="cs-CZ"/>
    </w:rPr>
  </w:style>
  <w:style w:type="paragraph" w:customStyle="1" w:styleId="xl142">
    <w:name w:val="xl142"/>
    <w:basedOn w:val="Normln"/>
    <w:rsid w:val="006B59F6"/>
    <w:pPr>
      <w:pBdr>
        <w:top w:val="single" w:sz="4" w:space="0" w:color="F4B084"/>
        <w:left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43">
    <w:name w:val="xl143"/>
    <w:basedOn w:val="Normln"/>
    <w:rsid w:val="006B59F6"/>
    <w:pPr>
      <w:pBdr>
        <w:top w:val="single" w:sz="4" w:space="0" w:color="F4B084"/>
        <w:left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44">
    <w:name w:val="xl144"/>
    <w:basedOn w:val="Normln"/>
    <w:rsid w:val="006B59F6"/>
    <w:pPr>
      <w:pBdr>
        <w:top w:val="single" w:sz="4" w:space="0" w:color="F4B084"/>
        <w:left w:val="single" w:sz="4" w:space="0" w:color="F4B084"/>
        <w:right w:val="single" w:sz="4" w:space="0" w:color="F4B084"/>
      </w:pBdr>
      <w:spacing w:before="100" w:beforeAutospacing="1" w:after="100" w:afterAutospacing="1"/>
      <w:contextualSpacing w:val="0"/>
      <w:jc w:val="right"/>
      <w:textAlignment w:val="center"/>
    </w:pPr>
    <w:rPr>
      <w:rFonts w:ascii="Calibri Light" w:eastAsia="Times New Roman" w:hAnsi="Calibri Light"/>
      <w:sz w:val="18"/>
      <w:szCs w:val="18"/>
      <w:lang w:eastAsia="cs-CZ"/>
    </w:rPr>
  </w:style>
  <w:style w:type="paragraph" w:customStyle="1" w:styleId="xl145">
    <w:name w:val="xl145"/>
    <w:basedOn w:val="Normln"/>
    <w:rsid w:val="006B59F6"/>
    <w:pPr>
      <w:pBdr>
        <w:top w:val="single" w:sz="4" w:space="0" w:color="F4B084"/>
        <w:left w:val="single" w:sz="4" w:space="0" w:color="F4B084"/>
      </w:pBdr>
      <w:spacing w:before="100" w:beforeAutospacing="1" w:after="100" w:afterAutospacing="1"/>
      <w:contextualSpacing w:val="0"/>
      <w:jc w:val="center"/>
      <w:textAlignment w:val="center"/>
    </w:pPr>
    <w:rPr>
      <w:rFonts w:ascii="Calibri Light" w:eastAsia="Times New Roman" w:hAnsi="Calibri Light"/>
      <w:sz w:val="18"/>
      <w:szCs w:val="18"/>
      <w:lang w:eastAsia="cs-CZ"/>
    </w:rPr>
  </w:style>
  <w:style w:type="table" w:customStyle="1" w:styleId="Tmavtabulkasmkou5zvraznn61">
    <w:name w:val="Tmavá tabulka s mřížkou 5 – zvýraznění 61"/>
    <w:basedOn w:val="Normlntabulka"/>
    <w:uiPriority w:val="50"/>
    <w:rsid w:val="00DF5B3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paragraph" w:customStyle="1" w:styleId="Styl2">
    <w:name w:val="Styl2"/>
    <w:basedOn w:val="Zhlav"/>
    <w:link w:val="Styl2Char"/>
    <w:qFormat/>
    <w:rsid w:val="006A4F53"/>
    <w:pPr>
      <w:ind w:left="360"/>
      <w:jc w:val="right"/>
    </w:pPr>
    <w:rPr>
      <w:rFonts w:ascii="Calibri Light" w:hAnsi="Calibri Light"/>
      <w:i/>
      <w:sz w:val="16"/>
    </w:rPr>
  </w:style>
  <w:style w:type="paragraph" w:customStyle="1" w:styleId="NORMLN0">
    <w:name w:val="NORMÁLNÍ"/>
    <w:basedOn w:val="Normln"/>
    <w:link w:val="NORMLNChar"/>
    <w:qFormat/>
    <w:rsid w:val="00B7137E"/>
    <w:pPr>
      <w:ind w:firstLine="567"/>
      <w:contextualSpacing w:val="0"/>
    </w:pPr>
    <w:rPr>
      <w:szCs w:val="20"/>
    </w:rPr>
  </w:style>
  <w:style w:type="character" w:customStyle="1" w:styleId="Styl2Char">
    <w:name w:val="Styl2 Char"/>
    <w:link w:val="Styl2"/>
    <w:rsid w:val="006A4F53"/>
    <w:rPr>
      <w:rFonts w:ascii="Calibri Light" w:hAnsi="Calibri Light"/>
      <w:i/>
      <w:sz w:val="16"/>
      <w:szCs w:val="20"/>
    </w:rPr>
  </w:style>
  <w:style w:type="character" w:customStyle="1" w:styleId="NORMLNChar">
    <w:name w:val="NORMÁLNÍ Char"/>
    <w:link w:val="NORMLN0"/>
    <w:rsid w:val="00B7137E"/>
    <w:rPr>
      <w:sz w:val="24"/>
    </w:rPr>
  </w:style>
  <w:style w:type="paragraph" w:customStyle="1" w:styleId="1Nadpis">
    <w:name w:val="1. Nadpis"/>
    <w:basedOn w:val="NORMLN0"/>
    <w:link w:val="1NadpisChar"/>
    <w:rsid w:val="008039E7"/>
    <w:pPr>
      <w:numPr>
        <w:numId w:val="6"/>
      </w:numPr>
      <w:spacing w:before="320" w:after="320"/>
      <w:ind w:left="1281" w:hanging="357"/>
    </w:pPr>
    <w:rPr>
      <w:rFonts w:ascii="Cambria" w:eastAsia="Times New Roman" w:hAnsi="Cambria"/>
      <w:color w:val="365F91"/>
      <w:sz w:val="32"/>
      <w:szCs w:val="32"/>
    </w:rPr>
  </w:style>
  <w:style w:type="character" w:customStyle="1" w:styleId="1NadpisChar">
    <w:name w:val="1. Nadpis Char"/>
    <w:link w:val="1Nadpis"/>
    <w:rsid w:val="008039E7"/>
    <w:rPr>
      <w:rFonts w:ascii="Cambria" w:eastAsia="Times New Roman" w:hAnsi="Cambria" w:cs="Times New Roman"/>
      <w:color w:val="365F91"/>
      <w:sz w:val="32"/>
      <w:szCs w:val="32"/>
    </w:rPr>
  </w:style>
  <w:style w:type="paragraph" w:customStyle="1" w:styleId="Normlnzprva">
    <w:name w:val="Normální zpráva"/>
    <w:basedOn w:val="Normln"/>
    <w:link w:val="NormlnzprvaChar"/>
    <w:qFormat/>
    <w:rsid w:val="000937F8"/>
    <w:pPr>
      <w:suppressAutoHyphens/>
      <w:spacing w:before="0" w:line="276" w:lineRule="auto"/>
      <w:ind w:firstLine="284"/>
      <w:contextualSpacing w:val="0"/>
    </w:pPr>
  </w:style>
  <w:style w:type="character" w:customStyle="1" w:styleId="NormlnzprvaChar">
    <w:name w:val="Normální zpráva Char"/>
    <w:basedOn w:val="Standardnpsmoodstavce"/>
    <w:link w:val="Normlnzprva"/>
    <w:rsid w:val="000937F8"/>
    <w:rPr>
      <w:sz w:val="24"/>
      <w:szCs w:val="22"/>
      <w:lang w:eastAsia="en-US"/>
    </w:rPr>
  </w:style>
  <w:style w:type="paragraph" w:customStyle="1" w:styleId="msonormal0">
    <w:name w:val="msonormal"/>
    <w:basedOn w:val="Normln"/>
    <w:rsid w:val="00FE17DE"/>
    <w:pPr>
      <w:spacing w:before="100" w:beforeAutospacing="1" w:after="100" w:afterAutospacing="1"/>
      <w:contextualSpacing w:val="0"/>
      <w:jc w:val="left"/>
    </w:pPr>
    <w:rPr>
      <w:rFonts w:ascii="Times New Roman" w:eastAsia="Times New Roman" w:hAnsi="Times New Roman"/>
      <w:szCs w:val="24"/>
      <w:lang w:eastAsia="cs-CZ"/>
    </w:rPr>
  </w:style>
  <w:style w:type="table" w:customStyle="1" w:styleId="Tmavtabulkasmkou5zvraznn31">
    <w:name w:val="Tmavá tabulka s mřížkou 5 – zvýraznění 31"/>
    <w:basedOn w:val="Normlntabulka"/>
    <w:uiPriority w:val="50"/>
    <w:rsid w:val="00E9122F"/>
    <w:rPr>
      <w:rFonts w:ascii="Times New Roman" w:eastAsia="Times New Roman" w:hAnsi="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ulkasmkou4zvraznn63">
    <w:name w:val="Tabulka s mřížkou 4 – zvýraznění 63"/>
    <w:basedOn w:val="Normlntabulka"/>
    <w:uiPriority w:val="49"/>
    <w:rsid w:val="00B87BD4"/>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Rozloendokumentu">
    <w:name w:val="Document Map"/>
    <w:basedOn w:val="Normln"/>
    <w:link w:val="RozloendokumentuChar"/>
    <w:uiPriority w:val="99"/>
    <w:semiHidden/>
    <w:unhideWhenUsed/>
    <w:rsid w:val="000B4E2B"/>
    <w:pPr>
      <w:spacing w:before="0" w:after="0"/>
    </w:pPr>
    <w:rPr>
      <w:rFonts w:ascii="Tahoma" w:hAnsi="Tahoma"/>
      <w:sz w:val="16"/>
      <w:szCs w:val="16"/>
    </w:rPr>
  </w:style>
  <w:style w:type="character" w:customStyle="1" w:styleId="RozloendokumentuChar">
    <w:name w:val="Rozložení dokumentu Char"/>
    <w:link w:val="Rozloendokumentu"/>
    <w:uiPriority w:val="99"/>
    <w:semiHidden/>
    <w:rsid w:val="000B4E2B"/>
    <w:rPr>
      <w:rFonts w:ascii="Tahoma" w:hAnsi="Tahoma" w:cs="Tahoma"/>
      <w:sz w:val="16"/>
      <w:szCs w:val="16"/>
    </w:rPr>
  </w:style>
  <w:style w:type="table" w:customStyle="1" w:styleId="Tmavtabulkasmkou5zvraznn41">
    <w:name w:val="Tmavá tabulka s mřížkou 5 – zvýraznění 41"/>
    <w:basedOn w:val="Normlntabulka"/>
    <w:uiPriority w:val="50"/>
    <w:rsid w:val="000B4E2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Tabulkasmkou4zvraznn41">
    <w:name w:val="Tabulka s mřížkou 4 – zvýraznění 41"/>
    <w:basedOn w:val="Normlntabulka"/>
    <w:uiPriority w:val="49"/>
    <w:rsid w:val="00D77ACF"/>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mavtabulkasmkou5zvraznn12">
    <w:name w:val="Tmavá tabulka s mřížkou 5 – zvýraznění 12"/>
    <w:basedOn w:val="Normlntabulka"/>
    <w:uiPriority w:val="50"/>
    <w:rsid w:val="00D77A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mavtabulkasmkou5zvraznn32">
    <w:name w:val="Tmavá tabulka s mřížkou 5 – zvýraznění 32"/>
    <w:basedOn w:val="Normlntabulka"/>
    <w:uiPriority w:val="50"/>
    <w:rsid w:val="00D77AC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mavtabulkasmkou5zvraznn62">
    <w:name w:val="Tmavá tabulka s mřížkou 5 – zvýraznění 62"/>
    <w:basedOn w:val="Normlntabulka"/>
    <w:uiPriority w:val="50"/>
    <w:rsid w:val="00F416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Svtlmkatabulky1">
    <w:name w:val="Světlá mřížka tabulky1"/>
    <w:basedOn w:val="Normlntabulka"/>
    <w:uiPriority w:val="40"/>
    <w:rsid w:val="00B1330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mavtabulkasmkou5zvraznn13">
    <w:name w:val="Tmavá tabulka s mřížkou 5 – zvýraznění 13"/>
    <w:basedOn w:val="Normlntabulka"/>
    <w:uiPriority w:val="50"/>
    <w:rsid w:val="002B20D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mavtabulkasmkou5zvraznn21">
    <w:name w:val="Tmavá tabulka s mřížkou 5 – zvýraznění 21"/>
    <w:basedOn w:val="Normlntabulka"/>
    <w:uiPriority w:val="50"/>
    <w:rsid w:val="002B20D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ulkasmkou4zvraznn21">
    <w:name w:val="Tabulka s mřížkou 4 – zvýraznění 21"/>
    <w:basedOn w:val="Normlntabulka"/>
    <w:uiPriority w:val="49"/>
    <w:rsid w:val="00DB4EE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lntextvodstavcch">
    <w:name w:val="normální text v odstavcích"/>
    <w:basedOn w:val="Normln"/>
    <w:link w:val="normlntextvodstavcchChar"/>
    <w:qFormat/>
    <w:rsid w:val="004958C5"/>
    <w:pPr>
      <w:ind w:firstLine="567"/>
      <w:contextualSpacing w:val="0"/>
    </w:pPr>
    <w:rPr>
      <w:rFonts w:asciiTheme="minorHAnsi" w:eastAsiaTheme="minorHAnsi" w:hAnsiTheme="minorHAnsi" w:cstheme="minorBidi"/>
    </w:rPr>
  </w:style>
  <w:style w:type="character" w:customStyle="1" w:styleId="normlntextvodstavcchChar">
    <w:name w:val="normální text v odstavcích Char"/>
    <w:basedOn w:val="Standardnpsmoodstavce"/>
    <w:link w:val="normlntextvodstavcch"/>
    <w:rsid w:val="004958C5"/>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6240">
      <w:bodyDiv w:val="1"/>
      <w:marLeft w:val="0"/>
      <w:marRight w:val="0"/>
      <w:marTop w:val="0"/>
      <w:marBottom w:val="0"/>
      <w:divBdr>
        <w:top w:val="none" w:sz="0" w:space="0" w:color="auto"/>
        <w:left w:val="none" w:sz="0" w:space="0" w:color="auto"/>
        <w:bottom w:val="none" w:sz="0" w:space="0" w:color="auto"/>
        <w:right w:val="none" w:sz="0" w:space="0" w:color="auto"/>
      </w:divBdr>
    </w:div>
    <w:div w:id="50081222">
      <w:bodyDiv w:val="1"/>
      <w:marLeft w:val="0"/>
      <w:marRight w:val="0"/>
      <w:marTop w:val="0"/>
      <w:marBottom w:val="0"/>
      <w:divBdr>
        <w:top w:val="none" w:sz="0" w:space="0" w:color="auto"/>
        <w:left w:val="none" w:sz="0" w:space="0" w:color="auto"/>
        <w:bottom w:val="none" w:sz="0" w:space="0" w:color="auto"/>
        <w:right w:val="none" w:sz="0" w:space="0" w:color="auto"/>
      </w:divBdr>
    </w:div>
    <w:div w:id="56175941">
      <w:bodyDiv w:val="1"/>
      <w:marLeft w:val="0"/>
      <w:marRight w:val="0"/>
      <w:marTop w:val="0"/>
      <w:marBottom w:val="0"/>
      <w:divBdr>
        <w:top w:val="none" w:sz="0" w:space="0" w:color="auto"/>
        <w:left w:val="none" w:sz="0" w:space="0" w:color="auto"/>
        <w:bottom w:val="none" w:sz="0" w:space="0" w:color="auto"/>
        <w:right w:val="none" w:sz="0" w:space="0" w:color="auto"/>
      </w:divBdr>
    </w:div>
    <w:div w:id="103694349">
      <w:bodyDiv w:val="1"/>
      <w:marLeft w:val="0"/>
      <w:marRight w:val="0"/>
      <w:marTop w:val="0"/>
      <w:marBottom w:val="0"/>
      <w:divBdr>
        <w:top w:val="none" w:sz="0" w:space="0" w:color="auto"/>
        <w:left w:val="none" w:sz="0" w:space="0" w:color="auto"/>
        <w:bottom w:val="none" w:sz="0" w:space="0" w:color="auto"/>
        <w:right w:val="none" w:sz="0" w:space="0" w:color="auto"/>
      </w:divBdr>
    </w:div>
    <w:div w:id="114911618">
      <w:bodyDiv w:val="1"/>
      <w:marLeft w:val="0"/>
      <w:marRight w:val="0"/>
      <w:marTop w:val="0"/>
      <w:marBottom w:val="0"/>
      <w:divBdr>
        <w:top w:val="none" w:sz="0" w:space="0" w:color="auto"/>
        <w:left w:val="none" w:sz="0" w:space="0" w:color="auto"/>
        <w:bottom w:val="none" w:sz="0" w:space="0" w:color="auto"/>
        <w:right w:val="none" w:sz="0" w:space="0" w:color="auto"/>
      </w:divBdr>
    </w:div>
    <w:div w:id="121390636">
      <w:bodyDiv w:val="1"/>
      <w:marLeft w:val="0"/>
      <w:marRight w:val="0"/>
      <w:marTop w:val="0"/>
      <w:marBottom w:val="0"/>
      <w:divBdr>
        <w:top w:val="none" w:sz="0" w:space="0" w:color="auto"/>
        <w:left w:val="none" w:sz="0" w:space="0" w:color="auto"/>
        <w:bottom w:val="none" w:sz="0" w:space="0" w:color="auto"/>
        <w:right w:val="none" w:sz="0" w:space="0" w:color="auto"/>
      </w:divBdr>
    </w:div>
    <w:div w:id="149710588">
      <w:bodyDiv w:val="1"/>
      <w:marLeft w:val="0"/>
      <w:marRight w:val="0"/>
      <w:marTop w:val="0"/>
      <w:marBottom w:val="0"/>
      <w:divBdr>
        <w:top w:val="none" w:sz="0" w:space="0" w:color="auto"/>
        <w:left w:val="none" w:sz="0" w:space="0" w:color="auto"/>
        <w:bottom w:val="none" w:sz="0" w:space="0" w:color="auto"/>
        <w:right w:val="none" w:sz="0" w:space="0" w:color="auto"/>
      </w:divBdr>
    </w:div>
    <w:div w:id="171997696">
      <w:bodyDiv w:val="1"/>
      <w:marLeft w:val="0"/>
      <w:marRight w:val="0"/>
      <w:marTop w:val="0"/>
      <w:marBottom w:val="0"/>
      <w:divBdr>
        <w:top w:val="none" w:sz="0" w:space="0" w:color="auto"/>
        <w:left w:val="none" w:sz="0" w:space="0" w:color="auto"/>
        <w:bottom w:val="none" w:sz="0" w:space="0" w:color="auto"/>
        <w:right w:val="none" w:sz="0" w:space="0" w:color="auto"/>
      </w:divBdr>
    </w:div>
    <w:div w:id="191262459">
      <w:bodyDiv w:val="1"/>
      <w:marLeft w:val="0"/>
      <w:marRight w:val="0"/>
      <w:marTop w:val="0"/>
      <w:marBottom w:val="0"/>
      <w:divBdr>
        <w:top w:val="none" w:sz="0" w:space="0" w:color="auto"/>
        <w:left w:val="none" w:sz="0" w:space="0" w:color="auto"/>
        <w:bottom w:val="none" w:sz="0" w:space="0" w:color="auto"/>
        <w:right w:val="none" w:sz="0" w:space="0" w:color="auto"/>
      </w:divBdr>
    </w:div>
    <w:div w:id="213195438">
      <w:bodyDiv w:val="1"/>
      <w:marLeft w:val="0"/>
      <w:marRight w:val="0"/>
      <w:marTop w:val="0"/>
      <w:marBottom w:val="0"/>
      <w:divBdr>
        <w:top w:val="none" w:sz="0" w:space="0" w:color="auto"/>
        <w:left w:val="none" w:sz="0" w:space="0" w:color="auto"/>
        <w:bottom w:val="none" w:sz="0" w:space="0" w:color="auto"/>
        <w:right w:val="none" w:sz="0" w:space="0" w:color="auto"/>
      </w:divBdr>
    </w:div>
    <w:div w:id="239799436">
      <w:bodyDiv w:val="1"/>
      <w:marLeft w:val="0"/>
      <w:marRight w:val="0"/>
      <w:marTop w:val="0"/>
      <w:marBottom w:val="0"/>
      <w:divBdr>
        <w:top w:val="none" w:sz="0" w:space="0" w:color="auto"/>
        <w:left w:val="none" w:sz="0" w:space="0" w:color="auto"/>
        <w:bottom w:val="none" w:sz="0" w:space="0" w:color="auto"/>
        <w:right w:val="none" w:sz="0" w:space="0" w:color="auto"/>
      </w:divBdr>
    </w:div>
    <w:div w:id="243956763">
      <w:bodyDiv w:val="1"/>
      <w:marLeft w:val="0"/>
      <w:marRight w:val="0"/>
      <w:marTop w:val="0"/>
      <w:marBottom w:val="0"/>
      <w:divBdr>
        <w:top w:val="none" w:sz="0" w:space="0" w:color="auto"/>
        <w:left w:val="none" w:sz="0" w:space="0" w:color="auto"/>
        <w:bottom w:val="none" w:sz="0" w:space="0" w:color="auto"/>
        <w:right w:val="none" w:sz="0" w:space="0" w:color="auto"/>
      </w:divBdr>
    </w:div>
    <w:div w:id="256065027">
      <w:bodyDiv w:val="1"/>
      <w:marLeft w:val="0"/>
      <w:marRight w:val="0"/>
      <w:marTop w:val="0"/>
      <w:marBottom w:val="0"/>
      <w:divBdr>
        <w:top w:val="none" w:sz="0" w:space="0" w:color="auto"/>
        <w:left w:val="none" w:sz="0" w:space="0" w:color="auto"/>
        <w:bottom w:val="none" w:sz="0" w:space="0" w:color="auto"/>
        <w:right w:val="none" w:sz="0" w:space="0" w:color="auto"/>
      </w:divBdr>
    </w:div>
    <w:div w:id="271132263">
      <w:bodyDiv w:val="1"/>
      <w:marLeft w:val="0"/>
      <w:marRight w:val="0"/>
      <w:marTop w:val="0"/>
      <w:marBottom w:val="0"/>
      <w:divBdr>
        <w:top w:val="none" w:sz="0" w:space="0" w:color="auto"/>
        <w:left w:val="none" w:sz="0" w:space="0" w:color="auto"/>
        <w:bottom w:val="none" w:sz="0" w:space="0" w:color="auto"/>
        <w:right w:val="none" w:sz="0" w:space="0" w:color="auto"/>
      </w:divBdr>
    </w:div>
    <w:div w:id="279343700">
      <w:bodyDiv w:val="1"/>
      <w:marLeft w:val="0"/>
      <w:marRight w:val="0"/>
      <w:marTop w:val="0"/>
      <w:marBottom w:val="0"/>
      <w:divBdr>
        <w:top w:val="none" w:sz="0" w:space="0" w:color="auto"/>
        <w:left w:val="none" w:sz="0" w:space="0" w:color="auto"/>
        <w:bottom w:val="none" w:sz="0" w:space="0" w:color="auto"/>
        <w:right w:val="none" w:sz="0" w:space="0" w:color="auto"/>
      </w:divBdr>
    </w:div>
    <w:div w:id="287863123">
      <w:bodyDiv w:val="1"/>
      <w:marLeft w:val="0"/>
      <w:marRight w:val="0"/>
      <w:marTop w:val="0"/>
      <w:marBottom w:val="0"/>
      <w:divBdr>
        <w:top w:val="none" w:sz="0" w:space="0" w:color="auto"/>
        <w:left w:val="none" w:sz="0" w:space="0" w:color="auto"/>
        <w:bottom w:val="none" w:sz="0" w:space="0" w:color="auto"/>
        <w:right w:val="none" w:sz="0" w:space="0" w:color="auto"/>
      </w:divBdr>
    </w:div>
    <w:div w:id="294406425">
      <w:bodyDiv w:val="1"/>
      <w:marLeft w:val="0"/>
      <w:marRight w:val="0"/>
      <w:marTop w:val="0"/>
      <w:marBottom w:val="0"/>
      <w:divBdr>
        <w:top w:val="none" w:sz="0" w:space="0" w:color="auto"/>
        <w:left w:val="none" w:sz="0" w:space="0" w:color="auto"/>
        <w:bottom w:val="none" w:sz="0" w:space="0" w:color="auto"/>
        <w:right w:val="none" w:sz="0" w:space="0" w:color="auto"/>
      </w:divBdr>
    </w:div>
    <w:div w:id="306057352">
      <w:bodyDiv w:val="1"/>
      <w:marLeft w:val="0"/>
      <w:marRight w:val="0"/>
      <w:marTop w:val="0"/>
      <w:marBottom w:val="0"/>
      <w:divBdr>
        <w:top w:val="none" w:sz="0" w:space="0" w:color="auto"/>
        <w:left w:val="none" w:sz="0" w:space="0" w:color="auto"/>
        <w:bottom w:val="none" w:sz="0" w:space="0" w:color="auto"/>
        <w:right w:val="none" w:sz="0" w:space="0" w:color="auto"/>
      </w:divBdr>
    </w:div>
    <w:div w:id="315842753">
      <w:bodyDiv w:val="1"/>
      <w:marLeft w:val="0"/>
      <w:marRight w:val="0"/>
      <w:marTop w:val="0"/>
      <w:marBottom w:val="0"/>
      <w:divBdr>
        <w:top w:val="none" w:sz="0" w:space="0" w:color="auto"/>
        <w:left w:val="none" w:sz="0" w:space="0" w:color="auto"/>
        <w:bottom w:val="none" w:sz="0" w:space="0" w:color="auto"/>
        <w:right w:val="none" w:sz="0" w:space="0" w:color="auto"/>
      </w:divBdr>
    </w:div>
    <w:div w:id="365257426">
      <w:bodyDiv w:val="1"/>
      <w:marLeft w:val="0"/>
      <w:marRight w:val="0"/>
      <w:marTop w:val="0"/>
      <w:marBottom w:val="0"/>
      <w:divBdr>
        <w:top w:val="none" w:sz="0" w:space="0" w:color="auto"/>
        <w:left w:val="none" w:sz="0" w:space="0" w:color="auto"/>
        <w:bottom w:val="none" w:sz="0" w:space="0" w:color="auto"/>
        <w:right w:val="none" w:sz="0" w:space="0" w:color="auto"/>
      </w:divBdr>
    </w:div>
    <w:div w:id="372731944">
      <w:bodyDiv w:val="1"/>
      <w:marLeft w:val="0"/>
      <w:marRight w:val="0"/>
      <w:marTop w:val="0"/>
      <w:marBottom w:val="0"/>
      <w:divBdr>
        <w:top w:val="none" w:sz="0" w:space="0" w:color="auto"/>
        <w:left w:val="none" w:sz="0" w:space="0" w:color="auto"/>
        <w:bottom w:val="none" w:sz="0" w:space="0" w:color="auto"/>
        <w:right w:val="none" w:sz="0" w:space="0" w:color="auto"/>
      </w:divBdr>
    </w:div>
    <w:div w:id="377361001">
      <w:bodyDiv w:val="1"/>
      <w:marLeft w:val="0"/>
      <w:marRight w:val="0"/>
      <w:marTop w:val="0"/>
      <w:marBottom w:val="0"/>
      <w:divBdr>
        <w:top w:val="none" w:sz="0" w:space="0" w:color="auto"/>
        <w:left w:val="none" w:sz="0" w:space="0" w:color="auto"/>
        <w:bottom w:val="none" w:sz="0" w:space="0" w:color="auto"/>
        <w:right w:val="none" w:sz="0" w:space="0" w:color="auto"/>
      </w:divBdr>
    </w:div>
    <w:div w:id="383795308">
      <w:bodyDiv w:val="1"/>
      <w:marLeft w:val="0"/>
      <w:marRight w:val="0"/>
      <w:marTop w:val="0"/>
      <w:marBottom w:val="0"/>
      <w:divBdr>
        <w:top w:val="none" w:sz="0" w:space="0" w:color="auto"/>
        <w:left w:val="none" w:sz="0" w:space="0" w:color="auto"/>
        <w:bottom w:val="none" w:sz="0" w:space="0" w:color="auto"/>
        <w:right w:val="none" w:sz="0" w:space="0" w:color="auto"/>
      </w:divBdr>
    </w:div>
    <w:div w:id="386955746">
      <w:bodyDiv w:val="1"/>
      <w:marLeft w:val="0"/>
      <w:marRight w:val="0"/>
      <w:marTop w:val="0"/>
      <w:marBottom w:val="0"/>
      <w:divBdr>
        <w:top w:val="none" w:sz="0" w:space="0" w:color="auto"/>
        <w:left w:val="none" w:sz="0" w:space="0" w:color="auto"/>
        <w:bottom w:val="none" w:sz="0" w:space="0" w:color="auto"/>
        <w:right w:val="none" w:sz="0" w:space="0" w:color="auto"/>
      </w:divBdr>
    </w:div>
    <w:div w:id="404843792">
      <w:bodyDiv w:val="1"/>
      <w:marLeft w:val="0"/>
      <w:marRight w:val="0"/>
      <w:marTop w:val="0"/>
      <w:marBottom w:val="0"/>
      <w:divBdr>
        <w:top w:val="none" w:sz="0" w:space="0" w:color="auto"/>
        <w:left w:val="none" w:sz="0" w:space="0" w:color="auto"/>
        <w:bottom w:val="none" w:sz="0" w:space="0" w:color="auto"/>
        <w:right w:val="none" w:sz="0" w:space="0" w:color="auto"/>
      </w:divBdr>
    </w:div>
    <w:div w:id="418019747">
      <w:bodyDiv w:val="1"/>
      <w:marLeft w:val="0"/>
      <w:marRight w:val="0"/>
      <w:marTop w:val="0"/>
      <w:marBottom w:val="0"/>
      <w:divBdr>
        <w:top w:val="none" w:sz="0" w:space="0" w:color="auto"/>
        <w:left w:val="none" w:sz="0" w:space="0" w:color="auto"/>
        <w:bottom w:val="none" w:sz="0" w:space="0" w:color="auto"/>
        <w:right w:val="none" w:sz="0" w:space="0" w:color="auto"/>
      </w:divBdr>
    </w:div>
    <w:div w:id="435442181">
      <w:bodyDiv w:val="1"/>
      <w:marLeft w:val="0"/>
      <w:marRight w:val="0"/>
      <w:marTop w:val="0"/>
      <w:marBottom w:val="0"/>
      <w:divBdr>
        <w:top w:val="none" w:sz="0" w:space="0" w:color="auto"/>
        <w:left w:val="none" w:sz="0" w:space="0" w:color="auto"/>
        <w:bottom w:val="none" w:sz="0" w:space="0" w:color="auto"/>
        <w:right w:val="none" w:sz="0" w:space="0" w:color="auto"/>
      </w:divBdr>
    </w:div>
    <w:div w:id="468941023">
      <w:bodyDiv w:val="1"/>
      <w:marLeft w:val="0"/>
      <w:marRight w:val="0"/>
      <w:marTop w:val="0"/>
      <w:marBottom w:val="0"/>
      <w:divBdr>
        <w:top w:val="none" w:sz="0" w:space="0" w:color="auto"/>
        <w:left w:val="none" w:sz="0" w:space="0" w:color="auto"/>
        <w:bottom w:val="none" w:sz="0" w:space="0" w:color="auto"/>
        <w:right w:val="none" w:sz="0" w:space="0" w:color="auto"/>
      </w:divBdr>
    </w:div>
    <w:div w:id="469321521">
      <w:bodyDiv w:val="1"/>
      <w:marLeft w:val="0"/>
      <w:marRight w:val="0"/>
      <w:marTop w:val="0"/>
      <w:marBottom w:val="0"/>
      <w:divBdr>
        <w:top w:val="none" w:sz="0" w:space="0" w:color="auto"/>
        <w:left w:val="none" w:sz="0" w:space="0" w:color="auto"/>
        <w:bottom w:val="none" w:sz="0" w:space="0" w:color="auto"/>
        <w:right w:val="none" w:sz="0" w:space="0" w:color="auto"/>
      </w:divBdr>
    </w:div>
    <w:div w:id="473646549">
      <w:bodyDiv w:val="1"/>
      <w:marLeft w:val="0"/>
      <w:marRight w:val="0"/>
      <w:marTop w:val="0"/>
      <w:marBottom w:val="0"/>
      <w:divBdr>
        <w:top w:val="none" w:sz="0" w:space="0" w:color="auto"/>
        <w:left w:val="none" w:sz="0" w:space="0" w:color="auto"/>
        <w:bottom w:val="none" w:sz="0" w:space="0" w:color="auto"/>
        <w:right w:val="none" w:sz="0" w:space="0" w:color="auto"/>
      </w:divBdr>
    </w:div>
    <w:div w:id="504707320">
      <w:bodyDiv w:val="1"/>
      <w:marLeft w:val="0"/>
      <w:marRight w:val="0"/>
      <w:marTop w:val="0"/>
      <w:marBottom w:val="0"/>
      <w:divBdr>
        <w:top w:val="none" w:sz="0" w:space="0" w:color="auto"/>
        <w:left w:val="none" w:sz="0" w:space="0" w:color="auto"/>
        <w:bottom w:val="none" w:sz="0" w:space="0" w:color="auto"/>
        <w:right w:val="none" w:sz="0" w:space="0" w:color="auto"/>
      </w:divBdr>
    </w:div>
    <w:div w:id="529294012">
      <w:bodyDiv w:val="1"/>
      <w:marLeft w:val="0"/>
      <w:marRight w:val="0"/>
      <w:marTop w:val="0"/>
      <w:marBottom w:val="0"/>
      <w:divBdr>
        <w:top w:val="none" w:sz="0" w:space="0" w:color="auto"/>
        <w:left w:val="none" w:sz="0" w:space="0" w:color="auto"/>
        <w:bottom w:val="none" w:sz="0" w:space="0" w:color="auto"/>
        <w:right w:val="none" w:sz="0" w:space="0" w:color="auto"/>
      </w:divBdr>
    </w:div>
    <w:div w:id="545919637">
      <w:bodyDiv w:val="1"/>
      <w:marLeft w:val="0"/>
      <w:marRight w:val="0"/>
      <w:marTop w:val="0"/>
      <w:marBottom w:val="0"/>
      <w:divBdr>
        <w:top w:val="none" w:sz="0" w:space="0" w:color="auto"/>
        <w:left w:val="none" w:sz="0" w:space="0" w:color="auto"/>
        <w:bottom w:val="none" w:sz="0" w:space="0" w:color="auto"/>
        <w:right w:val="none" w:sz="0" w:space="0" w:color="auto"/>
      </w:divBdr>
    </w:div>
    <w:div w:id="550193493">
      <w:bodyDiv w:val="1"/>
      <w:marLeft w:val="0"/>
      <w:marRight w:val="0"/>
      <w:marTop w:val="0"/>
      <w:marBottom w:val="0"/>
      <w:divBdr>
        <w:top w:val="none" w:sz="0" w:space="0" w:color="auto"/>
        <w:left w:val="none" w:sz="0" w:space="0" w:color="auto"/>
        <w:bottom w:val="none" w:sz="0" w:space="0" w:color="auto"/>
        <w:right w:val="none" w:sz="0" w:space="0" w:color="auto"/>
      </w:divBdr>
    </w:div>
    <w:div w:id="551498751">
      <w:bodyDiv w:val="1"/>
      <w:marLeft w:val="0"/>
      <w:marRight w:val="0"/>
      <w:marTop w:val="0"/>
      <w:marBottom w:val="0"/>
      <w:divBdr>
        <w:top w:val="none" w:sz="0" w:space="0" w:color="auto"/>
        <w:left w:val="none" w:sz="0" w:space="0" w:color="auto"/>
        <w:bottom w:val="none" w:sz="0" w:space="0" w:color="auto"/>
        <w:right w:val="none" w:sz="0" w:space="0" w:color="auto"/>
      </w:divBdr>
    </w:div>
    <w:div w:id="615714866">
      <w:bodyDiv w:val="1"/>
      <w:marLeft w:val="0"/>
      <w:marRight w:val="0"/>
      <w:marTop w:val="0"/>
      <w:marBottom w:val="0"/>
      <w:divBdr>
        <w:top w:val="none" w:sz="0" w:space="0" w:color="auto"/>
        <w:left w:val="none" w:sz="0" w:space="0" w:color="auto"/>
        <w:bottom w:val="none" w:sz="0" w:space="0" w:color="auto"/>
        <w:right w:val="none" w:sz="0" w:space="0" w:color="auto"/>
      </w:divBdr>
    </w:div>
    <w:div w:id="644817170">
      <w:bodyDiv w:val="1"/>
      <w:marLeft w:val="0"/>
      <w:marRight w:val="0"/>
      <w:marTop w:val="0"/>
      <w:marBottom w:val="0"/>
      <w:divBdr>
        <w:top w:val="none" w:sz="0" w:space="0" w:color="auto"/>
        <w:left w:val="none" w:sz="0" w:space="0" w:color="auto"/>
        <w:bottom w:val="none" w:sz="0" w:space="0" w:color="auto"/>
        <w:right w:val="none" w:sz="0" w:space="0" w:color="auto"/>
      </w:divBdr>
    </w:div>
    <w:div w:id="664284192">
      <w:bodyDiv w:val="1"/>
      <w:marLeft w:val="0"/>
      <w:marRight w:val="0"/>
      <w:marTop w:val="0"/>
      <w:marBottom w:val="0"/>
      <w:divBdr>
        <w:top w:val="none" w:sz="0" w:space="0" w:color="auto"/>
        <w:left w:val="none" w:sz="0" w:space="0" w:color="auto"/>
        <w:bottom w:val="none" w:sz="0" w:space="0" w:color="auto"/>
        <w:right w:val="none" w:sz="0" w:space="0" w:color="auto"/>
      </w:divBdr>
    </w:div>
    <w:div w:id="670985679">
      <w:bodyDiv w:val="1"/>
      <w:marLeft w:val="0"/>
      <w:marRight w:val="0"/>
      <w:marTop w:val="0"/>
      <w:marBottom w:val="0"/>
      <w:divBdr>
        <w:top w:val="none" w:sz="0" w:space="0" w:color="auto"/>
        <w:left w:val="none" w:sz="0" w:space="0" w:color="auto"/>
        <w:bottom w:val="none" w:sz="0" w:space="0" w:color="auto"/>
        <w:right w:val="none" w:sz="0" w:space="0" w:color="auto"/>
      </w:divBdr>
    </w:div>
    <w:div w:id="692539579">
      <w:bodyDiv w:val="1"/>
      <w:marLeft w:val="0"/>
      <w:marRight w:val="0"/>
      <w:marTop w:val="0"/>
      <w:marBottom w:val="0"/>
      <w:divBdr>
        <w:top w:val="none" w:sz="0" w:space="0" w:color="auto"/>
        <w:left w:val="none" w:sz="0" w:space="0" w:color="auto"/>
        <w:bottom w:val="none" w:sz="0" w:space="0" w:color="auto"/>
        <w:right w:val="none" w:sz="0" w:space="0" w:color="auto"/>
      </w:divBdr>
    </w:div>
    <w:div w:id="712849020">
      <w:bodyDiv w:val="1"/>
      <w:marLeft w:val="0"/>
      <w:marRight w:val="0"/>
      <w:marTop w:val="0"/>
      <w:marBottom w:val="0"/>
      <w:divBdr>
        <w:top w:val="none" w:sz="0" w:space="0" w:color="auto"/>
        <w:left w:val="none" w:sz="0" w:space="0" w:color="auto"/>
        <w:bottom w:val="none" w:sz="0" w:space="0" w:color="auto"/>
        <w:right w:val="none" w:sz="0" w:space="0" w:color="auto"/>
      </w:divBdr>
    </w:div>
    <w:div w:id="714545212">
      <w:bodyDiv w:val="1"/>
      <w:marLeft w:val="0"/>
      <w:marRight w:val="0"/>
      <w:marTop w:val="0"/>
      <w:marBottom w:val="0"/>
      <w:divBdr>
        <w:top w:val="none" w:sz="0" w:space="0" w:color="auto"/>
        <w:left w:val="none" w:sz="0" w:space="0" w:color="auto"/>
        <w:bottom w:val="none" w:sz="0" w:space="0" w:color="auto"/>
        <w:right w:val="none" w:sz="0" w:space="0" w:color="auto"/>
      </w:divBdr>
    </w:div>
    <w:div w:id="715274826">
      <w:bodyDiv w:val="1"/>
      <w:marLeft w:val="0"/>
      <w:marRight w:val="0"/>
      <w:marTop w:val="0"/>
      <w:marBottom w:val="0"/>
      <w:divBdr>
        <w:top w:val="none" w:sz="0" w:space="0" w:color="auto"/>
        <w:left w:val="none" w:sz="0" w:space="0" w:color="auto"/>
        <w:bottom w:val="none" w:sz="0" w:space="0" w:color="auto"/>
        <w:right w:val="none" w:sz="0" w:space="0" w:color="auto"/>
      </w:divBdr>
    </w:div>
    <w:div w:id="764691712">
      <w:bodyDiv w:val="1"/>
      <w:marLeft w:val="0"/>
      <w:marRight w:val="0"/>
      <w:marTop w:val="0"/>
      <w:marBottom w:val="0"/>
      <w:divBdr>
        <w:top w:val="none" w:sz="0" w:space="0" w:color="auto"/>
        <w:left w:val="none" w:sz="0" w:space="0" w:color="auto"/>
        <w:bottom w:val="none" w:sz="0" w:space="0" w:color="auto"/>
        <w:right w:val="none" w:sz="0" w:space="0" w:color="auto"/>
      </w:divBdr>
    </w:div>
    <w:div w:id="768353560">
      <w:bodyDiv w:val="1"/>
      <w:marLeft w:val="0"/>
      <w:marRight w:val="0"/>
      <w:marTop w:val="0"/>
      <w:marBottom w:val="0"/>
      <w:divBdr>
        <w:top w:val="none" w:sz="0" w:space="0" w:color="auto"/>
        <w:left w:val="none" w:sz="0" w:space="0" w:color="auto"/>
        <w:bottom w:val="none" w:sz="0" w:space="0" w:color="auto"/>
        <w:right w:val="none" w:sz="0" w:space="0" w:color="auto"/>
      </w:divBdr>
    </w:div>
    <w:div w:id="798108125">
      <w:bodyDiv w:val="1"/>
      <w:marLeft w:val="0"/>
      <w:marRight w:val="0"/>
      <w:marTop w:val="0"/>
      <w:marBottom w:val="0"/>
      <w:divBdr>
        <w:top w:val="none" w:sz="0" w:space="0" w:color="auto"/>
        <w:left w:val="none" w:sz="0" w:space="0" w:color="auto"/>
        <w:bottom w:val="none" w:sz="0" w:space="0" w:color="auto"/>
        <w:right w:val="none" w:sz="0" w:space="0" w:color="auto"/>
      </w:divBdr>
    </w:div>
    <w:div w:id="815806599">
      <w:bodyDiv w:val="1"/>
      <w:marLeft w:val="0"/>
      <w:marRight w:val="0"/>
      <w:marTop w:val="0"/>
      <w:marBottom w:val="0"/>
      <w:divBdr>
        <w:top w:val="none" w:sz="0" w:space="0" w:color="auto"/>
        <w:left w:val="none" w:sz="0" w:space="0" w:color="auto"/>
        <w:bottom w:val="none" w:sz="0" w:space="0" w:color="auto"/>
        <w:right w:val="none" w:sz="0" w:space="0" w:color="auto"/>
      </w:divBdr>
    </w:div>
    <w:div w:id="816804909">
      <w:bodyDiv w:val="1"/>
      <w:marLeft w:val="0"/>
      <w:marRight w:val="0"/>
      <w:marTop w:val="0"/>
      <w:marBottom w:val="0"/>
      <w:divBdr>
        <w:top w:val="none" w:sz="0" w:space="0" w:color="auto"/>
        <w:left w:val="none" w:sz="0" w:space="0" w:color="auto"/>
        <w:bottom w:val="none" w:sz="0" w:space="0" w:color="auto"/>
        <w:right w:val="none" w:sz="0" w:space="0" w:color="auto"/>
      </w:divBdr>
    </w:div>
    <w:div w:id="881403247">
      <w:bodyDiv w:val="1"/>
      <w:marLeft w:val="0"/>
      <w:marRight w:val="0"/>
      <w:marTop w:val="0"/>
      <w:marBottom w:val="0"/>
      <w:divBdr>
        <w:top w:val="none" w:sz="0" w:space="0" w:color="auto"/>
        <w:left w:val="none" w:sz="0" w:space="0" w:color="auto"/>
        <w:bottom w:val="none" w:sz="0" w:space="0" w:color="auto"/>
        <w:right w:val="none" w:sz="0" w:space="0" w:color="auto"/>
      </w:divBdr>
    </w:div>
    <w:div w:id="886331520">
      <w:bodyDiv w:val="1"/>
      <w:marLeft w:val="0"/>
      <w:marRight w:val="0"/>
      <w:marTop w:val="0"/>
      <w:marBottom w:val="0"/>
      <w:divBdr>
        <w:top w:val="none" w:sz="0" w:space="0" w:color="auto"/>
        <w:left w:val="none" w:sz="0" w:space="0" w:color="auto"/>
        <w:bottom w:val="none" w:sz="0" w:space="0" w:color="auto"/>
        <w:right w:val="none" w:sz="0" w:space="0" w:color="auto"/>
      </w:divBdr>
    </w:div>
    <w:div w:id="890070229">
      <w:bodyDiv w:val="1"/>
      <w:marLeft w:val="0"/>
      <w:marRight w:val="0"/>
      <w:marTop w:val="0"/>
      <w:marBottom w:val="0"/>
      <w:divBdr>
        <w:top w:val="none" w:sz="0" w:space="0" w:color="auto"/>
        <w:left w:val="none" w:sz="0" w:space="0" w:color="auto"/>
        <w:bottom w:val="none" w:sz="0" w:space="0" w:color="auto"/>
        <w:right w:val="none" w:sz="0" w:space="0" w:color="auto"/>
      </w:divBdr>
    </w:div>
    <w:div w:id="891892274">
      <w:bodyDiv w:val="1"/>
      <w:marLeft w:val="0"/>
      <w:marRight w:val="0"/>
      <w:marTop w:val="0"/>
      <w:marBottom w:val="0"/>
      <w:divBdr>
        <w:top w:val="none" w:sz="0" w:space="0" w:color="auto"/>
        <w:left w:val="none" w:sz="0" w:space="0" w:color="auto"/>
        <w:bottom w:val="none" w:sz="0" w:space="0" w:color="auto"/>
        <w:right w:val="none" w:sz="0" w:space="0" w:color="auto"/>
      </w:divBdr>
    </w:div>
    <w:div w:id="897399469">
      <w:bodyDiv w:val="1"/>
      <w:marLeft w:val="0"/>
      <w:marRight w:val="0"/>
      <w:marTop w:val="0"/>
      <w:marBottom w:val="0"/>
      <w:divBdr>
        <w:top w:val="none" w:sz="0" w:space="0" w:color="auto"/>
        <w:left w:val="none" w:sz="0" w:space="0" w:color="auto"/>
        <w:bottom w:val="none" w:sz="0" w:space="0" w:color="auto"/>
        <w:right w:val="none" w:sz="0" w:space="0" w:color="auto"/>
      </w:divBdr>
    </w:div>
    <w:div w:id="899750264">
      <w:bodyDiv w:val="1"/>
      <w:marLeft w:val="0"/>
      <w:marRight w:val="0"/>
      <w:marTop w:val="0"/>
      <w:marBottom w:val="0"/>
      <w:divBdr>
        <w:top w:val="none" w:sz="0" w:space="0" w:color="auto"/>
        <w:left w:val="none" w:sz="0" w:space="0" w:color="auto"/>
        <w:bottom w:val="none" w:sz="0" w:space="0" w:color="auto"/>
        <w:right w:val="none" w:sz="0" w:space="0" w:color="auto"/>
      </w:divBdr>
    </w:div>
    <w:div w:id="907958719">
      <w:bodyDiv w:val="1"/>
      <w:marLeft w:val="0"/>
      <w:marRight w:val="0"/>
      <w:marTop w:val="0"/>
      <w:marBottom w:val="0"/>
      <w:divBdr>
        <w:top w:val="none" w:sz="0" w:space="0" w:color="auto"/>
        <w:left w:val="none" w:sz="0" w:space="0" w:color="auto"/>
        <w:bottom w:val="none" w:sz="0" w:space="0" w:color="auto"/>
        <w:right w:val="none" w:sz="0" w:space="0" w:color="auto"/>
      </w:divBdr>
    </w:div>
    <w:div w:id="912205669">
      <w:bodyDiv w:val="1"/>
      <w:marLeft w:val="0"/>
      <w:marRight w:val="0"/>
      <w:marTop w:val="0"/>
      <w:marBottom w:val="0"/>
      <w:divBdr>
        <w:top w:val="none" w:sz="0" w:space="0" w:color="auto"/>
        <w:left w:val="none" w:sz="0" w:space="0" w:color="auto"/>
        <w:bottom w:val="none" w:sz="0" w:space="0" w:color="auto"/>
        <w:right w:val="none" w:sz="0" w:space="0" w:color="auto"/>
      </w:divBdr>
    </w:div>
    <w:div w:id="920260775">
      <w:bodyDiv w:val="1"/>
      <w:marLeft w:val="0"/>
      <w:marRight w:val="0"/>
      <w:marTop w:val="0"/>
      <w:marBottom w:val="0"/>
      <w:divBdr>
        <w:top w:val="none" w:sz="0" w:space="0" w:color="auto"/>
        <w:left w:val="none" w:sz="0" w:space="0" w:color="auto"/>
        <w:bottom w:val="none" w:sz="0" w:space="0" w:color="auto"/>
        <w:right w:val="none" w:sz="0" w:space="0" w:color="auto"/>
      </w:divBdr>
    </w:div>
    <w:div w:id="927887018">
      <w:bodyDiv w:val="1"/>
      <w:marLeft w:val="0"/>
      <w:marRight w:val="0"/>
      <w:marTop w:val="0"/>
      <w:marBottom w:val="0"/>
      <w:divBdr>
        <w:top w:val="none" w:sz="0" w:space="0" w:color="auto"/>
        <w:left w:val="none" w:sz="0" w:space="0" w:color="auto"/>
        <w:bottom w:val="none" w:sz="0" w:space="0" w:color="auto"/>
        <w:right w:val="none" w:sz="0" w:space="0" w:color="auto"/>
      </w:divBdr>
    </w:div>
    <w:div w:id="931665331">
      <w:bodyDiv w:val="1"/>
      <w:marLeft w:val="0"/>
      <w:marRight w:val="0"/>
      <w:marTop w:val="0"/>
      <w:marBottom w:val="0"/>
      <w:divBdr>
        <w:top w:val="none" w:sz="0" w:space="0" w:color="auto"/>
        <w:left w:val="none" w:sz="0" w:space="0" w:color="auto"/>
        <w:bottom w:val="none" w:sz="0" w:space="0" w:color="auto"/>
        <w:right w:val="none" w:sz="0" w:space="0" w:color="auto"/>
      </w:divBdr>
    </w:div>
    <w:div w:id="959461262">
      <w:bodyDiv w:val="1"/>
      <w:marLeft w:val="0"/>
      <w:marRight w:val="0"/>
      <w:marTop w:val="0"/>
      <w:marBottom w:val="0"/>
      <w:divBdr>
        <w:top w:val="none" w:sz="0" w:space="0" w:color="auto"/>
        <w:left w:val="none" w:sz="0" w:space="0" w:color="auto"/>
        <w:bottom w:val="none" w:sz="0" w:space="0" w:color="auto"/>
        <w:right w:val="none" w:sz="0" w:space="0" w:color="auto"/>
      </w:divBdr>
    </w:div>
    <w:div w:id="961227747">
      <w:bodyDiv w:val="1"/>
      <w:marLeft w:val="0"/>
      <w:marRight w:val="0"/>
      <w:marTop w:val="0"/>
      <w:marBottom w:val="0"/>
      <w:divBdr>
        <w:top w:val="none" w:sz="0" w:space="0" w:color="auto"/>
        <w:left w:val="none" w:sz="0" w:space="0" w:color="auto"/>
        <w:bottom w:val="none" w:sz="0" w:space="0" w:color="auto"/>
        <w:right w:val="none" w:sz="0" w:space="0" w:color="auto"/>
      </w:divBdr>
    </w:div>
    <w:div w:id="961613185">
      <w:bodyDiv w:val="1"/>
      <w:marLeft w:val="0"/>
      <w:marRight w:val="0"/>
      <w:marTop w:val="0"/>
      <w:marBottom w:val="0"/>
      <w:divBdr>
        <w:top w:val="none" w:sz="0" w:space="0" w:color="auto"/>
        <w:left w:val="none" w:sz="0" w:space="0" w:color="auto"/>
        <w:bottom w:val="none" w:sz="0" w:space="0" w:color="auto"/>
        <w:right w:val="none" w:sz="0" w:space="0" w:color="auto"/>
      </w:divBdr>
    </w:div>
    <w:div w:id="965352915">
      <w:bodyDiv w:val="1"/>
      <w:marLeft w:val="0"/>
      <w:marRight w:val="0"/>
      <w:marTop w:val="0"/>
      <w:marBottom w:val="0"/>
      <w:divBdr>
        <w:top w:val="none" w:sz="0" w:space="0" w:color="auto"/>
        <w:left w:val="none" w:sz="0" w:space="0" w:color="auto"/>
        <w:bottom w:val="none" w:sz="0" w:space="0" w:color="auto"/>
        <w:right w:val="none" w:sz="0" w:space="0" w:color="auto"/>
      </w:divBdr>
    </w:div>
    <w:div w:id="979577367">
      <w:bodyDiv w:val="1"/>
      <w:marLeft w:val="0"/>
      <w:marRight w:val="0"/>
      <w:marTop w:val="0"/>
      <w:marBottom w:val="0"/>
      <w:divBdr>
        <w:top w:val="none" w:sz="0" w:space="0" w:color="auto"/>
        <w:left w:val="none" w:sz="0" w:space="0" w:color="auto"/>
        <w:bottom w:val="none" w:sz="0" w:space="0" w:color="auto"/>
        <w:right w:val="none" w:sz="0" w:space="0" w:color="auto"/>
      </w:divBdr>
    </w:div>
    <w:div w:id="982349358">
      <w:bodyDiv w:val="1"/>
      <w:marLeft w:val="0"/>
      <w:marRight w:val="0"/>
      <w:marTop w:val="0"/>
      <w:marBottom w:val="0"/>
      <w:divBdr>
        <w:top w:val="none" w:sz="0" w:space="0" w:color="auto"/>
        <w:left w:val="none" w:sz="0" w:space="0" w:color="auto"/>
        <w:bottom w:val="none" w:sz="0" w:space="0" w:color="auto"/>
        <w:right w:val="none" w:sz="0" w:space="0" w:color="auto"/>
      </w:divBdr>
    </w:div>
    <w:div w:id="992180983">
      <w:bodyDiv w:val="1"/>
      <w:marLeft w:val="0"/>
      <w:marRight w:val="0"/>
      <w:marTop w:val="0"/>
      <w:marBottom w:val="0"/>
      <w:divBdr>
        <w:top w:val="none" w:sz="0" w:space="0" w:color="auto"/>
        <w:left w:val="none" w:sz="0" w:space="0" w:color="auto"/>
        <w:bottom w:val="none" w:sz="0" w:space="0" w:color="auto"/>
        <w:right w:val="none" w:sz="0" w:space="0" w:color="auto"/>
      </w:divBdr>
    </w:div>
    <w:div w:id="1002511034">
      <w:bodyDiv w:val="1"/>
      <w:marLeft w:val="0"/>
      <w:marRight w:val="0"/>
      <w:marTop w:val="0"/>
      <w:marBottom w:val="0"/>
      <w:divBdr>
        <w:top w:val="none" w:sz="0" w:space="0" w:color="auto"/>
        <w:left w:val="none" w:sz="0" w:space="0" w:color="auto"/>
        <w:bottom w:val="none" w:sz="0" w:space="0" w:color="auto"/>
        <w:right w:val="none" w:sz="0" w:space="0" w:color="auto"/>
      </w:divBdr>
    </w:div>
    <w:div w:id="1009023951">
      <w:bodyDiv w:val="1"/>
      <w:marLeft w:val="0"/>
      <w:marRight w:val="0"/>
      <w:marTop w:val="0"/>
      <w:marBottom w:val="0"/>
      <w:divBdr>
        <w:top w:val="none" w:sz="0" w:space="0" w:color="auto"/>
        <w:left w:val="none" w:sz="0" w:space="0" w:color="auto"/>
        <w:bottom w:val="none" w:sz="0" w:space="0" w:color="auto"/>
        <w:right w:val="none" w:sz="0" w:space="0" w:color="auto"/>
      </w:divBdr>
    </w:div>
    <w:div w:id="1016619915">
      <w:bodyDiv w:val="1"/>
      <w:marLeft w:val="0"/>
      <w:marRight w:val="0"/>
      <w:marTop w:val="0"/>
      <w:marBottom w:val="0"/>
      <w:divBdr>
        <w:top w:val="none" w:sz="0" w:space="0" w:color="auto"/>
        <w:left w:val="none" w:sz="0" w:space="0" w:color="auto"/>
        <w:bottom w:val="none" w:sz="0" w:space="0" w:color="auto"/>
        <w:right w:val="none" w:sz="0" w:space="0" w:color="auto"/>
      </w:divBdr>
    </w:div>
    <w:div w:id="1018510931">
      <w:bodyDiv w:val="1"/>
      <w:marLeft w:val="0"/>
      <w:marRight w:val="0"/>
      <w:marTop w:val="0"/>
      <w:marBottom w:val="0"/>
      <w:divBdr>
        <w:top w:val="none" w:sz="0" w:space="0" w:color="auto"/>
        <w:left w:val="none" w:sz="0" w:space="0" w:color="auto"/>
        <w:bottom w:val="none" w:sz="0" w:space="0" w:color="auto"/>
        <w:right w:val="none" w:sz="0" w:space="0" w:color="auto"/>
      </w:divBdr>
    </w:div>
    <w:div w:id="1022367203">
      <w:bodyDiv w:val="1"/>
      <w:marLeft w:val="0"/>
      <w:marRight w:val="0"/>
      <w:marTop w:val="0"/>
      <w:marBottom w:val="0"/>
      <w:divBdr>
        <w:top w:val="none" w:sz="0" w:space="0" w:color="auto"/>
        <w:left w:val="none" w:sz="0" w:space="0" w:color="auto"/>
        <w:bottom w:val="none" w:sz="0" w:space="0" w:color="auto"/>
        <w:right w:val="none" w:sz="0" w:space="0" w:color="auto"/>
      </w:divBdr>
    </w:div>
    <w:div w:id="1032071515">
      <w:bodyDiv w:val="1"/>
      <w:marLeft w:val="0"/>
      <w:marRight w:val="0"/>
      <w:marTop w:val="0"/>
      <w:marBottom w:val="0"/>
      <w:divBdr>
        <w:top w:val="none" w:sz="0" w:space="0" w:color="auto"/>
        <w:left w:val="none" w:sz="0" w:space="0" w:color="auto"/>
        <w:bottom w:val="none" w:sz="0" w:space="0" w:color="auto"/>
        <w:right w:val="none" w:sz="0" w:space="0" w:color="auto"/>
      </w:divBdr>
    </w:div>
    <w:div w:id="1032995675">
      <w:bodyDiv w:val="1"/>
      <w:marLeft w:val="0"/>
      <w:marRight w:val="0"/>
      <w:marTop w:val="0"/>
      <w:marBottom w:val="0"/>
      <w:divBdr>
        <w:top w:val="none" w:sz="0" w:space="0" w:color="auto"/>
        <w:left w:val="none" w:sz="0" w:space="0" w:color="auto"/>
        <w:bottom w:val="none" w:sz="0" w:space="0" w:color="auto"/>
        <w:right w:val="none" w:sz="0" w:space="0" w:color="auto"/>
      </w:divBdr>
    </w:div>
    <w:div w:id="1045720479">
      <w:bodyDiv w:val="1"/>
      <w:marLeft w:val="0"/>
      <w:marRight w:val="0"/>
      <w:marTop w:val="0"/>
      <w:marBottom w:val="0"/>
      <w:divBdr>
        <w:top w:val="none" w:sz="0" w:space="0" w:color="auto"/>
        <w:left w:val="none" w:sz="0" w:space="0" w:color="auto"/>
        <w:bottom w:val="none" w:sz="0" w:space="0" w:color="auto"/>
        <w:right w:val="none" w:sz="0" w:space="0" w:color="auto"/>
      </w:divBdr>
    </w:div>
    <w:div w:id="1046680549">
      <w:bodyDiv w:val="1"/>
      <w:marLeft w:val="0"/>
      <w:marRight w:val="0"/>
      <w:marTop w:val="0"/>
      <w:marBottom w:val="0"/>
      <w:divBdr>
        <w:top w:val="none" w:sz="0" w:space="0" w:color="auto"/>
        <w:left w:val="none" w:sz="0" w:space="0" w:color="auto"/>
        <w:bottom w:val="none" w:sz="0" w:space="0" w:color="auto"/>
        <w:right w:val="none" w:sz="0" w:space="0" w:color="auto"/>
      </w:divBdr>
    </w:div>
    <w:div w:id="1066756520">
      <w:bodyDiv w:val="1"/>
      <w:marLeft w:val="0"/>
      <w:marRight w:val="0"/>
      <w:marTop w:val="0"/>
      <w:marBottom w:val="0"/>
      <w:divBdr>
        <w:top w:val="none" w:sz="0" w:space="0" w:color="auto"/>
        <w:left w:val="none" w:sz="0" w:space="0" w:color="auto"/>
        <w:bottom w:val="none" w:sz="0" w:space="0" w:color="auto"/>
        <w:right w:val="none" w:sz="0" w:space="0" w:color="auto"/>
      </w:divBdr>
    </w:div>
    <w:div w:id="1067147606">
      <w:bodyDiv w:val="1"/>
      <w:marLeft w:val="0"/>
      <w:marRight w:val="0"/>
      <w:marTop w:val="0"/>
      <w:marBottom w:val="0"/>
      <w:divBdr>
        <w:top w:val="none" w:sz="0" w:space="0" w:color="auto"/>
        <w:left w:val="none" w:sz="0" w:space="0" w:color="auto"/>
        <w:bottom w:val="none" w:sz="0" w:space="0" w:color="auto"/>
        <w:right w:val="none" w:sz="0" w:space="0" w:color="auto"/>
      </w:divBdr>
    </w:div>
    <w:div w:id="1105609775">
      <w:bodyDiv w:val="1"/>
      <w:marLeft w:val="0"/>
      <w:marRight w:val="0"/>
      <w:marTop w:val="0"/>
      <w:marBottom w:val="0"/>
      <w:divBdr>
        <w:top w:val="none" w:sz="0" w:space="0" w:color="auto"/>
        <w:left w:val="none" w:sz="0" w:space="0" w:color="auto"/>
        <w:bottom w:val="none" w:sz="0" w:space="0" w:color="auto"/>
        <w:right w:val="none" w:sz="0" w:space="0" w:color="auto"/>
      </w:divBdr>
    </w:div>
    <w:div w:id="1110273000">
      <w:bodyDiv w:val="1"/>
      <w:marLeft w:val="0"/>
      <w:marRight w:val="0"/>
      <w:marTop w:val="0"/>
      <w:marBottom w:val="0"/>
      <w:divBdr>
        <w:top w:val="none" w:sz="0" w:space="0" w:color="auto"/>
        <w:left w:val="none" w:sz="0" w:space="0" w:color="auto"/>
        <w:bottom w:val="none" w:sz="0" w:space="0" w:color="auto"/>
        <w:right w:val="none" w:sz="0" w:space="0" w:color="auto"/>
      </w:divBdr>
    </w:div>
    <w:div w:id="1110318087">
      <w:bodyDiv w:val="1"/>
      <w:marLeft w:val="0"/>
      <w:marRight w:val="0"/>
      <w:marTop w:val="0"/>
      <w:marBottom w:val="0"/>
      <w:divBdr>
        <w:top w:val="none" w:sz="0" w:space="0" w:color="auto"/>
        <w:left w:val="none" w:sz="0" w:space="0" w:color="auto"/>
        <w:bottom w:val="none" w:sz="0" w:space="0" w:color="auto"/>
        <w:right w:val="none" w:sz="0" w:space="0" w:color="auto"/>
      </w:divBdr>
    </w:div>
    <w:div w:id="1131677550">
      <w:bodyDiv w:val="1"/>
      <w:marLeft w:val="0"/>
      <w:marRight w:val="0"/>
      <w:marTop w:val="0"/>
      <w:marBottom w:val="0"/>
      <w:divBdr>
        <w:top w:val="none" w:sz="0" w:space="0" w:color="auto"/>
        <w:left w:val="none" w:sz="0" w:space="0" w:color="auto"/>
        <w:bottom w:val="none" w:sz="0" w:space="0" w:color="auto"/>
        <w:right w:val="none" w:sz="0" w:space="0" w:color="auto"/>
      </w:divBdr>
    </w:div>
    <w:div w:id="1132751985">
      <w:bodyDiv w:val="1"/>
      <w:marLeft w:val="0"/>
      <w:marRight w:val="0"/>
      <w:marTop w:val="0"/>
      <w:marBottom w:val="0"/>
      <w:divBdr>
        <w:top w:val="none" w:sz="0" w:space="0" w:color="auto"/>
        <w:left w:val="none" w:sz="0" w:space="0" w:color="auto"/>
        <w:bottom w:val="none" w:sz="0" w:space="0" w:color="auto"/>
        <w:right w:val="none" w:sz="0" w:space="0" w:color="auto"/>
      </w:divBdr>
    </w:div>
    <w:div w:id="1139958285">
      <w:bodyDiv w:val="1"/>
      <w:marLeft w:val="0"/>
      <w:marRight w:val="0"/>
      <w:marTop w:val="0"/>
      <w:marBottom w:val="0"/>
      <w:divBdr>
        <w:top w:val="none" w:sz="0" w:space="0" w:color="auto"/>
        <w:left w:val="none" w:sz="0" w:space="0" w:color="auto"/>
        <w:bottom w:val="none" w:sz="0" w:space="0" w:color="auto"/>
        <w:right w:val="none" w:sz="0" w:space="0" w:color="auto"/>
      </w:divBdr>
    </w:div>
    <w:div w:id="1213998846">
      <w:bodyDiv w:val="1"/>
      <w:marLeft w:val="0"/>
      <w:marRight w:val="0"/>
      <w:marTop w:val="0"/>
      <w:marBottom w:val="0"/>
      <w:divBdr>
        <w:top w:val="none" w:sz="0" w:space="0" w:color="auto"/>
        <w:left w:val="none" w:sz="0" w:space="0" w:color="auto"/>
        <w:bottom w:val="none" w:sz="0" w:space="0" w:color="auto"/>
        <w:right w:val="none" w:sz="0" w:space="0" w:color="auto"/>
      </w:divBdr>
    </w:div>
    <w:div w:id="1222524481">
      <w:bodyDiv w:val="1"/>
      <w:marLeft w:val="0"/>
      <w:marRight w:val="0"/>
      <w:marTop w:val="0"/>
      <w:marBottom w:val="0"/>
      <w:divBdr>
        <w:top w:val="none" w:sz="0" w:space="0" w:color="auto"/>
        <w:left w:val="none" w:sz="0" w:space="0" w:color="auto"/>
        <w:bottom w:val="none" w:sz="0" w:space="0" w:color="auto"/>
        <w:right w:val="none" w:sz="0" w:space="0" w:color="auto"/>
      </w:divBdr>
    </w:div>
    <w:div w:id="1239441747">
      <w:bodyDiv w:val="1"/>
      <w:marLeft w:val="0"/>
      <w:marRight w:val="0"/>
      <w:marTop w:val="0"/>
      <w:marBottom w:val="0"/>
      <w:divBdr>
        <w:top w:val="none" w:sz="0" w:space="0" w:color="auto"/>
        <w:left w:val="none" w:sz="0" w:space="0" w:color="auto"/>
        <w:bottom w:val="none" w:sz="0" w:space="0" w:color="auto"/>
        <w:right w:val="none" w:sz="0" w:space="0" w:color="auto"/>
      </w:divBdr>
    </w:div>
    <w:div w:id="1242912252">
      <w:bodyDiv w:val="1"/>
      <w:marLeft w:val="0"/>
      <w:marRight w:val="0"/>
      <w:marTop w:val="0"/>
      <w:marBottom w:val="0"/>
      <w:divBdr>
        <w:top w:val="none" w:sz="0" w:space="0" w:color="auto"/>
        <w:left w:val="none" w:sz="0" w:space="0" w:color="auto"/>
        <w:bottom w:val="none" w:sz="0" w:space="0" w:color="auto"/>
        <w:right w:val="none" w:sz="0" w:space="0" w:color="auto"/>
      </w:divBdr>
    </w:div>
    <w:div w:id="1250962385">
      <w:bodyDiv w:val="1"/>
      <w:marLeft w:val="0"/>
      <w:marRight w:val="0"/>
      <w:marTop w:val="0"/>
      <w:marBottom w:val="0"/>
      <w:divBdr>
        <w:top w:val="none" w:sz="0" w:space="0" w:color="auto"/>
        <w:left w:val="none" w:sz="0" w:space="0" w:color="auto"/>
        <w:bottom w:val="none" w:sz="0" w:space="0" w:color="auto"/>
        <w:right w:val="none" w:sz="0" w:space="0" w:color="auto"/>
      </w:divBdr>
    </w:div>
    <w:div w:id="1252163146">
      <w:bodyDiv w:val="1"/>
      <w:marLeft w:val="0"/>
      <w:marRight w:val="0"/>
      <w:marTop w:val="0"/>
      <w:marBottom w:val="0"/>
      <w:divBdr>
        <w:top w:val="none" w:sz="0" w:space="0" w:color="auto"/>
        <w:left w:val="none" w:sz="0" w:space="0" w:color="auto"/>
        <w:bottom w:val="none" w:sz="0" w:space="0" w:color="auto"/>
        <w:right w:val="none" w:sz="0" w:space="0" w:color="auto"/>
      </w:divBdr>
    </w:div>
    <w:div w:id="1252852344">
      <w:bodyDiv w:val="1"/>
      <w:marLeft w:val="0"/>
      <w:marRight w:val="0"/>
      <w:marTop w:val="0"/>
      <w:marBottom w:val="0"/>
      <w:divBdr>
        <w:top w:val="none" w:sz="0" w:space="0" w:color="auto"/>
        <w:left w:val="none" w:sz="0" w:space="0" w:color="auto"/>
        <w:bottom w:val="none" w:sz="0" w:space="0" w:color="auto"/>
        <w:right w:val="none" w:sz="0" w:space="0" w:color="auto"/>
      </w:divBdr>
    </w:div>
    <w:div w:id="1256867426">
      <w:bodyDiv w:val="1"/>
      <w:marLeft w:val="0"/>
      <w:marRight w:val="0"/>
      <w:marTop w:val="0"/>
      <w:marBottom w:val="0"/>
      <w:divBdr>
        <w:top w:val="none" w:sz="0" w:space="0" w:color="auto"/>
        <w:left w:val="none" w:sz="0" w:space="0" w:color="auto"/>
        <w:bottom w:val="none" w:sz="0" w:space="0" w:color="auto"/>
        <w:right w:val="none" w:sz="0" w:space="0" w:color="auto"/>
      </w:divBdr>
    </w:div>
    <w:div w:id="1266040773">
      <w:bodyDiv w:val="1"/>
      <w:marLeft w:val="0"/>
      <w:marRight w:val="0"/>
      <w:marTop w:val="0"/>
      <w:marBottom w:val="0"/>
      <w:divBdr>
        <w:top w:val="none" w:sz="0" w:space="0" w:color="auto"/>
        <w:left w:val="none" w:sz="0" w:space="0" w:color="auto"/>
        <w:bottom w:val="none" w:sz="0" w:space="0" w:color="auto"/>
        <w:right w:val="none" w:sz="0" w:space="0" w:color="auto"/>
      </w:divBdr>
    </w:div>
    <w:div w:id="1279026908">
      <w:bodyDiv w:val="1"/>
      <w:marLeft w:val="0"/>
      <w:marRight w:val="0"/>
      <w:marTop w:val="0"/>
      <w:marBottom w:val="0"/>
      <w:divBdr>
        <w:top w:val="none" w:sz="0" w:space="0" w:color="auto"/>
        <w:left w:val="none" w:sz="0" w:space="0" w:color="auto"/>
        <w:bottom w:val="none" w:sz="0" w:space="0" w:color="auto"/>
        <w:right w:val="none" w:sz="0" w:space="0" w:color="auto"/>
      </w:divBdr>
    </w:div>
    <w:div w:id="1298102404">
      <w:bodyDiv w:val="1"/>
      <w:marLeft w:val="0"/>
      <w:marRight w:val="0"/>
      <w:marTop w:val="0"/>
      <w:marBottom w:val="0"/>
      <w:divBdr>
        <w:top w:val="none" w:sz="0" w:space="0" w:color="auto"/>
        <w:left w:val="none" w:sz="0" w:space="0" w:color="auto"/>
        <w:bottom w:val="none" w:sz="0" w:space="0" w:color="auto"/>
        <w:right w:val="none" w:sz="0" w:space="0" w:color="auto"/>
      </w:divBdr>
    </w:div>
    <w:div w:id="1299338563">
      <w:bodyDiv w:val="1"/>
      <w:marLeft w:val="0"/>
      <w:marRight w:val="0"/>
      <w:marTop w:val="0"/>
      <w:marBottom w:val="0"/>
      <w:divBdr>
        <w:top w:val="none" w:sz="0" w:space="0" w:color="auto"/>
        <w:left w:val="none" w:sz="0" w:space="0" w:color="auto"/>
        <w:bottom w:val="none" w:sz="0" w:space="0" w:color="auto"/>
        <w:right w:val="none" w:sz="0" w:space="0" w:color="auto"/>
      </w:divBdr>
    </w:div>
    <w:div w:id="1310867082">
      <w:bodyDiv w:val="1"/>
      <w:marLeft w:val="0"/>
      <w:marRight w:val="0"/>
      <w:marTop w:val="0"/>
      <w:marBottom w:val="0"/>
      <w:divBdr>
        <w:top w:val="none" w:sz="0" w:space="0" w:color="auto"/>
        <w:left w:val="none" w:sz="0" w:space="0" w:color="auto"/>
        <w:bottom w:val="none" w:sz="0" w:space="0" w:color="auto"/>
        <w:right w:val="none" w:sz="0" w:space="0" w:color="auto"/>
      </w:divBdr>
    </w:div>
    <w:div w:id="1312906907">
      <w:bodyDiv w:val="1"/>
      <w:marLeft w:val="0"/>
      <w:marRight w:val="0"/>
      <w:marTop w:val="0"/>
      <w:marBottom w:val="0"/>
      <w:divBdr>
        <w:top w:val="none" w:sz="0" w:space="0" w:color="auto"/>
        <w:left w:val="none" w:sz="0" w:space="0" w:color="auto"/>
        <w:bottom w:val="none" w:sz="0" w:space="0" w:color="auto"/>
        <w:right w:val="none" w:sz="0" w:space="0" w:color="auto"/>
      </w:divBdr>
    </w:div>
    <w:div w:id="1316453241">
      <w:bodyDiv w:val="1"/>
      <w:marLeft w:val="0"/>
      <w:marRight w:val="0"/>
      <w:marTop w:val="0"/>
      <w:marBottom w:val="0"/>
      <w:divBdr>
        <w:top w:val="none" w:sz="0" w:space="0" w:color="auto"/>
        <w:left w:val="none" w:sz="0" w:space="0" w:color="auto"/>
        <w:bottom w:val="none" w:sz="0" w:space="0" w:color="auto"/>
        <w:right w:val="none" w:sz="0" w:space="0" w:color="auto"/>
      </w:divBdr>
    </w:div>
    <w:div w:id="1317879585">
      <w:bodyDiv w:val="1"/>
      <w:marLeft w:val="0"/>
      <w:marRight w:val="0"/>
      <w:marTop w:val="0"/>
      <w:marBottom w:val="0"/>
      <w:divBdr>
        <w:top w:val="none" w:sz="0" w:space="0" w:color="auto"/>
        <w:left w:val="none" w:sz="0" w:space="0" w:color="auto"/>
        <w:bottom w:val="none" w:sz="0" w:space="0" w:color="auto"/>
        <w:right w:val="none" w:sz="0" w:space="0" w:color="auto"/>
      </w:divBdr>
    </w:div>
    <w:div w:id="1344624178">
      <w:bodyDiv w:val="1"/>
      <w:marLeft w:val="0"/>
      <w:marRight w:val="0"/>
      <w:marTop w:val="0"/>
      <w:marBottom w:val="0"/>
      <w:divBdr>
        <w:top w:val="none" w:sz="0" w:space="0" w:color="auto"/>
        <w:left w:val="none" w:sz="0" w:space="0" w:color="auto"/>
        <w:bottom w:val="none" w:sz="0" w:space="0" w:color="auto"/>
        <w:right w:val="none" w:sz="0" w:space="0" w:color="auto"/>
      </w:divBdr>
    </w:div>
    <w:div w:id="1345129978">
      <w:bodyDiv w:val="1"/>
      <w:marLeft w:val="0"/>
      <w:marRight w:val="0"/>
      <w:marTop w:val="0"/>
      <w:marBottom w:val="0"/>
      <w:divBdr>
        <w:top w:val="none" w:sz="0" w:space="0" w:color="auto"/>
        <w:left w:val="none" w:sz="0" w:space="0" w:color="auto"/>
        <w:bottom w:val="none" w:sz="0" w:space="0" w:color="auto"/>
        <w:right w:val="none" w:sz="0" w:space="0" w:color="auto"/>
      </w:divBdr>
    </w:div>
    <w:div w:id="1361131157">
      <w:bodyDiv w:val="1"/>
      <w:marLeft w:val="0"/>
      <w:marRight w:val="0"/>
      <w:marTop w:val="0"/>
      <w:marBottom w:val="0"/>
      <w:divBdr>
        <w:top w:val="none" w:sz="0" w:space="0" w:color="auto"/>
        <w:left w:val="none" w:sz="0" w:space="0" w:color="auto"/>
        <w:bottom w:val="none" w:sz="0" w:space="0" w:color="auto"/>
        <w:right w:val="none" w:sz="0" w:space="0" w:color="auto"/>
      </w:divBdr>
    </w:div>
    <w:div w:id="1361272629">
      <w:bodyDiv w:val="1"/>
      <w:marLeft w:val="0"/>
      <w:marRight w:val="0"/>
      <w:marTop w:val="0"/>
      <w:marBottom w:val="0"/>
      <w:divBdr>
        <w:top w:val="none" w:sz="0" w:space="0" w:color="auto"/>
        <w:left w:val="none" w:sz="0" w:space="0" w:color="auto"/>
        <w:bottom w:val="none" w:sz="0" w:space="0" w:color="auto"/>
        <w:right w:val="none" w:sz="0" w:space="0" w:color="auto"/>
      </w:divBdr>
    </w:div>
    <w:div w:id="1397127061">
      <w:bodyDiv w:val="1"/>
      <w:marLeft w:val="0"/>
      <w:marRight w:val="0"/>
      <w:marTop w:val="0"/>
      <w:marBottom w:val="0"/>
      <w:divBdr>
        <w:top w:val="none" w:sz="0" w:space="0" w:color="auto"/>
        <w:left w:val="none" w:sz="0" w:space="0" w:color="auto"/>
        <w:bottom w:val="none" w:sz="0" w:space="0" w:color="auto"/>
        <w:right w:val="none" w:sz="0" w:space="0" w:color="auto"/>
      </w:divBdr>
    </w:div>
    <w:div w:id="1426924776">
      <w:bodyDiv w:val="1"/>
      <w:marLeft w:val="0"/>
      <w:marRight w:val="0"/>
      <w:marTop w:val="0"/>
      <w:marBottom w:val="0"/>
      <w:divBdr>
        <w:top w:val="none" w:sz="0" w:space="0" w:color="auto"/>
        <w:left w:val="none" w:sz="0" w:space="0" w:color="auto"/>
        <w:bottom w:val="none" w:sz="0" w:space="0" w:color="auto"/>
        <w:right w:val="none" w:sz="0" w:space="0" w:color="auto"/>
      </w:divBdr>
    </w:div>
    <w:div w:id="1429620806">
      <w:bodyDiv w:val="1"/>
      <w:marLeft w:val="0"/>
      <w:marRight w:val="0"/>
      <w:marTop w:val="0"/>
      <w:marBottom w:val="0"/>
      <w:divBdr>
        <w:top w:val="none" w:sz="0" w:space="0" w:color="auto"/>
        <w:left w:val="none" w:sz="0" w:space="0" w:color="auto"/>
        <w:bottom w:val="none" w:sz="0" w:space="0" w:color="auto"/>
        <w:right w:val="none" w:sz="0" w:space="0" w:color="auto"/>
      </w:divBdr>
    </w:div>
    <w:div w:id="1437359769">
      <w:bodyDiv w:val="1"/>
      <w:marLeft w:val="0"/>
      <w:marRight w:val="0"/>
      <w:marTop w:val="0"/>
      <w:marBottom w:val="0"/>
      <w:divBdr>
        <w:top w:val="none" w:sz="0" w:space="0" w:color="auto"/>
        <w:left w:val="none" w:sz="0" w:space="0" w:color="auto"/>
        <w:bottom w:val="none" w:sz="0" w:space="0" w:color="auto"/>
        <w:right w:val="none" w:sz="0" w:space="0" w:color="auto"/>
      </w:divBdr>
    </w:div>
    <w:div w:id="1457945745">
      <w:bodyDiv w:val="1"/>
      <w:marLeft w:val="0"/>
      <w:marRight w:val="0"/>
      <w:marTop w:val="0"/>
      <w:marBottom w:val="0"/>
      <w:divBdr>
        <w:top w:val="none" w:sz="0" w:space="0" w:color="auto"/>
        <w:left w:val="none" w:sz="0" w:space="0" w:color="auto"/>
        <w:bottom w:val="none" w:sz="0" w:space="0" w:color="auto"/>
        <w:right w:val="none" w:sz="0" w:space="0" w:color="auto"/>
      </w:divBdr>
    </w:div>
    <w:div w:id="1476683710">
      <w:bodyDiv w:val="1"/>
      <w:marLeft w:val="0"/>
      <w:marRight w:val="0"/>
      <w:marTop w:val="0"/>
      <w:marBottom w:val="0"/>
      <w:divBdr>
        <w:top w:val="none" w:sz="0" w:space="0" w:color="auto"/>
        <w:left w:val="none" w:sz="0" w:space="0" w:color="auto"/>
        <w:bottom w:val="none" w:sz="0" w:space="0" w:color="auto"/>
        <w:right w:val="none" w:sz="0" w:space="0" w:color="auto"/>
      </w:divBdr>
    </w:div>
    <w:div w:id="1493981067">
      <w:bodyDiv w:val="1"/>
      <w:marLeft w:val="0"/>
      <w:marRight w:val="0"/>
      <w:marTop w:val="0"/>
      <w:marBottom w:val="0"/>
      <w:divBdr>
        <w:top w:val="none" w:sz="0" w:space="0" w:color="auto"/>
        <w:left w:val="none" w:sz="0" w:space="0" w:color="auto"/>
        <w:bottom w:val="none" w:sz="0" w:space="0" w:color="auto"/>
        <w:right w:val="none" w:sz="0" w:space="0" w:color="auto"/>
      </w:divBdr>
    </w:div>
    <w:div w:id="1497109953">
      <w:bodyDiv w:val="1"/>
      <w:marLeft w:val="0"/>
      <w:marRight w:val="0"/>
      <w:marTop w:val="0"/>
      <w:marBottom w:val="0"/>
      <w:divBdr>
        <w:top w:val="none" w:sz="0" w:space="0" w:color="auto"/>
        <w:left w:val="none" w:sz="0" w:space="0" w:color="auto"/>
        <w:bottom w:val="none" w:sz="0" w:space="0" w:color="auto"/>
        <w:right w:val="none" w:sz="0" w:space="0" w:color="auto"/>
      </w:divBdr>
    </w:div>
    <w:div w:id="1506550399">
      <w:bodyDiv w:val="1"/>
      <w:marLeft w:val="0"/>
      <w:marRight w:val="0"/>
      <w:marTop w:val="0"/>
      <w:marBottom w:val="0"/>
      <w:divBdr>
        <w:top w:val="none" w:sz="0" w:space="0" w:color="auto"/>
        <w:left w:val="none" w:sz="0" w:space="0" w:color="auto"/>
        <w:bottom w:val="none" w:sz="0" w:space="0" w:color="auto"/>
        <w:right w:val="none" w:sz="0" w:space="0" w:color="auto"/>
      </w:divBdr>
    </w:div>
    <w:div w:id="1517453027">
      <w:bodyDiv w:val="1"/>
      <w:marLeft w:val="0"/>
      <w:marRight w:val="0"/>
      <w:marTop w:val="0"/>
      <w:marBottom w:val="0"/>
      <w:divBdr>
        <w:top w:val="none" w:sz="0" w:space="0" w:color="auto"/>
        <w:left w:val="none" w:sz="0" w:space="0" w:color="auto"/>
        <w:bottom w:val="none" w:sz="0" w:space="0" w:color="auto"/>
        <w:right w:val="none" w:sz="0" w:space="0" w:color="auto"/>
      </w:divBdr>
    </w:div>
    <w:div w:id="1551072144">
      <w:bodyDiv w:val="1"/>
      <w:marLeft w:val="0"/>
      <w:marRight w:val="0"/>
      <w:marTop w:val="0"/>
      <w:marBottom w:val="0"/>
      <w:divBdr>
        <w:top w:val="none" w:sz="0" w:space="0" w:color="auto"/>
        <w:left w:val="none" w:sz="0" w:space="0" w:color="auto"/>
        <w:bottom w:val="none" w:sz="0" w:space="0" w:color="auto"/>
        <w:right w:val="none" w:sz="0" w:space="0" w:color="auto"/>
      </w:divBdr>
    </w:div>
    <w:div w:id="1578860445">
      <w:bodyDiv w:val="1"/>
      <w:marLeft w:val="0"/>
      <w:marRight w:val="0"/>
      <w:marTop w:val="0"/>
      <w:marBottom w:val="0"/>
      <w:divBdr>
        <w:top w:val="none" w:sz="0" w:space="0" w:color="auto"/>
        <w:left w:val="none" w:sz="0" w:space="0" w:color="auto"/>
        <w:bottom w:val="none" w:sz="0" w:space="0" w:color="auto"/>
        <w:right w:val="none" w:sz="0" w:space="0" w:color="auto"/>
      </w:divBdr>
    </w:div>
    <w:div w:id="1636831831">
      <w:bodyDiv w:val="1"/>
      <w:marLeft w:val="0"/>
      <w:marRight w:val="0"/>
      <w:marTop w:val="0"/>
      <w:marBottom w:val="0"/>
      <w:divBdr>
        <w:top w:val="none" w:sz="0" w:space="0" w:color="auto"/>
        <w:left w:val="none" w:sz="0" w:space="0" w:color="auto"/>
        <w:bottom w:val="none" w:sz="0" w:space="0" w:color="auto"/>
        <w:right w:val="none" w:sz="0" w:space="0" w:color="auto"/>
      </w:divBdr>
    </w:div>
    <w:div w:id="1640646097">
      <w:bodyDiv w:val="1"/>
      <w:marLeft w:val="0"/>
      <w:marRight w:val="0"/>
      <w:marTop w:val="0"/>
      <w:marBottom w:val="0"/>
      <w:divBdr>
        <w:top w:val="none" w:sz="0" w:space="0" w:color="auto"/>
        <w:left w:val="none" w:sz="0" w:space="0" w:color="auto"/>
        <w:bottom w:val="none" w:sz="0" w:space="0" w:color="auto"/>
        <w:right w:val="none" w:sz="0" w:space="0" w:color="auto"/>
      </w:divBdr>
    </w:div>
    <w:div w:id="1668481862">
      <w:bodyDiv w:val="1"/>
      <w:marLeft w:val="0"/>
      <w:marRight w:val="0"/>
      <w:marTop w:val="0"/>
      <w:marBottom w:val="0"/>
      <w:divBdr>
        <w:top w:val="none" w:sz="0" w:space="0" w:color="auto"/>
        <w:left w:val="none" w:sz="0" w:space="0" w:color="auto"/>
        <w:bottom w:val="none" w:sz="0" w:space="0" w:color="auto"/>
        <w:right w:val="none" w:sz="0" w:space="0" w:color="auto"/>
      </w:divBdr>
    </w:div>
    <w:div w:id="1673483428">
      <w:bodyDiv w:val="1"/>
      <w:marLeft w:val="0"/>
      <w:marRight w:val="0"/>
      <w:marTop w:val="0"/>
      <w:marBottom w:val="0"/>
      <w:divBdr>
        <w:top w:val="none" w:sz="0" w:space="0" w:color="auto"/>
        <w:left w:val="none" w:sz="0" w:space="0" w:color="auto"/>
        <w:bottom w:val="none" w:sz="0" w:space="0" w:color="auto"/>
        <w:right w:val="none" w:sz="0" w:space="0" w:color="auto"/>
      </w:divBdr>
    </w:div>
    <w:div w:id="1709791326">
      <w:bodyDiv w:val="1"/>
      <w:marLeft w:val="0"/>
      <w:marRight w:val="0"/>
      <w:marTop w:val="0"/>
      <w:marBottom w:val="0"/>
      <w:divBdr>
        <w:top w:val="none" w:sz="0" w:space="0" w:color="auto"/>
        <w:left w:val="none" w:sz="0" w:space="0" w:color="auto"/>
        <w:bottom w:val="none" w:sz="0" w:space="0" w:color="auto"/>
        <w:right w:val="none" w:sz="0" w:space="0" w:color="auto"/>
      </w:divBdr>
    </w:div>
    <w:div w:id="1710717595">
      <w:bodyDiv w:val="1"/>
      <w:marLeft w:val="0"/>
      <w:marRight w:val="0"/>
      <w:marTop w:val="0"/>
      <w:marBottom w:val="0"/>
      <w:divBdr>
        <w:top w:val="none" w:sz="0" w:space="0" w:color="auto"/>
        <w:left w:val="none" w:sz="0" w:space="0" w:color="auto"/>
        <w:bottom w:val="none" w:sz="0" w:space="0" w:color="auto"/>
        <w:right w:val="none" w:sz="0" w:space="0" w:color="auto"/>
      </w:divBdr>
    </w:div>
    <w:div w:id="1756900437">
      <w:bodyDiv w:val="1"/>
      <w:marLeft w:val="0"/>
      <w:marRight w:val="0"/>
      <w:marTop w:val="0"/>
      <w:marBottom w:val="0"/>
      <w:divBdr>
        <w:top w:val="none" w:sz="0" w:space="0" w:color="auto"/>
        <w:left w:val="none" w:sz="0" w:space="0" w:color="auto"/>
        <w:bottom w:val="none" w:sz="0" w:space="0" w:color="auto"/>
        <w:right w:val="none" w:sz="0" w:space="0" w:color="auto"/>
      </w:divBdr>
    </w:div>
    <w:div w:id="1761440743">
      <w:bodyDiv w:val="1"/>
      <w:marLeft w:val="0"/>
      <w:marRight w:val="0"/>
      <w:marTop w:val="0"/>
      <w:marBottom w:val="0"/>
      <w:divBdr>
        <w:top w:val="none" w:sz="0" w:space="0" w:color="auto"/>
        <w:left w:val="none" w:sz="0" w:space="0" w:color="auto"/>
        <w:bottom w:val="none" w:sz="0" w:space="0" w:color="auto"/>
        <w:right w:val="none" w:sz="0" w:space="0" w:color="auto"/>
      </w:divBdr>
    </w:div>
    <w:div w:id="1762289402">
      <w:bodyDiv w:val="1"/>
      <w:marLeft w:val="0"/>
      <w:marRight w:val="0"/>
      <w:marTop w:val="0"/>
      <w:marBottom w:val="0"/>
      <w:divBdr>
        <w:top w:val="none" w:sz="0" w:space="0" w:color="auto"/>
        <w:left w:val="none" w:sz="0" w:space="0" w:color="auto"/>
        <w:bottom w:val="none" w:sz="0" w:space="0" w:color="auto"/>
        <w:right w:val="none" w:sz="0" w:space="0" w:color="auto"/>
      </w:divBdr>
    </w:div>
    <w:div w:id="1790322776">
      <w:bodyDiv w:val="1"/>
      <w:marLeft w:val="0"/>
      <w:marRight w:val="0"/>
      <w:marTop w:val="0"/>
      <w:marBottom w:val="0"/>
      <w:divBdr>
        <w:top w:val="none" w:sz="0" w:space="0" w:color="auto"/>
        <w:left w:val="none" w:sz="0" w:space="0" w:color="auto"/>
        <w:bottom w:val="none" w:sz="0" w:space="0" w:color="auto"/>
        <w:right w:val="none" w:sz="0" w:space="0" w:color="auto"/>
      </w:divBdr>
    </w:div>
    <w:div w:id="1794859668">
      <w:bodyDiv w:val="1"/>
      <w:marLeft w:val="0"/>
      <w:marRight w:val="0"/>
      <w:marTop w:val="0"/>
      <w:marBottom w:val="0"/>
      <w:divBdr>
        <w:top w:val="none" w:sz="0" w:space="0" w:color="auto"/>
        <w:left w:val="none" w:sz="0" w:space="0" w:color="auto"/>
        <w:bottom w:val="none" w:sz="0" w:space="0" w:color="auto"/>
        <w:right w:val="none" w:sz="0" w:space="0" w:color="auto"/>
      </w:divBdr>
    </w:div>
    <w:div w:id="1813211034">
      <w:bodyDiv w:val="1"/>
      <w:marLeft w:val="0"/>
      <w:marRight w:val="0"/>
      <w:marTop w:val="0"/>
      <w:marBottom w:val="0"/>
      <w:divBdr>
        <w:top w:val="none" w:sz="0" w:space="0" w:color="auto"/>
        <w:left w:val="none" w:sz="0" w:space="0" w:color="auto"/>
        <w:bottom w:val="none" w:sz="0" w:space="0" w:color="auto"/>
        <w:right w:val="none" w:sz="0" w:space="0" w:color="auto"/>
      </w:divBdr>
    </w:div>
    <w:div w:id="1827286313">
      <w:bodyDiv w:val="1"/>
      <w:marLeft w:val="0"/>
      <w:marRight w:val="0"/>
      <w:marTop w:val="0"/>
      <w:marBottom w:val="0"/>
      <w:divBdr>
        <w:top w:val="none" w:sz="0" w:space="0" w:color="auto"/>
        <w:left w:val="none" w:sz="0" w:space="0" w:color="auto"/>
        <w:bottom w:val="none" w:sz="0" w:space="0" w:color="auto"/>
        <w:right w:val="none" w:sz="0" w:space="0" w:color="auto"/>
      </w:divBdr>
    </w:div>
    <w:div w:id="1835563700">
      <w:bodyDiv w:val="1"/>
      <w:marLeft w:val="0"/>
      <w:marRight w:val="0"/>
      <w:marTop w:val="0"/>
      <w:marBottom w:val="0"/>
      <w:divBdr>
        <w:top w:val="none" w:sz="0" w:space="0" w:color="auto"/>
        <w:left w:val="none" w:sz="0" w:space="0" w:color="auto"/>
        <w:bottom w:val="none" w:sz="0" w:space="0" w:color="auto"/>
        <w:right w:val="none" w:sz="0" w:space="0" w:color="auto"/>
      </w:divBdr>
    </w:div>
    <w:div w:id="1841777243">
      <w:bodyDiv w:val="1"/>
      <w:marLeft w:val="0"/>
      <w:marRight w:val="0"/>
      <w:marTop w:val="0"/>
      <w:marBottom w:val="0"/>
      <w:divBdr>
        <w:top w:val="none" w:sz="0" w:space="0" w:color="auto"/>
        <w:left w:val="none" w:sz="0" w:space="0" w:color="auto"/>
        <w:bottom w:val="none" w:sz="0" w:space="0" w:color="auto"/>
        <w:right w:val="none" w:sz="0" w:space="0" w:color="auto"/>
      </w:divBdr>
    </w:div>
    <w:div w:id="1863130275">
      <w:bodyDiv w:val="1"/>
      <w:marLeft w:val="0"/>
      <w:marRight w:val="0"/>
      <w:marTop w:val="0"/>
      <w:marBottom w:val="0"/>
      <w:divBdr>
        <w:top w:val="none" w:sz="0" w:space="0" w:color="auto"/>
        <w:left w:val="none" w:sz="0" w:space="0" w:color="auto"/>
        <w:bottom w:val="none" w:sz="0" w:space="0" w:color="auto"/>
        <w:right w:val="none" w:sz="0" w:space="0" w:color="auto"/>
      </w:divBdr>
    </w:div>
    <w:div w:id="1865551850">
      <w:bodyDiv w:val="1"/>
      <w:marLeft w:val="0"/>
      <w:marRight w:val="0"/>
      <w:marTop w:val="0"/>
      <w:marBottom w:val="0"/>
      <w:divBdr>
        <w:top w:val="none" w:sz="0" w:space="0" w:color="auto"/>
        <w:left w:val="none" w:sz="0" w:space="0" w:color="auto"/>
        <w:bottom w:val="none" w:sz="0" w:space="0" w:color="auto"/>
        <w:right w:val="none" w:sz="0" w:space="0" w:color="auto"/>
      </w:divBdr>
    </w:div>
    <w:div w:id="1881741809">
      <w:bodyDiv w:val="1"/>
      <w:marLeft w:val="0"/>
      <w:marRight w:val="0"/>
      <w:marTop w:val="0"/>
      <w:marBottom w:val="0"/>
      <w:divBdr>
        <w:top w:val="none" w:sz="0" w:space="0" w:color="auto"/>
        <w:left w:val="none" w:sz="0" w:space="0" w:color="auto"/>
        <w:bottom w:val="none" w:sz="0" w:space="0" w:color="auto"/>
        <w:right w:val="none" w:sz="0" w:space="0" w:color="auto"/>
      </w:divBdr>
    </w:div>
    <w:div w:id="1894389306">
      <w:bodyDiv w:val="1"/>
      <w:marLeft w:val="0"/>
      <w:marRight w:val="0"/>
      <w:marTop w:val="0"/>
      <w:marBottom w:val="0"/>
      <w:divBdr>
        <w:top w:val="none" w:sz="0" w:space="0" w:color="auto"/>
        <w:left w:val="none" w:sz="0" w:space="0" w:color="auto"/>
        <w:bottom w:val="none" w:sz="0" w:space="0" w:color="auto"/>
        <w:right w:val="none" w:sz="0" w:space="0" w:color="auto"/>
      </w:divBdr>
    </w:div>
    <w:div w:id="1919554244">
      <w:bodyDiv w:val="1"/>
      <w:marLeft w:val="0"/>
      <w:marRight w:val="0"/>
      <w:marTop w:val="0"/>
      <w:marBottom w:val="0"/>
      <w:divBdr>
        <w:top w:val="none" w:sz="0" w:space="0" w:color="auto"/>
        <w:left w:val="none" w:sz="0" w:space="0" w:color="auto"/>
        <w:bottom w:val="none" w:sz="0" w:space="0" w:color="auto"/>
        <w:right w:val="none" w:sz="0" w:space="0" w:color="auto"/>
      </w:divBdr>
    </w:div>
    <w:div w:id="1926524051">
      <w:bodyDiv w:val="1"/>
      <w:marLeft w:val="0"/>
      <w:marRight w:val="0"/>
      <w:marTop w:val="0"/>
      <w:marBottom w:val="0"/>
      <w:divBdr>
        <w:top w:val="none" w:sz="0" w:space="0" w:color="auto"/>
        <w:left w:val="none" w:sz="0" w:space="0" w:color="auto"/>
        <w:bottom w:val="none" w:sz="0" w:space="0" w:color="auto"/>
        <w:right w:val="none" w:sz="0" w:space="0" w:color="auto"/>
      </w:divBdr>
    </w:div>
    <w:div w:id="1943685194">
      <w:bodyDiv w:val="1"/>
      <w:marLeft w:val="0"/>
      <w:marRight w:val="0"/>
      <w:marTop w:val="0"/>
      <w:marBottom w:val="0"/>
      <w:divBdr>
        <w:top w:val="none" w:sz="0" w:space="0" w:color="auto"/>
        <w:left w:val="none" w:sz="0" w:space="0" w:color="auto"/>
        <w:bottom w:val="none" w:sz="0" w:space="0" w:color="auto"/>
        <w:right w:val="none" w:sz="0" w:space="0" w:color="auto"/>
      </w:divBdr>
    </w:div>
    <w:div w:id="1973636533">
      <w:bodyDiv w:val="1"/>
      <w:marLeft w:val="0"/>
      <w:marRight w:val="0"/>
      <w:marTop w:val="0"/>
      <w:marBottom w:val="0"/>
      <w:divBdr>
        <w:top w:val="none" w:sz="0" w:space="0" w:color="auto"/>
        <w:left w:val="none" w:sz="0" w:space="0" w:color="auto"/>
        <w:bottom w:val="none" w:sz="0" w:space="0" w:color="auto"/>
        <w:right w:val="none" w:sz="0" w:space="0" w:color="auto"/>
      </w:divBdr>
    </w:div>
    <w:div w:id="1983074622">
      <w:bodyDiv w:val="1"/>
      <w:marLeft w:val="0"/>
      <w:marRight w:val="0"/>
      <w:marTop w:val="0"/>
      <w:marBottom w:val="0"/>
      <w:divBdr>
        <w:top w:val="none" w:sz="0" w:space="0" w:color="auto"/>
        <w:left w:val="none" w:sz="0" w:space="0" w:color="auto"/>
        <w:bottom w:val="none" w:sz="0" w:space="0" w:color="auto"/>
        <w:right w:val="none" w:sz="0" w:space="0" w:color="auto"/>
      </w:divBdr>
    </w:div>
    <w:div w:id="1984043386">
      <w:bodyDiv w:val="1"/>
      <w:marLeft w:val="0"/>
      <w:marRight w:val="0"/>
      <w:marTop w:val="0"/>
      <w:marBottom w:val="0"/>
      <w:divBdr>
        <w:top w:val="none" w:sz="0" w:space="0" w:color="auto"/>
        <w:left w:val="none" w:sz="0" w:space="0" w:color="auto"/>
        <w:bottom w:val="none" w:sz="0" w:space="0" w:color="auto"/>
        <w:right w:val="none" w:sz="0" w:space="0" w:color="auto"/>
      </w:divBdr>
    </w:div>
    <w:div w:id="2046787527">
      <w:bodyDiv w:val="1"/>
      <w:marLeft w:val="0"/>
      <w:marRight w:val="0"/>
      <w:marTop w:val="0"/>
      <w:marBottom w:val="0"/>
      <w:divBdr>
        <w:top w:val="none" w:sz="0" w:space="0" w:color="auto"/>
        <w:left w:val="none" w:sz="0" w:space="0" w:color="auto"/>
        <w:bottom w:val="none" w:sz="0" w:space="0" w:color="auto"/>
        <w:right w:val="none" w:sz="0" w:space="0" w:color="auto"/>
      </w:divBdr>
    </w:div>
    <w:div w:id="2054381327">
      <w:bodyDiv w:val="1"/>
      <w:marLeft w:val="0"/>
      <w:marRight w:val="0"/>
      <w:marTop w:val="0"/>
      <w:marBottom w:val="0"/>
      <w:divBdr>
        <w:top w:val="none" w:sz="0" w:space="0" w:color="auto"/>
        <w:left w:val="none" w:sz="0" w:space="0" w:color="auto"/>
        <w:bottom w:val="none" w:sz="0" w:space="0" w:color="auto"/>
        <w:right w:val="none" w:sz="0" w:space="0" w:color="auto"/>
      </w:divBdr>
    </w:div>
    <w:div w:id="2074230669">
      <w:bodyDiv w:val="1"/>
      <w:marLeft w:val="0"/>
      <w:marRight w:val="0"/>
      <w:marTop w:val="0"/>
      <w:marBottom w:val="0"/>
      <w:divBdr>
        <w:top w:val="none" w:sz="0" w:space="0" w:color="auto"/>
        <w:left w:val="none" w:sz="0" w:space="0" w:color="auto"/>
        <w:bottom w:val="none" w:sz="0" w:space="0" w:color="auto"/>
        <w:right w:val="none" w:sz="0" w:space="0" w:color="auto"/>
      </w:divBdr>
    </w:div>
    <w:div w:id="2075423550">
      <w:bodyDiv w:val="1"/>
      <w:marLeft w:val="0"/>
      <w:marRight w:val="0"/>
      <w:marTop w:val="0"/>
      <w:marBottom w:val="0"/>
      <w:divBdr>
        <w:top w:val="none" w:sz="0" w:space="0" w:color="auto"/>
        <w:left w:val="none" w:sz="0" w:space="0" w:color="auto"/>
        <w:bottom w:val="none" w:sz="0" w:space="0" w:color="auto"/>
        <w:right w:val="none" w:sz="0" w:space="0" w:color="auto"/>
      </w:divBdr>
    </w:div>
    <w:div w:id="2109037528">
      <w:bodyDiv w:val="1"/>
      <w:marLeft w:val="0"/>
      <w:marRight w:val="0"/>
      <w:marTop w:val="0"/>
      <w:marBottom w:val="0"/>
      <w:divBdr>
        <w:top w:val="none" w:sz="0" w:space="0" w:color="auto"/>
        <w:left w:val="none" w:sz="0" w:space="0" w:color="auto"/>
        <w:bottom w:val="none" w:sz="0" w:space="0" w:color="auto"/>
        <w:right w:val="none" w:sz="0" w:space="0" w:color="auto"/>
      </w:divBdr>
    </w:div>
    <w:div w:id="2121559126">
      <w:bodyDiv w:val="1"/>
      <w:marLeft w:val="0"/>
      <w:marRight w:val="0"/>
      <w:marTop w:val="0"/>
      <w:marBottom w:val="0"/>
      <w:divBdr>
        <w:top w:val="none" w:sz="0" w:space="0" w:color="auto"/>
        <w:left w:val="none" w:sz="0" w:space="0" w:color="auto"/>
        <w:bottom w:val="none" w:sz="0" w:space="0" w:color="auto"/>
        <w:right w:val="none" w:sz="0" w:space="0" w:color="auto"/>
      </w:divBdr>
    </w:div>
    <w:div w:id="2133593223">
      <w:bodyDiv w:val="1"/>
      <w:marLeft w:val="0"/>
      <w:marRight w:val="0"/>
      <w:marTop w:val="0"/>
      <w:marBottom w:val="0"/>
      <w:divBdr>
        <w:top w:val="none" w:sz="0" w:space="0" w:color="auto"/>
        <w:left w:val="none" w:sz="0" w:space="0" w:color="auto"/>
        <w:bottom w:val="none" w:sz="0" w:space="0" w:color="auto"/>
        <w:right w:val="none" w:sz="0" w:space="0" w:color="auto"/>
      </w:divBdr>
    </w:div>
    <w:div w:id="2135253038">
      <w:bodyDiv w:val="1"/>
      <w:marLeft w:val="0"/>
      <w:marRight w:val="0"/>
      <w:marTop w:val="0"/>
      <w:marBottom w:val="0"/>
      <w:divBdr>
        <w:top w:val="none" w:sz="0" w:space="0" w:color="auto"/>
        <w:left w:val="none" w:sz="0" w:space="0" w:color="auto"/>
        <w:bottom w:val="none" w:sz="0" w:space="0" w:color="auto"/>
        <w:right w:val="none" w:sz="0" w:space="0" w:color="auto"/>
      </w:divBdr>
    </w:div>
    <w:div w:id="213814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emf"/><Relationship Id="rId26" Type="http://schemas.openxmlformats.org/officeDocument/2006/relationships/image" Target="media/image10.emf"/><Relationship Id="rId39" Type="http://schemas.openxmlformats.org/officeDocument/2006/relationships/footer" Target="footer7.xml"/><Relationship Id="rId21" Type="http://schemas.openxmlformats.org/officeDocument/2006/relationships/footer" Target="footer3.xml"/><Relationship Id="rId34" Type="http://schemas.openxmlformats.org/officeDocument/2006/relationships/image" Target="media/image13.emf"/><Relationship Id="rId42" Type="http://schemas.openxmlformats.org/officeDocument/2006/relationships/chart" Target="charts/chart10.xml"/><Relationship Id="rId47" Type="http://schemas.openxmlformats.org/officeDocument/2006/relationships/image" Target="media/image19.emf"/><Relationship Id="rId50" Type="http://schemas.openxmlformats.org/officeDocument/2006/relationships/image" Target="media/image20.emf"/><Relationship Id="rId55" Type="http://schemas.openxmlformats.org/officeDocument/2006/relationships/package" Target="embeddings/List_aplikace_Microsoft_Excel4.xlsx"/><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chart" Target="charts/chart5.xml"/><Relationship Id="rId33" Type="http://schemas.openxmlformats.org/officeDocument/2006/relationships/chart" Target="charts/chart7.xml"/><Relationship Id="rId38" Type="http://schemas.openxmlformats.org/officeDocument/2006/relationships/image" Target="media/image15.emf"/><Relationship Id="rId46" Type="http://schemas.openxmlformats.org/officeDocument/2006/relationships/footer" Target="footer8.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8.emf"/><Relationship Id="rId29" Type="http://schemas.openxmlformats.org/officeDocument/2006/relationships/footer" Target="footer4.xml"/><Relationship Id="rId41" Type="http://schemas.openxmlformats.org/officeDocument/2006/relationships/image" Target="media/image16.png"/><Relationship Id="rId54"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emf"/><Relationship Id="rId32" Type="http://schemas.openxmlformats.org/officeDocument/2006/relationships/chart" Target="charts/chart6.xml"/><Relationship Id="rId37" Type="http://schemas.openxmlformats.org/officeDocument/2006/relationships/footer" Target="footer6.xml"/><Relationship Id="rId40" Type="http://schemas.openxmlformats.org/officeDocument/2006/relationships/chart" Target="charts/chart9.xml"/><Relationship Id="rId45" Type="http://schemas.openxmlformats.org/officeDocument/2006/relationships/image" Target="media/image18.emf"/><Relationship Id="rId53" Type="http://schemas.openxmlformats.org/officeDocument/2006/relationships/package" Target="embeddings/List_aplikace_Microsoft_Excel3.xlsx"/><Relationship Id="rId58"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chart" Target="charts/chart4.xml"/><Relationship Id="rId28" Type="http://schemas.openxmlformats.org/officeDocument/2006/relationships/image" Target="media/image11.emf"/><Relationship Id="rId36" Type="http://schemas.openxmlformats.org/officeDocument/2006/relationships/image" Target="media/image14.emf"/><Relationship Id="rId49" Type="http://schemas.openxmlformats.org/officeDocument/2006/relationships/chart" Target="charts/chart12.xml"/><Relationship Id="rId57" Type="http://schemas.openxmlformats.org/officeDocument/2006/relationships/package" Target="embeddings/List_aplikace_Microsoft_Excel5.xlsx"/><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footer" Target="footer5.xml"/><Relationship Id="rId44" Type="http://schemas.openxmlformats.org/officeDocument/2006/relationships/chart" Target="charts/chart11.xml"/><Relationship Id="rId52" Type="http://schemas.openxmlformats.org/officeDocument/2006/relationships/image" Target="media/image21.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3.xml"/><Relationship Id="rId27" Type="http://schemas.openxmlformats.org/officeDocument/2006/relationships/package" Target="embeddings/List_aplikace_Microsoft_Excel1.xlsx"/><Relationship Id="rId30" Type="http://schemas.openxmlformats.org/officeDocument/2006/relationships/image" Target="media/image12.emf"/><Relationship Id="rId35" Type="http://schemas.openxmlformats.org/officeDocument/2006/relationships/chart" Target="charts/chart8.xml"/><Relationship Id="rId43" Type="http://schemas.openxmlformats.org/officeDocument/2006/relationships/image" Target="media/image17.emf"/><Relationship Id="rId48" Type="http://schemas.openxmlformats.org/officeDocument/2006/relationships/footer" Target="footer9.xml"/><Relationship Id="rId56" Type="http://schemas.openxmlformats.org/officeDocument/2006/relationships/image" Target="media/image23.emf"/><Relationship Id="rId8" Type="http://schemas.openxmlformats.org/officeDocument/2006/relationships/image" Target="media/image1.png"/><Relationship Id="rId51" Type="http://schemas.openxmlformats.org/officeDocument/2006/relationships/package" Target="embeddings/List_aplikace_Microsoft_Excel2.xlsx"/><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Praca\!__BM_2017\4_psan&#237;%20zpr&#225;v\uvod_zprava%20BM\TEMP\anomalie_2017_190206.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Praca\!__BM_2017\4_psan&#237;%20zpr&#225;v\uvod_zprava%20BM\TEMP\anomalie_2017_190206.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F:\Praca\!__BM_2017\4_psan&#237;%20zpr&#225;v\uvod_zprava%20BM\TEMP\anomalie_2017_190206.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F:\Praca\!__BM_2017\4_psan&#237;%20zpr&#225;v\uvod_zprava%20BM\TEMP\anomalie_2017_190206.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Praca\!__BM_2017\4_psan&#237;%20zpr&#225;v\uvod_zprava%20BM\TEMP\anomalie_2017_190206.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Praca\!__BM_2017\4_psan&#237;%20zpr&#225;v\uvod_zprava%20BM\TEMP\anomalie_2017_1902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Praca\!__BM_2017\4_psan&#237;%20zpr&#225;v\uvod_zprava%20BM\TEMP\anomalie_2017_190206.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F:\Praca\!__BM_2017\4_psan&#237;%20zpr&#225;v\uvod_zprava%20BM\TEMP\anomalie_2017_190202.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F:\Praca\!__BM_2017\4_psan&#237;%20zpr&#225;v\uvod_zprava%20BM\TEMP\anomalie_2017_190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Praca\!__BM_2017\4_psan&#237;%20zpr&#225;v\uvod_zprava%20BM\TEMP\anomalie_2017_190206.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F:\Praca\!__BM_2017\4_psan&#237;%20zpr&#225;v\uvod_zprava%20BM\TEMP\anomalie_2017_190206.xlsx" TargetMode="Externa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F:\Praca\!__BM_2017\4_psan&#237;%20zpr&#225;v\uvod_zprava%20BM\TEMP\anomalie_2017_190206.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000" b="1" i="0" cap="small" baseline="0">
                <a:solidFill>
                  <a:srgbClr val="002060"/>
                </a:solidFill>
                <a:latin typeface="Calibri Light" pitchFamily="34" charset="0"/>
              </a:defRPr>
            </a:pPr>
            <a:r>
              <a:rPr lang="sk-SK" sz="1000" b="1" i="0" cap="small" baseline="0">
                <a:solidFill>
                  <a:srgbClr val="002060"/>
                </a:solidFill>
                <a:latin typeface="Calibri Light" pitchFamily="34" charset="0"/>
              </a:rPr>
              <a:t>Benchmarking vlastnictkých subjektů 2017 - pitná voda</a:t>
            </a:r>
          </a:p>
          <a:p>
            <a:pPr algn="l">
              <a:defRPr sz="1000" b="1" i="0" cap="small" baseline="0">
                <a:solidFill>
                  <a:srgbClr val="002060"/>
                </a:solidFill>
                <a:latin typeface="Calibri Light" pitchFamily="34" charset="0"/>
              </a:defRPr>
            </a:pPr>
            <a:r>
              <a:rPr lang="sk-SK" sz="1000" b="1" i="0" cap="small" baseline="0">
                <a:solidFill>
                  <a:srgbClr val="002060"/>
                </a:solidFill>
                <a:latin typeface="Calibri Light" pitchFamily="34" charset="0"/>
              </a:rPr>
              <a:t>Výskyt alespoň jedné anomálie podle množství fakturované vody</a:t>
            </a:r>
          </a:p>
        </c:rich>
      </c:tx>
      <c:layout>
        <c:manualLayout>
          <c:xMode val="edge"/>
          <c:yMode val="edge"/>
          <c:x val="7.0905944151346226E-2"/>
          <c:y val="1.6448710103637739E-2"/>
        </c:manualLayout>
      </c:layout>
      <c:overlay val="1"/>
    </c:title>
    <c:autoTitleDeleted val="0"/>
    <c:plotArea>
      <c:layout>
        <c:manualLayout>
          <c:layoutTarget val="inner"/>
          <c:xMode val="edge"/>
          <c:yMode val="edge"/>
          <c:x val="0.23703175022913464"/>
          <c:y val="0.17331550755714523"/>
          <c:w val="0.57877280897306449"/>
          <c:h val="0.6952894656011287"/>
        </c:manualLayout>
      </c:layout>
      <c:pieChart>
        <c:varyColors val="1"/>
        <c:ser>
          <c:idx val="0"/>
          <c:order val="0"/>
          <c:spPr>
            <a:scene3d>
              <a:camera prst="orthographicFront"/>
              <a:lightRig rig="threePt" dir="t"/>
            </a:scene3d>
            <a:sp3d>
              <a:bevelT/>
            </a:sp3d>
          </c:spPr>
          <c:dPt>
            <c:idx val="0"/>
            <c:bubble3D val="0"/>
            <c:spPr>
              <a:solidFill>
                <a:srgbClr val="5B9BD5"/>
              </a:solidFill>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7C9F-4C25-BCF5-768393E25FBD}"/>
              </c:ext>
            </c:extLst>
          </c:dPt>
          <c:dPt>
            <c:idx val="1"/>
            <c:bubble3D val="0"/>
            <c:explosion val="8"/>
            <c:spPr>
              <a:solidFill>
                <a:srgbClr val="CE9CE4"/>
              </a:solidFill>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2-7C9F-4C25-BCF5-768393E25FBD}"/>
              </c:ext>
            </c:extLst>
          </c:dPt>
          <c:dLbls>
            <c:dLbl>
              <c:idx val="0"/>
              <c:layout>
                <c:manualLayout>
                  <c:x val="-0.13491516322190034"/>
                  <c:y val="0.17700231792966342"/>
                </c:manualLayout>
              </c:layout>
              <c:tx>
                <c:rich>
                  <a:bodyPr/>
                  <a:lstStyle/>
                  <a:p>
                    <a:r>
                      <a:rPr lang="en-US"/>
                      <a:t>100,35 </a:t>
                    </a:r>
                    <a:r>
                      <a:rPr lang="en-US" sz="800" b="0" i="0" u="none" strike="noStrike" baseline="0"/>
                      <a:t>mil. m</a:t>
                    </a:r>
                    <a:r>
                      <a:rPr lang="en-US" sz="800" b="0" i="0" u="none" strike="noStrike" baseline="30000"/>
                      <a:t>3</a:t>
                    </a:r>
                    <a:r>
                      <a:rPr lang="en-US"/>
                      <a:t>; 21,75%</a:t>
                    </a:r>
                  </a:p>
                </c:rich>
              </c:tx>
              <c:showLegendKey val="0"/>
              <c:showVal val="1"/>
              <c:showCatName val="0"/>
              <c:showSerName val="0"/>
              <c:showPercent val="1"/>
              <c:showBubbleSize val="0"/>
              <c:extLst>
                <c:ext xmlns:c15="http://schemas.microsoft.com/office/drawing/2012/chart" uri="{CE6537A1-D6FC-4f65-9D91-7224C49458BB}"/>
              </c:extLst>
            </c:dLbl>
            <c:dLbl>
              <c:idx val="1"/>
              <c:layout>
                <c:manualLayout>
                  <c:x val="0.17864468528831084"/>
                  <c:y val="-0.17724523152775506"/>
                </c:manualLayout>
              </c:layout>
              <c:tx>
                <c:rich>
                  <a:bodyPr/>
                  <a:lstStyle/>
                  <a:p>
                    <a:r>
                      <a:rPr lang="en-US"/>
                      <a:t>361,00 </a:t>
                    </a:r>
                    <a:r>
                      <a:rPr lang="en-US" sz="800" b="0" i="0" u="none" strike="noStrike" baseline="0"/>
                      <a:t>mil. m</a:t>
                    </a:r>
                    <a:r>
                      <a:rPr lang="en-US" sz="800" b="0" i="0" u="none" strike="noStrike" baseline="30000"/>
                      <a:t>3</a:t>
                    </a:r>
                    <a:r>
                      <a:rPr lang="en-US"/>
                      <a:t>; 78,25%</a:t>
                    </a:r>
                  </a:p>
                </c:rich>
              </c:tx>
              <c:showLegendKey val="0"/>
              <c:showVal val="1"/>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wrap="square" lIns="38100" tIns="19050" rIns="38100" bIns="19050" anchor="ctr">
                <a:spAutoFit/>
              </a:bodyPr>
              <a:lstStyle/>
              <a:p>
                <a:pPr>
                  <a:defRPr sz="800"/>
                </a:pPr>
                <a:endParaRPr lang="cs-CZ"/>
              </a:p>
            </c:txPr>
            <c:showLegendKey val="0"/>
            <c:showVal val="1"/>
            <c:showCatName val="0"/>
            <c:showSerName val="0"/>
            <c:showPercent val="1"/>
            <c:showBubbleSize val="0"/>
            <c:showLeaderLines val="0"/>
            <c:extLst>
              <c:ext xmlns:c15="http://schemas.microsoft.com/office/drawing/2012/chart" uri="{CE6537A1-D6FC-4f65-9D91-7224C49458BB}"/>
            </c:extLst>
          </c:dLbls>
          <c:cat>
            <c:strRef>
              <c:f>VLAST_VODA_Anom_celkem!$B$107:$C$107</c:f>
              <c:strCache>
                <c:ptCount val="2"/>
                <c:pt idx="0">
                  <c:v>Objem vody fakturované bez anomálií (v mil m3)</c:v>
                </c:pt>
                <c:pt idx="1">
                  <c:v>Objem vody pitné fakturované (mil. m3) s výskytem alespoň jedné anomálie</c:v>
                </c:pt>
              </c:strCache>
            </c:strRef>
          </c:cat>
          <c:val>
            <c:numRef>
              <c:f>VLAST_VODA_Anom_celkem!$B$114:$C$114</c:f>
              <c:numCache>
                <c:formatCode>#,##0.00</c:formatCode>
                <c:ptCount val="2"/>
                <c:pt idx="0">
                  <c:v>100.35245600000003</c:v>
                </c:pt>
                <c:pt idx="1">
                  <c:v>361.0025399999999</c:v>
                </c:pt>
              </c:numCache>
            </c:numRef>
          </c:val>
          <c:extLst xmlns:c16r2="http://schemas.microsoft.com/office/drawing/2015/06/chart">
            <c:ext xmlns:c16="http://schemas.microsoft.com/office/drawing/2014/chart" uri="{C3380CC4-5D6E-409C-BE32-E72D297353CC}">
              <c16:uniqueId val="{00000003-7C9F-4C25-BCF5-768393E25FBD}"/>
            </c:ext>
          </c:extLst>
        </c:ser>
        <c:dLbls>
          <c:showLegendKey val="0"/>
          <c:showVal val="0"/>
          <c:showCatName val="0"/>
          <c:showSerName val="0"/>
          <c:showPercent val="0"/>
          <c:showBubbleSize val="0"/>
          <c:showLeaderLines val="0"/>
        </c:dLbls>
        <c:firstSliceAng val="0"/>
      </c:pieChart>
    </c:plotArea>
    <c:legend>
      <c:legendPos val="r"/>
      <c:layout>
        <c:manualLayout>
          <c:xMode val="edge"/>
          <c:yMode val="edge"/>
          <c:x val="6.0056428412138202E-3"/>
          <c:y val="0.90223441474446342"/>
          <c:w val="0.97938694202277921"/>
          <c:h val="9.5608087577806936E-2"/>
        </c:manualLayout>
      </c:layout>
      <c:overlay val="0"/>
      <c:txPr>
        <a:bodyPr/>
        <a:lstStyle/>
        <a:p>
          <a:pPr rtl="0">
            <a:defRPr sz="900" b="1" cap="small" baseline="0">
              <a:solidFill>
                <a:srgbClr val="002060"/>
              </a:solidFill>
              <a:latin typeface="+mj-lt"/>
            </a:defRPr>
          </a:pPr>
          <a:endParaRPr lang="cs-CZ"/>
        </a:p>
      </c:txPr>
    </c:legend>
    <c:plotVisOnly val="1"/>
    <c:dispBlanksAs val="zero"/>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b="1" i="0" cap="small" baseline="0">
                <a:solidFill>
                  <a:srgbClr val="002060"/>
                </a:solidFill>
                <a:latin typeface="Calibri Light" panose="020F0302020204030204" pitchFamily="34" charset="0"/>
              </a:defRPr>
            </a:pPr>
            <a:r>
              <a:rPr lang="sk-SK" sz="1100" b="1" i="0" cap="small" baseline="0">
                <a:solidFill>
                  <a:schemeClr val="accent2">
                    <a:lumMod val="50000"/>
                  </a:schemeClr>
                </a:solidFill>
                <a:latin typeface="Calibri Light" panose="020F0302020204030204" pitchFamily="34" charset="0"/>
              </a:rPr>
              <a:t>Benchmarking provozovatelských subjektů 2017 -  kanalizace</a:t>
            </a:r>
          </a:p>
          <a:p>
            <a:pPr algn="l">
              <a:defRPr sz="1100" b="1" i="0" cap="small" baseline="0">
                <a:solidFill>
                  <a:srgbClr val="002060"/>
                </a:solidFill>
                <a:latin typeface="Calibri Light" panose="020F0302020204030204" pitchFamily="34" charset="0"/>
              </a:defRPr>
            </a:pPr>
            <a:r>
              <a:rPr lang="sk-SK" sz="1100" b="1" i="0" cap="small" baseline="0">
                <a:solidFill>
                  <a:schemeClr val="accent2">
                    <a:lumMod val="50000"/>
                  </a:schemeClr>
                </a:solidFill>
                <a:latin typeface="Calibri Light" panose="020F0302020204030204" pitchFamily="34" charset="0"/>
              </a:rPr>
              <a:t>Výskyt alespoň jedné anomálie podle množství odpadní </a:t>
            </a:r>
            <a:br>
              <a:rPr lang="sk-SK" sz="1100" b="1" i="0" cap="small" baseline="0">
                <a:solidFill>
                  <a:schemeClr val="accent2">
                    <a:lumMod val="50000"/>
                  </a:schemeClr>
                </a:solidFill>
                <a:latin typeface="Calibri Light" panose="020F0302020204030204" pitchFamily="34" charset="0"/>
              </a:rPr>
            </a:br>
            <a:r>
              <a:rPr lang="sk-SK" sz="1100" b="1" i="0" cap="small" baseline="0">
                <a:solidFill>
                  <a:schemeClr val="accent2">
                    <a:lumMod val="50000"/>
                  </a:schemeClr>
                </a:solidFill>
                <a:latin typeface="Calibri Light" panose="020F0302020204030204" pitchFamily="34" charset="0"/>
              </a:rPr>
              <a:t>a srážkové  vody fakturované</a:t>
            </a:r>
          </a:p>
        </c:rich>
      </c:tx>
      <c:layout>
        <c:manualLayout>
          <c:xMode val="edge"/>
          <c:yMode val="edge"/>
          <c:x val="5.2147340457856222E-3"/>
          <c:y val="1.0802978685385095E-2"/>
        </c:manualLayout>
      </c:layout>
      <c:overlay val="1"/>
    </c:title>
    <c:autoTitleDeleted val="0"/>
    <c:plotArea>
      <c:layout>
        <c:manualLayout>
          <c:layoutTarget val="inner"/>
          <c:xMode val="edge"/>
          <c:yMode val="edge"/>
          <c:x val="0.2005681771530384"/>
          <c:y val="0.19231633843160267"/>
          <c:w val="0.61417492441877763"/>
          <c:h val="0.64002403739936586"/>
        </c:manualLayout>
      </c:layout>
      <c:pieChart>
        <c:varyColors val="1"/>
        <c:ser>
          <c:idx val="0"/>
          <c:order val="0"/>
          <c:spPr>
            <a:scene3d>
              <a:camera prst="orthographicFront"/>
              <a:lightRig rig="threePt" dir="t"/>
            </a:scene3d>
            <a:sp3d>
              <a:bevelT/>
            </a:sp3d>
          </c:spPr>
          <c:dPt>
            <c:idx val="0"/>
            <c:bubble3D val="0"/>
            <c:explosion val="10"/>
            <c:spPr>
              <a:solidFill>
                <a:srgbClr val="FF4A11"/>
              </a:solidFill>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3C6D-4A60-BD25-5117BD191552}"/>
              </c:ext>
            </c:extLst>
          </c:dPt>
          <c:dPt>
            <c:idx val="1"/>
            <c:bubble3D val="0"/>
            <c:spPr>
              <a:solidFill>
                <a:srgbClr val="FFC000"/>
              </a:solidFill>
              <a:scene3d>
                <a:camera prst="orthographicFront"/>
                <a:lightRig rig="threePt" dir="t"/>
              </a:scene3d>
              <a:sp3d>
                <a:bevelT/>
              </a:sp3d>
            </c:spPr>
          </c:dPt>
          <c:dLbls>
            <c:dLbl>
              <c:idx val="0"/>
              <c:layout>
                <c:manualLayout>
                  <c:x val="-0.16280054632286214"/>
                  <c:y val="0.15917883474589536"/>
                </c:manualLayout>
              </c:layout>
              <c:tx>
                <c:rich>
                  <a:bodyPr/>
                  <a:lstStyle/>
                  <a:p>
                    <a:r>
                      <a:rPr lang="en-US" b="0"/>
                      <a:t>144,97 </a:t>
                    </a:r>
                    <a:r>
                      <a:rPr lang="en-US" sz="1000" b="0" i="0" u="none" strike="noStrike" baseline="0"/>
                      <a:t>mil.m</a:t>
                    </a:r>
                    <a:r>
                      <a:rPr lang="en-US" sz="1000" b="0" i="0" u="none" strike="noStrike" baseline="30000"/>
                      <a:t>3</a:t>
                    </a:r>
                    <a:r>
                      <a:rPr lang="en-US" b="0"/>
                      <a:t>; 29,02%</a:t>
                    </a:r>
                  </a:p>
                </c:rich>
              </c:tx>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9002848741695413"/>
                  <c:y val="-0.12940666127951198"/>
                </c:manualLayout>
              </c:layout>
              <c:tx>
                <c:rich>
                  <a:bodyPr/>
                  <a:lstStyle/>
                  <a:p>
                    <a:r>
                      <a:rPr lang="en-US" b="0"/>
                      <a:t>354,53 </a:t>
                    </a:r>
                    <a:r>
                      <a:rPr lang="en-US" sz="1000" b="0" i="0" u="none" strike="noStrike" baseline="0"/>
                      <a:t>mil.m</a:t>
                    </a:r>
                    <a:r>
                      <a:rPr lang="en-US" sz="1000" b="0" i="0" u="none" strike="noStrike" baseline="30000"/>
                      <a:t>3</a:t>
                    </a:r>
                    <a:r>
                      <a:rPr lang="en-US" b="0"/>
                      <a:t>; 70,98%</a:t>
                    </a:r>
                  </a:p>
                </c:rich>
              </c:tx>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extLst>
          </c:dLbls>
          <c:cat>
            <c:strRef>
              <c:f>Prov_KAN_anom_celkem!$C$57:$D$57</c:f>
              <c:strCache>
                <c:ptCount val="2"/>
                <c:pt idx="0">
                  <c:v>Objem vody odpadní a srážkové fakturované (mil. m3) s výskytem alespoň jedné anomálie</c:v>
                </c:pt>
                <c:pt idx="1">
                  <c:v>Objem vody odpadní a srážkové fakturované bez anomálií (v mil. m3)</c:v>
                </c:pt>
              </c:strCache>
            </c:strRef>
          </c:cat>
          <c:val>
            <c:numRef>
              <c:f>Prov_KAN_anom_celkem!$C$66:$D$66</c:f>
              <c:numCache>
                <c:formatCode>#,##0.00</c:formatCode>
                <c:ptCount val="2"/>
                <c:pt idx="0">
                  <c:v>144.97435099999998</c:v>
                </c:pt>
                <c:pt idx="1">
                  <c:v>354.52744500000006</c:v>
                </c:pt>
              </c:numCache>
            </c:numRef>
          </c:val>
          <c:extLst xmlns:c16r2="http://schemas.microsoft.com/office/drawing/2015/06/chart">
            <c:ext xmlns:c16="http://schemas.microsoft.com/office/drawing/2014/chart" uri="{C3380CC4-5D6E-409C-BE32-E72D297353CC}">
              <c16:uniqueId val="{00000003-3C6D-4A60-BD25-5117BD191552}"/>
            </c:ext>
          </c:extLst>
        </c:ser>
        <c:dLbls>
          <c:showLegendKey val="0"/>
          <c:showVal val="0"/>
          <c:showCatName val="0"/>
          <c:showSerName val="0"/>
          <c:showPercent val="0"/>
          <c:showBubbleSize val="0"/>
          <c:showLeaderLines val="0"/>
        </c:dLbls>
        <c:firstSliceAng val="0"/>
      </c:pieChart>
      <c:spPr>
        <a:noFill/>
        <a:ln w="25400">
          <a:noFill/>
        </a:ln>
      </c:spPr>
    </c:plotArea>
    <c:legend>
      <c:legendPos val="r"/>
      <c:legendEntry>
        <c:idx val="0"/>
        <c:txPr>
          <a:bodyPr/>
          <a:lstStyle/>
          <a:p>
            <a:pPr rtl="0">
              <a:defRPr sz="1050" b="0" cap="small" baseline="0">
                <a:solidFill>
                  <a:schemeClr val="accent2">
                    <a:lumMod val="50000"/>
                  </a:schemeClr>
                </a:solidFill>
                <a:latin typeface="+mj-lt"/>
              </a:defRPr>
            </a:pPr>
            <a:endParaRPr lang="cs-CZ"/>
          </a:p>
        </c:txPr>
      </c:legendEntry>
      <c:legendEntry>
        <c:idx val="1"/>
        <c:txPr>
          <a:bodyPr/>
          <a:lstStyle/>
          <a:p>
            <a:pPr>
              <a:defRPr sz="1050" b="0" cap="small" baseline="0">
                <a:solidFill>
                  <a:schemeClr val="accent2">
                    <a:lumMod val="50000"/>
                  </a:schemeClr>
                </a:solidFill>
                <a:latin typeface="+mj-lt"/>
              </a:defRPr>
            </a:pPr>
            <a:endParaRPr lang="cs-CZ"/>
          </a:p>
        </c:txPr>
      </c:legendEntry>
      <c:layout>
        <c:manualLayout>
          <c:xMode val="edge"/>
          <c:yMode val="edge"/>
          <c:x val="1.814680033447507E-2"/>
          <c:y val="0.88250740733780597"/>
          <c:w val="0.97710979558212163"/>
          <c:h val="9.3376480280717003E-2"/>
        </c:manualLayout>
      </c:layout>
      <c:overlay val="0"/>
      <c:txPr>
        <a:bodyPr/>
        <a:lstStyle/>
        <a:p>
          <a:pPr>
            <a:defRPr sz="1050" b="0" cap="small" baseline="0">
              <a:solidFill>
                <a:srgbClr val="002060"/>
              </a:solidFill>
              <a:latin typeface="+mj-lt"/>
            </a:defRPr>
          </a:pPr>
          <a:endParaRPr lang="cs-CZ"/>
        </a:p>
      </c:txPr>
    </c:legend>
    <c:plotVisOnly val="1"/>
    <c:dispBlanksAs val="zero"/>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lgn="l">
              <a:defRPr sz="1100" b="1" cap="small" baseline="0">
                <a:solidFill>
                  <a:schemeClr val="accent2">
                    <a:lumMod val="50000"/>
                  </a:schemeClr>
                </a:solidFill>
                <a:latin typeface="Calibri" pitchFamily="34" charset="0"/>
              </a:defRPr>
            </a:pPr>
            <a:r>
              <a:rPr lang="cs-CZ" sz="1100" b="1" i="0" cap="all" baseline="0">
                <a:solidFill>
                  <a:schemeClr val="accent2">
                    <a:lumMod val="50000"/>
                  </a:schemeClr>
                </a:solidFill>
                <a:latin typeface="Calibri" pitchFamily="34" charset="0"/>
              </a:rPr>
              <a:t>VÝSKYT ANOMÁLIÍ VE VZTAHU K MNOŽSTVÍ odpadní a srážkové vody FAKTUROVANÉ </a:t>
            </a:r>
            <a:r>
              <a:rPr lang="en-US" sz="1100" b="1" i="0" cap="all" baseline="0">
                <a:solidFill>
                  <a:schemeClr val="accent2">
                    <a:lumMod val="50000"/>
                  </a:schemeClr>
                </a:solidFill>
                <a:latin typeface="Calibri" pitchFamily="34" charset="0"/>
              </a:rPr>
              <a:t>[MIL.M</a:t>
            </a:r>
            <a:r>
              <a:rPr lang="en-US" sz="1100" b="1" i="0" cap="all" baseline="30000">
                <a:solidFill>
                  <a:schemeClr val="accent2">
                    <a:lumMod val="50000"/>
                  </a:schemeClr>
                </a:solidFill>
                <a:latin typeface="Calibri" pitchFamily="34" charset="0"/>
              </a:rPr>
              <a:t>3</a:t>
            </a:r>
            <a:r>
              <a:rPr lang="en-US" sz="1100" b="1" i="0" cap="all" baseline="0">
                <a:solidFill>
                  <a:schemeClr val="accent2">
                    <a:lumMod val="50000"/>
                  </a:schemeClr>
                </a:solidFill>
                <a:latin typeface="Calibri" pitchFamily="34" charset="0"/>
              </a:rPr>
              <a:t>]</a:t>
            </a:r>
            <a:r>
              <a:rPr lang="cs-CZ" sz="1100" b="1" i="0" cap="all" baseline="0">
                <a:solidFill>
                  <a:schemeClr val="accent2">
                    <a:lumMod val="50000"/>
                  </a:schemeClr>
                </a:solidFill>
                <a:latin typeface="Calibri" pitchFamily="34" charset="0"/>
              </a:rPr>
              <a:t> </a:t>
            </a:r>
            <a:endParaRPr lang="sk-SK" sz="1100" b="1" cap="all" baseline="0">
              <a:solidFill>
                <a:schemeClr val="accent2">
                  <a:lumMod val="50000"/>
                </a:schemeClr>
              </a:solidFill>
              <a:latin typeface="Calibri" pitchFamily="34" charset="0"/>
            </a:endParaRPr>
          </a:p>
          <a:p>
            <a:pPr algn="l">
              <a:defRPr sz="1100" b="1" cap="small" baseline="0">
                <a:solidFill>
                  <a:schemeClr val="accent2">
                    <a:lumMod val="50000"/>
                  </a:schemeClr>
                </a:solidFill>
                <a:latin typeface="Calibri" pitchFamily="34" charset="0"/>
              </a:defRPr>
            </a:pPr>
            <a:r>
              <a:rPr lang="cs-CZ" sz="1100" b="1" i="0" cap="all" baseline="0">
                <a:solidFill>
                  <a:schemeClr val="accent2">
                    <a:lumMod val="50000"/>
                  </a:schemeClr>
                </a:solidFill>
                <a:latin typeface="Calibri" pitchFamily="34" charset="0"/>
              </a:rPr>
              <a:t>BENCHMARKINGU provozovatelských SUBJEKTŮ 2017 - Kanalizace</a:t>
            </a:r>
            <a:endParaRPr lang="sk-SK" sz="1100" b="1" cap="all" baseline="0">
              <a:solidFill>
                <a:schemeClr val="accent2">
                  <a:lumMod val="50000"/>
                </a:schemeClr>
              </a:solidFill>
              <a:latin typeface="Calibri" pitchFamily="34" charset="0"/>
            </a:endParaRPr>
          </a:p>
        </c:rich>
      </c:tx>
      <c:layout>
        <c:manualLayout>
          <c:xMode val="edge"/>
          <c:yMode val="edge"/>
          <c:x val="1.4913115375487906E-2"/>
          <c:y val="1.4949421325555228E-2"/>
        </c:manualLayout>
      </c:layout>
      <c:overlay val="0"/>
    </c:title>
    <c:autoTitleDeleted val="0"/>
    <c:plotArea>
      <c:layout>
        <c:manualLayout>
          <c:layoutTarget val="inner"/>
          <c:xMode val="edge"/>
          <c:yMode val="edge"/>
          <c:x val="0.39836613599586418"/>
          <c:y val="0.1622232545128138"/>
          <c:w val="0.53673971987328661"/>
          <c:h val="0.70990220472461152"/>
        </c:manualLayout>
      </c:layout>
      <c:barChart>
        <c:barDir val="bar"/>
        <c:grouping val="percentStacked"/>
        <c:varyColors val="0"/>
        <c:ser>
          <c:idx val="0"/>
          <c:order val="0"/>
          <c:tx>
            <c:strRef>
              <c:f>Prov_KAN_anom_celkem!$B$39</c:f>
              <c:strCache>
                <c:ptCount val="1"/>
                <c:pt idx="0">
                  <c:v>NALEZENA ANOMÁLIE</c:v>
                </c:pt>
              </c:strCache>
            </c:strRef>
          </c:tx>
          <c:spPr>
            <a:solidFill>
              <a:srgbClr val="FF4A11"/>
            </a:solidFill>
            <a:scene3d>
              <a:camera prst="orthographicFront"/>
              <a:lightRig rig="threePt" dir="t"/>
            </a:scene3d>
            <a:sp3d>
              <a:bevelT/>
            </a:sp3d>
          </c:spPr>
          <c:invertIfNegative val="0"/>
          <c:dLbls>
            <c:dLbl>
              <c:idx val="0"/>
              <c:layout>
                <c:manualLayout>
                  <c:x val="0.11530310821569958"/>
                  <c:y val="1.6417474397788941E-3"/>
                </c:manualLayout>
              </c:layout>
              <c:tx>
                <c:rich>
                  <a:bodyPr/>
                  <a:lstStyle/>
                  <a:p>
                    <a:r>
                      <a:rPr lang="en-US" sz="1000" b="0" i="0" u="none" strike="noStrike" baseline="0"/>
                      <a:t>0,46 mil.m3; 0,09%; </a:t>
                    </a:r>
                    <a:br>
                      <a:rPr lang="en-US" sz="1000" b="0" i="0" u="none" strike="noStrike" baseline="0"/>
                    </a:br>
                    <a:r>
                      <a:rPr lang="en-US" sz="1000" b="0" i="0" u="none" strike="noStrike" baseline="0"/>
                      <a:t>13  výskytů </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1"/>
              <c:layout>
                <c:manualLayout>
                  <c:x val="0.12491170056700783"/>
                  <c:y val="0"/>
                </c:manualLayout>
              </c:layout>
              <c:tx>
                <c:rich>
                  <a:bodyPr/>
                  <a:lstStyle/>
                  <a:p>
                    <a:r>
                      <a:rPr lang="en-US" sz="1000" b="0" i="0" u="none" strike="noStrike" baseline="0"/>
                      <a:t>0,66 mil.m3; 0,13%; </a:t>
                    </a:r>
                    <a:br>
                      <a:rPr lang="en-US" sz="1000" b="0" i="0" u="none" strike="noStrike" baseline="0"/>
                    </a:br>
                    <a:r>
                      <a:rPr lang="en-US" sz="1000" b="0" i="0" u="none" strike="noStrike" baseline="0"/>
                      <a:t>61  výskytů </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2"/>
              <c:layout>
                <c:manualLayout>
                  <c:x val="0.10889737998149394"/>
                  <c:y val="0"/>
                </c:manualLayout>
              </c:layout>
              <c:tx>
                <c:rich>
                  <a:bodyPr/>
                  <a:lstStyle/>
                  <a:p>
                    <a:r>
                      <a:rPr lang="en-US" sz="1000" b="0" i="0" u="none" strike="noStrike" baseline="0"/>
                      <a:t>1,47 mil.m3; 0,29%; </a:t>
                    </a:r>
                    <a:br>
                      <a:rPr lang="en-US" sz="1000" b="0" i="0" u="none" strike="noStrike" baseline="0"/>
                    </a:br>
                    <a:r>
                      <a:rPr lang="en-US" sz="1000" b="0" i="0" u="none" strike="noStrike" baseline="0"/>
                      <a:t>67  výskytů </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3"/>
              <c:layout>
                <c:manualLayout>
                  <c:x val="0.11248297087864018"/>
                  <c:y val="3.6636683541745144E-4"/>
                </c:manualLayout>
              </c:layout>
              <c:tx>
                <c:rich>
                  <a:bodyPr/>
                  <a:lstStyle/>
                  <a:p>
                    <a:r>
                      <a:rPr lang="en-US" sz="1000" b="0" i="0" u="none" strike="noStrike" baseline="0"/>
                      <a:t>4,41 mil.m3; 0,88%; </a:t>
                    </a:r>
                    <a:br>
                      <a:rPr lang="en-US" sz="1000" b="0" i="0" u="none" strike="noStrike" baseline="0"/>
                    </a:br>
                    <a:r>
                      <a:rPr lang="en-US" sz="1000" b="0" i="0" u="none" strike="noStrike" baseline="0"/>
                      <a:t>65  výskytů </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4"/>
              <c:layout>
                <c:manualLayout>
                  <c:x val="0.10729594792294268"/>
                  <c:y val="6.0196710727687008E-17"/>
                </c:manualLayout>
              </c:layout>
              <c:tx>
                <c:rich>
                  <a:bodyPr/>
                  <a:lstStyle/>
                  <a:p>
                    <a:r>
                      <a:rPr lang="en-US" sz="1000" b="0" i="0" u="none" strike="noStrike" baseline="0"/>
                      <a:t>5,45 mil.m3; 1,09%; 111  výskytů </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5"/>
              <c:layout>
                <c:manualLayout>
                  <c:x val="0.12651313262555922"/>
                  <c:y val="0"/>
                </c:manualLayout>
              </c:layout>
              <c:tx>
                <c:rich>
                  <a:bodyPr/>
                  <a:lstStyle/>
                  <a:p>
                    <a:r>
                      <a:rPr lang="en-US" sz="1000" b="0" i="0" u="none" strike="noStrike" baseline="0"/>
                      <a:t>11,88 mil.m3; 2,38%; 81  výskytů </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6"/>
              <c:layout>
                <c:manualLayout>
                  <c:x val="0.14412888526962442"/>
                  <c:y val="1.6417474397788941E-3"/>
                </c:manualLayout>
              </c:layout>
              <c:tx>
                <c:rich>
                  <a:bodyPr/>
                  <a:lstStyle/>
                  <a:p>
                    <a:r>
                      <a:rPr lang="en-US" sz="1000" b="0" i="0" u="none" strike="noStrike" baseline="0"/>
                      <a:t>14,35 mil.m3; 2,87%; 241  výskytů </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7"/>
              <c:layout>
                <c:manualLayout>
                  <c:x val="0.14092602115252165"/>
                  <c:y val="0"/>
                </c:manualLayout>
              </c:layout>
              <c:tx>
                <c:rich>
                  <a:bodyPr/>
                  <a:lstStyle/>
                  <a:p>
                    <a:r>
                      <a:rPr lang="en-US" sz="1000" b="0" i="0" u="none" strike="noStrike" baseline="0"/>
                      <a:t>36,77 mil.m3; 7,36%; 1124  výskytů </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8"/>
              <c:layout>
                <c:manualLayout>
                  <c:x val="0.16014307975812575"/>
                  <c:y val="1.6417474397788941E-3"/>
                </c:manualLayout>
              </c:layout>
              <c:tx>
                <c:rich>
                  <a:bodyPr/>
                  <a:lstStyle/>
                  <a:p>
                    <a:r>
                      <a:rPr lang="en-US" sz="1000" b="0" i="0" u="none" strike="noStrike" baseline="0"/>
                      <a:t>87,44 mil.m3; 17,5%; 259  výskytů </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baseline="0">
                    <a:solidFill>
                      <a:schemeClr val="accent2">
                        <a:lumMod val="50000"/>
                      </a:schemeClr>
                    </a:solidFill>
                  </a:defRPr>
                </a:pPr>
                <a:endParaRPr lang="cs-CZ"/>
              </a:p>
            </c:txPr>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Prov_KAN_anom_celkem!$A$40:$A$48</c:f>
              <c:strCache>
                <c:ptCount val="9"/>
                <c:pt idx="0">
                  <c:v>PŘIPOJENÍ OBYVATELÉ NA ČOV, NULOVÉ MNOŽSTVÍ ODVEDENÉ ODPADNÍ VODY NA ČOV</c:v>
                </c:pt>
                <c:pt idx="1">
                  <c:v>NULOVÉ STOČNÉ CELKEM </c:v>
                </c:pt>
                <c:pt idx="2">
                  <c:v>VYSOKÁ CENA PRO STOČNÉ (VÍCE NEŽ 1,5 NÁSOBEK PRŮMĚRU Z POROVNÁNÍ SPLŇUJÍCÍCH STANOVENÁ KRITÉRIA)</c:v>
                </c:pt>
                <c:pt idx="3">
                  <c:v>PODÍL NEVYHOVUJÍCÍCH VZORKŮ VYPOUŠTĚNÝCH ODPADNÍCH VOD Z ČOV VYŠŠÍ NEŽ 20 %</c:v>
                </c:pt>
                <c:pt idx="4">
                  <c:v>NULOVÝ POČET ZAMĚSTNANCŮ + VYKÁZANÉ MZDOVÉ NÁKLADY</c:v>
                </c:pt>
                <c:pt idx="5">
                  <c:v>NULOVÉ MZDOVÉ NÁKLADY + NENULOVÝ POČET ZAMĚSTNANCŮ</c:v>
                </c:pt>
                <c:pt idx="6">
                  <c:v>NENULOVÉ MNOŽSTVÍ ODVEDENÉ ODPADNÍ VODY NA ČOV A ŽÁDNÍ PŘIPOJENÍ OBYVATELÉ NA ČOV</c:v>
                </c:pt>
                <c:pt idx="7">
                  <c:v>ZÁPORNÝ KALKULAČNÍ ZISK</c:v>
                </c:pt>
                <c:pt idx="8">
                  <c:v>VYSOKÝ PODÍL KALKULAČNÍHO ZISKU K ROZDĚLENÍ NA ÚVN (VÍCE NEŽ 1,5 NÁSOBEK PRŮMĚRU Z POROVNÁNÍ SPLŇUJÍCÍCH STANOVENÁ KRITÉRIA)</c:v>
                </c:pt>
              </c:strCache>
            </c:strRef>
          </c:cat>
          <c:val>
            <c:numRef>
              <c:f>Prov_KAN_anom_celkem!$B$40:$B$48</c:f>
              <c:numCache>
                <c:formatCode>#,##0.00</c:formatCode>
                <c:ptCount val="9"/>
                <c:pt idx="0">
                  <c:v>0.45894400000000007</c:v>
                </c:pt>
                <c:pt idx="1">
                  <c:v>0.66094800000000009</c:v>
                </c:pt>
                <c:pt idx="2">
                  <c:v>1.4713860000000001</c:v>
                </c:pt>
                <c:pt idx="3">
                  <c:v>4.4112739999999997</c:v>
                </c:pt>
                <c:pt idx="4">
                  <c:v>5.4467579999999991</c:v>
                </c:pt>
                <c:pt idx="5">
                  <c:v>11.881549</c:v>
                </c:pt>
                <c:pt idx="6">
                  <c:v>14.354038000000001</c:v>
                </c:pt>
                <c:pt idx="7">
                  <c:v>36.766112000000007</c:v>
                </c:pt>
                <c:pt idx="8">
                  <c:v>87.436500999999993</c:v>
                </c:pt>
              </c:numCache>
            </c:numRef>
          </c:val>
          <c:extLst xmlns:c16r2="http://schemas.microsoft.com/office/drawing/2015/06/chart">
            <c:ext xmlns:c16="http://schemas.microsoft.com/office/drawing/2014/chart" uri="{C3380CC4-5D6E-409C-BE32-E72D297353CC}">
              <c16:uniqueId val="{0000000C-9EF4-4AB2-8645-C9171AE03138}"/>
            </c:ext>
          </c:extLst>
        </c:ser>
        <c:ser>
          <c:idx val="1"/>
          <c:order val="1"/>
          <c:tx>
            <c:strRef>
              <c:f>Prov_KAN_anom_celkem!$E$39</c:f>
              <c:strCache>
                <c:ptCount val="1"/>
                <c:pt idx="0">
                  <c:v>BEZ VÝSKYTU DANÉ ANOMÁLIE</c:v>
                </c:pt>
              </c:strCache>
            </c:strRef>
          </c:tx>
          <c:spPr>
            <a:solidFill>
              <a:srgbClr val="FFC000"/>
            </a:solidFill>
            <a:ln>
              <a:noFill/>
            </a:ln>
            <a:scene3d>
              <a:camera prst="orthographicFront"/>
              <a:lightRig rig="threePt" dir="t"/>
            </a:scene3d>
            <a:sp3d>
              <a:bevelT/>
              <a:bevelB/>
            </a:sp3d>
          </c:spPr>
          <c:invertIfNegative val="0"/>
          <c:cat>
            <c:strRef>
              <c:f>Prov_KAN_anom_celkem!$A$40:$A$48</c:f>
              <c:strCache>
                <c:ptCount val="9"/>
                <c:pt idx="0">
                  <c:v>PŘIPOJENÍ OBYVATELÉ NA ČOV, NULOVÉ MNOŽSTVÍ ODVEDENÉ ODPADNÍ VODY NA ČOV</c:v>
                </c:pt>
                <c:pt idx="1">
                  <c:v>NULOVÉ STOČNÉ CELKEM </c:v>
                </c:pt>
                <c:pt idx="2">
                  <c:v>VYSOKÁ CENA PRO STOČNÉ (VÍCE NEŽ 1,5 NÁSOBEK PRŮMĚRU Z POROVNÁNÍ SPLŇUJÍCÍCH STANOVENÁ KRITÉRIA)</c:v>
                </c:pt>
                <c:pt idx="3">
                  <c:v>PODÍL NEVYHOVUJÍCÍCH VZORKŮ VYPOUŠTĚNÝCH ODPADNÍCH VOD Z ČOV VYŠŠÍ NEŽ 20 %</c:v>
                </c:pt>
                <c:pt idx="4">
                  <c:v>NULOVÝ POČET ZAMĚSTNANCŮ + VYKÁZANÉ MZDOVÉ NÁKLADY</c:v>
                </c:pt>
                <c:pt idx="5">
                  <c:v>NULOVÉ MZDOVÉ NÁKLADY + NENULOVÝ POČET ZAMĚSTNANCŮ</c:v>
                </c:pt>
                <c:pt idx="6">
                  <c:v>NENULOVÉ MNOŽSTVÍ ODVEDENÉ ODPADNÍ VODY NA ČOV A ŽÁDNÍ PŘIPOJENÍ OBYVATELÉ NA ČOV</c:v>
                </c:pt>
                <c:pt idx="7">
                  <c:v>ZÁPORNÝ KALKULAČNÍ ZISK</c:v>
                </c:pt>
                <c:pt idx="8">
                  <c:v>VYSOKÝ PODÍL KALKULAČNÍHO ZISKU K ROZDĚLENÍ NA ÚVN (VÍCE NEŽ 1,5 NÁSOBEK PRŮMĚRU Z POROVNÁNÍ SPLŇUJÍCÍCH STANOVENÁ KRITÉRIA)</c:v>
                </c:pt>
              </c:strCache>
            </c:strRef>
          </c:cat>
          <c:val>
            <c:numRef>
              <c:f>Prov_KAN_anom_celkem!$E$40:$E$48</c:f>
              <c:numCache>
                <c:formatCode>#,##0.00</c:formatCode>
                <c:ptCount val="9"/>
                <c:pt idx="0">
                  <c:v>499.04105600000003</c:v>
                </c:pt>
                <c:pt idx="1">
                  <c:v>498.83905199999998</c:v>
                </c:pt>
                <c:pt idx="2">
                  <c:v>498.028614</c:v>
                </c:pt>
                <c:pt idx="3">
                  <c:v>495.08872600000001</c:v>
                </c:pt>
                <c:pt idx="4">
                  <c:v>494.05324200000001</c:v>
                </c:pt>
                <c:pt idx="5">
                  <c:v>487.61845099999999</c:v>
                </c:pt>
                <c:pt idx="6">
                  <c:v>485.145962</c:v>
                </c:pt>
                <c:pt idx="7">
                  <c:v>462.73388799999998</c:v>
                </c:pt>
                <c:pt idx="8">
                  <c:v>412.06349899999998</c:v>
                </c:pt>
              </c:numCache>
            </c:numRef>
          </c:val>
          <c:extLst xmlns:c16r2="http://schemas.microsoft.com/office/drawing/2015/06/chart">
            <c:ext xmlns:c16="http://schemas.microsoft.com/office/drawing/2014/chart" uri="{C3380CC4-5D6E-409C-BE32-E72D297353CC}">
              <c16:uniqueId val="{0000000D-9EF4-4AB2-8645-C9171AE03138}"/>
            </c:ext>
          </c:extLst>
        </c:ser>
        <c:ser>
          <c:idx val="2"/>
          <c:order val="2"/>
          <c:tx>
            <c:strRef>
              <c:f>Prov_KAN_anom_celkem!$F$39</c:f>
              <c:strCache>
                <c:ptCount val="1"/>
                <c:pt idx="0">
                  <c:v>NEANALYZOVANÁ DATA</c:v>
                </c:pt>
              </c:strCache>
            </c:strRef>
          </c:tx>
          <c:spPr>
            <a:solidFill>
              <a:srgbClr val="F8CBAD"/>
            </a:solidFill>
            <a:scene3d>
              <a:camera prst="orthographicFront"/>
              <a:lightRig rig="threePt" dir="t"/>
            </a:scene3d>
            <a:sp3d>
              <a:bevelT/>
            </a:sp3d>
          </c:spPr>
          <c:invertIfNegative val="0"/>
          <c:cat>
            <c:strRef>
              <c:f>Prov_KAN_anom_celkem!$A$40:$A$48</c:f>
              <c:strCache>
                <c:ptCount val="9"/>
                <c:pt idx="0">
                  <c:v>PŘIPOJENÍ OBYVATELÉ NA ČOV, NULOVÉ MNOŽSTVÍ ODVEDENÉ ODPADNÍ VODY NA ČOV</c:v>
                </c:pt>
                <c:pt idx="1">
                  <c:v>NULOVÉ STOČNÉ CELKEM </c:v>
                </c:pt>
                <c:pt idx="2">
                  <c:v>VYSOKÁ CENA PRO STOČNÉ (VÍCE NEŽ 1,5 NÁSOBEK PRŮMĚRU Z POROVNÁNÍ SPLŇUJÍCÍCH STANOVENÁ KRITÉRIA)</c:v>
                </c:pt>
                <c:pt idx="3">
                  <c:v>PODÍL NEVYHOVUJÍCÍCH VZORKŮ VYPOUŠTĚNÝCH ODPADNÍCH VOD Z ČOV VYŠŠÍ NEŽ 20 %</c:v>
                </c:pt>
                <c:pt idx="4">
                  <c:v>NULOVÝ POČET ZAMĚSTNANCŮ + VYKÁZANÉ MZDOVÉ NÁKLADY</c:v>
                </c:pt>
                <c:pt idx="5">
                  <c:v>NULOVÉ MZDOVÉ NÁKLADY + NENULOVÝ POČET ZAMĚSTNANCŮ</c:v>
                </c:pt>
                <c:pt idx="6">
                  <c:v>NENULOVÉ MNOŽSTVÍ ODVEDENÉ ODPADNÍ VODY NA ČOV A ŽÁDNÍ PŘIPOJENÍ OBYVATELÉ NA ČOV</c:v>
                </c:pt>
                <c:pt idx="7">
                  <c:v>ZÁPORNÝ KALKULAČNÍ ZISK</c:v>
                </c:pt>
                <c:pt idx="8">
                  <c:v>VYSOKÝ PODÍL KALKULAČNÍHO ZISKU K ROZDĚLENÍ NA ÚVN (VÍCE NEŽ 1,5 NÁSOBEK PRŮMĚRU Z POROVNÁNÍ SPLŇUJÍCÍCH STANOVENÁ KRITÉRIA)</c:v>
                </c:pt>
              </c:strCache>
            </c:strRef>
          </c:cat>
          <c:val>
            <c:numRef>
              <c:f>Prov_KAN_anom_celkem!$F$40:$F$48</c:f>
              <c:numCache>
                <c:formatCode>#,##0.00</c:formatCode>
                <c:ptCount val="9"/>
                <c:pt idx="0">
                  <c:v>11.310000000000002</c:v>
                </c:pt>
                <c:pt idx="1">
                  <c:v>11.310000000000002</c:v>
                </c:pt>
                <c:pt idx="2">
                  <c:v>11.310000000000002</c:v>
                </c:pt>
                <c:pt idx="3">
                  <c:v>11.310000000000002</c:v>
                </c:pt>
                <c:pt idx="4">
                  <c:v>11.310000000000002</c:v>
                </c:pt>
                <c:pt idx="5">
                  <c:v>11.310000000000002</c:v>
                </c:pt>
                <c:pt idx="6">
                  <c:v>11.310000000000002</c:v>
                </c:pt>
                <c:pt idx="7">
                  <c:v>11.310000000000002</c:v>
                </c:pt>
                <c:pt idx="8">
                  <c:v>11.310000000000002</c:v>
                </c:pt>
              </c:numCache>
            </c:numRef>
          </c:val>
          <c:extLst xmlns:c16r2="http://schemas.microsoft.com/office/drawing/2015/06/chart">
            <c:ext xmlns:c16="http://schemas.microsoft.com/office/drawing/2014/chart" uri="{C3380CC4-5D6E-409C-BE32-E72D297353CC}">
              <c16:uniqueId val="{0000000E-9EF4-4AB2-8645-C9171AE03138}"/>
            </c:ext>
          </c:extLst>
        </c:ser>
        <c:dLbls>
          <c:showLegendKey val="0"/>
          <c:showVal val="0"/>
          <c:showCatName val="0"/>
          <c:showSerName val="0"/>
          <c:showPercent val="0"/>
          <c:showBubbleSize val="0"/>
        </c:dLbls>
        <c:gapWidth val="75"/>
        <c:overlap val="100"/>
        <c:axId val="373191120"/>
        <c:axId val="373194256"/>
      </c:barChart>
      <c:catAx>
        <c:axId val="373191120"/>
        <c:scaling>
          <c:orientation val="minMax"/>
        </c:scaling>
        <c:delete val="0"/>
        <c:axPos val="l"/>
        <c:numFmt formatCode="General" sourceLinked="1"/>
        <c:majorTickMark val="none"/>
        <c:minorTickMark val="none"/>
        <c:tickLblPos val="nextTo"/>
        <c:txPr>
          <a:bodyPr/>
          <a:lstStyle/>
          <a:p>
            <a:pPr>
              <a:defRPr sz="1000" b="1" cap="small" baseline="0">
                <a:solidFill>
                  <a:schemeClr val="accent2">
                    <a:lumMod val="50000"/>
                  </a:schemeClr>
                </a:solidFill>
                <a:latin typeface="+mj-lt"/>
              </a:defRPr>
            </a:pPr>
            <a:endParaRPr lang="cs-CZ"/>
          </a:p>
        </c:txPr>
        <c:crossAx val="373194256"/>
        <c:crosses val="autoZero"/>
        <c:auto val="1"/>
        <c:lblAlgn val="ctr"/>
        <c:lblOffset val="100"/>
        <c:noMultiLvlLbl val="0"/>
      </c:catAx>
      <c:valAx>
        <c:axId val="373194256"/>
        <c:scaling>
          <c:orientation val="minMax"/>
        </c:scaling>
        <c:delete val="0"/>
        <c:axPos val="b"/>
        <c:majorGridlines/>
        <c:numFmt formatCode="0%" sourceLinked="1"/>
        <c:majorTickMark val="none"/>
        <c:minorTickMark val="none"/>
        <c:tickLblPos val="nextTo"/>
        <c:crossAx val="373191120"/>
        <c:crosses val="autoZero"/>
        <c:crossBetween val="between"/>
      </c:valAx>
    </c:plotArea>
    <c:legend>
      <c:legendPos val="r"/>
      <c:layout>
        <c:manualLayout>
          <c:xMode val="edge"/>
          <c:yMode val="edge"/>
          <c:x val="7.8847190993950773E-3"/>
          <c:y val="0.95022394793970988"/>
          <c:w val="0.98405405491181797"/>
          <c:h val="3.0312752845362598E-2"/>
        </c:manualLayout>
      </c:layout>
      <c:overlay val="0"/>
      <c:txPr>
        <a:bodyPr/>
        <a:lstStyle/>
        <a:p>
          <a:pPr>
            <a:defRPr>
              <a:solidFill>
                <a:schemeClr val="accent2">
                  <a:lumMod val="50000"/>
                </a:schemeClr>
              </a:solidFill>
            </a:defRPr>
          </a:pPr>
          <a:endParaRPr lang="cs-CZ"/>
        </a:p>
      </c:txPr>
    </c:legend>
    <c:plotVisOnly val="1"/>
    <c:dispBlanksAs val="gap"/>
    <c:showDLblsOverMax val="0"/>
  </c:chart>
  <c:spPr>
    <a:ln>
      <a:noFill/>
    </a:ln>
  </c:sp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l" defTabSz="914400" rtl="0" eaLnBrk="1" fontAlgn="auto" latinLnBrk="0" hangingPunct="1">
              <a:lnSpc>
                <a:spcPct val="100000"/>
              </a:lnSpc>
              <a:spcBef>
                <a:spcPts val="0"/>
              </a:spcBef>
              <a:spcAft>
                <a:spcPts val="0"/>
              </a:spcAft>
              <a:buClrTx/>
              <a:buSzTx/>
              <a:buFontTx/>
              <a:buNone/>
              <a:tabLst/>
              <a:defRPr sz="1100" b="1" i="0" u="none" strike="noStrike" kern="1200" baseline="0">
                <a:solidFill>
                  <a:srgbClr val="002060"/>
                </a:solidFill>
                <a:latin typeface="+mj-lt"/>
                <a:ea typeface="+mn-ea"/>
                <a:cs typeface="+mn-cs"/>
              </a:defRPr>
            </a:pPr>
            <a:r>
              <a:rPr lang="cs-CZ" sz="1100" b="1" i="0" u="none" strike="noStrike" kern="1200" cap="all" baseline="0">
                <a:solidFill>
                  <a:schemeClr val="accent2">
                    <a:lumMod val="50000"/>
                  </a:schemeClr>
                </a:solidFill>
                <a:latin typeface="+mj-lt"/>
                <a:ea typeface="+mn-ea"/>
                <a:cs typeface="+mn-cs"/>
              </a:rPr>
              <a:t>BENCHMARKINGU VLASTNICKÝCH SUBJEKTŮ 2017 - Kanalizace</a:t>
            </a:r>
            <a:endParaRPr lang="sk-SK" sz="1100" b="1" i="0" u="none" strike="noStrike" kern="1200" cap="all" baseline="0">
              <a:solidFill>
                <a:schemeClr val="accent2">
                  <a:lumMod val="50000"/>
                </a:schemeClr>
              </a:solidFill>
              <a:latin typeface="+mj-lt"/>
              <a:ea typeface="+mn-ea"/>
              <a:cs typeface="+mn-cs"/>
            </a:endParaRPr>
          </a:p>
          <a:p>
            <a:pPr marL="0" marR="0" indent="0" algn="l" defTabSz="914400" rtl="0" eaLnBrk="1" fontAlgn="auto" latinLnBrk="0" hangingPunct="1">
              <a:lnSpc>
                <a:spcPct val="100000"/>
              </a:lnSpc>
              <a:spcBef>
                <a:spcPts val="0"/>
              </a:spcBef>
              <a:spcAft>
                <a:spcPts val="0"/>
              </a:spcAft>
              <a:buClrTx/>
              <a:buSzTx/>
              <a:buFontTx/>
              <a:buNone/>
              <a:tabLst/>
              <a:defRPr sz="1100" b="1" i="0" u="none" strike="noStrike" kern="1200" baseline="0">
                <a:solidFill>
                  <a:srgbClr val="002060"/>
                </a:solidFill>
                <a:latin typeface="+mj-lt"/>
                <a:ea typeface="+mn-ea"/>
                <a:cs typeface="+mn-cs"/>
              </a:defRPr>
            </a:pPr>
            <a:r>
              <a:rPr lang="sk-SK" sz="1100" b="1" i="0" u="none" strike="noStrike" kern="1200" cap="all" baseline="0">
                <a:solidFill>
                  <a:schemeClr val="accent2">
                    <a:lumMod val="50000"/>
                  </a:schemeClr>
                </a:solidFill>
                <a:latin typeface="+mj-lt"/>
                <a:ea typeface="+mn-ea"/>
                <a:cs typeface="+mn-cs"/>
              </a:rPr>
              <a:t>Výskyt alespoň jedné anomálie ve skupině</a:t>
            </a:r>
          </a:p>
          <a:p>
            <a:pPr marL="0" marR="0" indent="0" algn="l" defTabSz="914400" rtl="0" eaLnBrk="1" fontAlgn="auto" latinLnBrk="0" hangingPunct="1">
              <a:lnSpc>
                <a:spcPct val="100000"/>
              </a:lnSpc>
              <a:spcBef>
                <a:spcPts val="0"/>
              </a:spcBef>
              <a:spcAft>
                <a:spcPts val="0"/>
              </a:spcAft>
              <a:buClrTx/>
              <a:buSzTx/>
              <a:buFontTx/>
              <a:buNone/>
              <a:tabLst/>
              <a:defRPr sz="1100" b="1" i="0" u="none" strike="noStrike" kern="1200" baseline="0">
                <a:solidFill>
                  <a:srgbClr val="002060"/>
                </a:solidFill>
                <a:latin typeface="+mj-lt"/>
                <a:ea typeface="+mn-ea"/>
                <a:cs typeface="+mn-cs"/>
              </a:defRPr>
            </a:pPr>
            <a:r>
              <a:rPr lang="sk-SK" sz="1100" b="1" i="0" u="none" strike="noStrike" kern="1200" cap="all" baseline="0">
                <a:solidFill>
                  <a:schemeClr val="accent2">
                    <a:lumMod val="50000"/>
                  </a:schemeClr>
                </a:solidFill>
                <a:latin typeface="+mj-lt"/>
                <a:ea typeface="+mn-ea"/>
                <a:cs typeface="+mn-cs"/>
              </a:rPr>
              <a:t>- </a:t>
            </a:r>
            <a:r>
              <a:rPr lang="cs-CZ" sz="1100" b="1" i="0" u="none" strike="noStrike" kern="1200" cap="all" baseline="0">
                <a:solidFill>
                  <a:schemeClr val="accent2">
                    <a:lumMod val="50000"/>
                  </a:schemeClr>
                </a:solidFill>
                <a:latin typeface="+mj-lt"/>
                <a:ea typeface="+mn-ea"/>
                <a:cs typeface="+mn-cs"/>
              </a:rPr>
              <a:t>VE VZTAHU K MNOŽSTVÍ odpadní a srážkové vody FAKTUROVANÉ </a:t>
            </a:r>
            <a:r>
              <a:rPr lang="en-US" sz="1100" b="1" i="0" u="none" strike="noStrike" kern="1200" cap="all" baseline="0">
                <a:solidFill>
                  <a:schemeClr val="accent2">
                    <a:lumMod val="50000"/>
                  </a:schemeClr>
                </a:solidFill>
                <a:latin typeface="+mj-lt"/>
                <a:ea typeface="+mn-ea"/>
                <a:cs typeface="+mn-cs"/>
              </a:rPr>
              <a:t>[MIL.M</a:t>
            </a:r>
            <a:r>
              <a:rPr lang="en-US" sz="1100" b="1" i="0" u="none" strike="noStrike" kern="1200" cap="all" baseline="30000">
                <a:solidFill>
                  <a:schemeClr val="accent2">
                    <a:lumMod val="50000"/>
                  </a:schemeClr>
                </a:solidFill>
                <a:latin typeface="+mj-lt"/>
                <a:ea typeface="+mn-ea"/>
                <a:cs typeface="+mn-cs"/>
              </a:rPr>
              <a:t>3</a:t>
            </a:r>
            <a:r>
              <a:rPr lang="en-US" sz="1100" b="1" i="0" u="none" strike="noStrike" kern="1200" cap="all" baseline="0">
                <a:solidFill>
                  <a:schemeClr val="accent2">
                    <a:lumMod val="50000"/>
                  </a:schemeClr>
                </a:solidFill>
                <a:latin typeface="+mj-lt"/>
                <a:ea typeface="+mn-ea"/>
                <a:cs typeface="+mn-cs"/>
              </a:rPr>
              <a:t>]</a:t>
            </a:r>
            <a:r>
              <a:rPr lang="cs-CZ" sz="1100" b="1" i="0" u="none" strike="noStrike" kern="1200" cap="all" baseline="0">
                <a:solidFill>
                  <a:schemeClr val="accent2">
                    <a:lumMod val="50000"/>
                  </a:schemeClr>
                </a:solidFill>
                <a:latin typeface="+mj-lt"/>
                <a:ea typeface="+mn-ea"/>
                <a:cs typeface="+mn-cs"/>
              </a:rPr>
              <a:t> </a:t>
            </a:r>
            <a:endParaRPr lang="sk-SK" sz="1100" b="1" i="0" u="none" strike="noStrike" kern="1200" cap="all" baseline="0">
              <a:solidFill>
                <a:schemeClr val="accent2">
                  <a:lumMod val="50000"/>
                </a:schemeClr>
              </a:solidFill>
              <a:latin typeface="+mj-lt"/>
              <a:ea typeface="+mn-ea"/>
              <a:cs typeface="+mn-cs"/>
            </a:endParaRPr>
          </a:p>
          <a:p>
            <a:pPr marL="0" marR="0" indent="0" algn="l" defTabSz="914400" rtl="0" eaLnBrk="1" fontAlgn="auto" latinLnBrk="0" hangingPunct="1">
              <a:lnSpc>
                <a:spcPct val="100000"/>
              </a:lnSpc>
              <a:spcBef>
                <a:spcPts val="0"/>
              </a:spcBef>
              <a:spcAft>
                <a:spcPts val="0"/>
              </a:spcAft>
              <a:buClrTx/>
              <a:buSzTx/>
              <a:buFontTx/>
              <a:buNone/>
              <a:tabLst/>
              <a:defRPr sz="1100" b="1" i="0" u="none" strike="noStrike" kern="1200" baseline="0">
                <a:solidFill>
                  <a:srgbClr val="002060"/>
                </a:solidFill>
                <a:latin typeface="+mj-lt"/>
                <a:ea typeface="+mn-ea"/>
                <a:cs typeface="+mn-cs"/>
              </a:defRPr>
            </a:pPr>
            <a:endParaRPr lang="sk-SK" sz="1100" cap="all">
              <a:solidFill>
                <a:srgbClr val="002060"/>
              </a:solidFill>
              <a:latin typeface="+mj-lt"/>
            </a:endParaRPr>
          </a:p>
        </c:rich>
      </c:tx>
      <c:layout>
        <c:manualLayout>
          <c:xMode val="edge"/>
          <c:yMode val="edge"/>
          <c:x val="1.2952933378538077E-3"/>
          <c:y val="3.2102819394452982E-3"/>
        </c:manualLayout>
      </c:layout>
      <c:overlay val="0"/>
    </c:title>
    <c:autoTitleDeleted val="0"/>
    <c:plotArea>
      <c:layout>
        <c:manualLayout>
          <c:layoutTarget val="inner"/>
          <c:xMode val="edge"/>
          <c:yMode val="edge"/>
          <c:x val="0.10794041844697309"/>
          <c:y val="0.12330819612135685"/>
          <c:w val="0.83061915437374034"/>
          <c:h val="0.64426796725371838"/>
        </c:manualLayout>
      </c:layout>
      <c:barChart>
        <c:barDir val="col"/>
        <c:grouping val="stacked"/>
        <c:varyColors val="0"/>
        <c:ser>
          <c:idx val="0"/>
          <c:order val="1"/>
          <c:tx>
            <c:strRef>
              <c:f>Prov_KAN_anom_celkem!$C$57</c:f>
              <c:strCache>
                <c:ptCount val="1"/>
                <c:pt idx="0">
                  <c:v>Objem vody odpadní a srážkové fakturované (mil. m3) s výskytem alespoň jedné anomálie</c:v>
                </c:pt>
              </c:strCache>
            </c:strRef>
          </c:tx>
          <c:spPr>
            <a:solidFill>
              <a:srgbClr val="FF4A11"/>
            </a:solidFill>
            <a:scene3d>
              <a:camera prst="orthographicFront"/>
              <a:lightRig rig="threePt" dir="t"/>
            </a:scene3d>
            <a:sp3d>
              <a:bevelT/>
            </a:sp3d>
          </c:spPr>
          <c:invertIfNegative val="0"/>
          <c:dLbls>
            <c:dLbl>
              <c:idx val="0"/>
              <c:layout>
                <c:manualLayout>
                  <c:x val="-1.4082588002660722E-2"/>
                  <c:y val="-0.11175337186897881"/>
                </c:manualLayout>
              </c:layout>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u="none" strike="noStrike" kern="1200" baseline="0">
                        <a:solidFill>
                          <a:sysClr val="windowText" lastClr="000000"/>
                        </a:solidFill>
                        <a:latin typeface="+mn-lt"/>
                        <a:ea typeface="+mn-ea"/>
                        <a:cs typeface="+mn-cs"/>
                      </a:rPr>
                      <a:t>0,00 mil.m</a:t>
                    </a:r>
                    <a:r>
                      <a:rPr lang="en-US" sz="1000" b="1" i="0" u="none" strike="noStrike" kern="1200" baseline="30000">
                        <a:solidFill>
                          <a:sysClr val="windowText" lastClr="000000"/>
                        </a:solidFill>
                        <a:latin typeface="+mn-lt"/>
                        <a:ea typeface="+mn-ea"/>
                        <a:cs typeface="+mn-cs"/>
                      </a:rPr>
                      <a:t>3</a:t>
                    </a:r>
                    <a:r>
                      <a:rPr lang="en-US" sz="1800" b="1" i="0" baseline="0"/>
                      <a:t> </a:t>
                    </a:r>
                    <a:endParaRPr lang="en-US" b="1"/>
                  </a:p>
                </c:rich>
              </c:tx>
              <c:numFmt formatCode="#,##0.00" sourceLinked="0"/>
              <c:spPr/>
              <c:showLegendKey val="1"/>
              <c:showVal val="1"/>
              <c:showCatName val="0"/>
              <c:showSerName val="0"/>
              <c:showPercent val="0"/>
              <c:showBubbleSize val="0"/>
              <c:extLst>
                <c:ext xmlns:c15="http://schemas.microsoft.com/office/drawing/2012/chart" uri="{CE6537A1-D6FC-4f65-9D91-7224C49458BB}">
                  <c15:layout/>
                </c:ext>
              </c:extLst>
            </c:dLbl>
            <c:dLbl>
              <c:idx val="1"/>
              <c:layout>
                <c:manualLayout>
                  <c:x val="-1.0561941001995541E-2"/>
                  <c:y val="-5.1380860629415541E-2"/>
                </c:manualLayout>
              </c:layout>
              <c:tx>
                <c:rich>
                  <a:bodyPr/>
                  <a:lstStyle/>
                  <a:p>
                    <a:r>
                      <a:rPr lang="en-US"/>
                      <a:t>25,40 </a:t>
                    </a:r>
                    <a:r>
                      <a:rPr lang="en-US" sz="1000" b="1" i="0" u="none" strike="noStrike" baseline="0"/>
                      <a:t>mil.m</a:t>
                    </a:r>
                    <a:r>
                      <a:rPr lang="en-US" sz="1000" b="1"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2"/>
              <c:layout>
                <c:manualLayout>
                  <c:x val="-1.0561941001995541E-2"/>
                  <c:y val="-7.7071290944123308E-2"/>
                </c:manualLayout>
              </c:layout>
              <c:tx>
                <c:rich>
                  <a:bodyPr rot="-5400000" vert="horz"/>
                  <a:lstStyle/>
                  <a:p>
                    <a:pPr>
                      <a:defRPr b="1">
                        <a:solidFill>
                          <a:sysClr val="windowText" lastClr="000000"/>
                        </a:solidFill>
                      </a:defRPr>
                    </a:pPr>
                    <a:r>
                      <a:rPr lang="en-US" b="1"/>
                      <a:t>7,73 </a:t>
                    </a:r>
                    <a:r>
                      <a:rPr lang="en-US" sz="1000" b="1" i="0" u="none" strike="noStrike" baseline="0"/>
                      <a:t>mil.m</a:t>
                    </a:r>
                    <a:r>
                      <a:rPr lang="en-US" sz="1000" b="1" i="0" u="none" strike="noStrike" baseline="30000"/>
                      <a:t>3</a:t>
                    </a:r>
                    <a:endParaRPr lang="en-US" b="1"/>
                  </a:p>
                </c:rich>
              </c:tx>
              <c:numFmt formatCode="#,##0.00" sourceLinked="0"/>
              <c:spPr>
                <a:noFill/>
                <a:ln>
                  <a:noFill/>
                </a:ln>
                <a:effectLst/>
              </c:spPr>
              <c:showLegendKey val="1"/>
              <c:showVal val="1"/>
              <c:showCatName val="0"/>
              <c:showSerName val="0"/>
              <c:showPercent val="0"/>
              <c:showBubbleSize val="0"/>
              <c:extLst>
                <c:ext xmlns:c15="http://schemas.microsoft.com/office/drawing/2012/chart" uri="{CE6537A1-D6FC-4f65-9D91-7224C49458BB}">
                  <c15:layout/>
                </c:ext>
              </c:extLst>
            </c:dLbl>
            <c:dLbl>
              <c:idx val="3"/>
              <c:layout>
                <c:manualLayout>
                  <c:x val="-1.5842911502993311E-2"/>
                  <c:y val="-7.0648683365446371E-2"/>
                </c:manualLayout>
              </c:layout>
              <c:tx>
                <c:rich>
                  <a:bodyPr/>
                  <a:lstStyle/>
                  <a:p>
                    <a:r>
                      <a:rPr lang="en-US"/>
                      <a:t>26,06 </a:t>
                    </a:r>
                    <a:r>
                      <a:rPr lang="en-US" sz="1000" b="1" i="0" u="none" strike="noStrike" baseline="0"/>
                      <a:t>mil.m</a:t>
                    </a:r>
                    <a:r>
                      <a:rPr lang="en-US" sz="1000" b="1"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4"/>
              <c:layout>
                <c:manualLayout>
                  <c:x val="-1.2322264502328132E-2"/>
                  <c:y val="-0.1001926782273603"/>
                </c:manualLayout>
              </c:layout>
              <c:tx>
                <c:rich>
                  <a:bodyPr/>
                  <a:lstStyle/>
                  <a:p>
                    <a:r>
                      <a:rPr lang="en-US"/>
                      <a:t>35,63 </a:t>
                    </a:r>
                    <a:r>
                      <a:rPr lang="en-US" sz="1000" b="1" i="0" u="none" strike="noStrike" baseline="0"/>
                      <a:t>mil.m</a:t>
                    </a:r>
                    <a:r>
                      <a:rPr lang="en-US" sz="1000" b="1"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5"/>
              <c:layout/>
              <c:tx>
                <c:rich>
                  <a:bodyPr/>
                  <a:lstStyle/>
                  <a:p>
                    <a:r>
                      <a:rPr lang="en-US"/>
                      <a:t>30,29 </a:t>
                    </a:r>
                    <a:r>
                      <a:rPr lang="en-US" sz="1000" b="1" i="0" u="none" strike="noStrike" baseline="0"/>
                      <a:t>mil.m</a:t>
                    </a:r>
                    <a:r>
                      <a:rPr lang="en-US" sz="1000" b="1"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6"/>
              <c:layout>
                <c:manualLayout>
                  <c:x val="-8.8016175016630803E-3"/>
                  <c:y val="3.4682080924855488E-2"/>
                </c:manualLayout>
              </c:layout>
              <c:tx>
                <c:rich>
                  <a:bodyPr rot="0" vert="horz"/>
                  <a:lstStyle/>
                  <a:p>
                    <a:pPr>
                      <a:defRPr b="1">
                        <a:solidFill>
                          <a:sysClr val="windowText" lastClr="000000"/>
                        </a:solidFill>
                      </a:defRPr>
                    </a:pPr>
                    <a:r>
                      <a:rPr lang="en-US" b="1"/>
                      <a:t>13,16 </a:t>
                    </a:r>
                    <a:r>
                      <a:rPr lang="en-US" sz="1000" b="1" i="0" u="none" strike="noStrike" baseline="0"/>
                      <a:t>mil.m</a:t>
                    </a:r>
                    <a:r>
                      <a:rPr lang="en-US" sz="1000" b="1" i="0" u="none" strike="noStrike" baseline="30000"/>
                      <a:t>3</a:t>
                    </a:r>
                    <a:endParaRPr lang="en-US" b="1"/>
                  </a:p>
                </c:rich>
              </c:tx>
              <c:numFmt formatCode="#,##0.00" sourceLinked="0"/>
              <c:spPr>
                <a:noFill/>
                <a:ln>
                  <a:noFill/>
                </a:ln>
                <a:effectLst/>
              </c:spPr>
              <c:showLegendKey val="1"/>
              <c:showVal val="1"/>
              <c:showCatName val="0"/>
              <c:showSerName val="0"/>
              <c:showPercent val="0"/>
              <c:showBubbleSize val="0"/>
              <c:extLst>
                <c:ext xmlns:c15="http://schemas.microsoft.com/office/drawing/2012/chart" uri="{CE6537A1-D6FC-4f65-9D91-7224C49458BB}">
                  <c15:layout/>
                </c:ext>
              </c:extLst>
            </c:dLbl>
            <c:dLbl>
              <c:idx val="7"/>
              <c:layout>
                <c:manualLayout>
                  <c:x val="1.1913509401682838E-4"/>
                  <c:y val="2.18368880801443E-2"/>
                </c:manualLayout>
              </c:layout>
              <c:tx>
                <c:rich>
                  <a:bodyPr rot="0" vert="horz"/>
                  <a:lstStyle/>
                  <a:p>
                    <a:pPr>
                      <a:defRPr b="1">
                        <a:solidFill>
                          <a:sysClr val="windowText" lastClr="000000"/>
                        </a:solidFill>
                      </a:defRPr>
                    </a:pPr>
                    <a:r>
                      <a:rPr lang="en-US" b="1"/>
                      <a:t>6,71 </a:t>
                    </a:r>
                    <a:r>
                      <a:rPr lang="en-US" sz="1000" b="1" i="0" u="none" strike="noStrike" baseline="0"/>
                      <a:t>mil.m</a:t>
                    </a:r>
                    <a:r>
                      <a:rPr lang="en-US" sz="1000" b="1" i="0" u="none" strike="noStrike" baseline="30000"/>
                      <a:t>3</a:t>
                    </a:r>
                    <a:endParaRPr lang="en-US" b="1"/>
                  </a:p>
                </c:rich>
              </c:tx>
              <c:numFmt formatCode="#,##0.00" sourceLinked="0"/>
              <c:spPr>
                <a:noFill/>
                <a:ln>
                  <a:noFill/>
                </a:ln>
                <a:effectLst/>
              </c:spPr>
              <c:showLegendKey val="1"/>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rot="-5400000" vert="horz"/>
              <a:lstStyle/>
              <a:p>
                <a:pPr>
                  <a:defRPr b="1">
                    <a:solidFill>
                      <a:sysClr val="windowText" lastClr="000000"/>
                    </a:solidFill>
                  </a:defRPr>
                </a:pPr>
                <a:endParaRPr lang="cs-CZ"/>
              </a:p>
            </c:txPr>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Prov_KAN_anom_celkem!$A$58:$A$65</c:f>
              <c:strCache>
                <c:ptCount val="8"/>
                <c:pt idx="0">
                  <c:v>I.SKUPINA (&gt;500 000 PŘ.OB.)</c:v>
                </c:pt>
                <c:pt idx="1">
                  <c:v>II.SKUPINA (&gt;200 000 PŘ.OB.)</c:v>
                </c:pt>
                <c:pt idx="2">
                  <c:v>III.SKUPINA (&gt;100 000 PŘ.OB.)</c:v>
                </c:pt>
                <c:pt idx="3">
                  <c:v>IV.SKUPINA (&gt;50 000 PŘ.OB.)</c:v>
                </c:pt>
                <c:pt idx="4">
                  <c:v>V.SKUPINA (&gt;10 000 PŘ.OB.)</c:v>
                </c:pt>
                <c:pt idx="5">
                  <c:v>VI.SKUPINA (&gt;1 000 PŘ.OB.)</c:v>
                </c:pt>
                <c:pt idx="6">
                  <c:v>VII.SKUPINA (&gt;300 PŘ.OB.)</c:v>
                </c:pt>
                <c:pt idx="7">
                  <c:v>VIII.SKUPINA (&lt;300 PŘ.OB.)</c:v>
                </c:pt>
              </c:strCache>
            </c:strRef>
          </c:cat>
          <c:val>
            <c:numRef>
              <c:f>Prov_KAN_anom_celkem!$C$58:$C$65</c:f>
              <c:numCache>
                <c:formatCode>General</c:formatCode>
                <c:ptCount val="8"/>
                <c:pt idx="0">
                  <c:v>0</c:v>
                </c:pt>
                <c:pt idx="1">
                  <c:v>25.397807</c:v>
                </c:pt>
                <c:pt idx="2">
                  <c:v>7.7280049999999996</c:v>
                </c:pt>
                <c:pt idx="3">
                  <c:v>26.060897999999998</c:v>
                </c:pt>
                <c:pt idx="4">
                  <c:v>35.629969000000003</c:v>
                </c:pt>
                <c:pt idx="5">
                  <c:v>30.290650999999993</c:v>
                </c:pt>
                <c:pt idx="6">
                  <c:v>13.160181000000003</c:v>
                </c:pt>
                <c:pt idx="7">
                  <c:v>6.7068399999999944</c:v>
                </c:pt>
              </c:numCache>
            </c:numRef>
          </c:val>
          <c:extLst xmlns:c16r2="http://schemas.microsoft.com/office/drawing/2015/06/chart">
            <c:ext xmlns:c16="http://schemas.microsoft.com/office/drawing/2014/chart" uri="{C3380CC4-5D6E-409C-BE32-E72D297353CC}">
              <c16:uniqueId val="{00000003-64EF-417D-A87D-40818EF8A220}"/>
            </c:ext>
          </c:extLst>
        </c:ser>
        <c:ser>
          <c:idx val="3"/>
          <c:order val="2"/>
          <c:tx>
            <c:strRef>
              <c:f>Prov_KAN_anom_celkem!$D$57</c:f>
              <c:strCache>
                <c:ptCount val="1"/>
                <c:pt idx="0">
                  <c:v>Objem vody odpadní a srážkové fakturované bez anomálií (v mil. m3)</c:v>
                </c:pt>
              </c:strCache>
            </c:strRef>
          </c:tx>
          <c:spPr>
            <a:scene3d>
              <a:camera prst="orthographicFront"/>
              <a:lightRig rig="threePt" dir="t"/>
            </a:scene3d>
            <a:sp3d>
              <a:bevelT/>
            </a:sp3d>
          </c:spPr>
          <c:invertIfNegative val="0"/>
          <c:dPt>
            <c:idx val="1"/>
            <c:invertIfNegative val="0"/>
            <c:bubble3D val="0"/>
            <c:spPr>
              <a:ln>
                <a:noFill/>
              </a:ln>
              <a:scene3d>
                <a:camera prst="orthographicFront"/>
                <a:lightRig rig="threePt" dir="t"/>
              </a:scene3d>
              <a:sp3d>
                <a:bevelT/>
              </a:sp3d>
            </c:spPr>
          </c:dPt>
          <c:dPt>
            <c:idx val="2"/>
            <c:invertIfNegative val="0"/>
            <c:bubble3D val="0"/>
            <c:spPr>
              <a:ln>
                <a:noFill/>
              </a:ln>
              <a:scene3d>
                <a:camera prst="orthographicFront"/>
                <a:lightRig rig="threePt" dir="t"/>
              </a:scene3d>
              <a:sp3d>
                <a:bevelT/>
              </a:sp3d>
            </c:spPr>
          </c:dPt>
          <c:dPt>
            <c:idx val="3"/>
            <c:invertIfNegative val="0"/>
            <c:bubble3D val="0"/>
            <c:spPr>
              <a:ln>
                <a:noFill/>
              </a:ln>
              <a:scene3d>
                <a:camera prst="orthographicFront"/>
                <a:lightRig rig="threePt" dir="t"/>
              </a:scene3d>
              <a:sp3d>
                <a:bevelT/>
              </a:sp3d>
            </c:spPr>
          </c:dPt>
          <c:dPt>
            <c:idx val="4"/>
            <c:invertIfNegative val="0"/>
            <c:bubble3D val="0"/>
            <c:spPr>
              <a:ln>
                <a:noFill/>
              </a:ln>
              <a:scene3d>
                <a:camera prst="orthographicFront"/>
                <a:lightRig rig="threePt" dir="t"/>
              </a:scene3d>
              <a:sp3d>
                <a:bevelT/>
              </a:sp3d>
            </c:spPr>
          </c:dPt>
          <c:dPt>
            <c:idx val="5"/>
            <c:invertIfNegative val="0"/>
            <c:bubble3D val="0"/>
            <c:spPr>
              <a:ln>
                <a:noFill/>
              </a:ln>
              <a:scene3d>
                <a:camera prst="orthographicFront"/>
                <a:lightRig rig="threePt" dir="t"/>
              </a:scene3d>
              <a:sp3d>
                <a:bevelT/>
              </a:sp3d>
            </c:spPr>
          </c:dPt>
          <c:dPt>
            <c:idx val="6"/>
            <c:invertIfNegative val="0"/>
            <c:bubble3D val="0"/>
            <c:spPr>
              <a:ln>
                <a:noFill/>
              </a:ln>
              <a:scene3d>
                <a:camera prst="orthographicFront"/>
                <a:lightRig rig="threePt" dir="t"/>
              </a:scene3d>
              <a:sp3d>
                <a:bevelT/>
              </a:sp3d>
            </c:spPr>
          </c:dPt>
          <c:dPt>
            <c:idx val="7"/>
            <c:invertIfNegative val="0"/>
            <c:bubble3D val="0"/>
            <c:spPr>
              <a:ln>
                <a:noFill/>
              </a:ln>
              <a:scene3d>
                <a:camera prst="orthographicFront"/>
                <a:lightRig rig="threePt" dir="t"/>
              </a:scene3d>
              <a:sp3d>
                <a:bevelT/>
              </a:sp3d>
            </c:spPr>
          </c:dPt>
          <c:cat>
            <c:strRef>
              <c:f>Prov_KAN_anom_celkem!$A$58:$A$65</c:f>
              <c:strCache>
                <c:ptCount val="8"/>
                <c:pt idx="0">
                  <c:v>I.SKUPINA (&gt;500 000 PŘ.OB.)</c:v>
                </c:pt>
                <c:pt idx="1">
                  <c:v>II.SKUPINA (&gt;200 000 PŘ.OB.)</c:v>
                </c:pt>
                <c:pt idx="2">
                  <c:v>III.SKUPINA (&gt;100 000 PŘ.OB.)</c:v>
                </c:pt>
                <c:pt idx="3">
                  <c:v>IV.SKUPINA (&gt;50 000 PŘ.OB.)</c:v>
                </c:pt>
                <c:pt idx="4">
                  <c:v>V.SKUPINA (&gt;10 000 PŘ.OB.)</c:v>
                </c:pt>
                <c:pt idx="5">
                  <c:v>VI.SKUPINA (&gt;1 000 PŘ.OB.)</c:v>
                </c:pt>
                <c:pt idx="6">
                  <c:v>VII.SKUPINA (&gt;300 PŘ.OB.)</c:v>
                </c:pt>
                <c:pt idx="7">
                  <c:v>VIII.SKUPINA (&lt;300 PŘ.OB.)</c:v>
                </c:pt>
              </c:strCache>
            </c:strRef>
          </c:cat>
          <c:val>
            <c:numRef>
              <c:f>Prov_KAN_anom_celkem!$D$58:$D$65</c:f>
              <c:numCache>
                <c:formatCode>General</c:formatCode>
                <c:ptCount val="8"/>
                <c:pt idx="0">
                  <c:v>135.81282099999999</c:v>
                </c:pt>
                <c:pt idx="1">
                  <c:v>41.687033999999997</c:v>
                </c:pt>
                <c:pt idx="2">
                  <c:v>69.071796000000006</c:v>
                </c:pt>
                <c:pt idx="3">
                  <c:v>38.086753000000016</c:v>
                </c:pt>
                <c:pt idx="4">
                  <c:v>34.129039000000006</c:v>
                </c:pt>
                <c:pt idx="5">
                  <c:v>29.273982000000029</c:v>
                </c:pt>
                <c:pt idx="6">
                  <c:v>5.7819589999999952</c:v>
                </c:pt>
                <c:pt idx="7">
                  <c:v>0.68406100000000691</c:v>
                </c:pt>
              </c:numCache>
            </c:numRef>
          </c:val>
        </c:ser>
        <c:dLbls>
          <c:showLegendKey val="0"/>
          <c:showVal val="0"/>
          <c:showCatName val="0"/>
          <c:showSerName val="0"/>
          <c:showPercent val="0"/>
          <c:showBubbleSize val="0"/>
        </c:dLbls>
        <c:gapWidth val="36"/>
        <c:overlap val="100"/>
        <c:axId val="378556056"/>
        <c:axId val="378556840"/>
      </c:barChart>
      <c:lineChart>
        <c:grouping val="standard"/>
        <c:varyColors val="0"/>
        <c:ser>
          <c:idx val="1"/>
          <c:order val="0"/>
          <c:tx>
            <c:strRef>
              <c:f>Prov_KAN_anom_celkem!$B$57</c:f>
              <c:strCache>
                <c:ptCount val="1"/>
                <c:pt idx="0">
                  <c:v>Objem vody odpadní a srážkové fakturované ve skupině (v mil. m3)</c:v>
                </c:pt>
              </c:strCache>
            </c:strRef>
          </c:tx>
          <c:spPr>
            <a:ln w="38100">
              <a:solidFill>
                <a:srgbClr val="008000"/>
              </a:solidFill>
            </a:ln>
          </c:spPr>
          <c:marker>
            <c:symbol val="square"/>
            <c:size val="9"/>
            <c:spPr>
              <a:solidFill>
                <a:srgbClr val="008000"/>
              </a:solidFill>
              <a:ln>
                <a:solidFill>
                  <a:srgbClr val="008000"/>
                </a:solidFill>
              </a:ln>
              <a:scene3d>
                <a:camera prst="orthographicFront"/>
                <a:lightRig rig="threePt" dir="t"/>
              </a:scene3d>
              <a:sp3d>
                <a:bevelT/>
              </a:sp3d>
            </c:spPr>
          </c:marker>
          <c:dLbls>
            <c:dLbl>
              <c:idx val="0"/>
              <c:layout>
                <c:manualLayout>
                  <c:x val="-3.5206470006651806E-3"/>
                  <c:y val="0"/>
                </c:manualLayout>
              </c:layout>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8000"/>
                        </a:solidFill>
                        <a:latin typeface="+mn-lt"/>
                        <a:ea typeface="+mn-ea"/>
                        <a:cs typeface="+mn-cs"/>
                      </a:defRPr>
                    </a:pPr>
                    <a:r>
                      <a:rPr lang="en-US"/>
                      <a:t>135,81 </a:t>
                    </a:r>
                    <a:r>
                      <a:rPr lang="en-US" sz="1000" b="1" i="0" u="none" strike="noStrike" kern="1200" baseline="0">
                        <a:solidFill>
                          <a:srgbClr val="008000"/>
                        </a:solidFill>
                        <a:latin typeface="+mn-lt"/>
                        <a:ea typeface="+mn-ea"/>
                        <a:cs typeface="+mn-cs"/>
                      </a:rPr>
                      <a:t>mil.m3</a:t>
                    </a:r>
                  </a:p>
                </c:rich>
              </c:tx>
              <c:numFmt formatCode="#,##0.00" sourceLinked="0"/>
              <c:spPr/>
              <c:showLegendKey val="1"/>
              <c:showVal val="1"/>
              <c:showCatName val="0"/>
              <c:showSerName val="0"/>
              <c:showPercent val="0"/>
              <c:showBubbleSize val="0"/>
              <c:extLst>
                <c:ext xmlns:c15="http://schemas.microsoft.com/office/drawing/2012/chart" uri="{CE6537A1-D6FC-4f65-9D91-7224C49458BB}">
                  <c15:layout/>
                </c:ext>
              </c:extLst>
            </c:dLbl>
            <c:dLbl>
              <c:idx val="1"/>
              <c:layout>
                <c:manualLayout>
                  <c:x val="-4.4008087508314787E-2"/>
                  <c:y val="-6.0372511239563262E-2"/>
                </c:manualLayout>
              </c:layout>
              <c:tx>
                <c:rich>
                  <a:bodyPr/>
                  <a:lstStyle/>
                  <a:p>
                    <a:r>
                      <a:rPr lang="en-US"/>
                      <a:t>67,08 </a:t>
                    </a:r>
                    <a:r>
                      <a:rPr lang="en-US" sz="1000" b="1" i="0" u="none" strike="noStrike" baseline="0"/>
                      <a:t>mil.m3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2"/>
              <c:layout>
                <c:manualLayout>
                  <c:x val="-7.3933587013968793E-2"/>
                  <c:y val="-5.0096339113680201E-2"/>
                </c:manualLayout>
              </c:layout>
              <c:tx>
                <c:rich>
                  <a:bodyPr/>
                  <a:lstStyle/>
                  <a:p>
                    <a:r>
                      <a:rPr lang="en-US"/>
                      <a:t>76,80 </a:t>
                    </a:r>
                    <a:r>
                      <a:rPr lang="en-US" sz="1000" b="1" i="0" u="none" strike="noStrike" baseline="0"/>
                      <a:t>mil.m3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3"/>
              <c:layout>
                <c:manualLayout>
                  <c:x val="-6.6892293012638368E-2"/>
                  <c:y val="-6.4226075786769435E-2"/>
                </c:manualLayout>
              </c:layout>
              <c:tx>
                <c:rich>
                  <a:bodyPr/>
                  <a:lstStyle/>
                  <a:p>
                    <a:r>
                      <a:rPr lang="en-US"/>
                      <a:t>64,15 </a:t>
                    </a:r>
                    <a:r>
                      <a:rPr lang="en-US" sz="1000" b="1" i="0" u="none" strike="noStrike" baseline="0"/>
                      <a:t>mil.m3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4"/>
              <c:layout>
                <c:manualLayout>
                  <c:x val="-8.6255851516296916E-2"/>
                  <c:y val="-6.0372511239563213E-2"/>
                </c:manualLayout>
              </c:layout>
              <c:tx>
                <c:rich>
                  <a:bodyPr/>
                  <a:lstStyle/>
                  <a:p>
                    <a:r>
                      <a:rPr lang="en-US"/>
                      <a:t>69,76 </a:t>
                    </a:r>
                    <a:r>
                      <a:rPr lang="en-US" sz="1000" b="1" i="0" u="none" strike="noStrike" baseline="0"/>
                      <a:t>mil.m3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5"/>
              <c:layout>
                <c:manualLayout>
                  <c:x val="-4.7528734508979938E-2"/>
                  <c:y val="-3.2113037893384717E-2"/>
                </c:manualLayout>
              </c:layout>
              <c:tx>
                <c:rich>
                  <a:bodyPr/>
                  <a:lstStyle/>
                  <a:p>
                    <a:r>
                      <a:rPr lang="en-US"/>
                      <a:t>59,56 </a:t>
                    </a:r>
                    <a:r>
                      <a:rPr lang="en-US" sz="1000" b="1" i="0" u="none" strike="noStrike" baseline="0"/>
                      <a:t>mil.m3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6"/>
              <c:layout>
                <c:manualLayout>
                  <c:x val="-4.5768411008647349E-2"/>
                  <c:y val="-4.2389210019267917E-2"/>
                </c:manualLayout>
              </c:layout>
              <c:tx>
                <c:rich>
                  <a:bodyPr/>
                  <a:lstStyle/>
                  <a:p>
                    <a:r>
                      <a:rPr lang="en-US"/>
                      <a:t>18,94 </a:t>
                    </a:r>
                    <a:r>
                      <a:rPr lang="en-US" sz="1000" b="1" i="0" u="none" strike="noStrike" baseline="0"/>
                      <a:t>mil.m3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7"/>
              <c:layout>
                <c:manualLayout>
                  <c:x val="-5.8090675510975479E-2"/>
                  <c:y val="-4.8811817597944861E-2"/>
                </c:manualLayout>
              </c:layout>
              <c:tx>
                <c:rich>
                  <a:bodyPr/>
                  <a:lstStyle/>
                  <a:p>
                    <a:r>
                      <a:rPr lang="en-US"/>
                      <a:t>7,39 </a:t>
                    </a:r>
                    <a:r>
                      <a:rPr lang="en-US" sz="1000" b="1" i="0" u="none" strike="noStrike" baseline="0"/>
                      <a:t>mil.m3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rot="-5400000" vert="horz"/>
              <a:lstStyle/>
              <a:p>
                <a:pPr>
                  <a:defRPr b="1">
                    <a:solidFill>
                      <a:srgbClr val="008000"/>
                    </a:solidFill>
                  </a:defRPr>
                </a:pPr>
                <a:endParaRPr lang="cs-CZ"/>
              </a:p>
            </c:txPr>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Prov_KAN_anom_celkem!$A$58:$A$65</c:f>
              <c:strCache>
                <c:ptCount val="8"/>
                <c:pt idx="0">
                  <c:v>I.SKUPINA (&gt;500 000 PŘ.OB.)</c:v>
                </c:pt>
                <c:pt idx="1">
                  <c:v>II.SKUPINA (&gt;200 000 PŘ.OB.)</c:v>
                </c:pt>
                <c:pt idx="2">
                  <c:v>III.SKUPINA (&gt;100 000 PŘ.OB.)</c:v>
                </c:pt>
                <c:pt idx="3">
                  <c:v>IV.SKUPINA (&gt;50 000 PŘ.OB.)</c:v>
                </c:pt>
                <c:pt idx="4">
                  <c:v>V.SKUPINA (&gt;10 000 PŘ.OB.)</c:v>
                </c:pt>
                <c:pt idx="5">
                  <c:v>VI.SKUPINA (&gt;1 000 PŘ.OB.)</c:v>
                </c:pt>
                <c:pt idx="6">
                  <c:v>VII.SKUPINA (&gt;300 PŘ.OB.)</c:v>
                </c:pt>
                <c:pt idx="7">
                  <c:v>VIII.SKUPINA (&lt;300 PŘ.OB.)</c:v>
                </c:pt>
              </c:strCache>
            </c:strRef>
          </c:cat>
          <c:val>
            <c:numRef>
              <c:f>Prov_KAN_anom_celkem!$B$58:$B$65</c:f>
              <c:numCache>
                <c:formatCode>General</c:formatCode>
                <c:ptCount val="8"/>
                <c:pt idx="0">
                  <c:v>135.81282099999999</c:v>
                </c:pt>
                <c:pt idx="1">
                  <c:v>67.084840999999997</c:v>
                </c:pt>
                <c:pt idx="2">
                  <c:v>76.799801000000002</c:v>
                </c:pt>
                <c:pt idx="3">
                  <c:v>64.14765100000001</c:v>
                </c:pt>
                <c:pt idx="4">
                  <c:v>69.759008000000009</c:v>
                </c:pt>
                <c:pt idx="5">
                  <c:v>59.564633000000022</c:v>
                </c:pt>
                <c:pt idx="6">
                  <c:v>18.942139999999998</c:v>
                </c:pt>
                <c:pt idx="7">
                  <c:v>7.3909010000000013</c:v>
                </c:pt>
              </c:numCache>
            </c:numRef>
          </c:val>
          <c:smooth val="0"/>
          <c:extLst xmlns:c16r2="http://schemas.microsoft.com/office/drawing/2015/06/chart">
            <c:ext xmlns:c16="http://schemas.microsoft.com/office/drawing/2014/chart" uri="{C3380CC4-5D6E-409C-BE32-E72D297353CC}">
              <c16:uniqueId val="{00000002-64EF-417D-A87D-40818EF8A220}"/>
            </c:ext>
          </c:extLst>
        </c:ser>
        <c:dLbls>
          <c:showLegendKey val="0"/>
          <c:showVal val="0"/>
          <c:showCatName val="0"/>
          <c:showSerName val="0"/>
          <c:showPercent val="0"/>
          <c:showBubbleSize val="0"/>
        </c:dLbls>
        <c:marker val="1"/>
        <c:smooth val="0"/>
        <c:axId val="378556056"/>
        <c:axId val="378556840"/>
      </c:lineChart>
      <c:lineChart>
        <c:grouping val="standard"/>
        <c:varyColors val="0"/>
        <c:ser>
          <c:idx val="2"/>
          <c:order val="3"/>
          <c:tx>
            <c:strRef>
              <c:f>Prov_KAN_anom_celkem!$E$57</c:f>
              <c:strCache>
                <c:ptCount val="1"/>
                <c:pt idx="0">
                  <c:v>četnost výskytu anomálií</c:v>
                </c:pt>
              </c:strCache>
            </c:strRef>
          </c:tx>
          <c:spPr>
            <a:ln w="38100">
              <a:noFill/>
            </a:ln>
          </c:spPr>
          <c:marker>
            <c:symbol val="triangle"/>
            <c:size val="20"/>
            <c:spPr>
              <a:solidFill>
                <a:srgbClr val="F8CBAD"/>
              </a:solidFill>
              <a:scene3d>
                <a:camera prst="orthographicFront"/>
                <a:lightRig rig="threePt" dir="t"/>
              </a:scene3d>
              <a:sp3d>
                <a:bevelT/>
              </a:sp3d>
            </c:spPr>
          </c:marker>
          <c:dLbls>
            <c:dLbl>
              <c:idx val="0"/>
              <c:layout>
                <c:manualLayout>
                  <c:x val="-5.8090675510975479E-2"/>
                  <c:y val="-2.8259473346178548E-2"/>
                </c:manualLayout>
              </c:layout>
              <c:tx>
                <c:rich>
                  <a:bodyPr/>
                  <a:lstStyle/>
                  <a:p>
                    <a:r>
                      <a:rPr lang="en-US"/>
                      <a:t>0 výskytů</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2809705009977739E-2"/>
                  <c:y val="-2.3121387283236993E-2"/>
                </c:manualLayout>
              </c:layout>
              <c:tx>
                <c:rich>
                  <a:bodyPr/>
                  <a:lstStyle/>
                  <a:p>
                    <a:r>
                      <a:rPr lang="en-US"/>
                      <a:t>1 </a:t>
                    </a:r>
                    <a:r>
                      <a:rPr lang="en-US" sz="1000" b="0" i="0" u="none" strike="noStrike" baseline="0"/>
                      <a:t>výskyt</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9850999011308068E-2"/>
                  <c:y val="-2.3121387283236993E-2"/>
                </c:manualLayout>
              </c:layout>
              <c:tx>
                <c:rich>
                  <a:bodyPr/>
                  <a:lstStyle/>
                  <a:p>
                    <a:r>
                      <a:rPr lang="en-US"/>
                      <a:t>1 výskyt</a:t>
                    </a:r>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1611322511640594E-2"/>
                  <c:y val="-2.6974951830443159E-2"/>
                </c:manualLayout>
              </c:layout>
              <c:tx>
                <c:rich>
                  <a:bodyPr/>
                  <a:lstStyle/>
                  <a:p>
                    <a:r>
                      <a:rPr lang="en-US"/>
                      <a:t>5 </a:t>
                    </a:r>
                    <a:r>
                      <a:rPr lang="en-US" sz="1000" b="0"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5131969512305835E-2"/>
                  <c:y val="-2.4405908798972382E-2"/>
                </c:manualLayout>
              </c:layout>
              <c:tx>
                <c:rich>
                  <a:bodyPr/>
                  <a:lstStyle/>
                  <a:p>
                    <a:r>
                      <a:rPr lang="en-US"/>
                      <a:t>30 </a:t>
                    </a:r>
                    <a:r>
                      <a:rPr lang="en-US" sz="1000" b="0"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8090675510975479E-2"/>
                  <c:y val="-2.6974951830443114E-2"/>
                </c:manualLayout>
              </c:layout>
              <c:tx>
                <c:rich>
                  <a:bodyPr/>
                  <a:lstStyle/>
                  <a:p>
                    <a:r>
                      <a:rPr lang="en-US"/>
                      <a:t>412 </a:t>
                    </a:r>
                    <a:r>
                      <a:rPr lang="en-US" sz="1000" b="0"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6.3371646011973246E-2"/>
                  <c:y val="3.0828516377649325E-2"/>
                </c:manualLayout>
              </c:layout>
              <c:tx>
                <c:rich>
                  <a:bodyPr/>
                  <a:lstStyle/>
                  <a:p>
                    <a:r>
                      <a:rPr lang="en-US"/>
                      <a:t>766 </a:t>
                    </a:r>
                    <a:r>
                      <a:rPr lang="en-US" sz="1000" b="0"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spPr>
              <a:solidFill>
                <a:srgbClr val="F8CBAD">
                  <a:alpha val="67000"/>
                </a:srgb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Prov_KAN_anom_celkem!$A$58:$A$65</c:f>
              <c:strCache>
                <c:ptCount val="8"/>
                <c:pt idx="0">
                  <c:v>I.SKUPINA (&gt;500 000 PŘ.OB.)</c:v>
                </c:pt>
                <c:pt idx="1">
                  <c:v>II.SKUPINA (&gt;200 000 PŘ.OB.)</c:v>
                </c:pt>
                <c:pt idx="2">
                  <c:v>III.SKUPINA (&gt;100 000 PŘ.OB.)</c:v>
                </c:pt>
                <c:pt idx="3">
                  <c:v>IV.SKUPINA (&gt;50 000 PŘ.OB.)</c:v>
                </c:pt>
                <c:pt idx="4">
                  <c:v>V.SKUPINA (&gt;10 000 PŘ.OB.)</c:v>
                </c:pt>
                <c:pt idx="5">
                  <c:v>VI.SKUPINA (&gt;1 000 PŘ.OB.)</c:v>
                </c:pt>
                <c:pt idx="6">
                  <c:v>VII.SKUPINA (&gt;300 PŘ.OB.)</c:v>
                </c:pt>
                <c:pt idx="7">
                  <c:v>VIII.SKUPINA (&lt;300 PŘ.OB.)</c:v>
                </c:pt>
              </c:strCache>
            </c:strRef>
          </c:cat>
          <c:val>
            <c:numRef>
              <c:f>Prov_KAN_anom_celkem!$E$58:$E$65</c:f>
              <c:numCache>
                <c:formatCode>General</c:formatCode>
                <c:ptCount val="8"/>
                <c:pt idx="0">
                  <c:v>0</c:v>
                </c:pt>
                <c:pt idx="1">
                  <c:v>1</c:v>
                </c:pt>
                <c:pt idx="2">
                  <c:v>1</c:v>
                </c:pt>
                <c:pt idx="3">
                  <c:v>5</c:v>
                </c:pt>
                <c:pt idx="4">
                  <c:v>30</c:v>
                </c:pt>
                <c:pt idx="5">
                  <c:v>412</c:v>
                </c:pt>
                <c:pt idx="6">
                  <c:v>766</c:v>
                </c:pt>
                <c:pt idx="7">
                  <c:v>807</c:v>
                </c:pt>
              </c:numCache>
            </c:numRef>
          </c:val>
          <c:smooth val="0"/>
        </c:ser>
        <c:dLbls>
          <c:showLegendKey val="0"/>
          <c:showVal val="0"/>
          <c:showCatName val="0"/>
          <c:showSerName val="0"/>
          <c:showPercent val="0"/>
          <c:showBubbleSize val="0"/>
        </c:dLbls>
        <c:marker val="1"/>
        <c:smooth val="0"/>
        <c:axId val="378558408"/>
        <c:axId val="378558800"/>
      </c:lineChart>
      <c:catAx>
        <c:axId val="378556056"/>
        <c:scaling>
          <c:orientation val="minMax"/>
        </c:scaling>
        <c:delete val="0"/>
        <c:axPos val="b"/>
        <c:majorGridlines/>
        <c:numFmt formatCode="General" sourceLinked="0"/>
        <c:majorTickMark val="none"/>
        <c:minorTickMark val="none"/>
        <c:tickLblPos val="nextTo"/>
        <c:txPr>
          <a:bodyPr rot="-2880000" vert="horz" anchor="t" anchorCtr="0"/>
          <a:lstStyle/>
          <a:p>
            <a:pPr>
              <a:defRPr sz="1000">
                <a:solidFill>
                  <a:schemeClr val="accent2">
                    <a:lumMod val="50000"/>
                  </a:schemeClr>
                </a:solidFill>
                <a:latin typeface="+mj-lt"/>
              </a:defRPr>
            </a:pPr>
            <a:endParaRPr lang="cs-CZ"/>
          </a:p>
        </c:txPr>
        <c:crossAx val="378556840"/>
        <c:crosses val="autoZero"/>
        <c:auto val="1"/>
        <c:lblAlgn val="ctr"/>
        <c:lblOffset val="100"/>
        <c:noMultiLvlLbl val="0"/>
      </c:catAx>
      <c:valAx>
        <c:axId val="378556840"/>
        <c:scaling>
          <c:orientation val="minMax"/>
          <c:max val="160"/>
          <c:min val="0"/>
        </c:scaling>
        <c:delete val="0"/>
        <c:axPos val="l"/>
        <c:majorGridlines/>
        <c:title>
          <c:tx>
            <c:rich>
              <a:bodyPr rot="-5400000" vert="horz"/>
              <a:lstStyle/>
              <a:p>
                <a:pPr>
                  <a:defRPr sz="1050">
                    <a:solidFill>
                      <a:srgbClr val="002060"/>
                    </a:solidFill>
                    <a:latin typeface="+mj-lt"/>
                  </a:defRPr>
                </a:pPr>
                <a:r>
                  <a:rPr lang="cs-CZ" sz="1050" b="1" i="0" u="none" strike="noStrike" cap="all" baseline="0">
                    <a:solidFill>
                      <a:schemeClr val="accent2">
                        <a:lumMod val="50000"/>
                      </a:schemeClr>
                    </a:solidFill>
                  </a:rPr>
                  <a:t>MNOŽSTVÍ odpadní a srážkové vody FAKTUROVANÉ </a:t>
                </a:r>
                <a:r>
                  <a:rPr lang="en-US" sz="1050" b="1" i="0" u="none" strike="noStrike" cap="all" baseline="0">
                    <a:solidFill>
                      <a:schemeClr val="accent2">
                        <a:lumMod val="50000"/>
                      </a:schemeClr>
                    </a:solidFill>
                  </a:rPr>
                  <a:t>[MIL.M3</a:t>
                </a:r>
                <a:endParaRPr lang="sk-SK" sz="1050" baseline="30000">
                  <a:solidFill>
                    <a:schemeClr val="accent2">
                      <a:lumMod val="50000"/>
                    </a:schemeClr>
                  </a:solidFill>
                  <a:latin typeface="+mj-lt"/>
                </a:endParaRPr>
              </a:p>
            </c:rich>
          </c:tx>
          <c:layout/>
          <c:overlay val="0"/>
        </c:title>
        <c:numFmt formatCode="General" sourceLinked="1"/>
        <c:majorTickMark val="none"/>
        <c:minorTickMark val="none"/>
        <c:tickLblPos val="nextTo"/>
        <c:spPr>
          <a:ln w="6350">
            <a:noFill/>
          </a:ln>
        </c:spPr>
        <c:txPr>
          <a:bodyPr/>
          <a:lstStyle/>
          <a:p>
            <a:pPr>
              <a:defRPr>
                <a:solidFill>
                  <a:schemeClr val="accent2">
                    <a:lumMod val="50000"/>
                  </a:schemeClr>
                </a:solidFill>
              </a:defRPr>
            </a:pPr>
            <a:endParaRPr lang="cs-CZ"/>
          </a:p>
        </c:txPr>
        <c:crossAx val="378556056"/>
        <c:crosses val="autoZero"/>
        <c:crossBetween val="between"/>
      </c:valAx>
      <c:valAx>
        <c:axId val="378558800"/>
        <c:scaling>
          <c:orientation val="minMax"/>
          <c:max val="800"/>
          <c:min val="0"/>
        </c:scaling>
        <c:delete val="0"/>
        <c:axPos val="r"/>
        <c:numFmt formatCode="General" sourceLinked="1"/>
        <c:majorTickMark val="out"/>
        <c:minorTickMark val="none"/>
        <c:tickLblPos val="nextTo"/>
        <c:txPr>
          <a:bodyPr/>
          <a:lstStyle/>
          <a:p>
            <a:pPr>
              <a:defRPr>
                <a:solidFill>
                  <a:schemeClr val="accent2">
                    <a:lumMod val="50000"/>
                  </a:schemeClr>
                </a:solidFill>
              </a:defRPr>
            </a:pPr>
            <a:endParaRPr lang="cs-CZ"/>
          </a:p>
        </c:txPr>
        <c:crossAx val="378558408"/>
        <c:crosses val="max"/>
        <c:crossBetween val="between"/>
      </c:valAx>
      <c:catAx>
        <c:axId val="378558408"/>
        <c:scaling>
          <c:orientation val="minMax"/>
        </c:scaling>
        <c:delete val="1"/>
        <c:axPos val="b"/>
        <c:numFmt formatCode="General" sourceLinked="1"/>
        <c:majorTickMark val="out"/>
        <c:minorTickMark val="none"/>
        <c:tickLblPos val="none"/>
        <c:crossAx val="378558800"/>
        <c:crosses val="autoZero"/>
        <c:auto val="1"/>
        <c:lblAlgn val="ctr"/>
        <c:lblOffset val="100"/>
        <c:noMultiLvlLbl val="0"/>
      </c:catAx>
    </c:plotArea>
    <c:legend>
      <c:legendPos val="b"/>
      <c:layout>
        <c:manualLayout>
          <c:xMode val="edge"/>
          <c:yMode val="edge"/>
          <c:x val="1.1149860848730343E-3"/>
          <c:y val="0.92595749369409786"/>
          <c:w val="0.99416637622862691"/>
          <c:h val="6.6252812851167214E-2"/>
        </c:manualLayout>
      </c:layout>
      <c:overlay val="0"/>
      <c:txPr>
        <a:bodyPr/>
        <a:lstStyle/>
        <a:p>
          <a:pPr>
            <a:defRPr>
              <a:solidFill>
                <a:schemeClr val="accent2">
                  <a:lumMod val="50000"/>
                </a:schemeClr>
              </a:solidFill>
            </a:defRPr>
          </a:pPr>
          <a:endParaRPr lang="cs-CZ"/>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lgn="l">
              <a:defRPr sz="1050">
                <a:solidFill>
                  <a:srgbClr val="002060"/>
                </a:solidFill>
                <a:latin typeface="+mj-lt"/>
              </a:defRPr>
            </a:pPr>
            <a:r>
              <a:rPr lang="cs-CZ" sz="1050" b="1" i="0" baseline="0">
                <a:solidFill>
                  <a:srgbClr val="002060"/>
                </a:solidFill>
                <a:latin typeface="+mj-lt"/>
              </a:rPr>
              <a:t>VÝSKYT ANOMÁLIÍ VE VZTAHU K MNOŽSTVÍ VODY PITNÉ FAKTUROVANÉ </a:t>
            </a:r>
            <a:r>
              <a:rPr lang="en-US" sz="1050" b="1" i="0" baseline="0">
                <a:solidFill>
                  <a:srgbClr val="002060"/>
                </a:solidFill>
                <a:latin typeface="+mj-lt"/>
              </a:rPr>
              <a:t>[MIL.M</a:t>
            </a:r>
            <a:r>
              <a:rPr lang="en-US" sz="1050" b="1" i="0" baseline="30000">
                <a:solidFill>
                  <a:srgbClr val="002060"/>
                </a:solidFill>
                <a:latin typeface="+mj-lt"/>
              </a:rPr>
              <a:t>3</a:t>
            </a:r>
            <a:r>
              <a:rPr lang="en-US" sz="1050" b="1" i="0" baseline="0">
                <a:solidFill>
                  <a:srgbClr val="002060"/>
                </a:solidFill>
                <a:latin typeface="+mj-lt"/>
              </a:rPr>
              <a:t>]</a:t>
            </a:r>
            <a:r>
              <a:rPr lang="cs-CZ" sz="1050" b="1" i="0" baseline="0">
                <a:solidFill>
                  <a:srgbClr val="002060"/>
                </a:solidFill>
                <a:latin typeface="+mj-lt"/>
              </a:rPr>
              <a:t> </a:t>
            </a:r>
            <a:endParaRPr lang="sk-SK" sz="1050">
              <a:solidFill>
                <a:srgbClr val="002060"/>
              </a:solidFill>
              <a:latin typeface="+mj-lt"/>
            </a:endParaRPr>
          </a:p>
          <a:p>
            <a:pPr algn="l">
              <a:defRPr sz="1050">
                <a:solidFill>
                  <a:srgbClr val="002060"/>
                </a:solidFill>
                <a:latin typeface="+mj-lt"/>
              </a:defRPr>
            </a:pPr>
            <a:r>
              <a:rPr lang="cs-CZ" sz="1050" b="1" i="0" baseline="0">
                <a:solidFill>
                  <a:srgbClr val="002060"/>
                </a:solidFill>
                <a:latin typeface="+mj-lt"/>
              </a:rPr>
              <a:t>BENCHMARKINGU VLASTNICKÝCH SUBJEKTŮ 2017 - VODOVODY</a:t>
            </a:r>
            <a:endParaRPr lang="sk-SK" sz="1050">
              <a:solidFill>
                <a:srgbClr val="002060"/>
              </a:solidFill>
              <a:latin typeface="+mj-lt"/>
            </a:endParaRPr>
          </a:p>
        </c:rich>
      </c:tx>
      <c:layout>
        <c:manualLayout>
          <c:xMode val="edge"/>
          <c:yMode val="edge"/>
          <c:x val="1.4344998339594587E-3"/>
          <c:y val="7.0280980043589138E-4"/>
        </c:manualLayout>
      </c:layout>
      <c:overlay val="0"/>
    </c:title>
    <c:autoTitleDeleted val="0"/>
    <c:plotArea>
      <c:layout>
        <c:manualLayout>
          <c:layoutTarget val="inner"/>
          <c:xMode val="edge"/>
          <c:yMode val="edge"/>
          <c:x val="0.49535252617480546"/>
          <c:y val="0.13810462876846788"/>
          <c:w val="0.47565370071057905"/>
          <c:h val="0.76363576697919688"/>
        </c:manualLayout>
      </c:layout>
      <c:barChart>
        <c:barDir val="bar"/>
        <c:grouping val="percentStacked"/>
        <c:varyColors val="0"/>
        <c:ser>
          <c:idx val="0"/>
          <c:order val="0"/>
          <c:tx>
            <c:strRef>
              <c:f>VLAST_VODA_Anom_celkem!$B$76</c:f>
              <c:strCache>
                <c:ptCount val="1"/>
                <c:pt idx="0">
                  <c:v>NALEZENA ANOMÁLIE</c:v>
                </c:pt>
              </c:strCache>
            </c:strRef>
          </c:tx>
          <c:spPr>
            <a:solidFill>
              <a:srgbClr val="CE9CE4"/>
            </a:solidFill>
            <a:scene3d>
              <a:camera prst="orthographicFront"/>
              <a:lightRig rig="threePt" dir="t"/>
            </a:scene3d>
            <a:sp3d>
              <a:bevelT/>
            </a:sp3d>
          </c:spPr>
          <c:invertIfNegative val="0"/>
          <c:dLbls>
            <c:dLbl>
              <c:idx val="0"/>
              <c:layout>
                <c:manualLayout>
                  <c:x val="0.18754489022205559"/>
                  <c:y val="-2.2323435674336425E-16"/>
                </c:manualLayout>
              </c:layout>
              <c:tx>
                <c:rich>
                  <a:bodyPr/>
                  <a:lstStyle/>
                  <a:p>
                    <a:fld id="{BBDBFE67-A98F-47BE-AFC8-549DD749709F}"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1"/>
              <c:layout>
                <c:manualLayout>
                  <c:x val="0.1875448902220555"/>
                  <c:y val="1.1161717837168212E-16"/>
                </c:manualLayout>
              </c:layout>
              <c:tx>
                <c:rich>
                  <a:bodyPr/>
                  <a:lstStyle/>
                  <a:p>
                    <a:fld id="{58B47744-CF06-4D66-AD20-A41477CB1CB3}"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2"/>
              <c:layout>
                <c:manualLayout>
                  <c:x val="0.18754489022205559"/>
                  <c:y val="0"/>
                </c:manualLayout>
              </c:layout>
              <c:tx>
                <c:rich>
                  <a:bodyPr/>
                  <a:lstStyle/>
                  <a:p>
                    <a:fld id="{B81D6EDC-9ED1-4450-8E3C-168860E9ACA4}"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3"/>
              <c:layout>
                <c:manualLayout>
                  <c:x val="0.18754489022205564"/>
                  <c:y val="-1.1161717837168212E-16"/>
                </c:manualLayout>
              </c:layout>
              <c:tx>
                <c:rich>
                  <a:bodyPr/>
                  <a:lstStyle/>
                  <a:p>
                    <a:fld id="{F1FF9856-CE64-4F47-AF11-C8E890ECF1E6}"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4"/>
              <c:layout>
                <c:manualLayout>
                  <c:x val="0.1875448902220555"/>
                  <c:y val="0"/>
                </c:manualLayout>
              </c:layout>
              <c:tx>
                <c:rich>
                  <a:bodyPr/>
                  <a:lstStyle/>
                  <a:p>
                    <a:fld id="{18B65867-14C6-4763-9E5B-0B88C2CD19DE}"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5"/>
              <c:layout>
                <c:manualLayout>
                  <c:x val="0.18754489022205559"/>
                  <c:y val="0"/>
                </c:manualLayout>
              </c:layout>
              <c:tx>
                <c:rich>
                  <a:bodyPr/>
                  <a:lstStyle/>
                  <a:p>
                    <a:fld id="{1519E227-B2C8-4544-885E-D0C3B07827EF}"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6"/>
              <c:layout>
                <c:manualLayout>
                  <c:x val="0.18754489022205559"/>
                  <c:y val="0"/>
                </c:manualLayout>
              </c:layout>
              <c:tx>
                <c:rich>
                  <a:bodyPr/>
                  <a:lstStyle/>
                  <a:p>
                    <a:fld id="{3CDFC1E9-BCA8-4CCC-8271-7AE3FA71B12F}"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7"/>
              <c:layout>
                <c:manualLayout>
                  <c:x val="0.18754489022205559"/>
                  <c:y val="0"/>
                </c:manualLayout>
              </c:layout>
              <c:tx>
                <c:rich>
                  <a:bodyPr/>
                  <a:lstStyle/>
                  <a:p>
                    <a:fld id="{91707D9E-4FB2-4C32-8845-03FC58B26320}"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8"/>
              <c:layout>
                <c:manualLayout>
                  <c:x val="0.18754489022205559"/>
                  <c:y val="0"/>
                </c:manualLayout>
              </c:layout>
              <c:tx>
                <c:rich>
                  <a:bodyPr/>
                  <a:lstStyle/>
                  <a:p>
                    <a:fld id="{FBD5212E-D93B-4A10-9BF0-860B9BE9D23B}"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9"/>
              <c:layout>
                <c:manualLayout>
                  <c:x val="0.18754489022205559"/>
                  <c:y val="-5.5808589185841061E-17"/>
                </c:manualLayout>
              </c:layout>
              <c:tx>
                <c:rich>
                  <a:bodyPr/>
                  <a:lstStyle/>
                  <a:p>
                    <a:fld id="{20054696-8A88-425E-8F89-AD954017B1E1}"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10"/>
              <c:layout>
                <c:manualLayout>
                  <c:x val="0.1875448902220555"/>
                  <c:y val="0"/>
                </c:manualLayout>
              </c:layout>
              <c:tx>
                <c:rich>
                  <a:bodyPr/>
                  <a:lstStyle/>
                  <a:p>
                    <a:fld id="{AB44EEA9-53AD-4E1F-8D98-476002BD5DE0}"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11"/>
              <c:layout>
                <c:manualLayout>
                  <c:x val="0.18754489022205559"/>
                  <c:y val="0"/>
                </c:manualLayout>
              </c:layout>
              <c:tx>
                <c:rich>
                  <a:bodyPr/>
                  <a:lstStyle/>
                  <a:p>
                    <a:fld id="{35DB3C55-8F81-4736-AE2F-1402A6B4B4BD}"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12"/>
              <c:layout>
                <c:manualLayout>
                  <c:x val="0.1875448902220555"/>
                  <c:y val="0"/>
                </c:manualLayout>
              </c:layout>
              <c:tx>
                <c:rich>
                  <a:bodyPr/>
                  <a:lstStyle/>
                  <a:p>
                    <a:fld id="{91CDA6A6-3210-47E1-8FEE-659C206CA6E5}"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13"/>
              <c:layout>
                <c:manualLayout>
                  <c:x val="0.1875448902220555"/>
                  <c:y val="0"/>
                </c:manualLayout>
              </c:layout>
              <c:tx>
                <c:rich>
                  <a:bodyPr/>
                  <a:lstStyle/>
                  <a:p>
                    <a:fld id="{A7ACA0A5-8BC1-4124-8733-A34056EDBBFD}"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14"/>
              <c:layout>
                <c:manualLayout>
                  <c:x val="0.1875448902220555"/>
                  <c:y val="0"/>
                </c:manualLayout>
              </c:layout>
              <c:tx>
                <c:rich>
                  <a:bodyPr/>
                  <a:lstStyle/>
                  <a:p>
                    <a:fld id="{7ADB987C-2BF4-49F6-846D-A310B1C88A65}"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15"/>
              <c:layout>
                <c:manualLayout>
                  <c:x val="0.18754489022205559"/>
                  <c:y val="0"/>
                </c:manualLayout>
              </c:layout>
              <c:tx>
                <c:rich>
                  <a:bodyPr/>
                  <a:lstStyle/>
                  <a:p>
                    <a:fld id="{313E3DFA-2A5E-4754-B0D1-8DE71D62A5FF}"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16"/>
              <c:layout>
                <c:manualLayout>
                  <c:x val="0.18754489022205559"/>
                  <c:y val="0"/>
                </c:manualLayout>
              </c:layout>
              <c:tx>
                <c:rich>
                  <a:bodyPr/>
                  <a:lstStyle/>
                  <a:p>
                    <a:fld id="{72294D9C-1E9D-420E-99E9-C144423F0E59}" type="CELLRANGE">
                      <a:rPr lang="cs-CZ"/>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8778069409"/>
                      <c:h val="2.8710674864272104E-2"/>
                    </c:manualLayout>
                  </c15:layout>
                  <c15:dlblFieldTable/>
                  <c15:xForSave val="1"/>
                  <c15:showDataLabelsRange val="1"/>
                </c:ext>
              </c:extLst>
            </c:dLbl>
            <c:dLbl>
              <c:idx val="17"/>
              <c:layout>
                <c:manualLayout>
                  <c:x val="0.21621092291798696"/>
                  <c:y val="-1.6228497241155767E-3"/>
                </c:manualLayout>
              </c:layout>
              <c:tx>
                <c:rich>
                  <a:bodyPr/>
                  <a:lstStyle/>
                  <a:p>
                    <a:fld id="{D921DC53-8B41-4FC0-A8AB-1383FD014392}" type="CELLRANGE">
                      <a:rPr lang="en-US"/>
                      <a:pPr/>
                      <a:t>[OBLAST BUNĚK]</a:t>
                    </a:fld>
                    <a:endParaRPr lang="cs-CZ"/>
                  </a:p>
                </c:rich>
              </c:tx>
              <c:showLegendKey val="1"/>
              <c:showVal val="0"/>
              <c:showCatName val="0"/>
              <c:showSerName val="0"/>
              <c:showPercent val="0"/>
              <c:showBubbleSize val="0"/>
              <c:extLst>
                <c:ext xmlns:c15="http://schemas.microsoft.com/office/drawing/2012/chart" uri="{CE6537A1-D6FC-4f65-9D91-7224C49458BB}">
                  <c15:layout>
                    <c:manualLayout>
                      <c:w val="0.24063107030440542"/>
                      <c:h val="2.8710688322432443E-2"/>
                    </c:manualLayout>
                  </c15:layout>
                  <c15:dlblFieldTable/>
                  <c15:showDataLabelsRange val="1"/>
                </c:ext>
              </c:extLst>
            </c:dLbl>
            <c:spPr>
              <a:noFill/>
              <a:ln>
                <a:noFill/>
              </a:ln>
              <a:effectLst/>
            </c:spPr>
            <c:txPr>
              <a:bodyPr wrap="square" lIns="38100" tIns="19050" rIns="38100" bIns="19050" anchor="ctr">
                <a:noAutofit/>
              </a:bodyPr>
              <a:lstStyle/>
              <a:p>
                <a:pPr>
                  <a:defRPr sz="750"/>
                </a:pPr>
                <a:endParaRPr lang="cs-CZ"/>
              </a:p>
            </c:txPr>
            <c:showLegendKey val="1"/>
            <c:showVal val="0"/>
            <c:showCatName val="0"/>
            <c:showSerName val="0"/>
            <c:showPercent val="0"/>
            <c:showBubbleSize val="0"/>
            <c:showLeaderLines val="0"/>
            <c:extLst>
              <c:ext xmlns:c15="http://schemas.microsoft.com/office/drawing/2012/chart" uri="{CE6537A1-D6FC-4f65-9D91-7224C49458BB}">
                <c15:layout>
                  <c:manualLayout>
                    <c:x val="0.18754491067280049"/>
                    <c:y val="0"/>
                    <c:w val="0.24063107030440542"/>
                    <c:h val="2.8710688322432443E-2"/>
                  </c:manualLayout>
                </c15:layout>
                <c15:showDataLabelsRange val="1"/>
                <c15:showLeaderLines val="0"/>
              </c:ext>
            </c:extLst>
          </c:dLbls>
          <c:cat>
            <c:strRef>
              <c:f>VLAST_VODA_Anom_celkem!$A$77:$A$94</c:f>
              <c:strCache>
                <c:ptCount val="18"/>
                <c:pt idx="0">
                  <c:v>NULOVÉ ODPISY + NULOVÉ OPRAVY +4.4 VE SMÍŠENÉM NEBO KOMBINOVANÉM MODELU</c:v>
                </c:pt>
                <c:pt idx="1">
                  <c:v>NÁJEM JE VĚTŠÍ NEŽ NULA VE SMÍŠENÉM MODELU NEBO ODDÍLNÉM SE SERVISNÍ SMLOUVOU</c:v>
                </c:pt>
                <c:pt idx="2">
                  <c:v>VYSOKÁ CENA PRO VODNÉ (HODNOTA VÍCE NEŽ 1,5 NÁSOBEK PRŮMĚRNÉ CENY PRO VODNÉ Z POROVNÁNÍ SPLŇUJÍCÍCH OKF MEZI 1 AŽ 1,5; PLNĚNÍ OBNOVY)</c:v>
                </c:pt>
                <c:pt idx="3">
                  <c:v>NENULOVÝ POČET PORUCH A NULOVÉ NÁKLADY NA OPRAVY</c:v>
                </c:pt>
                <c:pt idx="4">
                  <c:v>NULOVÉ ZTRÁTY</c:v>
                </c:pt>
                <c:pt idx="5">
                  <c:v> 0 PORUCH + OPRAVY VYŠŠÍ, NEŽ JSOU PRŮMĚRNÉ NÁKLADY NA ODSTRANĚNÍ JEDNÉ PORUCHY VE SKUPINĚ (PRŮMĚR POČÍTÁN BEZ POROVNÁNÍ, KDE JE 0 PORUCH, JAKO ARITMETICKÝ PRŮMĚR UKAZATELE VOM02)</c:v>
                </c:pt>
                <c:pt idx="6">
                  <c:v>ZÁPORNÝ KALKULAČNÍ ZISK KALKULOVÁN A DOSAŽEN</c:v>
                </c:pt>
                <c:pt idx="7">
                  <c:v>OKF &gt; 1 A NEPLNÍ OBNOVU</c:v>
                </c:pt>
                <c:pt idx="8">
                  <c:v>KALKULOVÁN KLADNÝ NEBO NULOVÝ ZISK A DOSAŽEN ZÁPORNÝ</c:v>
                </c:pt>
                <c:pt idx="9">
                  <c:v>ZÁPORNÝ KALKULAČNÍ ZISK</c:v>
                </c:pt>
                <c:pt idx="10">
                  <c:v>NULOVÝ CELÝ ŘÁDEK 20</c:v>
                </c:pt>
                <c:pt idx="11">
                  <c:v>VYSOKÁ HODNOTA  NEFAKTUROVANÉ VODY NA KM PŘEPOČTENÉ DÉLKY V M3/KM/DEN (PŘEVYŠUJE 1,5 NÁSOBEK MEDIÁNU SKUPINY Z PROVNÁNÍ VYKAZUJÍCÍCH ZTRÁTY VODY NAD 4 M3/KM/DEN)</c:v>
                </c:pt>
                <c:pt idx="12">
                  <c:v>NÁJEM JE MENŠÍ NEBO ROVEN 0 V ODDÍLNÉM (BEZ SERVISNÍCH SMLUV) NEBO KOMBINOVANÉM MODELU</c:v>
                </c:pt>
                <c:pt idx="13">
                  <c:v>NEDOSTATEČNÁ TVORBA PROSTŘEDKŮ NA OBNOVU VIM</c:v>
                </c:pt>
                <c:pt idx="14">
                  <c:v>VYSOKÉ ZTRÁTY VODY NA 1 KM PŘEPOČTENÉ DÉLKY VODOVODNÍHO ŘADU NA DEN  (M3/KM)/DEN (PŘEVYŠUJE 1,5 NÁSOBEK MEDIÁNU SKUPINY Z PROVNÁNÍ VYKAZUJÍCÍCH ZTRÁTY VODY NAD 4 M3/KM/DEN)</c:v>
                </c:pt>
                <c:pt idx="15">
                  <c:v>VYSOKÝ PODÍL ZISKU NA ÚVN ( HODNOTA VÍCE NEŽ 1,5 NÁSOBEK MEDIANU SKUPINY Z POROVNÁNÍ S KLADNÝM KALKULAČNÍM ZISKEM)</c:v>
                </c:pt>
                <c:pt idx="16">
                  <c:v>VYSOKÝ PODÍL KAKULAČNÍHO ZISKU K ROZDĚLENÍ NA ÚVN  (POROVNÁNÍ S PODÍLEM ZISKU NA VYPLACENÍ VYŠŠÍM, NEŽ 1,5NÁS. HODNOTY MEDIÁNU SKUPINY Z POROVNÁNÍ S KLADNÝM ZISKEM A PODÍL ZISKU K ROZDĚLENÍ NA ÚVN &gt;0)</c:v>
                </c:pt>
                <c:pt idx="17">
                  <c:v>VYSOKÁ PORUCHOVOST (POROVNÁNÍ, KDE JE POČET PORUCH/KM VĚTŠÍ, NEŽ 1,5NÁS MEDIÁNU SKUPINY BEZ POROVNÁNÍ S NULOVÝM POČTEM PORUCH)</c:v>
                </c:pt>
              </c:strCache>
            </c:strRef>
          </c:cat>
          <c:val>
            <c:numRef>
              <c:f>VLAST_VODA_Anom_celkem!$B$77:$B$94</c:f>
              <c:numCache>
                <c:formatCode>#,##0.00</c:formatCode>
                <c:ptCount val="18"/>
                <c:pt idx="0">
                  <c:v>0.69652100000000006</c:v>
                </c:pt>
                <c:pt idx="1">
                  <c:v>1.317526</c:v>
                </c:pt>
                <c:pt idx="2">
                  <c:v>2.0299300000000002</c:v>
                </c:pt>
                <c:pt idx="3">
                  <c:v>2.7310599999999998</c:v>
                </c:pt>
                <c:pt idx="4">
                  <c:v>4.7586870000000001</c:v>
                </c:pt>
                <c:pt idx="5">
                  <c:v>5.4591079999999987</c:v>
                </c:pt>
                <c:pt idx="6">
                  <c:v>6.0248089999999985</c:v>
                </c:pt>
                <c:pt idx="7">
                  <c:v>8.098018999999999</c:v>
                </c:pt>
                <c:pt idx="8">
                  <c:v>22.704777000000007</c:v>
                </c:pt>
                <c:pt idx="9">
                  <c:v>28.729586000000005</c:v>
                </c:pt>
                <c:pt idx="10">
                  <c:v>28.808358999999999</c:v>
                </c:pt>
                <c:pt idx="11">
                  <c:v>29.069116000000001</c:v>
                </c:pt>
                <c:pt idx="12">
                  <c:v>30.755668000000004</c:v>
                </c:pt>
                <c:pt idx="13">
                  <c:v>52.982677999999986</c:v>
                </c:pt>
                <c:pt idx="14">
                  <c:v>102.00239999999998</c:v>
                </c:pt>
                <c:pt idx="15">
                  <c:v>120.68304999999999</c:v>
                </c:pt>
                <c:pt idx="16">
                  <c:v>122.06803600000001</c:v>
                </c:pt>
                <c:pt idx="17">
                  <c:v>201.53548000000001</c:v>
                </c:pt>
              </c:numCache>
            </c:numRef>
          </c:val>
          <c:extLst xmlns:c16r2="http://schemas.microsoft.com/office/drawing/2015/06/chart">
            <c:ext xmlns:c16="http://schemas.microsoft.com/office/drawing/2014/chart" uri="{C3380CC4-5D6E-409C-BE32-E72D297353CC}">
              <c16:uniqueId val="{0000000E-C056-4E44-B057-BD66F86772A5}"/>
            </c:ext>
            <c:ext xmlns:c15="http://schemas.microsoft.com/office/drawing/2012/chart" uri="{02D57815-91ED-43cb-92C2-25804820EDAC}">
              <c15:datalabelsRange>
                <c15:f>VLAST_VODA_Anom_celkem!$J$77:$J$94</c15:f>
                <c15:dlblRangeCache>
                  <c:ptCount val="18"/>
                  <c:pt idx="0">
                    <c:v>0,7 mil.m3 0,2%; 68  výskytů</c:v>
                  </c:pt>
                  <c:pt idx="1">
                    <c:v>1,32 mil.m3 0,3%; 38  výskytů</c:v>
                  </c:pt>
                  <c:pt idx="2">
                    <c:v>2,03 mil.m3 0,4%; 44  výskytů</c:v>
                  </c:pt>
                  <c:pt idx="3">
                    <c:v>2,73 mil.m3 0,6%; 110  výskytů</c:v>
                  </c:pt>
                  <c:pt idx="4">
                    <c:v>4,76 mil.m3 1%; 260  výskytů</c:v>
                  </c:pt>
                  <c:pt idx="5">
                    <c:v>5,46 mil.m3 1,2%; 150  výskytů</c:v>
                  </c:pt>
                  <c:pt idx="6">
                    <c:v>6,02 mil.m3 1,3%; 318  výskytů</c:v>
                  </c:pt>
                  <c:pt idx="7">
                    <c:v>8,1 mil.m3 1,8%; 113  výskytů</c:v>
                  </c:pt>
                  <c:pt idx="8">
                    <c:v>22,7 mil.m3 4,9%; 499  výskytů</c:v>
                  </c:pt>
                  <c:pt idx="9">
                    <c:v>28,73 mil.m3 6,2%; 817  výskytů</c:v>
                  </c:pt>
                  <c:pt idx="10">
                    <c:v>28,81 mil.m3 6,2%; 476  výskytů</c:v>
                  </c:pt>
                  <c:pt idx="11">
                    <c:v>29,07 mil.m3 6,3%; 97  výskytů</c:v>
                  </c:pt>
                  <c:pt idx="12">
                    <c:v>30,76 mil.m3 6,7%; 147  výskytů</c:v>
                  </c:pt>
                  <c:pt idx="13">
                    <c:v>52,98 mil.m3 11,5%; 1313  výskytů</c:v>
                  </c:pt>
                  <c:pt idx="14">
                    <c:v>102 mil.m3 22,1%; 74  výskytů</c:v>
                  </c:pt>
                  <c:pt idx="15">
                    <c:v>120,68 mil.m3 26,2%; 139  výskytů</c:v>
                  </c:pt>
                  <c:pt idx="16">
                    <c:v>122,07 mil.m3 26,5%; 644  výskytů</c:v>
                  </c:pt>
                  <c:pt idx="17">
                    <c:v>201,54 mil.m3 43,7%; 324  výskytů</c:v>
                  </c:pt>
                </c15:dlblRangeCache>
              </c15:datalabelsRange>
            </c:ext>
          </c:extLst>
        </c:ser>
        <c:ser>
          <c:idx val="3"/>
          <c:order val="3"/>
          <c:tx>
            <c:strRef>
              <c:f>VLAST_VODA_Anom_celkem!$E$76</c:f>
              <c:strCache>
                <c:ptCount val="1"/>
                <c:pt idx="0">
                  <c:v>BEZ VÝSKYTU DANÉ ANOMÁLIE</c:v>
                </c:pt>
              </c:strCache>
            </c:strRef>
          </c:tx>
          <c:spPr>
            <a:solidFill>
              <a:srgbClr val="5B9BD5"/>
            </a:solidFill>
            <a:scene3d>
              <a:camera prst="orthographicFront"/>
              <a:lightRig rig="threePt" dir="t"/>
            </a:scene3d>
            <a:sp3d>
              <a:bevelT/>
            </a:sp3d>
          </c:spPr>
          <c:invertIfNegative val="0"/>
          <c:cat>
            <c:strRef>
              <c:f>VLAST_VODA_Anom_celkem!$A$77:$A$94</c:f>
              <c:strCache>
                <c:ptCount val="18"/>
                <c:pt idx="0">
                  <c:v>NULOVÉ ODPISY + NULOVÉ OPRAVY +4.4 VE SMÍŠENÉM NEBO KOMBINOVANÉM MODELU</c:v>
                </c:pt>
                <c:pt idx="1">
                  <c:v>NÁJEM JE VĚTŠÍ NEŽ NULA VE SMÍŠENÉM MODELU NEBO ODDÍLNÉM SE SERVISNÍ SMLOUVOU</c:v>
                </c:pt>
                <c:pt idx="2">
                  <c:v>VYSOKÁ CENA PRO VODNÉ (HODNOTA VÍCE NEŽ 1,5 NÁSOBEK PRŮMĚRNÉ CENY PRO VODNÉ Z POROVNÁNÍ SPLŇUJÍCÍCH OKF MEZI 1 AŽ 1,5; PLNĚNÍ OBNOVY)</c:v>
                </c:pt>
                <c:pt idx="3">
                  <c:v>NENULOVÝ POČET PORUCH A NULOVÉ NÁKLADY NA OPRAVY</c:v>
                </c:pt>
                <c:pt idx="4">
                  <c:v>NULOVÉ ZTRÁTY</c:v>
                </c:pt>
                <c:pt idx="5">
                  <c:v> 0 PORUCH + OPRAVY VYŠŠÍ, NEŽ JSOU PRŮMĚRNÉ NÁKLADY NA ODSTRANĚNÍ JEDNÉ PORUCHY VE SKUPINĚ (PRŮMĚR POČÍTÁN BEZ POROVNÁNÍ, KDE JE 0 PORUCH, JAKO ARITMETICKÝ PRŮMĚR UKAZATELE VOM02)</c:v>
                </c:pt>
                <c:pt idx="6">
                  <c:v>ZÁPORNÝ KALKULAČNÍ ZISK KALKULOVÁN A DOSAŽEN</c:v>
                </c:pt>
                <c:pt idx="7">
                  <c:v>OKF &gt; 1 A NEPLNÍ OBNOVU</c:v>
                </c:pt>
                <c:pt idx="8">
                  <c:v>KALKULOVÁN KLADNÝ NEBO NULOVÝ ZISK A DOSAŽEN ZÁPORNÝ</c:v>
                </c:pt>
                <c:pt idx="9">
                  <c:v>ZÁPORNÝ KALKULAČNÍ ZISK</c:v>
                </c:pt>
                <c:pt idx="10">
                  <c:v>NULOVÝ CELÝ ŘÁDEK 20</c:v>
                </c:pt>
                <c:pt idx="11">
                  <c:v>VYSOKÁ HODNOTA  NEFAKTUROVANÉ VODY NA KM PŘEPOČTENÉ DÉLKY V M3/KM/DEN (PŘEVYŠUJE 1,5 NÁSOBEK MEDIÁNU SKUPINY Z PROVNÁNÍ VYKAZUJÍCÍCH ZTRÁTY VODY NAD 4 M3/KM/DEN)</c:v>
                </c:pt>
                <c:pt idx="12">
                  <c:v>NÁJEM JE MENŠÍ NEBO ROVEN 0 V ODDÍLNÉM (BEZ SERVISNÍCH SMLUV) NEBO KOMBINOVANÉM MODELU</c:v>
                </c:pt>
                <c:pt idx="13">
                  <c:v>NEDOSTATEČNÁ TVORBA PROSTŘEDKŮ NA OBNOVU VIM</c:v>
                </c:pt>
                <c:pt idx="14">
                  <c:v>VYSOKÉ ZTRÁTY VODY NA 1 KM PŘEPOČTENÉ DÉLKY VODOVODNÍHO ŘADU NA DEN  (M3/KM)/DEN (PŘEVYŠUJE 1,5 NÁSOBEK MEDIÁNU SKUPINY Z PROVNÁNÍ VYKAZUJÍCÍCH ZTRÁTY VODY NAD 4 M3/KM/DEN)</c:v>
                </c:pt>
                <c:pt idx="15">
                  <c:v>VYSOKÝ PODÍL ZISKU NA ÚVN ( HODNOTA VÍCE NEŽ 1,5 NÁSOBEK MEDIANU SKUPINY Z POROVNÁNÍ S KLADNÝM KALKULAČNÍM ZISKEM)</c:v>
                </c:pt>
                <c:pt idx="16">
                  <c:v>VYSOKÝ PODÍL KAKULAČNÍHO ZISKU K ROZDĚLENÍ NA ÚVN  (POROVNÁNÍ S PODÍLEM ZISKU NA VYPLACENÍ VYŠŠÍM, NEŽ 1,5NÁS. HODNOTY MEDIÁNU SKUPINY Z POROVNÁNÍ S KLADNÝM ZISKEM A PODÍL ZISKU K ROZDĚLENÍ NA ÚVN &gt;0)</c:v>
                </c:pt>
                <c:pt idx="17">
                  <c:v>VYSOKÁ PORUCHOVOST (POROVNÁNÍ, KDE JE POČET PORUCH/KM VĚTŠÍ, NEŽ 1,5NÁS MEDIÁNU SKUPINY BEZ POROVNÁNÍ S NULOVÝM POČTEM PORUCH)</c:v>
                </c:pt>
              </c:strCache>
            </c:strRef>
          </c:cat>
          <c:val>
            <c:numRef>
              <c:f>VLAST_VODA_Anom_celkem!$E$77:$E$94</c:f>
              <c:numCache>
                <c:formatCode>#,##0.00</c:formatCode>
                <c:ptCount val="18"/>
                <c:pt idx="0">
                  <c:v>460.658479</c:v>
                </c:pt>
                <c:pt idx="1">
                  <c:v>460.03747400000003</c:v>
                </c:pt>
                <c:pt idx="2">
                  <c:v>459.32507000000004</c:v>
                </c:pt>
                <c:pt idx="3">
                  <c:v>458.62394</c:v>
                </c:pt>
                <c:pt idx="4">
                  <c:v>456.59631300000001</c:v>
                </c:pt>
                <c:pt idx="5">
                  <c:v>455.895892</c:v>
                </c:pt>
                <c:pt idx="6">
                  <c:v>455.33019100000001</c:v>
                </c:pt>
                <c:pt idx="7">
                  <c:v>453.256981</c:v>
                </c:pt>
                <c:pt idx="8">
                  <c:v>438.65022299999998</c:v>
                </c:pt>
                <c:pt idx="9">
                  <c:v>432.62541400000003</c:v>
                </c:pt>
                <c:pt idx="10">
                  <c:v>432.54664100000002</c:v>
                </c:pt>
                <c:pt idx="11">
                  <c:v>432.28588400000001</c:v>
                </c:pt>
                <c:pt idx="12">
                  <c:v>430.599332</c:v>
                </c:pt>
                <c:pt idx="13">
                  <c:v>408.37232200000005</c:v>
                </c:pt>
                <c:pt idx="14">
                  <c:v>359.35260000000005</c:v>
                </c:pt>
                <c:pt idx="15">
                  <c:v>340.67195000000004</c:v>
                </c:pt>
                <c:pt idx="16">
                  <c:v>339.28696400000001</c:v>
                </c:pt>
                <c:pt idx="17">
                  <c:v>259.81952000000001</c:v>
                </c:pt>
              </c:numCache>
            </c:numRef>
          </c:val>
          <c:extLst xmlns:c16r2="http://schemas.microsoft.com/office/drawing/2015/06/chart">
            <c:ext xmlns:c16="http://schemas.microsoft.com/office/drawing/2014/chart" uri="{C3380CC4-5D6E-409C-BE32-E72D297353CC}">
              <c16:uniqueId val="{00000011-C056-4E44-B057-BD66F86772A5}"/>
            </c:ext>
          </c:extLst>
        </c:ser>
        <c:ser>
          <c:idx val="4"/>
          <c:order val="4"/>
          <c:tx>
            <c:strRef>
              <c:f>VLAST_VODA_Anom_celkem!$F$76</c:f>
              <c:strCache>
                <c:ptCount val="1"/>
                <c:pt idx="0">
                  <c:v>NEANALYZOVANÁ DATA</c:v>
                </c:pt>
              </c:strCache>
            </c:strRef>
          </c:tx>
          <c:spPr>
            <a:solidFill>
              <a:srgbClr val="969696"/>
            </a:solidFill>
            <a:scene3d>
              <a:camera prst="orthographicFront"/>
              <a:lightRig rig="threePt" dir="t"/>
            </a:scene3d>
            <a:sp3d>
              <a:bevelT/>
            </a:sp3d>
          </c:spPr>
          <c:invertIfNegative val="0"/>
          <c:cat>
            <c:strRef>
              <c:f>VLAST_VODA_Anom_celkem!$A$77:$A$94</c:f>
              <c:strCache>
                <c:ptCount val="18"/>
                <c:pt idx="0">
                  <c:v>NULOVÉ ODPISY + NULOVÉ OPRAVY +4.4 VE SMÍŠENÉM NEBO KOMBINOVANÉM MODELU</c:v>
                </c:pt>
                <c:pt idx="1">
                  <c:v>NÁJEM JE VĚTŠÍ NEŽ NULA VE SMÍŠENÉM MODELU NEBO ODDÍLNÉM SE SERVISNÍ SMLOUVOU</c:v>
                </c:pt>
                <c:pt idx="2">
                  <c:v>VYSOKÁ CENA PRO VODNÉ (HODNOTA VÍCE NEŽ 1,5 NÁSOBEK PRŮMĚRNÉ CENY PRO VODNÉ Z POROVNÁNÍ SPLŇUJÍCÍCH OKF MEZI 1 AŽ 1,5; PLNĚNÍ OBNOVY)</c:v>
                </c:pt>
                <c:pt idx="3">
                  <c:v>NENULOVÝ POČET PORUCH A NULOVÉ NÁKLADY NA OPRAVY</c:v>
                </c:pt>
                <c:pt idx="4">
                  <c:v>NULOVÉ ZTRÁTY</c:v>
                </c:pt>
                <c:pt idx="5">
                  <c:v> 0 PORUCH + OPRAVY VYŠŠÍ, NEŽ JSOU PRŮMĚRNÉ NÁKLADY NA ODSTRANĚNÍ JEDNÉ PORUCHY VE SKUPINĚ (PRŮMĚR POČÍTÁN BEZ POROVNÁNÍ, KDE JE 0 PORUCH, JAKO ARITMETICKÝ PRŮMĚR UKAZATELE VOM02)</c:v>
                </c:pt>
                <c:pt idx="6">
                  <c:v>ZÁPORNÝ KALKULAČNÍ ZISK KALKULOVÁN A DOSAŽEN</c:v>
                </c:pt>
                <c:pt idx="7">
                  <c:v>OKF &gt; 1 A NEPLNÍ OBNOVU</c:v>
                </c:pt>
                <c:pt idx="8">
                  <c:v>KALKULOVÁN KLADNÝ NEBO NULOVÝ ZISK A DOSAŽEN ZÁPORNÝ</c:v>
                </c:pt>
                <c:pt idx="9">
                  <c:v>ZÁPORNÝ KALKULAČNÍ ZISK</c:v>
                </c:pt>
                <c:pt idx="10">
                  <c:v>NULOVÝ CELÝ ŘÁDEK 20</c:v>
                </c:pt>
                <c:pt idx="11">
                  <c:v>VYSOKÁ HODNOTA  NEFAKTUROVANÉ VODY NA KM PŘEPOČTENÉ DÉLKY V M3/KM/DEN (PŘEVYŠUJE 1,5 NÁSOBEK MEDIÁNU SKUPINY Z PROVNÁNÍ VYKAZUJÍCÍCH ZTRÁTY VODY NAD 4 M3/KM/DEN)</c:v>
                </c:pt>
                <c:pt idx="12">
                  <c:v>NÁJEM JE MENŠÍ NEBO ROVEN 0 V ODDÍLNÉM (BEZ SERVISNÍCH SMLUV) NEBO KOMBINOVANÉM MODELU</c:v>
                </c:pt>
                <c:pt idx="13">
                  <c:v>NEDOSTATEČNÁ TVORBA PROSTŘEDKŮ NA OBNOVU VIM</c:v>
                </c:pt>
                <c:pt idx="14">
                  <c:v>VYSOKÉ ZTRÁTY VODY NA 1 KM PŘEPOČTENÉ DÉLKY VODOVODNÍHO ŘADU NA DEN  (M3/KM)/DEN (PŘEVYŠUJE 1,5 NÁSOBEK MEDIÁNU SKUPINY Z PROVNÁNÍ VYKAZUJÍCÍCH ZTRÁTY VODY NAD 4 M3/KM/DEN)</c:v>
                </c:pt>
                <c:pt idx="15">
                  <c:v>VYSOKÝ PODÍL ZISKU NA ÚVN ( HODNOTA VÍCE NEŽ 1,5 NÁSOBEK MEDIANU SKUPINY Z POROVNÁNÍ S KLADNÝM KALKULAČNÍM ZISKEM)</c:v>
                </c:pt>
                <c:pt idx="16">
                  <c:v>VYSOKÝ PODÍL KAKULAČNÍHO ZISKU K ROZDĚLENÍ NA ÚVN  (POROVNÁNÍ S PODÍLEM ZISKU NA VYPLACENÍ VYŠŠÍM, NEŽ 1,5NÁS. HODNOTY MEDIÁNU SKUPINY Z POROVNÁNÍ S KLADNÝM ZISKEM A PODÍL ZISKU K ROZDĚLENÍ NA ÚVN &gt;0)</c:v>
                </c:pt>
                <c:pt idx="17">
                  <c:v>VYSOKÁ PORUCHOVOST (POROVNÁNÍ, KDE JE POČET PORUCH/KM VĚTŠÍ, NEŽ 1,5NÁS MEDIÁNU SKUPINY BEZ POROVNÁNÍ S NULOVÝM POČTEM PORUCH)</c:v>
                </c:pt>
              </c:strCache>
            </c:strRef>
          </c:cat>
          <c:val>
            <c:numRef>
              <c:f>VLAST_VODA_Anom_celkem!$F$77:$F$94</c:f>
              <c:numCache>
                <c:formatCode>#,##0.00</c:formatCode>
                <c:ptCount val="18"/>
                <c:pt idx="0">
                  <c:v>11.841999999999985</c:v>
                </c:pt>
                <c:pt idx="1">
                  <c:v>11.841999999999985</c:v>
                </c:pt>
                <c:pt idx="2">
                  <c:v>11.841999999999985</c:v>
                </c:pt>
                <c:pt idx="3">
                  <c:v>11.841999999999985</c:v>
                </c:pt>
                <c:pt idx="4">
                  <c:v>11.841999999999985</c:v>
                </c:pt>
                <c:pt idx="5">
                  <c:v>11.841999999999985</c:v>
                </c:pt>
                <c:pt idx="6">
                  <c:v>11.841999999999985</c:v>
                </c:pt>
                <c:pt idx="7">
                  <c:v>11.841999999999985</c:v>
                </c:pt>
                <c:pt idx="8">
                  <c:v>11.841999999999985</c:v>
                </c:pt>
                <c:pt idx="9">
                  <c:v>11.841999999999985</c:v>
                </c:pt>
                <c:pt idx="10">
                  <c:v>11.841999999999985</c:v>
                </c:pt>
                <c:pt idx="11">
                  <c:v>11.841999999999985</c:v>
                </c:pt>
                <c:pt idx="12">
                  <c:v>11.841999999999985</c:v>
                </c:pt>
                <c:pt idx="13">
                  <c:v>11.841999999999985</c:v>
                </c:pt>
                <c:pt idx="14">
                  <c:v>11.841999999999985</c:v>
                </c:pt>
                <c:pt idx="15">
                  <c:v>11.841999999999985</c:v>
                </c:pt>
                <c:pt idx="16">
                  <c:v>11.841999999999985</c:v>
                </c:pt>
                <c:pt idx="17">
                  <c:v>11.841999999999985</c:v>
                </c:pt>
              </c:numCache>
            </c:numRef>
          </c:val>
          <c:extLst xmlns:c16r2="http://schemas.microsoft.com/office/drawing/2015/06/chart">
            <c:ext xmlns:c16="http://schemas.microsoft.com/office/drawing/2014/chart" uri="{C3380CC4-5D6E-409C-BE32-E72D297353CC}">
              <c16:uniqueId val="{00000012-C056-4E44-B057-BD66F86772A5}"/>
            </c:ext>
          </c:extLst>
        </c:ser>
        <c:dLbls>
          <c:showLegendKey val="0"/>
          <c:showVal val="0"/>
          <c:showCatName val="0"/>
          <c:showSerName val="0"/>
          <c:showPercent val="0"/>
          <c:showBubbleSize val="0"/>
        </c:dLbls>
        <c:gapWidth val="10"/>
        <c:overlap val="100"/>
        <c:axId val="467465464"/>
        <c:axId val="467471344"/>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VLAST_VODA_Anom_celkem!$C$76</c15:sqref>
                        </c15:formulaRef>
                      </c:ext>
                    </c:extLst>
                    <c:strCache>
                      <c:ptCount val="1"/>
                      <c:pt idx="0">
                        <c:v>ANALYZOVANÉ</c:v>
                      </c:pt>
                    </c:strCache>
                  </c:strRef>
                </c:tx>
                <c:invertIfNegative val="0"/>
                <c:cat>
                  <c:strRef>
                    <c:extLst xmlns:c16r2="http://schemas.microsoft.com/office/drawing/2015/06/chart">
                      <c:ext uri="{02D57815-91ED-43cb-92C2-25804820EDAC}">
                        <c15:formulaRef>
                          <c15:sqref>VLAST_VODA_Anom_celkem!$A$77:$A$94</c15:sqref>
                        </c15:formulaRef>
                      </c:ext>
                    </c:extLst>
                    <c:strCache>
                      <c:ptCount val="18"/>
                      <c:pt idx="0">
                        <c:v>NULOVÉ ODPISY + NULOVÉ OPRAVY +4.4 VE SMÍŠENÉM NEBO KOMBINOVANÉM MODELU</c:v>
                      </c:pt>
                      <c:pt idx="1">
                        <c:v>NÁJEM JE VĚTŠÍ NEŽ NULA VE SMÍŠENÉM MODELU NEBO ODDÍLNÉM SE SERVISNÍ SMLOUVOU</c:v>
                      </c:pt>
                      <c:pt idx="2">
                        <c:v>VYSOKÁ CENA PRO VODNÉ (HODNOTA VÍCE NEŽ 1,5 NÁSOBEK PRŮMĚRNÉ CENY PRO VODNÉ Z POROVNÁNÍ SPLŇUJÍCÍCH OKF MEZI 1 AŽ 1,5; PLNĚNÍ OBNOVY)</c:v>
                      </c:pt>
                      <c:pt idx="3">
                        <c:v>NENULOVÝ POČET PORUCH A NULOVÉ NÁKLADY NA OPRAVY</c:v>
                      </c:pt>
                      <c:pt idx="4">
                        <c:v>NULOVÉ ZTRÁTY</c:v>
                      </c:pt>
                      <c:pt idx="5">
                        <c:v> 0 PORUCH + OPRAVY VYŠŠÍ, NEŽ JSOU PRŮMĚRNÉ NÁKLADY NA ODSTRANĚNÍ JEDNÉ PORUCHY VE SKUPINĚ (PRŮMĚR POČÍTÁN BEZ POROVNÁNÍ, KDE JE 0 PORUCH, JAKO ARITMETICKÝ PRŮMĚR UKAZATELE VOM02)</c:v>
                      </c:pt>
                      <c:pt idx="6">
                        <c:v>ZÁPORNÝ KALKULAČNÍ ZISK KALKULOVÁN A DOSAŽEN</c:v>
                      </c:pt>
                      <c:pt idx="7">
                        <c:v>OKF &gt; 1 A NEPLNÍ OBNOVU</c:v>
                      </c:pt>
                      <c:pt idx="8">
                        <c:v>KALKULOVÁN KLADNÝ NEBO NULOVÝ ZISK A DOSAŽEN ZÁPORNÝ</c:v>
                      </c:pt>
                      <c:pt idx="9">
                        <c:v>ZÁPORNÝ KALKULAČNÍ ZISK</c:v>
                      </c:pt>
                      <c:pt idx="10">
                        <c:v>NULOVÝ CELÝ ŘÁDEK 20</c:v>
                      </c:pt>
                      <c:pt idx="11">
                        <c:v>VYSOKÁ HODNOTA  NEFAKTUROVANÉ VODY NA KM PŘEPOČTENÉ DÉLKY V M3/KM/DEN (PŘEVYŠUJE 1,5 NÁSOBEK MEDIÁNU SKUPINY Z PROVNÁNÍ VYKAZUJÍCÍCH ZTRÁTY VODY NAD 4 M3/KM/DEN)</c:v>
                      </c:pt>
                      <c:pt idx="12">
                        <c:v>NÁJEM JE MENŠÍ NEBO ROVEN 0 V ODDÍLNÉM (BEZ SERVISNÍCH SMLUV) NEBO KOMBINOVANÉM MODELU</c:v>
                      </c:pt>
                      <c:pt idx="13">
                        <c:v>NEDOSTATEČNÁ TVORBA PROSTŘEDKŮ NA OBNOVU VIM</c:v>
                      </c:pt>
                      <c:pt idx="14">
                        <c:v>VYSOKÉ ZTRÁTY VODY NA 1 KM PŘEPOČTENÉ DÉLKY VODOVODNÍHO ŘADU NA DEN  (M3/KM)/DEN (PŘEVYŠUJE 1,5 NÁSOBEK MEDIÁNU SKUPINY Z PROVNÁNÍ VYKAZUJÍCÍCH ZTRÁTY VODY NAD 4 M3/KM/DEN)</c:v>
                      </c:pt>
                      <c:pt idx="15">
                        <c:v>VYSOKÝ PODÍL ZISKU NA ÚVN ( HODNOTA VÍCE NEŽ 1,5 NÁSOBEK MEDIANU SKUPINY Z POROVNÁNÍ S KLADNÝM KALKULAČNÍM ZISKEM)</c:v>
                      </c:pt>
                      <c:pt idx="16">
                        <c:v>VYSOKÝ PODÍL KAKULAČNÍHO ZISKU K ROZDĚLENÍ NA ÚVN  (POROVNÁNÍ S PODÍLEM ZISKU NA VYPLACENÍ VYŠŠÍM, NEŽ 1,5NÁS. HODNOTY MEDIÁNU SKUPINY Z POROVNÁNÍ S KLADNÝM ZISKEM A PODÍL ZISKU K ROZDĚLENÍ NA ÚVN &gt;0)</c:v>
                      </c:pt>
                      <c:pt idx="17">
                        <c:v>VYSOKÁ PORUCHOVOST (POROVNÁNÍ, KDE JE POČET PORUCH/KM VĚTŠÍ, NEŽ 1,5NÁS MEDIÁNU SKUPINY BEZ POROVNÁNÍ S NULOVÝM POČTEM PORUCH)</c:v>
                      </c:pt>
                    </c:strCache>
                  </c:strRef>
                </c:cat>
                <c:val>
                  <c:numRef>
                    <c:extLst xmlns:c16r2="http://schemas.microsoft.com/office/drawing/2015/06/chart">
                      <c:ext uri="{02D57815-91ED-43cb-92C2-25804820EDAC}">
                        <c15:formulaRef>
                          <c15:sqref>VLAST_VODA_Anom_celkem!$C$77:$C$94</c15:sqref>
                        </c15:formulaRef>
                      </c:ext>
                    </c:extLst>
                    <c:numCache>
                      <c:formatCode>#,##0.00</c:formatCode>
                      <c:ptCount val="18"/>
                      <c:pt idx="0">
                        <c:v>461.35500000000002</c:v>
                      </c:pt>
                      <c:pt idx="1">
                        <c:v>461.35500000000002</c:v>
                      </c:pt>
                      <c:pt idx="2">
                        <c:v>461.35500000000002</c:v>
                      </c:pt>
                      <c:pt idx="3">
                        <c:v>461.35500000000002</c:v>
                      </c:pt>
                      <c:pt idx="4">
                        <c:v>461.35500000000002</c:v>
                      </c:pt>
                      <c:pt idx="5">
                        <c:v>461.35500000000002</c:v>
                      </c:pt>
                      <c:pt idx="6">
                        <c:v>461.35500000000002</c:v>
                      </c:pt>
                      <c:pt idx="7">
                        <c:v>461.35500000000002</c:v>
                      </c:pt>
                      <c:pt idx="8">
                        <c:v>461.35500000000002</c:v>
                      </c:pt>
                      <c:pt idx="9">
                        <c:v>461.35500000000002</c:v>
                      </c:pt>
                      <c:pt idx="10">
                        <c:v>461.35500000000002</c:v>
                      </c:pt>
                      <c:pt idx="11">
                        <c:v>461.35500000000002</c:v>
                      </c:pt>
                      <c:pt idx="12">
                        <c:v>461.35500000000002</c:v>
                      </c:pt>
                      <c:pt idx="13">
                        <c:v>461.35500000000002</c:v>
                      </c:pt>
                      <c:pt idx="14">
                        <c:v>461.35500000000002</c:v>
                      </c:pt>
                      <c:pt idx="15">
                        <c:v>461.35500000000002</c:v>
                      </c:pt>
                      <c:pt idx="16">
                        <c:v>461.35500000000002</c:v>
                      </c:pt>
                      <c:pt idx="17">
                        <c:v>461.35500000000002</c:v>
                      </c:pt>
                    </c:numCache>
                  </c:numRef>
                </c:val>
                <c:extLst xmlns:c16r2="http://schemas.microsoft.com/office/drawing/2015/06/chart">
                  <c:ext xmlns:c16="http://schemas.microsoft.com/office/drawing/2014/chart" uri="{C3380CC4-5D6E-409C-BE32-E72D297353CC}">
                    <c16:uniqueId val="{0000000F-C056-4E44-B057-BD66F86772A5}"/>
                  </c:ext>
                </c:extLst>
              </c15:ser>
            </c15:filteredBarSeries>
            <c15:filteredBarSeries>
              <c15:ser>
                <c:idx val="2"/>
                <c:order val="2"/>
                <c:tx>
                  <c:strRef>
                    <c:extLst xmlns:c15="http://schemas.microsoft.com/office/drawing/2012/chart" xmlns:c16r2="http://schemas.microsoft.com/office/drawing/2015/06/chart">
                      <c:ext xmlns:c15="http://schemas.microsoft.com/office/drawing/2012/chart" uri="{02D57815-91ED-43cb-92C2-25804820EDAC}">
                        <c15:formulaRef>
                          <c15:sqref>VLAST_VODA_Anom_celkem!$D$76</c15:sqref>
                        </c15:formulaRef>
                      </c:ext>
                    </c:extLst>
                    <c:strCache>
                      <c:ptCount val="1"/>
                      <c:pt idx="0">
                        <c:v>CELKEM TRH</c:v>
                      </c:pt>
                    </c:strCache>
                  </c:strRef>
                </c:tx>
                <c:invertIfNegative val="0"/>
                <c:cat>
                  <c:strRef>
                    <c:extLst xmlns:c15="http://schemas.microsoft.com/office/drawing/2012/chart" xmlns:c16r2="http://schemas.microsoft.com/office/drawing/2015/06/chart">
                      <c:ext xmlns:c15="http://schemas.microsoft.com/office/drawing/2012/chart" uri="{02D57815-91ED-43cb-92C2-25804820EDAC}">
                        <c15:formulaRef>
                          <c15:sqref>VLAST_VODA_Anom_celkem!$A$77:$A$94</c15:sqref>
                        </c15:formulaRef>
                      </c:ext>
                    </c:extLst>
                    <c:strCache>
                      <c:ptCount val="18"/>
                      <c:pt idx="0">
                        <c:v>NULOVÉ ODPISY + NULOVÉ OPRAVY +4.4 VE SMÍŠENÉM NEBO KOMBINOVANÉM MODELU</c:v>
                      </c:pt>
                      <c:pt idx="1">
                        <c:v>NÁJEM JE VĚTŠÍ NEŽ NULA VE SMÍŠENÉM MODELU NEBO ODDÍLNÉM SE SERVISNÍ SMLOUVOU</c:v>
                      </c:pt>
                      <c:pt idx="2">
                        <c:v>VYSOKÁ CENA PRO VODNÉ (HODNOTA VÍCE NEŽ 1,5 NÁSOBEK PRŮMĚRNÉ CENY PRO VODNÉ Z POROVNÁNÍ SPLŇUJÍCÍCH OKF MEZI 1 AŽ 1,5; PLNĚNÍ OBNOVY)</c:v>
                      </c:pt>
                      <c:pt idx="3">
                        <c:v>NENULOVÝ POČET PORUCH A NULOVÉ NÁKLADY NA OPRAVY</c:v>
                      </c:pt>
                      <c:pt idx="4">
                        <c:v>NULOVÉ ZTRÁTY</c:v>
                      </c:pt>
                      <c:pt idx="5">
                        <c:v> 0 PORUCH + OPRAVY VYŠŠÍ, NEŽ JSOU PRŮMĚRNÉ NÁKLADY NA ODSTRANĚNÍ JEDNÉ PORUCHY VE SKUPINĚ (PRŮMĚR POČÍTÁN BEZ POROVNÁNÍ, KDE JE 0 PORUCH, JAKO ARITMETICKÝ PRŮMĚR UKAZATELE VOM02)</c:v>
                      </c:pt>
                      <c:pt idx="6">
                        <c:v>ZÁPORNÝ KALKULAČNÍ ZISK KALKULOVÁN A DOSAŽEN</c:v>
                      </c:pt>
                      <c:pt idx="7">
                        <c:v>OKF &gt; 1 A NEPLNÍ OBNOVU</c:v>
                      </c:pt>
                      <c:pt idx="8">
                        <c:v>KALKULOVÁN KLADNÝ NEBO NULOVÝ ZISK A DOSAŽEN ZÁPORNÝ</c:v>
                      </c:pt>
                      <c:pt idx="9">
                        <c:v>ZÁPORNÝ KALKULAČNÍ ZISK</c:v>
                      </c:pt>
                      <c:pt idx="10">
                        <c:v>NULOVÝ CELÝ ŘÁDEK 20</c:v>
                      </c:pt>
                      <c:pt idx="11">
                        <c:v>VYSOKÁ HODNOTA  NEFAKTUROVANÉ VODY NA KM PŘEPOČTENÉ DÉLKY V M3/KM/DEN (PŘEVYŠUJE 1,5 NÁSOBEK MEDIÁNU SKUPINY Z PROVNÁNÍ VYKAZUJÍCÍCH ZTRÁTY VODY NAD 4 M3/KM/DEN)</c:v>
                      </c:pt>
                      <c:pt idx="12">
                        <c:v>NÁJEM JE MENŠÍ NEBO ROVEN 0 V ODDÍLNÉM (BEZ SERVISNÍCH SMLUV) NEBO KOMBINOVANÉM MODELU</c:v>
                      </c:pt>
                      <c:pt idx="13">
                        <c:v>NEDOSTATEČNÁ TVORBA PROSTŘEDKŮ NA OBNOVU VIM</c:v>
                      </c:pt>
                      <c:pt idx="14">
                        <c:v>VYSOKÉ ZTRÁTY VODY NA 1 KM PŘEPOČTENÉ DÉLKY VODOVODNÍHO ŘADU NA DEN  (M3/KM)/DEN (PŘEVYŠUJE 1,5 NÁSOBEK MEDIÁNU SKUPINY Z PROVNÁNÍ VYKAZUJÍCÍCH ZTRÁTY VODY NAD 4 M3/KM/DEN)</c:v>
                      </c:pt>
                      <c:pt idx="15">
                        <c:v>VYSOKÝ PODÍL ZISKU NA ÚVN ( HODNOTA VÍCE NEŽ 1,5 NÁSOBEK MEDIANU SKUPINY Z POROVNÁNÍ S KLADNÝM KALKULAČNÍM ZISKEM)</c:v>
                      </c:pt>
                      <c:pt idx="16">
                        <c:v>VYSOKÝ PODÍL KAKULAČNÍHO ZISKU K ROZDĚLENÍ NA ÚVN  (POROVNÁNÍ S PODÍLEM ZISKU NA VYPLACENÍ VYŠŠÍM, NEŽ 1,5NÁS. HODNOTY MEDIÁNU SKUPINY Z POROVNÁNÍ S KLADNÝM ZISKEM A PODÍL ZISKU K ROZDĚLENÍ NA ÚVN &gt;0)</c:v>
                      </c:pt>
                      <c:pt idx="17">
                        <c:v>VYSOKÁ PORUCHOVOST (POROVNÁNÍ, KDE JE POČET PORUCH/KM VĚTŠÍ, NEŽ 1,5NÁS MEDIÁNU SKUPINY BEZ POROVNÁNÍ S NULOVÝM POČTEM PORUCH)</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VLAST_VODA_Anom_celkem!$D$77:$D$94</c15:sqref>
                        </c15:formulaRef>
                      </c:ext>
                    </c:extLst>
                    <c:numCache>
                      <c:formatCode>#,##0.00</c:formatCode>
                      <c:ptCount val="18"/>
                      <c:pt idx="0">
                        <c:v>473.197</c:v>
                      </c:pt>
                      <c:pt idx="1">
                        <c:v>473.197</c:v>
                      </c:pt>
                      <c:pt idx="2">
                        <c:v>473.197</c:v>
                      </c:pt>
                      <c:pt idx="3">
                        <c:v>473.197</c:v>
                      </c:pt>
                      <c:pt idx="4">
                        <c:v>473.197</c:v>
                      </c:pt>
                      <c:pt idx="5">
                        <c:v>473.197</c:v>
                      </c:pt>
                      <c:pt idx="6">
                        <c:v>473.197</c:v>
                      </c:pt>
                      <c:pt idx="7">
                        <c:v>473.197</c:v>
                      </c:pt>
                      <c:pt idx="8">
                        <c:v>473.197</c:v>
                      </c:pt>
                      <c:pt idx="9">
                        <c:v>473.197</c:v>
                      </c:pt>
                      <c:pt idx="10">
                        <c:v>473.197</c:v>
                      </c:pt>
                      <c:pt idx="11">
                        <c:v>473.197</c:v>
                      </c:pt>
                      <c:pt idx="12">
                        <c:v>473.197</c:v>
                      </c:pt>
                      <c:pt idx="13">
                        <c:v>473.197</c:v>
                      </c:pt>
                      <c:pt idx="14">
                        <c:v>473.197</c:v>
                      </c:pt>
                      <c:pt idx="15">
                        <c:v>473.197</c:v>
                      </c:pt>
                      <c:pt idx="16">
                        <c:v>473.197</c:v>
                      </c:pt>
                      <c:pt idx="17">
                        <c:v>473.197</c:v>
                      </c:pt>
                    </c:numCache>
                  </c:numRef>
                </c:val>
                <c:extLst xmlns:c16r2="http://schemas.microsoft.com/office/drawing/2015/06/chart" xmlns:c15="http://schemas.microsoft.com/office/drawing/2012/chart">
                  <c:ext xmlns:c16="http://schemas.microsoft.com/office/drawing/2014/chart" uri="{C3380CC4-5D6E-409C-BE32-E72D297353CC}">
                    <c16:uniqueId val="{00000010-C056-4E44-B057-BD66F86772A5}"/>
                  </c:ext>
                </c:extLst>
              </c15:ser>
            </c15:filteredBarSeries>
            <c15:filteredBarSeries>
              <c15:ser>
                <c:idx val="5"/>
                <c:order val="5"/>
                <c:tx>
                  <c:strRef>
                    <c:extLst xmlns:c15="http://schemas.microsoft.com/office/drawing/2012/chart" xmlns:c16r2="http://schemas.microsoft.com/office/drawing/2015/06/chart">
                      <c:ext xmlns:c15="http://schemas.microsoft.com/office/drawing/2012/chart" uri="{02D57815-91ED-43cb-92C2-25804820EDAC}">
                        <c15:formulaRef>
                          <c15:sqref>VLAST_VODA_Anom_celkem!$G$76</c15:sqref>
                        </c15:formulaRef>
                      </c:ext>
                    </c:extLst>
                    <c:strCache>
                      <c:ptCount val="1"/>
                      <c:pt idx="0">
                        <c:v>ČETNOST VÝSKYTU</c:v>
                      </c:pt>
                    </c:strCache>
                  </c:strRef>
                </c:tx>
                <c:invertIfNegative val="0"/>
                <c:cat>
                  <c:strRef>
                    <c:extLst xmlns:c15="http://schemas.microsoft.com/office/drawing/2012/chart" xmlns:c16r2="http://schemas.microsoft.com/office/drawing/2015/06/chart">
                      <c:ext xmlns:c15="http://schemas.microsoft.com/office/drawing/2012/chart" uri="{02D57815-91ED-43cb-92C2-25804820EDAC}">
                        <c15:formulaRef>
                          <c15:sqref>VLAST_VODA_Anom_celkem!$A$77:$A$94</c15:sqref>
                        </c15:formulaRef>
                      </c:ext>
                    </c:extLst>
                    <c:strCache>
                      <c:ptCount val="18"/>
                      <c:pt idx="0">
                        <c:v>NULOVÉ ODPISY + NULOVÉ OPRAVY +4.4 VE SMÍŠENÉM NEBO KOMBINOVANÉM MODELU</c:v>
                      </c:pt>
                      <c:pt idx="1">
                        <c:v>NÁJEM JE VĚTŠÍ NEŽ NULA VE SMÍŠENÉM MODELU NEBO ODDÍLNÉM SE SERVISNÍ SMLOUVOU</c:v>
                      </c:pt>
                      <c:pt idx="2">
                        <c:v>VYSOKÁ CENA PRO VODNÉ (HODNOTA VÍCE NEŽ 1,5 NÁSOBEK PRŮMĚRNÉ CENY PRO VODNÉ Z POROVNÁNÍ SPLŇUJÍCÍCH OKF MEZI 1 AŽ 1,5; PLNĚNÍ OBNOVY)</c:v>
                      </c:pt>
                      <c:pt idx="3">
                        <c:v>NENULOVÝ POČET PORUCH A NULOVÉ NÁKLADY NA OPRAVY</c:v>
                      </c:pt>
                      <c:pt idx="4">
                        <c:v>NULOVÉ ZTRÁTY</c:v>
                      </c:pt>
                      <c:pt idx="5">
                        <c:v> 0 PORUCH + OPRAVY VYŠŠÍ, NEŽ JSOU PRŮMĚRNÉ NÁKLADY NA ODSTRANĚNÍ JEDNÉ PORUCHY VE SKUPINĚ (PRŮMĚR POČÍTÁN BEZ POROVNÁNÍ, KDE JE 0 PORUCH, JAKO ARITMETICKÝ PRŮMĚR UKAZATELE VOM02)</c:v>
                      </c:pt>
                      <c:pt idx="6">
                        <c:v>ZÁPORNÝ KALKULAČNÍ ZISK KALKULOVÁN A DOSAŽEN</c:v>
                      </c:pt>
                      <c:pt idx="7">
                        <c:v>OKF &gt; 1 A NEPLNÍ OBNOVU</c:v>
                      </c:pt>
                      <c:pt idx="8">
                        <c:v>KALKULOVÁN KLADNÝ NEBO NULOVÝ ZISK A DOSAŽEN ZÁPORNÝ</c:v>
                      </c:pt>
                      <c:pt idx="9">
                        <c:v>ZÁPORNÝ KALKULAČNÍ ZISK</c:v>
                      </c:pt>
                      <c:pt idx="10">
                        <c:v>NULOVÝ CELÝ ŘÁDEK 20</c:v>
                      </c:pt>
                      <c:pt idx="11">
                        <c:v>VYSOKÁ HODNOTA  NEFAKTUROVANÉ VODY NA KM PŘEPOČTENÉ DÉLKY V M3/KM/DEN (PŘEVYŠUJE 1,5 NÁSOBEK MEDIÁNU SKUPINY Z PROVNÁNÍ VYKAZUJÍCÍCH ZTRÁTY VODY NAD 4 M3/KM/DEN)</c:v>
                      </c:pt>
                      <c:pt idx="12">
                        <c:v>NÁJEM JE MENŠÍ NEBO ROVEN 0 V ODDÍLNÉM (BEZ SERVISNÍCH SMLUV) NEBO KOMBINOVANÉM MODELU</c:v>
                      </c:pt>
                      <c:pt idx="13">
                        <c:v>NEDOSTATEČNÁ TVORBA PROSTŘEDKŮ NA OBNOVU VIM</c:v>
                      </c:pt>
                      <c:pt idx="14">
                        <c:v>VYSOKÉ ZTRÁTY VODY NA 1 KM PŘEPOČTENÉ DÉLKY VODOVODNÍHO ŘADU NA DEN  (M3/KM)/DEN (PŘEVYŠUJE 1,5 NÁSOBEK MEDIÁNU SKUPINY Z PROVNÁNÍ VYKAZUJÍCÍCH ZTRÁTY VODY NAD 4 M3/KM/DEN)</c:v>
                      </c:pt>
                      <c:pt idx="15">
                        <c:v>VYSOKÝ PODÍL ZISKU NA ÚVN ( HODNOTA VÍCE NEŽ 1,5 NÁSOBEK MEDIANU SKUPINY Z POROVNÁNÍ S KLADNÝM KALKULAČNÍM ZISKEM)</c:v>
                      </c:pt>
                      <c:pt idx="16">
                        <c:v>VYSOKÝ PODÍL KAKULAČNÍHO ZISKU K ROZDĚLENÍ NA ÚVN  (POROVNÁNÍ S PODÍLEM ZISKU NA VYPLACENÍ VYŠŠÍM, NEŽ 1,5NÁS. HODNOTY MEDIÁNU SKUPINY Z POROVNÁNÍ S KLADNÝM ZISKEM A PODÍL ZISKU K ROZDĚLENÍ NA ÚVN &gt;0)</c:v>
                      </c:pt>
                      <c:pt idx="17">
                        <c:v>VYSOKÁ PORUCHOVOST (POROVNÁNÍ, KDE JE POČET PORUCH/KM VĚTŠÍ, NEŽ 1,5NÁS MEDIÁNU SKUPINY BEZ POROVNÁNÍ S NULOVÝM POČTEM PORUCH)</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VLAST_VODA_Anom_celkem!$G$77:$G$94</c15:sqref>
                        </c15:formulaRef>
                      </c:ext>
                    </c:extLst>
                    <c:numCache>
                      <c:formatCode>#,##0</c:formatCode>
                      <c:ptCount val="18"/>
                      <c:pt idx="0">
                        <c:v>68</c:v>
                      </c:pt>
                      <c:pt idx="1">
                        <c:v>38</c:v>
                      </c:pt>
                      <c:pt idx="2">
                        <c:v>44</c:v>
                      </c:pt>
                      <c:pt idx="3">
                        <c:v>110</c:v>
                      </c:pt>
                      <c:pt idx="4">
                        <c:v>260</c:v>
                      </c:pt>
                      <c:pt idx="5">
                        <c:v>150</c:v>
                      </c:pt>
                      <c:pt idx="6">
                        <c:v>318</c:v>
                      </c:pt>
                      <c:pt idx="7">
                        <c:v>113</c:v>
                      </c:pt>
                      <c:pt idx="8">
                        <c:v>499</c:v>
                      </c:pt>
                      <c:pt idx="9">
                        <c:v>817</c:v>
                      </c:pt>
                      <c:pt idx="10">
                        <c:v>476</c:v>
                      </c:pt>
                      <c:pt idx="11">
                        <c:v>97</c:v>
                      </c:pt>
                      <c:pt idx="12">
                        <c:v>147</c:v>
                      </c:pt>
                      <c:pt idx="13">
                        <c:v>1313</c:v>
                      </c:pt>
                      <c:pt idx="14">
                        <c:v>74</c:v>
                      </c:pt>
                      <c:pt idx="15">
                        <c:v>139</c:v>
                      </c:pt>
                      <c:pt idx="16">
                        <c:v>644</c:v>
                      </c:pt>
                      <c:pt idx="17">
                        <c:v>324</c:v>
                      </c:pt>
                    </c:numCache>
                  </c:numRef>
                </c:val>
              </c15:ser>
            </c15:filteredBarSeries>
            <c15:filteredBarSeries>
              <c15:ser>
                <c:idx val="6"/>
                <c:order val="6"/>
                <c:tx>
                  <c:strRef>
                    <c:extLst xmlns:c15="http://schemas.microsoft.com/office/drawing/2012/chart" xmlns:c16r2="http://schemas.microsoft.com/office/drawing/2015/06/chart">
                      <c:ext xmlns:c15="http://schemas.microsoft.com/office/drawing/2012/chart" uri="{02D57815-91ED-43cb-92C2-25804820EDAC}">
                        <c15:formulaRef>
                          <c15:sqref>VLAST_VODA_Anom_celkem!$H$76</c15:sqref>
                        </c15:formulaRef>
                      </c:ext>
                    </c:extLst>
                    <c:strCache>
                      <c:ptCount val="1"/>
                      <c:pt idx="0">
                        <c:v>% podíl z analyzovaného trhu (461,35 mil.m3)</c:v>
                      </c:pt>
                    </c:strCache>
                  </c:strRef>
                </c:tx>
                <c:invertIfNegative val="0"/>
                <c:cat>
                  <c:strRef>
                    <c:extLst xmlns:c15="http://schemas.microsoft.com/office/drawing/2012/chart" xmlns:c16r2="http://schemas.microsoft.com/office/drawing/2015/06/chart">
                      <c:ext xmlns:c15="http://schemas.microsoft.com/office/drawing/2012/chart" uri="{02D57815-91ED-43cb-92C2-25804820EDAC}">
                        <c15:formulaRef>
                          <c15:sqref>VLAST_VODA_Anom_celkem!$A$77:$A$94</c15:sqref>
                        </c15:formulaRef>
                      </c:ext>
                    </c:extLst>
                    <c:strCache>
                      <c:ptCount val="18"/>
                      <c:pt idx="0">
                        <c:v>NULOVÉ ODPISY + NULOVÉ OPRAVY +4.4 VE SMÍŠENÉM NEBO KOMBINOVANÉM MODELU</c:v>
                      </c:pt>
                      <c:pt idx="1">
                        <c:v>NÁJEM JE VĚTŠÍ NEŽ NULA VE SMÍŠENÉM MODELU NEBO ODDÍLNÉM SE SERVISNÍ SMLOUVOU</c:v>
                      </c:pt>
                      <c:pt idx="2">
                        <c:v>VYSOKÁ CENA PRO VODNÉ (HODNOTA VÍCE NEŽ 1,5 NÁSOBEK PRŮMĚRNÉ CENY PRO VODNÉ Z POROVNÁNÍ SPLŇUJÍCÍCH OKF MEZI 1 AŽ 1,5; PLNĚNÍ OBNOVY)</c:v>
                      </c:pt>
                      <c:pt idx="3">
                        <c:v>NENULOVÝ POČET PORUCH A NULOVÉ NÁKLADY NA OPRAVY</c:v>
                      </c:pt>
                      <c:pt idx="4">
                        <c:v>NULOVÉ ZTRÁTY</c:v>
                      </c:pt>
                      <c:pt idx="5">
                        <c:v> 0 PORUCH + OPRAVY VYŠŠÍ, NEŽ JSOU PRŮMĚRNÉ NÁKLADY NA ODSTRANĚNÍ JEDNÉ PORUCHY VE SKUPINĚ (PRŮMĚR POČÍTÁN BEZ POROVNÁNÍ, KDE JE 0 PORUCH, JAKO ARITMETICKÝ PRŮMĚR UKAZATELE VOM02)</c:v>
                      </c:pt>
                      <c:pt idx="6">
                        <c:v>ZÁPORNÝ KALKULAČNÍ ZISK KALKULOVÁN A DOSAŽEN</c:v>
                      </c:pt>
                      <c:pt idx="7">
                        <c:v>OKF &gt; 1 A NEPLNÍ OBNOVU</c:v>
                      </c:pt>
                      <c:pt idx="8">
                        <c:v>KALKULOVÁN KLADNÝ NEBO NULOVÝ ZISK A DOSAŽEN ZÁPORNÝ</c:v>
                      </c:pt>
                      <c:pt idx="9">
                        <c:v>ZÁPORNÝ KALKULAČNÍ ZISK</c:v>
                      </c:pt>
                      <c:pt idx="10">
                        <c:v>NULOVÝ CELÝ ŘÁDEK 20</c:v>
                      </c:pt>
                      <c:pt idx="11">
                        <c:v>VYSOKÁ HODNOTA  NEFAKTUROVANÉ VODY NA KM PŘEPOČTENÉ DÉLKY V M3/KM/DEN (PŘEVYŠUJE 1,5 NÁSOBEK MEDIÁNU SKUPINY Z PROVNÁNÍ VYKAZUJÍCÍCH ZTRÁTY VODY NAD 4 M3/KM/DEN)</c:v>
                      </c:pt>
                      <c:pt idx="12">
                        <c:v>NÁJEM JE MENŠÍ NEBO ROVEN 0 V ODDÍLNÉM (BEZ SERVISNÍCH SMLUV) NEBO KOMBINOVANÉM MODELU</c:v>
                      </c:pt>
                      <c:pt idx="13">
                        <c:v>NEDOSTATEČNÁ TVORBA PROSTŘEDKŮ NA OBNOVU VIM</c:v>
                      </c:pt>
                      <c:pt idx="14">
                        <c:v>VYSOKÉ ZTRÁTY VODY NA 1 KM PŘEPOČTENÉ DÉLKY VODOVODNÍHO ŘADU NA DEN  (M3/KM)/DEN (PŘEVYŠUJE 1,5 NÁSOBEK MEDIÁNU SKUPINY Z PROVNÁNÍ VYKAZUJÍCÍCH ZTRÁTY VODY NAD 4 M3/KM/DEN)</c:v>
                      </c:pt>
                      <c:pt idx="15">
                        <c:v>VYSOKÝ PODÍL ZISKU NA ÚVN ( HODNOTA VÍCE NEŽ 1,5 NÁSOBEK MEDIANU SKUPINY Z POROVNÁNÍ S KLADNÝM KALKULAČNÍM ZISKEM)</c:v>
                      </c:pt>
                      <c:pt idx="16">
                        <c:v>VYSOKÝ PODÍL KAKULAČNÍHO ZISKU K ROZDĚLENÍ NA ÚVN  (POROVNÁNÍ S PODÍLEM ZISKU NA VYPLACENÍ VYŠŠÍM, NEŽ 1,5NÁS. HODNOTY MEDIÁNU SKUPINY Z POROVNÁNÍ S KLADNÝM ZISKEM A PODÍL ZISKU K ROZDĚLENÍ NA ÚVN &gt;0)</c:v>
                      </c:pt>
                      <c:pt idx="17">
                        <c:v>VYSOKÁ PORUCHOVOST (POROVNÁNÍ, KDE JE POČET PORUCH/KM VĚTŠÍ, NEŽ 1,5NÁS MEDIÁNU SKUPINY BEZ POROVNÁNÍ S NULOVÝM POČTEM PORUCH)</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VLAST_VODA_Anom_celkem!$H$77:$H$94</c15:sqref>
                        </c15:formulaRef>
                      </c:ext>
                    </c:extLst>
                    <c:numCache>
                      <c:formatCode>0.00</c:formatCode>
                      <c:ptCount val="18"/>
                      <c:pt idx="0">
                        <c:v>0.2</c:v>
                      </c:pt>
                      <c:pt idx="1">
                        <c:v>0.3</c:v>
                      </c:pt>
                      <c:pt idx="2">
                        <c:v>0.4</c:v>
                      </c:pt>
                      <c:pt idx="3">
                        <c:v>0.6</c:v>
                      </c:pt>
                      <c:pt idx="4">
                        <c:v>1</c:v>
                      </c:pt>
                      <c:pt idx="5">
                        <c:v>1.2</c:v>
                      </c:pt>
                      <c:pt idx="6">
                        <c:v>1.3</c:v>
                      </c:pt>
                      <c:pt idx="7">
                        <c:v>1.7999999999999998</c:v>
                      </c:pt>
                      <c:pt idx="8">
                        <c:v>4.9000000000000004</c:v>
                      </c:pt>
                      <c:pt idx="9">
                        <c:v>6.2</c:v>
                      </c:pt>
                      <c:pt idx="10">
                        <c:v>6.2</c:v>
                      </c:pt>
                      <c:pt idx="11">
                        <c:v>6.3</c:v>
                      </c:pt>
                      <c:pt idx="12">
                        <c:v>6.7</c:v>
                      </c:pt>
                      <c:pt idx="13">
                        <c:v>11.5</c:v>
                      </c:pt>
                      <c:pt idx="14">
                        <c:v>22.1</c:v>
                      </c:pt>
                      <c:pt idx="15">
                        <c:v>26.200000000000003</c:v>
                      </c:pt>
                      <c:pt idx="16">
                        <c:v>26.5</c:v>
                      </c:pt>
                      <c:pt idx="17">
                        <c:v>43.7</c:v>
                      </c:pt>
                    </c:numCache>
                  </c:numRef>
                </c:val>
              </c15:ser>
            </c15:filteredBarSeries>
          </c:ext>
        </c:extLst>
      </c:barChart>
      <c:catAx>
        <c:axId val="467465464"/>
        <c:scaling>
          <c:orientation val="minMax"/>
        </c:scaling>
        <c:delete val="0"/>
        <c:axPos val="l"/>
        <c:numFmt formatCode="General" sourceLinked="1"/>
        <c:majorTickMark val="none"/>
        <c:minorTickMark val="none"/>
        <c:tickLblPos val="nextTo"/>
        <c:txPr>
          <a:bodyPr rot="0" vert="horz"/>
          <a:lstStyle/>
          <a:p>
            <a:pPr>
              <a:defRPr sz="700" b="1" cap="small" baseline="0">
                <a:solidFill>
                  <a:srgbClr val="002060"/>
                </a:solidFill>
                <a:latin typeface="+mj-lt"/>
              </a:defRPr>
            </a:pPr>
            <a:endParaRPr lang="cs-CZ"/>
          </a:p>
        </c:txPr>
        <c:crossAx val="467471344"/>
        <c:crosses val="autoZero"/>
        <c:auto val="0"/>
        <c:lblAlgn val="ctr"/>
        <c:lblOffset val="100"/>
        <c:noMultiLvlLbl val="0"/>
      </c:catAx>
      <c:valAx>
        <c:axId val="467471344"/>
        <c:scaling>
          <c:orientation val="minMax"/>
        </c:scaling>
        <c:delete val="0"/>
        <c:axPos val="b"/>
        <c:majorGridlines/>
        <c:numFmt formatCode="0%" sourceLinked="1"/>
        <c:majorTickMark val="none"/>
        <c:minorTickMark val="none"/>
        <c:tickLblPos val="nextTo"/>
        <c:txPr>
          <a:bodyPr/>
          <a:lstStyle/>
          <a:p>
            <a:pPr>
              <a:defRPr sz="900"/>
            </a:pPr>
            <a:endParaRPr lang="cs-CZ"/>
          </a:p>
        </c:txPr>
        <c:crossAx val="467465464"/>
        <c:crosses val="autoZero"/>
        <c:crossBetween val="between"/>
      </c:valAx>
    </c:plotArea>
    <c:legend>
      <c:legendPos val="b"/>
      <c:layout/>
      <c:overlay val="0"/>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a:solidFill>
                  <a:srgbClr val="002060"/>
                </a:solidFill>
                <a:latin typeface="+mj-lt"/>
              </a:defRPr>
            </a:pPr>
            <a:r>
              <a:rPr lang="sk-SK" sz="1100" cap="all">
                <a:solidFill>
                  <a:srgbClr val="002060"/>
                </a:solidFill>
                <a:latin typeface="+mj-lt"/>
              </a:rPr>
              <a:t>Benchmarking vlastnických subjektů 2017 - Pitná voda</a:t>
            </a:r>
          </a:p>
          <a:p>
            <a:pPr algn="l">
              <a:defRPr sz="1100">
                <a:solidFill>
                  <a:srgbClr val="002060"/>
                </a:solidFill>
                <a:latin typeface="+mj-lt"/>
              </a:defRPr>
            </a:pPr>
            <a:r>
              <a:rPr lang="sk-SK" sz="1100" cap="all">
                <a:solidFill>
                  <a:srgbClr val="002060"/>
                </a:solidFill>
                <a:latin typeface="+mj-lt"/>
              </a:rPr>
              <a:t>Výskyt</a:t>
            </a:r>
            <a:r>
              <a:rPr lang="sk-SK" sz="1100" cap="all" baseline="0">
                <a:solidFill>
                  <a:srgbClr val="002060"/>
                </a:solidFill>
                <a:latin typeface="+mj-lt"/>
              </a:rPr>
              <a:t> alespoň jedné anomálie ve skupině</a:t>
            </a:r>
          </a:p>
          <a:p>
            <a:pPr algn="l">
              <a:defRPr sz="1100">
                <a:solidFill>
                  <a:srgbClr val="002060"/>
                </a:solidFill>
                <a:latin typeface="+mj-lt"/>
              </a:defRPr>
            </a:pPr>
            <a:r>
              <a:rPr lang="sk-SK" sz="1100" cap="all" baseline="0">
                <a:solidFill>
                  <a:srgbClr val="002060"/>
                </a:solidFill>
                <a:latin typeface="+mj-lt"/>
              </a:rPr>
              <a:t>- převedeno na objem vody fakturované (mil. m</a:t>
            </a:r>
            <a:r>
              <a:rPr lang="sk-SK" sz="1100" cap="all" baseline="30000">
                <a:solidFill>
                  <a:srgbClr val="002060"/>
                </a:solidFill>
                <a:latin typeface="+mj-lt"/>
              </a:rPr>
              <a:t>3</a:t>
            </a:r>
            <a:r>
              <a:rPr lang="sk-SK" sz="1100" cap="all" baseline="0">
                <a:solidFill>
                  <a:srgbClr val="002060"/>
                </a:solidFill>
                <a:latin typeface="+mj-lt"/>
              </a:rPr>
              <a:t>)</a:t>
            </a:r>
            <a:endParaRPr lang="sk-SK" sz="1100" cap="all">
              <a:solidFill>
                <a:srgbClr val="002060"/>
              </a:solidFill>
              <a:latin typeface="+mj-lt"/>
            </a:endParaRPr>
          </a:p>
        </c:rich>
      </c:tx>
      <c:layout>
        <c:manualLayout>
          <c:xMode val="edge"/>
          <c:yMode val="edge"/>
          <c:x val="1.2953509016501174E-3"/>
          <c:y val="1.1180619609437274E-2"/>
        </c:manualLayout>
      </c:layout>
      <c:overlay val="0"/>
    </c:title>
    <c:autoTitleDeleted val="0"/>
    <c:plotArea>
      <c:layout>
        <c:manualLayout>
          <c:layoutTarget val="inner"/>
          <c:xMode val="edge"/>
          <c:yMode val="edge"/>
          <c:x val="6.1815639492350374E-2"/>
          <c:y val="0.14380336330534871"/>
          <c:w val="0.89572464333047674"/>
          <c:h val="0.63023290576933488"/>
        </c:manualLayout>
      </c:layout>
      <c:barChart>
        <c:barDir val="col"/>
        <c:grouping val="stacked"/>
        <c:varyColors val="0"/>
        <c:ser>
          <c:idx val="0"/>
          <c:order val="0"/>
          <c:tx>
            <c:strRef>
              <c:f>VLAST_VODA_Anom_celkem!$B$107</c:f>
              <c:strCache>
                <c:ptCount val="1"/>
                <c:pt idx="0">
                  <c:v>Objem vody fakturované bez anomálií (v mil m3)</c:v>
                </c:pt>
              </c:strCache>
            </c:strRef>
          </c:tx>
          <c:spPr>
            <a:solidFill>
              <a:srgbClr val="5B9BD5"/>
            </a:solidFill>
            <a:scene3d>
              <a:camera prst="orthographicFront"/>
              <a:lightRig rig="threePt" dir="t"/>
            </a:scene3d>
            <a:sp3d>
              <a:bevelT/>
            </a:sp3d>
          </c:spPr>
          <c:invertIfNegative val="0"/>
          <c:cat>
            <c:strRef>
              <c:f>VLAST_VODA_Anom_celkem!$A$108:$A$113</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VLAST_VODA_Anom_celkem!$B$108:$B$113</c:f>
              <c:numCache>
                <c:formatCode>General</c:formatCode>
                <c:ptCount val="6"/>
                <c:pt idx="0">
                  <c:v>50.301999999999992</c:v>
                </c:pt>
                <c:pt idx="1">
                  <c:v>33.053659000000067</c:v>
                </c:pt>
                <c:pt idx="2">
                  <c:v>14.363014999999983</c:v>
                </c:pt>
                <c:pt idx="3">
                  <c:v>2.6337819999999788</c:v>
                </c:pt>
                <c:pt idx="4">
                  <c:v>0</c:v>
                </c:pt>
                <c:pt idx="5">
                  <c:v>0</c:v>
                </c:pt>
              </c:numCache>
            </c:numRef>
          </c:val>
          <c:extLst xmlns:c16r2="http://schemas.microsoft.com/office/drawing/2015/06/chart">
            <c:ext xmlns:c16="http://schemas.microsoft.com/office/drawing/2014/chart" uri="{C3380CC4-5D6E-409C-BE32-E72D297353CC}">
              <c16:uniqueId val="{00000003-64EF-417D-A87D-40818EF8A220}"/>
            </c:ext>
          </c:extLst>
        </c:ser>
        <c:ser>
          <c:idx val="1"/>
          <c:order val="1"/>
          <c:tx>
            <c:strRef>
              <c:f>VLAST_VODA_Anom_celkem!$C$107</c:f>
              <c:strCache>
                <c:ptCount val="1"/>
                <c:pt idx="0">
                  <c:v>Objem vody pitné fakturované (mil. m3) s výskytem alespoň jedné anomálie</c:v>
                </c:pt>
              </c:strCache>
            </c:strRef>
          </c:tx>
          <c:spPr>
            <a:solidFill>
              <a:srgbClr val="CE9CE4"/>
            </a:solidFill>
            <a:scene3d>
              <a:camera prst="orthographicFront"/>
              <a:lightRig rig="threePt" dir="t"/>
            </a:scene3d>
            <a:sp3d>
              <a:bevelT/>
            </a:sp3d>
          </c:spPr>
          <c:invertIfNegative val="0"/>
          <c:dLbls>
            <c:dLbl>
              <c:idx val="0"/>
              <c:layout/>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mn-lt"/>
                        <a:ea typeface="+mn-ea"/>
                        <a:cs typeface="+mn-cs"/>
                      </a:defRPr>
                    </a:pPr>
                    <a:r>
                      <a:rPr lang="en-US" sz="900" b="0" i="0" u="none" strike="noStrike" kern="1200" baseline="0">
                        <a:solidFill>
                          <a:sysClr val="windowText" lastClr="000000"/>
                        </a:solidFill>
                        <a:latin typeface="+mn-lt"/>
                        <a:ea typeface="+mn-ea"/>
                        <a:cs typeface="+mn-cs"/>
                      </a:rPr>
                      <a:t>114,29 mil.m</a:t>
                    </a:r>
                    <a:r>
                      <a:rPr lang="en-US" sz="900" b="0" i="0" u="none" strike="noStrike" kern="1200" baseline="30000">
                        <a:solidFill>
                          <a:sysClr val="windowText" lastClr="000000"/>
                        </a:solidFill>
                        <a:latin typeface="+mn-lt"/>
                        <a:ea typeface="+mn-ea"/>
                        <a:cs typeface="+mn-cs"/>
                      </a:rPr>
                      <a:t>3</a:t>
                    </a:r>
                  </a:p>
                </c:rich>
              </c:tx>
              <c:numFmt formatCode="#,##0.00" sourceLinked="0"/>
              <c:spPr>
                <a:noFill/>
                <a:ln>
                  <a:noFill/>
                </a:ln>
                <a:effectLst/>
              </c:spPr>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168,32 </a:t>
                    </a:r>
                    <a:r>
                      <a:rPr lang="en-US" sz="1000" b="0" i="0" u="none" strike="noStrike" baseline="0"/>
                      <a:t>mil.m</a:t>
                    </a:r>
                    <a:r>
                      <a:rPr lang="en-US" sz="1000" b="0" i="0" u="none" strike="noStrike" baseline="30000"/>
                      <a:t>3</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7602612355350855E-3"/>
                  <c:y val="-2.2136944152407578E-2"/>
                </c:manualLayout>
              </c:layout>
              <c:tx>
                <c:rich>
                  <a:bodyPr/>
                  <a:lstStyle/>
                  <a:p>
                    <a:r>
                      <a:rPr lang="en-US"/>
                      <a:t>44,97 </a:t>
                    </a:r>
                    <a:r>
                      <a:rPr lang="en-US" sz="1000" b="0" i="0" u="none" strike="noStrike" baseline="0"/>
                      <a:t>mil.m</a:t>
                    </a:r>
                    <a:r>
                      <a:rPr lang="en-US" sz="1000" b="0" i="0" u="none" strike="noStrike" baseline="30000"/>
                      <a:t>3</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a:t>29,14 </a:t>
                    </a:r>
                    <a:r>
                      <a:rPr lang="en-US" sz="1000" b="0" i="0" u="none" strike="noStrike" baseline="0"/>
                      <a:t>mil.m</a:t>
                    </a:r>
                    <a:r>
                      <a:rPr lang="en-US" sz="1000" b="0" i="0" u="none" strike="noStrike" baseline="30000"/>
                      <a:t>3</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8652626028784483E-2"/>
                  <c:y val="6.8317223946639614E-3"/>
                </c:manualLayout>
              </c:layout>
              <c:tx>
                <c:rich>
                  <a:bodyPr/>
                  <a:lstStyle/>
                  <a:p>
                    <a:r>
                      <a:rPr lang="en-US"/>
                      <a:t>5,47 </a:t>
                    </a:r>
                    <a:r>
                      <a:rPr lang="en-US" sz="1000" b="0" i="0" u="none" strike="noStrike" baseline="0"/>
                      <a:t>mil.m</a:t>
                    </a:r>
                    <a:r>
                      <a:rPr lang="en-US" sz="1000" b="0"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5"/>
              <c:layout>
                <c:manualLayout>
                  <c:x val="2.9304029304029304E-2"/>
                  <c:y val="-1.0077327905254518E-2"/>
                </c:manualLayout>
              </c:layout>
              <c:tx>
                <c:rich>
                  <a:bodyPr/>
                  <a:lstStyle/>
                  <a:p>
                    <a:r>
                      <a:rPr lang="en-US"/>
                      <a:t>0,16 </a:t>
                    </a:r>
                    <a:r>
                      <a:rPr lang="en-US" sz="1000" b="0" i="0" u="none" strike="noStrike" baseline="0"/>
                      <a:t>mil.m</a:t>
                    </a:r>
                    <a:r>
                      <a:rPr lang="en-US" sz="1000" b="0" i="0" u="none" strike="noStrike" baseline="30000"/>
                      <a:t>3</a:t>
                    </a:r>
                    <a:endParaRPr lang="en-US"/>
                  </a:p>
                </c:rich>
              </c:tx>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B-64EF-417D-A87D-40818EF8A220}"/>
                </c:ext>
                <c:ext xmlns:c15="http://schemas.microsoft.com/office/drawing/2012/chart" uri="{CE6537A1-D6FC-4f65-9D91-7224C49458BB}">
                  <c15:layout/>
                </c:ext>
              </c:extLst>
            </c:dLbl>
            <c:numFmt formatCode="#,##0.00" sourceLinked="0"/>
            <c:spPr>
              <a:noFill/>
              <a:ln>
                <a:noFill/>
              </a:ln>
              <a:effectLst/>
            </c:spPr>
            <c:txPr>
              <a:bodyPr rot="-5400000" vert="horz"/>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VLAST_VODA_Anom_celkem!$A$108:$A$113</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VLAST_VODA_Anom_celkem!$C$108:$C$113</c:f>
              <c:numCache>
                <c:formatCode>General</c:formatCode>
                <c:ptCount val="6"/>
                <c:pt idx="0">
                  <c:v>114.29418799999999</c:v>
                </c:pt>
                <c:pt idx="1">
                  <c:v>168.32226699999993</c:v>
                </c:pt>
                <c:pt idx="2">
                  <c:v>43.491509000000029</c:v>
                </c:pt>
                <c:pt idx="3">
                  <c:v>29.267013999999985</c:v>
                </c:pt>
                <c:pt idx="4">
                  <c:v>5.4714659999999959</c:v>
                </c:pt>
                <c:pt idx="5">
                  <c:v>0.15609599999999998</c:v>
                </c:pt>
              </c:numCache>
            </c:numRef>
          </c:val>
          <c:extLst xmlns:c16r2="http://schemas.microsoft.com/office/drawing/2015/06/chart">
            <c:ext xmlns:c16="http://schemas.microsoft.com/office/drawing/2014/chart" uri="{C3380CC4-5D6E-409C-BE32-E72D297353CC}">
              <c16:uniqueId val="{00000002-64EF-417D-A87D-40818EF8A220}"/>
            </c:ext>
          </c:extLst>
        </c:ser>
        <c:dLbls>
          <c:showLegendKey val="0"/>
          <c:showVal val="0"/>
          <c:showCatName val="0"/>
          <c:showSerName val="0"/>
          <c:showPercent val="0"/>
          <c:showBubbleSize val="0"/>
        </c:dLbls>
        <c:gapWidth val="75"/>
        <c:overlap val="100"/>
        <c:axId val="467467816"/>
        <c:axId val="467468992"/>
      </c:barChart>
      <c:lineChart>
        <c:grouping val="standard"/>
        <c:varyColors val="0"/>
        <c:ser>
          <c:idx val="2"/>
          <c:order val="2"/>
          <c:tx>
            <c:strRef>
              <c:f>VLAST_VODA_Anom_celkem!$D$107</c:f>
              <c:strCache>
                <c:ptCount val="1"/>
                <c:pt idx="0">
                  <c:v>Objem vody fakturované ve skupině (v mil. m3)</c:v>
                </c:pt>
              </c:strCache>
            </c:strRef>
          </c:tx>
          <c:spPr>
            <a:ln w="44450"/>
          </c:spPr>
          <c:marker>
            <c:symbol val="square"/>
            <c:size val="5"/>
          </c:marker>
          <c:dLbls>
            <c:dLbl>
              <c:idx val="0"/>
              <c:layout>
                <c:manualLayout>
                  <c:x val="-6.4735026725184511E-2"/>
                  <c:y val="-2.2229936753960396E-2"/>
                </c:manualLayout>
              </c:layout>
              <c:tx>
                <c:rich>
                  <a:bodyPr wrap="square" lIns="38100" tIns="19050" rIns="38100" bIns="19050" anchor="ctr">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mn-lt"/>
                        <a:ea typeface="+mn-ea"/>
                        <a:cs typeface="+mn-cs"/>
                      </a:defRPr>
                    </a:pPr>
                    <a:r>
                      <a:rPr lang="en-US" sz="900" b="0" i="0" u="none" strike="noStrike" kern="1200" baseline="0">
                        <a:solidFill>
                          <a:sysClr val="windowText" lastClr="000000"/>
                        </a:solidFill>
                        <a:latin typeface="+mn-lt"/>
                        <a:ea typeface="+mn-ea"/>
                        <a:cs typeface="+mn-cs"/>
                      </a:rPr>
                      <a:t>164,60 mil. m</a:t>
                    </a:r>
                    <a:r>
                      <a:rPr lang="en-US" sz="900" b="0" i="0" u="none" strike="noStrike" kern="1200" baseline="30000">
                        <a:solidFill>
                          <a:sysClr val="windowText" lastClr="000000"/>
                        </a:solidFill>
                        <a:latin typeface="+mn-lt"/>
                        <a:ea typeface="+mn-ea"/>
                        <a:cs typeface="+mn-cs"/>
                      </a:rPr>
                      <a:t>3</a:t>
                    </a:r>
                  </a:p>
                </c:rich>
              </c:tx>
              <c:numFmt formatCode="#,##0.00" sourceLinked="0"/>
              <c:spPr>
                <a:solidFill>
                  <a:schemeClr val="bg1">
                    <a:lumMod val="95000"/>
                  </a:schemeClr>
                </a:solidFill>
                <a:ln>
                  <a:noFill/>
                </a:ln>
                <a:effectLst/>
              </c:spPr>
              <c:showLegendKey val="1"/>
              <c:showVal val="1"/>
              <c:showCatName val="0"/>
              <c:showSerName val="0"/>
              <c:showPercent val="0"/>
              <c:showBubbleSize val="0"/>
              <c:extLst>
                <c:ext xmlns:c15="http://schemas.microsoft.com/office/drawing/2012/chart" uri="{CE6537A1-D6FC-4f65-9D91-7224C49458BB}">
                  <c15:layout/>
                </c:ext>
              </c:extLst>
            </c:dLbl>
            <c:dLbl>
              <c:idx val="1"/>
              <c:layout>
                <c:manualLayout>
                  <c:x val="-5.7693709767246464E-2"/>
                  <c:y val="-1.8715002421980952E-2"/>
                </c:manualLayout>
              </c:layout>
              <c:tx>
                <c:rich>
                  <a:bodyPr/>
                  <a:lstStyle/>
                  <a:p>
                    <a:r>
                      <a:rPr lang="en-US"/>
                      <a:t>201,38 mil. m</a:t>
                    </a:r>
                    <a:r>
                      <a:rPr lang="en-US" baseline="30000"/>
                      <a:t>3</a:t>
                    </a:r>
                  </a:p>
                </c:rich>
              </c:tx>
              <c:showLegendKey val="1"/>
              <c:showVal val="1"/>
              <c:showCatName val="0"/>
              <c:showSerName val="0"/>
              <c:showPercent val="0"/>
              <c:showBubbleSize val="0"/>
              <c:extLst>
                <c:ext xmlns:c15="http://schemas.microsoft.com/office/drawing/2012/chart" uri="{CE6537A1-D6FC-4f65-9D91-7224C49458BB}">
                  <c15:layout/>
                </c:ext>
              </c:extLst>
            </c:dLbl>
            <c:dLbl>
              <c:idx val="2"/>
              <c:layout>
                <c:manualLayout>
                  <c:x val="1.95011906877352E-3"/>
                  <c:y val="-2.7186617346289091E-2"/>
                </c:manualLayout>
              </c:layout>
              <c:tx>
                <c:rich>
                  <a:bodyPr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mn-lt"/>
                        <a:ea typeface="+mn-ea"/>
                        <a:cs typeface="+mn-cs"/>
                      </a:defRPr>
                    </a:pPr>
                    <a:r>
                      <a:rPr lang="en-US"/>
                      <a:t>57,85 </a:t>
                    </a:r>
                    <a:r>
                      <a:rPr lang="en-US" sz="1000" b="0" i="0" u="none" strike="noStrike" kern="1200" baseline="0">
                        <a:solidFill>
                          <a:sysClr val="windowText" lastClr="000000"/>
                        </a:solidFill>
                      </a:rPr>
                      <a:t>mil. m</a:t>
                    </a:r>
                    <a:r>
                      <a:rPr lang="en-US" sz="1000" b="0" i="0" u="none" strike="noStrike" kern="1200" baseline="30000">
                        <a:solidFill>
                          <a:sysClr val="windowText" lastClr="000000"/>
                        </a:solidFill>
                      </a:rPr>
                      <a:t>3</a:t>
                    </a:r>
                  </a:p>
                </c:rich>
              </c:tx>
              <c:numFmt formatCode="#,##0.00" sourceLinked="0"/>
              <c:spPr>
                <a:solidFill>
                  <a:schemeClr val="bg1">
                    <a:lumMod val="95000"/>
                  </a:schemeClr>
                </a:solidFill>
                <a:ln>
                  <a:noFill/>
                </a:ln>
                <a:effectLst/>
              </c:spPr>
              <c:showLegendKey val="1"/>
              <c:showVal val="1"/>
              <c:showCatName val="0"/>
              <c:showSerName val="0"/>
              <c:showPercent val="0"/>
              <c:showBubbleSize val="0"/>
              <c:extLst>
                <c:ext xmlns:c15="http://schemas.microsoft.com/office/drawing/2012/chart" uri="{CE6537A1-D6FC-4f65-9D91-7224C49458BB}">
                  <c15:layout/>
                </c:ext>
              </c:extLst>
            </c:dLbl>
            <c:dLbl>
              <c:idx val="3"/>
              <c:layout>
                <c:manualLayout>
                  <c:x val="-4.8839974374121822E-3"/>
                  <c:y val="-1.8715017749980026E-2"/>
                </c:manualLayout>
              </c:layout>
              <c:tx>
                <c:rich>
                  <a:bodyPr/>
                  <a:lstStyle/>
                  <a:p>
                    <a:r>
                      <a:rPr lang="en-US"/>
                      <a:t>31,90 </a:t>
                    </a:r>
                    <a:r>
                      <a:rPr lang="en-US" sz="1000" b="0" i="0" u="none" strike="noStrike" kern="1200" baseline="0">
                        <a:solidFill>
                          <a:sysClr val="windowText" lastClr="000000"/>
                        </a:solidFill>
                      </a:rPr>
                      <a:t>mil. m</a:t>
                    </a:r>
                    <a:r>
                      <a:rPr lang="en-US" sz="1000" b="0" i="0" u="none" strike="noStrike" kern="1200" baseline="30000">
                        <a:solidFill>
                          <a:sysClr val="windowText" lastClr="000000"/>
                        </a:solidFill>
                      </a:rPr>
                      <a:t>3</a:t>
                    </a:r>
                    <a:endParaRPr lang="en-US" baseline="30000"/>
                  </a:p>
                </c:rich>
              </c:tx>
              <c:showLegendKey val="1"/>
              <c:showVal val="1"/>
              <c:showCatName val="0"/>
              <c:showSerName val="0"/>
              <c:showPercent val="0"/>
              <c:showBubbleSize val="0"/>
              <c:extLst>
                <c:ext xmlns:c15="http://schemas.microsoft.com/office/drawing/2012/chart" uri="{CE6537A1-D6FC-4f65-9D91-7224C49458BB}">
                  <c15:layout/>
                </c:ext>
              </c:extLst>
            </c:dLbl>
            <c:dLbl>
              <c:idx val="4"/>
              <c:layout>
                <c:manualLayout>
                  <c:x val="-4.8839974374121822E-3"/>
                  <c:y val="-1.8715017749980026E-2"/>
                </c:manualLayout>
              </c:layout>
              <c:tx>
                <c:rich>
                  <a:bodyPr/>
                  <a:lstStyle/>
                  <a:p>
                    <a:r>
                      <a:rPr lang="en-US"/>
                      <a:t>5,47 </a:t>
                    </a:r>
                    <a:r>
                      <a:rPr lang="en-US" sz="1000" b="0" i="0" u="none" strike="noStrike" kern="1200" baseline="0">
                        <a:solidFill>
                          <a:sysClr val="windowText" lastClr="000000"/>
                        </a:solidFill>
                      </a:rPr>
                      <a:t>mil. m</a:t>
                    </a:r>
                    <a:r>
                      <a:rPr lang="en-US" sz="1000" b="0" i="0" u="none" strike="noStrike" kern="1200" baseline="30000">
                        <a:solidFill>
                          <a:sysClr val="windowText" lastClr="000000"/>
                        </a:solidFill>
                      </a:rPr>
                      <a:t>3</a:t>
                    </a:r>
                    <a:endParaRPr lang="en-US" baseline="30000"/>
                  </a:p>
                </c:rich>
              </c:tx>
              <c:showLegendKey val="1"/>
              <c:showVal val="1"/>
              <c:showCatName val="0"/>
              <c:showSerName val="0"/>
              <c:showPercent val="0"/>
              <c:showBubbleSize val="0"/>
              <c:extLst>
                <c:ext xmlns:c15="http://schemas.microsoft.com/office/drawing/2012/chart" uri="{CE6537A1-D6FC-4f65-9D91-7224C49458BB}">
                  <c15:layout/>
                </c:ext>
              </c:extLst>
            </c:dLbl>
            <c:dLbl>
              <c:idx val="5"/>
              <c:layout>
                <c:manualLayout>
                  <c:x val="-1.3633246230108779E-3"/>
                  <c:y val="5.3473540970036725E-2"/>
                </c:manualLayout>
              </c:layout>
              <c:tx>
                <c:rich>
                  <a:bodyPr/>
                  <a:lstStyle/>
                  <a:p>
                    <a:fld id="{37E32965-21AE-4D62-B268-3DC5924A5625}" type="VALUE">
                      <a:rPr lang="en-US"/>
                      <a:pPr/>
                      <a:t>[HODNOTA]</a:t>
                    </a:fld>
                    <a:r>
                      <a:rPr lang="en-US"/>
                      <a:t> </a:t>
                    </a:r>
                    <a:r>
                      <a:rPr lang="en-US" sz="900" b="0" i="0" u="none" strike="noStrike" kern="1200" baseline="0">
                        <a:solidFill>
                          <a:sysClr val="windowText" lastClr="000000"/>
                        </a:solidFill>
                      </a:rPr>
                      <a:t>mil. m</a:t>
                    </a:r>
                    <a:r>
                      <a:rPr lang="en-US" sz="900" b="0" i="0" u="none" strike="noStrike" kern="1200" baseline="30000">
                        <a:solidFill>
                          <a:sysClr val="windowText" lastClr="000000"/>
                        </a:solidFill>
                      </a:rPr>
                      <a:t>3</a:t>
                    </a:r>
                  </a:p>
                </c:rich>
              </c:tx>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numFmt formatCode="#,##0.00" sourceLinked="0"/>
            <c:spPr>
              <a:solidFill>
                <a:schemeClr val="bg1">
                  <a:lumMod val="95000"/>
                </a:schemeClr>
              </a:solidFill>
              <a:ln>
                <a:noFill/>
              </a:ln>
              <a:effectLst/>
            </c:spPr>
            <c:txPr>
              <a:bodyPr wrap="square" lIns="38100" tIns="19050" rIns="38100" bIns="19050" anchor="ctr">
                <a:spAutoFit/>
              </a:bodyPr>
              <a:lstStyle/>
              <a:p>
                <a:pPr>
                  <a:defRPr sz="900"/>
                </a:pPr>
                <a:endParaRPr lang="cs-CZ"/>
              </a:p>
            </c:txPr>
            <c:showLegendKey val="1"/>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VLAST_VODA_Anom_celkem!$A$108:$A$113</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VLAST_VODA_Anom_celkem!$D$108:$D$113</c:f>
              <c:numCache>
                <c:formatCode>General</c:formatCode>
                <c:ptCount val="6"/>
                <c:pt idx="0">
                  <c:v>164.59618799999998</c:v>
                </c:pt>
                <c:pt idx="1">
                  <c:v>201.37592599999999</c:v>
                </c:pt>
                <c:pt idx="2">
                  <c:v>57.854524000000012</c:v>
                </c:pt>
                <c:pt idx="3">
                  <c:v>31.900795999999964</c:v>
                </c:pt>
                <c:pt idx="4">
                  <c:v>5.4714659999999995</c:v>
                </c:pt>
                <c:pt idx="5">
                  <c:v>0.15609599999999998</c:v>
                </c:pt>
              </c:numCache>
            </c:numRef>
          </c:val>
          <c:smooth val="0"/>
          <c:extLst xmlns:c16r2="http://schemas.microsoft.com/office/drawing/2015/06/chart">
            <c:ext xmlns:c16="http://schemas.microsoft.com/office/drawing/2014/chart" uri="{C3380CC4-5D6E-409C-BE32-E72D297353CC}">
              <c16:uniqueId val="{0000000A-64EF-417D-A87D-40818EF8A220}"/>
            </c:ext>
          </c:extLst>
        </c:ser>
        <c:dLbls>
          <c:showLegendKey val="0"/>
          <c:showVal val="0"/>
          <c:showCatName val="0"/>
          <c:showSerName val="0"/>
          <c:showPercent val="0"/>
          <c:showBubbleSize val="0"/>
        </c:dLbls>
        <c:marker val="1"/>
        <c:smooth val="0"/>
        <c:axId val="467467816"/>
        <c:axId val="467468992"/>
      </c:lineChart>
      <c:lineChart>
        <c:grouping val="standard"/>
        <c:varyColors val="0"/>
        <c:ser>
          <c:idx val="3"/>
          <c:order val="3"/>
          <c:tx>
            <c:strRef>
              <c:f>VLAST_VODA_Anom_celkem!$E$107</c:f>
              <c:strCache>
                <c:ptCount val="1"/>
                <c:pt idx="0">
                  <c:v>četnost výskytu anomálii</c:v>
                </c:pt>
              </c:strCache>
            </c:strRef>
          </c:tx>
          <c:spPr>
            <a:ln>
              <a:noFill/>
            </a:ln>
          </c:spPr>
          <c:marker>
            <c:symbol val="triangle"/>
            <c:size val="15"/>
            <c:spPr>
              <a:solidFill>
                <a:srgbClr val="FF3399"/>
              </a:solidFill>
              <a:ln>
                <a:noFill/>
              </a:ln>
            </c:spPr>
          </c:marker>
          <c:dLbls>
            <c:dLbl>
              <c:idx val="0"/>
              <c:layout>
                <c:manualLayout>
                  <c:x val="-6.5236958390124083E-2"/>
                  <c:y val="-2.3120560109093025E-2"/>
                </c:manualLayout>
              </c:layout>
              <c:tx>
                <c:rich>
                  <a:bodyPr/>
                  <a:lstStyle/>
                  <a:p>
                    <a:r>
                      <a:rPr lang="en-US"/>
                      <a:t>4 výskyty</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1315663822066389E-2"/>
                  <c:y val="-2.3464785667783192E-2"/>
                </c:manualLayout>
              </c:layout>
              <c:tx>
                <c:rich>
                  <a:bodyPr/>
                  <a:lstStyle/>
                  <a:p>
                    <a:r>
                      <a:rPr lang="en-US"/>
                      <a:t>66 výskytů</a:t>
                    </a:r>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5731189610119015E-2"/>
                  <c:y val="3.7286535542440193E-2"/>
                </c:manualLayout>
              </c:layout>
              <c:tx>
                <c:rich>
                  <a:bodyPr/>
                  <a:lstStyle/>
                  <a:p>
                    <a:r>
                      <a:rPr lang="en-US"/>
                      <a:t>316 </a:t>
                    </a:r>
                    <a:r>
                      <a:rPr lang="en-US" sz="900" b="1"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4570036074162089E-2"/>
                  <c:y val="-1.4638520423249646E-2"/>
                </c:manualLayout>
              </c:layout>
              <c:tx>
                <c:rich>
                  <a:bodyPr/>
                  <a:lstStyle/>
                  <a:p>
                    <a:r>
                      <a:rPr lang="en-US"/>
                      <a:t>2788 </a:t>
                    </a:r>
                    <a:r>
                      <a:rPr lang="en-US" sz="900" b="1"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6324905064174535E-2"/>
                  <c:y val="1.7567893861562052E-2"/>
                </c:manualLayout>
              </c:layout>
              <c:tx>
                <c:rich>
                  <a:bodyPr/>
                  <a:lstStyle/>
                  <a:p>
                    <a:r>
                      <a:rPr lang="en-US"/>
                      <a:t>2352 </a:t>
                    </a:r>
                    <a:r>
                      <a:rPr lang="en-US" sz="900" b="1"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7.1348305827813416E-2"/>
                  <c:y val="-3.3865578192447413E-2"/>
                </c:manualLayout>
              </c:layout>
              <c:tx>
                <c:rich>
                  <a:bodyPr/>
                  <a:lstStyle/>
                  <a:p>
                    <a:r>
                      <a:rPr lang="en-US"/>
                      <a:t>105 </a:t>
                    </a:r>
                    <a:r>
                      <a:rPr lang="en-US" sz="900" b="1" i="0" u="none" strike="noStrike" baseline="0"/>
                      <a:t>výskytů</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900" b="1">
                    <a:solidFill>
                      <a:srgbClr val="002060"/>
                    </a:solidFill>
                    <a:latin typeface="+mj-lt"/>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VLAST_VODA_Anom_celkem!$A$108:$A$113</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VLAST_VODA_Anom_celkem!$E$108:$E$113</c:f>
              <c:numCache>
                <c:formatCode>General</c:formatCode>
                <c:ptCount val="6"/>
                <c:pt idx="0">
                  <c:v>4</c:v>
                </c:pt>
                <c:pt idx="1">
                  <c:v>66</c:v>
                </c:pt>
                <c:pt idx="2">
                  <c:v>316</c:v>
                </c:pt>
                <c:pt idx="3">
                  <c:v>2788</c:v>
                </c:pt>
                <c:pt idx="4">
                  <c:v>2352</c:v>
                </c:pt>
                <c:pt idx="5">
                  <c:v>105</c:v>
                </c:pt>
              </c:numCache>
            </c:numRef>
          </c:val>
          <c:smooth val="0"/>
        </c:ser>
        <c:dLbls>
          <c:showLegendKey val="0"/>
          <c:showVal val="0"/>
          <c:showCatName val="0"/>
          <c:showSerName val="0"/>
          <c:showPercent val="0"/>
          <c:showBubbleSize val="0"/>
        </c:dLbls>
        <c:marker val="1"/>
        <c:smooth val="0"/>
        <c:axId val="467464288"/>
        <c:axId val="467469384"/>
      </c:lineChart>
      <c:catAx>
        <c:axId val="467467816"/>
        <c:scaling>
          <c:orientation val="minMax"/>
        </c:scaling>
        <c:delete val="0"/>
        <c:axPos val="b"/>
        <c:majorGridlines/>
        <c:numFmt formatCode="General" sourceLinked="0"/>
        <c:majorTickMark val="none"/>
        <c:minorTickMark val="none"/>
        <c:tickLblPos val="nextTo"/>
        <c:txPr>
          <a:bodyPr/>
          <a:lstStyle/>
          <a:p>
            <a:pPr>
              <a:defRPr sz="1000">
                <a:solidFill>
                  <a:srgbClr val="002060"/>
                </a:solidFill>
                <a:latin typeface="+mj-lt"/>
              </a:defRPr>
            </a:pPr>
            <a:endParaRPr lang="cs-CZ"/>
          </a:p>
        </c:txPr>
        <c:crossAx val="467468992"/>
        <c:crosses val="autoZero"/>
        <c:auto val="1"/>
        <c:lblAlgn val="ctr"/>
        <c:lblOffset val="100"/>
        <c:noMultiLvlLbl val="0"/>
      </c:catAx>
      <c:valAx>
        <c:axId val="467468992"/>
        <c:scaling>
          <c:orientation val="minMax"/>
          <c:max val="230"/>
          <c:min val="0"/>
        </c:scaling>
        <c:delete val="0"/>
        <c:axPos val="l"/>
        <c:majorGridlines/>
        <c:title>
          <c:tx>
            <c:rich>
              <a:bodyPr rot="-5400000" vert="horz"/>
              <a:lstStyle/>
              <a:p>
                <a:pPr>
                  <a:defRPr sz="1100">
                    <a:solidFill>
                      <a:srgbClr val="002060"/>
                    </a:solidFill>
                    <a:latin typeface="+mj-lt"/>
                  </a:defRPr>
                </a:pPr>
                <a:r>
                  <a:rPr lang="sk-SK" sz="1100">
                    <a:solidFill>
                      <a:srgbClr val="002060"/>
                    </a:solidFill>
                    <a:latin typeface="+mj-lt"/>
                  </a:rPr>
                  <a:t>Objem vody fakturovanej v mil. m</a:t>
                </a:r>
                <a:r>
                  <a:rPr lang="sk-SK" sz="1100" baseline="30000">
                    <a:solidFill>
                      <a:srgbClr val="002060"/>
                    </a:solidFill>
                    <a:latin typeface="+mj-lt"/>
                  </a:rPr>
                  <a:t>3</a:t>
                </a:r>
              </a:p>
            </c:rich>
          </c:tx>
          <c:layout/>
          <c:overlay val="0"/>
        </c:title>
        <c:numFmt formatCode="General" sourceLinked="1"/>
        <c:majorTickMark val="none"/>
        <c:minorTickMark val="none"/>
        <c:tickLblPos val="nextTo"/>
        <c:spPr>
          <a:ln w="6350">
            <a:noFill/>
          </a:ln>
        </c:spPr>
        <c:txPr>
          <a:bodyPr/>
          <a:lstStyle/>
          <a:p>
            <a:pPr>
              <a:defRPr sz="900"/>
            </a:pPr>
            <a:endParaRPr lang="cs-CZ"/>
          </a:p>
        </c:txPr>
        <c:crossAx val="467467816"/>
        <c:crosses val="autoZero"/>
        <c:crossBetween val="between"/>
      </c:valAx>
      <c:valAx>
        <c:axId val="467469384"/>
        <c:scaling>
          <c:orientation val="minMax"/>
          <c:max val="3000"/>
        </c:scaling>
        <c:delete val="0"/>
        <c:axPos val="r"/>
        <c:numFmt formatCode="General" sourceLinked="1"/>
        <c:majorTickMark val="out"/>
        <c:minorTickMark val="none"/>
        <c:tickLblPos val="nextTo"/>
        <c:txPr>
          <a:bodyPr/>
          <a:lstStyle/>
          <a:p>
            <a:pPr>
              <a:defRPr sz="900"/>
            </a:pPr>
            <a:endParaRPr lang="cs-CZ"/>
          </a:p>
        </c:txPr>
        <c:crossAx val="467464288"/>
        <c:crosses val="max"/>
        <c:crossBetween val="between"/>
      </c:valAx>
      <c:catAx>
        <c:axId val="467464288"/>
        <c:scaling>
          <c:orientation val="minMax"/>
        </c:scaling>
        <c:delete val="1"/>
        <c:axPos val="b"/>
        <c:numFmt formatCode="General" sourceLinked="1"/>
        <c:majorTickMark val="out"/>
        <c:minorTickMark val="none"/>
        <c:tickLblPos val="none"/>
        <c:crossAx val="467469384"/>
        <c:crosses val="autoZero"/>
        <c:auto val="1"/>
        <c:lblAlgn val="ctr"/>
        <c:lblOffset val="100"/>
        <c:noMultiLvlLbl val="0"/>
      </c:catAx>
    </c:plotArea>
    <c:legend>
      <c:legendPos val="b"/>
      <c:layout>
        <c:manualLayout>
          <c:xMode val="edge"/>
          <c:yMode val="edge"/>
          <c:x val="0.14134027446080741"/>
          <c:y val="0.91431084144028152"/>
          <c:w val="0.74154524822089574"/>
          <c:h val="8.5004186478036245E-2"/>
        </c:manualLayout>
      </c:layout>
      <c:overlay val="0"/>
      <c:txPr>
        <a:bodyPr/>
        <a:lstStyle/>
        <a:p>
          <a:pPr>
            <a:defRPr sz="1050" cap="small" baseline="0">
              <a:solidFill>
                <a:srgbClr val="002060"/>
              </a:solidFill>
              <a:latin typeface="+mj-lt"/>
            </a:defRPr>
          </a:pPr>
          <a:endParaRPr lang="cs-CZ"/>
        </a:p>
      </c:txPr>
    </c:legend>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a:pPr>
            <a:r>
              <a:rPr lang="sk-SK" sz="1100" cap="small" baseline="0"/>
              <a:t>Benchmarking vlastnictkých subjektů 2017 -  kanalizace</a:t>
            </a:r>
          </a:p>
          <a:p>
            <a:pPr algn="l">
              <a:defRPr sz="1100"/>
            </a:pPr>
            <a:r>
              <a:rPr lang="sk-SK" sz="1100" cap="small" baseline="0"/>
              <a:t>Výskyt alespoň jedné anomálie podle množství odpadní </a:t>
            </a:r>
            <a:br>
              <a:rPr lang="sk-SK" sz="1100" cap="small" baseline="0"/>
            </a:br>
            <a:r>
              <a:rPr lang="sk-SK" sz="1100" cap="small" baseline="0"/>
              <a:t>a srážkové  vody fakturované</a:t>
            </a:r>
          </a:p>
        </c:rich>
      </c:tx>
      <c:layout>
        <c:manualLayout>
          <c:xMode val="edge"/>
          <c:yMode val="edge"/>
          <c:x val="7.5123734533183509E-3"/>
          <c:y val="9.4465980214011713E-3"/>
        </c:manualLayout>
      </c:layout>
      <c:overlay val="1"/>
    </c:title>
    <c:autoTitleDeleted val="0"/>
    <c:plotArea>
      <c:layout>
        <c:manualLayout>
          <c:layoutTarget val="inner"/>
          <c:xMode val="edge"/>
          <c:yMode val="edge"/>
          <c:x val="0.2053292197835572"/>
          <c:y val="0.15455420046178439"/>
          <c:w val="0.5133076792023763"/>
          <c:h val="0.68376699623073434"/>
        </c:manualLayout>
      </c:layout>
      <c:pieChart>
        <c:varyColors val="1"/>
        <c:ser>
          <c:idx val="0"/>
          <c:order val="0"/>
          <c:spPr>
            <a:scene3d>
              <a:camera prst="orthographicFront"/>
              <a:lightRig rig="threePt" dir="t"/>
            </a:scene3d>
            <a:sp3d>
              <a:bevelT/>
            </a:sp3d>
          </c:spPr>
          <c:dPt>
            <c:idx val="0"/>
            <c:bubble3D val="0"/>
            <c:explosion val="4"/>
            <c:spPr>
              <a:solidFill>
                <a:srgbClr val="FFC000"/>
              </a:solidFill>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3C6D-4A60-BD25-5117BD191552}"/>
              </c:ext>
            </c:extLst>
          </c:dPt>
          <c:dPt>
            <c:idx val="1"/>
            <c:bubble3D val="0"/>
            <c:spPr>
              <a:solidFill>
                <a:srgbClr val="FF4A11"/>
              </a:solidFill>
              <a:scene3d>
                <a:camera prst="orthographicFront"/>
                <a:lightRig rig="threePt" dir="t"/>
              </a:scene3d>
              <a:sp3d>
                <a:bevelT/>
              </a:sp3d>
            </c:spPr>
          </c:dPt>
          <c:dLbls>
            <c:dLbl>
              <c:idx val="0"/>
              <c:layout>
                <c:manualLayout>
                  <c:x val="-0.14563290297830001"/>
                  <c:y val="0.13106222398210121"/>
                </c:manualLayout>
              </c:layout>
              <c:tx>
                <c:rich>
                  <a:bodyPr/>
                  <a:lstStyle/>
                  <a:p>
                    <a:pPr>
                      <a:defRPr>
                        <a:solidFill>
                          <a:srgbClr val="582808"/>
                        </a:solidFill>
                      </a:defRPr>
                    </a:pPr>
                    <a:r>
                      <a:rPr lang="en-US">
                        <a:solidFill>
                          <a:srgbClr val="582808"/>
                        </a:solidFill>
                      </a:rPr>
                      <a:t>122,71 mil.m3; </a:t>
                    </a:r>
                    <a:br>
                      <a:rPr lang="en-US">
                        <a:solidFill>
                          <a:srgbClr val="582808"/>
                        </a:solidFill>
                      </a:rPr>
                    </a:br>
                    <a:r>
                      <a:rPr lang="en-US">
                        <a:solidFill>
                          <a:srgbClr val="582808"/>
                        </a:solidFill>
                      </a:rPr>
                      <a:t>24,57%</a:t>
                    </a:r>
                  </a:p>
                </c:rich>
              </c:tx>
              <c:numFmt formatCode="0.00%" sourceLinked="0"/>
              <c:spPr/>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23796199556293393"/>
                  <c:y val="-0.17057857462788292"/>
                </c:manualLayout>
              </c:layout>
              <c:tx>
                <c:rich>
                  <a:bodyPr/>
                  <a:lstStyle/>
                  <a:p>
                    <a:pPr>
                      <a:defRPr>
                        <a:solidFill>
                          <a:srgbClr val="582808"/>
                        </a:solidFill>
                      </a:defRPr>
                    </a:pPr>
                    <a:r>
                      <a:rPr lang="en-US">
                        <a:solidFill>
                          <a:srgbClr val="582808"/>
                        </a:solidFill>
                      </a:rPr>
                      <a:t>376,79 mil.m3;</a:t>
                    </a:r>
                    <a:br>
                      <a:rPr lang="en-US">
                        <a:solidFill>
                          <a:srgbClr val="582808"/>
                        </a:solidFill>
                      </a:rPr>
                    </a:br>
                    <a:r>
                      <a:rPr lang="en-US">
                        <a:solidFill>
                          <a:srgbClr val="582808"/>
                        </a:solidFill>
                      </a:rPr>
                      <a:t> 75,43%</a:t>
                    </a:r>
                  </a:p>
                </c:rich>
              </c:tx>
              <c:numFmt formatCode="0.00%" sourceLinked="0"/>
              <c:spPr/>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a:solidFill>
                      <a:srgbClr val="582808"/>
                    </a:solidFill>
                  </a:defRPr>
                </a:pPr>
                <a:endParaRPr lang="cs-CZ"/>
              </a:p>
            </c:txPr>
            <c:showLegendKey val="0"/>
            <c:showVal val="1"/>
            <c:showCatName val="0"/>
            <c:showSerName val="0"/>
            <c:showPercent val="1"/>
            <c:showBubbleSize val="0"/>
            <c:showLeaderLines val="0"/>
            <c:extLst>
              <c:ext xmlns:c15="http://schemas.microsoft.com/office/drawing/2012/chart" uri="{CE6537A1-D6FC-4f65-9D91-7224C49458BB}"/>
            </c:extLst>
          </c:dLbls>
          <c:cat>
            <c:strRef>
              <c:f>Vlast_KAN_anom_celkem!$B$107:$C$107</c:f>
              <c:strCache>
                <c:ptCount val="2"/>
                <c:pt idx="0">
                  <c:v>Objem vody odpadní a srážkové fakturované bez anomálií (v mil. m3)</c:v>
                </c:pt>
                <c:pt idx="1">
                  <c:v>Objem vody odpadní a srážkové fakturované (mil. m3) s výskytem alespoň jedné anomálie</c:v>
                </c:pt>
              </c:strCache>
            </c:strRef>
          </c:cat>
          <c:val>
            <c:numRef>
              <c:f>Vlast_KAN_anom_celkem!$B$114:$C$114</c:f>
              <c:numCache>
                <c:formatCode>#,##0.00</c:formatCode>
                <c:ptCount val="2"/>
                <c:pt idx="0">
                  <c:v>122.72669099999996</c:v>
                </c:pt>
                <c:pt idx="1">
                  <c:v>376.775105</c:v>
                </c:pt>
              </c:numCache>
            </c:numRef>
          </c:val>
          <c:extLst xmlns:c16r2="http://schemas.microsoft.com/office/drawing/2015/06/chart">
            <c:ext xmlns:c16="http://schemas.microsoft.com/office/drawing/2014/chart" uri="{C3380CC4-5D6E-409C-BE32-E72D297353CC}">
              <c16:uniqueId val="{00000003-3C6D-4A60-BD25-5117BD191552}"/>
            </c:ext>
          </c:extLst>
        </c:ser>
        <c:dLbls>
          <c:showLegendKey val="0"/>
          <c:showVal val="0"/>
          <c:showCatName val="0"/>
          <c:showSerName val="0"/>
          <c:showPercent val="0"/>
          <c:showBubbleSize val="0"/>
          <c:showLeaderLines val="0"/>
        </c:dLbls>
        <c:firstSliceAng val="0"/>
      </c:pieChart>
      <c:spPr>
        <a:noFill/>
        <a:ln w="25400">
          <a:noFill/>
        </a:ln>
      </c:spPr>
    </c:plotArea>
    <c:legend>
      <c:legendPos val="r"/>
      <c:layout>
        <c:manualLayout>
          <c:xMode val="edge"/>
          <c:yMode val="edge"/>
          <c:x val="0"/>
          <c:y val="0.89176419930196238"/>
          <c:w val="1"/>
          <c:h val="8.7880420553366548E-2"/>
        </c:manualLayout>
      </c:layout>
      <c:overlay val="0"/>
      <c:txPr>
        <a:bodyPr/>
        <a:lstStyle/>
        <a:p>
          <a:pPr>
            <a:defRPr b="0">
              <a:latin typeface="+mj-lt"/>
            </a:defRPr>
          </a:pPr>
          <a:endParaRPr lang="cs-CZ"/>
        </a:p>
      </c:txPr>
    </c:legend>
    <c:plotVisOnly val="1"/>
    <c:dispBlanksAs val="zero"/>
    <c:showDLblsOverMax val="0"/>
  </c:chart>
  <c:spPr>
    <a:ln>
      <a:noFill/>
    </a:ln>
  </c:spPr>
  <c:txPr>
    <a:bodyPr/>
    <a:lstStyle/>
    <a:p>
      <a:pPr>
        <a:defRPr b="1">
          <a:solidFill>
            <a:schemeClr val="accent2">
              <a:lumMod val="50000"/>
            </a:schemeClr>
          </a:solidFill>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lgn="l">
              <a:defRPr sz="1400" cap="small" baseline="0">
                <a:solidFill>
                  <a:schemeClr val="accent2">
                    <a:lumMod val="50000"/>
                  </a:schemeClr>
                </a:solidFill>
                <a:latin typeface="+mj-lt"/>
              </a:defRPr>
            </a:pPr>
            <a:r>
              <a:rPr lang="cs-CZ" sz="1200" b="1" i="0" cap="all" baseline="0">
                <a:solidFill>
                  <a:schemeClr val="accent2">
                    <a:lumMod val="50000"/>
                  </a:schemeClr>
                </a:solidFill>
                <a:latin typeface="Calibri Light" pitchFamily="34" charset="0"/>
              </a:rPr>
              <a:t>VÝSKYT ANOMÁLIÍ VE VZTAHU K MNOŽSTVÍ odpadní a srážkové vody FAKTUROVANÉ </a:t>
            </a:r>
            <a:r>
              <a:rPr lang="en-US" sz="1200" b="1" i="0" cap="all" baseline="0">
                <a:solidFill>
                  <a:schemeClr val="accent2">
                    <a:lumMod val="50000"/>
                  </a:schemeClr>
                </a:solidFill>
                <a:latin typeface="Calibri Light" pitchFamily="34" charset="0"/>
              </a:rPr>
              <a:t>[MIL.M</a:t>
            </a:r>
            <a:r>
              <a:rPr lang="en-US" sz="1200" b="1" i="0" cap="all" baseline="30000">
                <a:solidFill>
                  <a:schemeClr val="accent2">
                    <a:lumMod val="50000"/>
                  </a:schemeClr>
                </a:solidFill>
                <a:latin typeface="Calibri Light" pitchFamily="34" charset="0"/>
              </a:rPr>
              <a:t>3</a:t>
            </a:r>
            <a:r>
              <a:rPr lang="en-US" sz="1200" b="1" i="0" cap="all" baseline="0">
                <a:solidFill>
                  <a:schemeClr val="accent2">
                    <a:lumMod val="50000"/>
                  </a:schemeClr>
                </a:solidFill>
                <a:latin typeface="Calibri Light" pitchFamily="34" charset="0"/>
              </a:rPr>
              <a:t>]</a:t>
            </a:r>
            <a:r>
              <a:rPr lang="cs-CZ" sz="1200" b="1" i="0" cap="all" baseline="0">
                <a:solidFill>
                  <a:schemeClr val="accent2">
                    <a:lumMod val="50000"/>
                  </a:schemeClr>
                </a:solidFill>
                <a:latin typeface="Calibri Light" pitchFamily="34" charset="0"/>
              </a:rPr>
              <a:t>  BENCHMARKINGU VLASTNICKÝCH SUBJEKTŮ 2017 - Kanalizace</a:t>
            </a:r>
            <a:endParaRPr lang="sk-SK" sz="1200" cap="all" baseline="0">
              <a:solidFill>
                <a:schemeClr val="accent2">
                  <a:lumMod val="50000"/>
                </a:schemeClr>
              </a:solidFill>
              <a:latin typeface="Calibri Light" pitchFamily="34" charset="0"/>
            </a:endParaRPr>
          </a:p>
        </c:rich>
      </c:tx>
      <c:layout>
        <c:manualLayout>
          <c:xMode val="edge"/>
          <c:yMode val="edge"/>
          <c:x val="5.0020545739257888E-4"/>
          <c:y val="1.066124798916264E-3"/>
        </c:manualLayout>
      </c:layout>
      <c:overlay val="0"/>
    </c:title>
    <c:autoTitleDeleted val="0"/>
    <c:plotArea>
      <c:layout>
        <c:manualLayout>
          <c:layoutTarget val="inner"/>
          <c:xMode val="edge"/>
          <c:yMode val="edge"/>
          <c:x val="0.4544162509774099"/>
          <c:y val="0.12525862068965465"/>
          <c:w val="0.4854938645614858"/>
          <c:h val="0.76582300918656165"/>
        </c:manualLayout>
      </c:layout>
      <c:barChart>
        <c:barDir val="bar"/>
        <c:grouping val="percentStacked"/>
        <c:varyColors val="0"/>
        <c:ser>
          <c:idx val="0"/>
          <c:order val="0"/>
          <c:tx>
            <c:strRef>
              <c:f>Vlast_KAN_anom_celkem!$B$89</c:f>
              <c:strCache>
                <c:ptCount val="1"/>
                <c:pt idx="0">
                  <c:v>NALEZENA ANOMÁLIE</c:v>
                </c:pt>
              </c:strCache>
            </c:strRef>
          </c:tx>
          <c:spPr>
            <a:solidFill>
              <a:srgbClr val="FF4A11"/>
            </a:solidFill>
            <a:scene3d>
              <a:camera prst="orthographicFront"/>
              <a:lightRig rig="threePt" dir="t"/>
            </a:scene3d>
            <a:sp3d>
              <a:bevelT/>
            </a:sp3d>
          </c:spPr>
          <c:invertIfNegative val="0"/>
          <c:dLbls>
            <c:dLbl>
              <c:idx val="0"/>
              <c:layout>
                <c:manualLayout>
                  <c:x val="0.13864354940012424"/>
                  <c:y val="-1.3359960535792592E-3"/>
                </c:manualLayout>
              </c:layout>
              <c:tx>
                <c:rich>
                  <a:bodyPr/>
                  <a:lstStyle/>
                  <a:p>
                    <a:r>
                      <a:rPr lang="en-US" sz="900" b="1">
                        <a:latin typeface="+mj-lt"/>
                      </a:rPr>
                      <a:t>0</a:t>
                    </a:r>
                    <a:r>
                      <a:rPr lang="en-US" b="1"/>
                      <a:t>,66 mil.m3; 0,1%;</a:t>
                    </a:r>
                    <a:br>
                      <a:rPr lang="en-US" b="1"/>
                    </a:br>
                    <a:r>
                      <a:rPr lang="en-US" b="1"/>
                      <a:t> 61  výskytů</a:t>
                    </a:r>
                    <a:endParaRPr lang="en-US" b="1">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1"/>
              <c:layout>
                <c:manualLayout>
                  <c:x val="0.13788692123060373"/>
                  <c:y val="0"/>
                </c:manualLayout>
              </c:layout>
              <c:tx>
                <c:rich>
                  <a:bodyPr/>
                  <a:lstStyle/>
                  <a:p>
                    <a:r>
                      <a:rPr lang="en-US" sz="900" b="1">
                        <a:latin typeface="+mj-lt"/>
                      </a:rPr>
                      <a:t>0</a:t>
                    </a:r>
                    <a:r>
                      <a:rPr lang="en-US" b="1"/>
                      <a:t>,89 mil.m3; 0,2%; </a:t>
                    </a:r>
                    <a:br>
                      <a:rPr lang="en-US" b="1"/>
                    </a:br>
                    <a:r>
                      <a:rPr lang="en-US" b="1"/>
                      <a:t>43  výskytů</a:t>
                    </a:r>
                    <a:endParaRPr lang="en-US">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2"/>
              <c:layout>
                <c:manualLayout>
                  <c:x val="0.13525151103227034"/>
                  <c:y val="-1.3359960535792592E-3"/>
                </c:manualLayout>
              </c:layout>
              <c:tx>
                <c:rich>
                  <a:bodyPr/>
                  <a:lstStyle/>
                  <a:p>
                    <a:r>
                      <a:rPr lang="en-US" sz="900" b="1">
                        <a:latin typeface="+mj-lt"/>
                      </a:rPr>
                      <a:t>1</a:t>
                    </a:r>
                    <a:r>
                      <a:rPr lang="en-US" b="1"/>
                      <a:t>,64 mil.m3; 0,3%; </a:t>
                    </a:r>
                    <a:br>
                      <a:rPr lang="en-US" b="1"/>
                    </a:br>
                    <a:r>
                      <a:rPr lang="en-US" b="1"/>
                      <a:t>61  výskytů</a:t>
                    </a:r>
                    <a:endParaRPr lang="en-US" b="1">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3"/>
              <c:layout>
                <c:manualLayout>
                  <c:x val="0.12555468273215273"/>
                  <c:y val="0"/>
                </c:manualLayout>
              </c:layout>
              <c:tx>
                <c:rich>
                  <a:bodyPr/>
                  <a:lstStyle/>
                  <a:p>
                    <a:r>
                      <a:rPr lang="en-US" sz="900" b="1">
                        <a:latin typeface="+mj-lt"/>
                      </a:rPr>
                      <a:t>2</a:t>
                    </a:r>
                    <a:r>
                      <a:rPr lang="en-US" b="1"/>
                      <a:t>,47 mil.m3; 0,5%; </a:t>
                    </a:r>
                    <a:br>
                      <a:rPr lang="en-US" b="1"/>
                    </a:br>
                    <a:r>
                      <a:rPr lang="en-US" b="1"/>
                      <a:t>222  výskytů</a:t>
                    </a:r>
                    <a:endParaRPr lang="en-US">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4"/>
              <c:layout>
                <c:manualLayout>
                  <c:x val="0.12376408502703591"/>
                  <c:y val="-2.5899022138066891E-4"/>
                </c:manualLayout>
              </c:layout>
              <c:tx>
                <c:rich>
                  <a:bodyPr/>
                  <a:lstStyle/>
                  <a:p>
                    <a:r>
                      <a:rPr lang="en-US" sz="900" b="1">
                        <a:latin typeface="+mj-lt"/>
                      </a:rPr>
                      <a:t>5</a:t>
                    </a:r>
                    <a:r>
                      <a:rPr lang="en-US" b="1"/>
                      <a:t>,85 mil.m3; 1,2%;</a:t>
                    </a:r>
                    <a:br>
                      <a:rPr lang="en-US" b="1"/>
                    </a:br>
                    <a:r>
                      <a:rPr lang="en-US" b="1"/>
                      <a:t> 18  výskytů</a:t>
                    </a:r>
                    <a:endParaRPr lang="en-US">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5"/>
              <c:layout>
                <c:manualLayout>
                  <c:x val="0.12696696635250956"/>
                  <c:y val="8.1801561081792278E-4"/>
                </c:manualLayout>
              </c:layout>
              <c:tx>
                <c:rich>
                  <a:bodyPr/>
                  <a:lstStyle/>
                  <a:p>
                    <a:r>
                      <a:rPr lang="en-US" sz="900" b="1">
                        <a:latin typeface="+mj-lt"/>
                      </a:rPr>
                      <a:t>1</a:t>
                    </a:r>
                    <a:r>
                      <a:rPr lang="en-US" b="1"/>
                      <a:t>1,11 mil.m3; 2,2%; </a:t>
                    </a:r>
                    <a:br>
                      <a:rPr lang="en-US" b="1"/>
                    </a:br>
                    <a:r>
                      <a:rPr lang="en-US" b="1"/>
                      <a:t>547  výskytů</a:t>
                    </a:r>
                    <a:endParaRPr lang="en-US" b="1">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6"/>
              <c:layout>
                <c:manualLayout>
                  <c:x val="0.12536552568977249"/>
                  <c:y val="0"/>
                </c:manualLayout>
              </c:layout>
              <c:tx>
                <c:rich>
                  <a:bodyPr/>
                  <a:lstStyle/>
                  <a:p>
                    <a:r>
                      <a:rPr lang="en-US" sz="900" b="1">
                        <a:latin typeface="+mj-lt"/>
                      </a:rPr>
                      <a:t>2</a:t>
                    </a:r>
                    <a:r>
                      <a:rPr lang="en-US" b="1"/>
                      <a:t>5,66 mil.m3; 5,1%;</a:t>
                    </a:r>
                    <a:br>
                      <a:rPr lang="en-US" b="1"/>
                    </a:br>
                    <a:r>
                      <a:rPr lang="en-US" b="1"/>
                      <a:t> 577  výskytů</a:t>
                    </a:r>
                    <a:endParaRPr lang="en-US" b="1">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7"/>
              <c:layout>
                <c:manualLayout>
                  <c:x val="0.13225046394072945"/>
                  <c:y val="0"/>
                </c:manualLayout>
              </c:layout>
              <c:tx>
                <c:rich>
                  <a:bodyPr/>
                  <a:lstStyle/>
                  <a:p>
                    <a:pPr>
                      <a:defRPr sz="900" b="1" baseline="0">
                        <a:solidFill>
                          <a:srgbClr val="351805"/>
                        </a:solidFill>
                        <a:latin typeface="+mj-lt"/>
                      </a:defRPr>
                    </a:pPr>
                    <a:r>
                      <a:rPr lang="en-US" sz="900" b="1" i="0" u="none" strike="noStrike" baseline="0">
                        <a:latin typeface="+mj-lt"/>
                      </a:rPr>
                      <a:t>3</a:t>
                    </a:r>
                    <a:r>
                      <a:rPr lang="en-US" sz="1000" b="1" i="0" u="none" strike="noStrike" baseline="0"/>
                      <a:t>4,63 mil.m3; 6,9%; </a:t>
                    </a:r>
                    <a:br>
                      <a:rPr lang="en-US" sz="1000" b="1" i="0" u="none" strike="noStrike" baseline="0"/>
                    </a:br>
                    <a:r>
                      <a:rPr lang="en-US" sz="1000" b="1" i="0" u="none" strike="noStrike" baseline="0"/>
                      <a:t>666  výskytů </a:t>
                    </a:r>
                    <a:endParaRPr lang="en-US" b="1">
                      <a:solidFill>
                        <a:srgbClr val="008000"/>
                      </a:solidFill>
                    </a:endParaRPr>
                  </a:p>
                </c:rich>
              </c:tx>
              <c:spPr>
                <a:scene3d>
                  <a:camera prst="orthographicFront"/>
                  <a:lightRig rig="threePt" dir="t"/>
                </a:scene3d>
                <a:sp3d>
                  <a:bevelT/>
                </a:sp3d>
              </c:spPr>
              <c:showLegendKey val="1"/>
              <c:showVal val="1"/>
              <c:showCatName val="0"/>
              <c:showSerName val="0"/>
              <c:showPercent val="0"/>
              <c:showBubbleSize val="0"/>
              <c:extLst>
                <c:ext xmlns:c15="http://schemas.microsoft.com/office/drawing/2012/chart" uri="{CE6537A1-D6FC-4f65-9D91-7224C49458BB}">
                  <c15:layout/>
                </c:ext>
              </c:extLst>
            </c:dLbl>
            <c:dLbl>
              <c:idx val="8"/>
              <c:layout>
                <c:manualLayout>
                  <c:x val="0.13610900071703974"/>
                  <c:y val="0"/>
                </c:manualLayout>
              </c:layout>
              <c:tx>
                <c:rich>
                  <a:bodyPr/>
                  <a:lstStyle/>
                  <a:p>
                    <a:r>
                      <a:rPr lang="en-US" sz="900" b="1">
                        <a:latin typeface="+mj-lt"/>
                      </a:rPr>
                      <a:t>3</a:t>
                    </a:r>
                    <a:r>
                      <a:rPr lang="en-US" b="1"/>
                      <a:t>6,77 mil.m3; 7,4%; </a:t>
                    </a:r>
                    <a:br>
                      <a:rPr lang="en-US" b="1"/>
                    </a:br>
                    <a:r>
                      <a:rPr lang="en-US" b="1"/>
                      <a:t>1124  výskytů</a:t>
                    </a:r>
                    <a:endParaRPr lang="en-US" b="1">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9"/>
              <c:layout>
                <c:manualLayout>
                  <c:x val="0.13347359051870619"/>
                  <c:y val="3.0003516805658415E-4"/>
                </c:manualLayout>
              </c:layout>
              <c:tx>
                <c:rich>
                  <a:bodyPr/>
                  <a:lstStyle/>
                  <a:p>
                    <a:r>
                      <a:rPr lang="en-US" sz="900" b="1">
                        <a:latin typeface="+mj-lt"/>
                      </a:rPr>
                      <a:t>4</a:t>
                    </a:r>
                    <a:r>
                      <a:rPr lang="en-US" b="1"/>
                      <a:t>0,2 mil.m3; 8%;</a:t>
                    </a:r>
                    <a:br>
                      <a:rPr lang="en-US" b="1"/>
                    </a:br>
                    <a:r>
                      <a:rPr lang="en-US" b="1"/>
                      <a:t> 526  výskytů</a:t>
                    </a:r>
                    <a:endParaRPr lang="en-US" b="1">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10"/>
              <c:layout>
                <c:manualLayout>
                  <c:x val="0.13394020013059754"/>
                  <c:y val="3.9489757658231627E-17"/>
                </c:manualLayout>
              </c:layout>
              <c:tx>
                <c:rich>
                  <a:bodyPr/>
                  <a:lstStyle/>
                  <a:p>
                    <a:r>
                      <a:rPr lang="en-US" sz="900" b="1">
                        <a:latin typeface="+mj-lt"/>
                      </a:rPr>
                      <a:t>4</a:t>
                    </a:r>
                    <a:r>
                      <a:rPr lang="en-US" b="1"/>
                      <a:t>5,62 mil.m3; 9,1%;</a:t>
                    </a:r>
                    <a:br>
                      <a:rPr lang="en-US" b="1"/>
                    </a:br>
                    <a:r>
                      <a:rPr lang="en-US" b="1"/>
                      <a:t> 95  výskytů</a:t>
                    </a:r>
                    <a:endParaRPr lang="en-US" b="1">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11"/>
              <c:layout>
                <c:manualLayout>
                  <c:x val="0.14214912647477995"/>
                  <c:y val="-1.5949862749599281E-3"/>
                </c:manualLayout>
              </c:layout>
              <c:tx>
                <c:rich>
                  <a:bodyPr/>
                  <a:lstStyle/>
                  <a:p>
                    <a:r>
                      <a:rPr lang="en-US" sz="900" b="1">
                        <a:latin typeface="+mj-lt"/>
                      </a:rPr>
                      <a:t>6</a:t>
                    </a:r>
                    <a:r>
                      <a:rPr lang="en-US" b="1"/>
                      <a:t>9,65 mil.m3; 13,9%;</a:t>
                    </a:r>
                    <a:br>
                      <a:rPr lang="en-US" b="1"/>
                    </a:br>
                    <a:r>
                      <a:rPr lang="en-US" b="1"/>
                      <a:t> 1716  výskytů</a:t>
                    </a:r>
                    <a:endParaRPr lang="en-US">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12"/>
              <c:layout>
                <c:manualLayout>
                  <c:x val="0.19506046584309278"/>
                  <c:y val="0"/>
                </c:manualLayout>
              </c:layout>
              <c:tx>
                <c:rich>
                  <a:bodyPr/>
                  <a:lstStyle/>
                  <a:p>
                    <a:r>
                      <a:rPr lang="en-US" sz="900" b="1">
                        <a:latin typeface="+mj-lt"/>
                      </a:rPr>
                      <a:t>1</a:t>
                    </a:r>
                    <a:r>
                      <a:rPr lang="en-US" b="1"/>
                      <a:t>75,76 mil.m3; 35,2%; </a:t>
                    </a:r>
                    <a:br>
                      <a:rPr lang="en-US" b="1"/>
                    </a:br>
                    <a:r>
                      <a:rPr lang="en-US" b="1"/>
                      <a:t>337  výskytů</a:t>
                    </a:r>
                    <a:endParaRPr lang="en-US">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13"/>
              <c:layout>
                <c:manualLayout>
                  <c:x val="0.19621957251620478"/>
                  <c:y val="-1.5949862749599281E-3"/>
                </c:manualLayout>
              </c:layout>
              <c:tx>
                <c:rich>
                  <a:bodyPr/>
                  <a:lstStyle/>
                  <a:p>
                    <a:r>
                      <a:rPr lang="en-US" sz="900" b="1">
                        <a:latin typeface="+mj-lt"/>
                      </a:rPr>
                      <a:t>2</a:t>
                    </a:r>
                    <a:r>
                      <a:rPr lang="en-US" b="1"/>
                      <a:t>13,63 mil.m3; 42,8%; </a:t>
                    </a:r>
                    <a:br>
                      <a:rPr lang="en-US" b="1"/>
                    </a:br>
                    <a:r>
                      <a:rPr lang="en-US" b="1"/>
                      <a:t>181</a:t>
                    </a:r>
                    <a:r>
                      <a:rPr lang="en-US" b="1" baseline="0"/>
                      <a:t> </a:t>
                    </a:r>
                    <a:r>
                      <a:rPr lang="en-US" b="1"/>
                      <a:t>výskytů</a:t>
                    </a:r>
                    <a:endParaRPr lang="en-US" b="1">
                      <a:solidFill>
                        <a:srgbClr val="008000"/>
                      </a:solidFill>
                    </a:endParaRPr>
                  </a:p>
                </c:rich>
              </c:tx>
              <c:showLegendKey val="1"/>
              <c:showVal val="1"/>
              <c:showCatName val="0"/>
              <c:showSerName val="0"/>
              <c:showPercent val="0"/>
              <c:showBubbleSize val="0"/>
              <c:extLst>
                <c:ext xmlns:c15="http://schemas.microsoft.com/office/drawing/2012/chart" uri="{CE6537A1-D6FC-4f65-9D91-7224C49458BB}">
                  <c15:layout/>
                </c:ext>
              </c:extLst>
            </c:dLbl>
            <c:dLbl>
              <c:idx val="14"/>
              <c:layout>
                <c:manualLayout>
                  <c:x val="0.20338184579018243"/>
                  <c:y val="0"/>
                </c:manualLayout>
              </c:layout>
              <c:tx>
                <c:rich>
                  <a:bodyPr/>
                  <a:lstStyle/>
                  <a:p>
                    <a:pPr>
                      <a:defRPr sz="900" b="1" baseline="0">
                        <a:solidFill>
                          <a:srgbClr val="351805"/>
                        </a:solidFill>
                        <a:latin typeface="+mj-lt"/>
                      </a:defRPr>
                    </a:pPr>
                    <a:r>
                      <a:rPr lang="en-US" sz="900" b="1">
                        <a:latin typeface="+mj-lt"/>
                      </a:rPr>
                      <a:t>2</a:t>
                    </a:r>
                    <a:r>
                      <a:rPr lang="en-US" b="1"/>
                      <a:t>13,63 </a:t>
                    </a:r>
                    <a:r>
                      <a:rPr lang="en-US" sz="1000" b="1" i="0" u="none" strike="noStrike" baseline="0"/>
                      <a:t>mil.m</a:t>
                    </a:r>
                    <a:r>
                      <a:rPr lang="en-US" sz="1000" b="1" i="0" u="none" strike="noStrike" baseline="30000"/>
                      <a:t>3</a:t>
                    </a:r>
                    <a:r>
                      <a:rPr lang="en-US" sz="1000" b="1" i="0" u="none" strike="noStrike" baseline="0"/>
                      <a:t>; </a:t>
                    </a:r>
                    <a:r>
                      <a:rPr lang="en-US" sz="1000" b="1" i="0" u="none" strike="noStrike" baseline="0">
                        <a:solidFill>
                          <a:srgbClr val="008000"/>
                        </a:solidFill>
                      </a:rPr>
                      <a:t>42,77%; </a:t>
                    </a:r>
                    <a:br>
                      <a:rPr lang="en-US" sz="1000" b="1" i="0" u="none" strike="noStrike" baseline="0">
                        <a:solidFill>
                          <a:srgbClr val="008000"/>
                        </a:solidFill>
                      </a:rPr>
                    </a:br>
                    <a:r>
                      <a:rPr lang="en-US" sz="1000" b="1" i="0" u="none" strike="noStrike" baseline="0">
                        <a:solidFill>
                          <a:srgbClr val="008000"/>
                        </a:solidFill>
                      </a:rPr>
                      <a:t>181 výskytů</a:t>
                    </a:r>
                    <a:endParaRPr lang="en-US" b="1">
                      <a:solidFill>
                        <a:srgbClr val="008000"/>
                      </a:solidFill>
                    </a:endParaRPr>
                  </a:p>
                </c:rich>
              </c:tx>
              <c:spPr>
                <a:scene3d>
                  <a:camera prst="orthographicFront"/>
                  <a:lightRig rig="threePt" dir="t"/>
                </a:scene3d>
                <a:sp3d>
                  <a:bevelT/>
                </a:sp3d>
              </c:spPr>
              <c:showLegendKey val="1"/>
              <c:showVal val="1"/>
              <c:showCatName val="0"/>
              <c:showSerName val="0"/>
              <c:showPercent val="0"/>
              <c:showBubbleSize val="0"/>
              <c:extLst>
                <c:ext xmlns:c15="http://schemas.microsoft.com/office/drawing/2012/chart" uri="{CE6537A1-D6FC-4f65-9D91-7224C49458BB}"/>
              </c:extLst>
            </c:dLbl>
            <c:spPr>
              <a:scene3d>
                <a:camera prst="orthographicFront"/>
                <a:lightRig rig="threePt" dir="t"/>
              </a:scene3d>
              <a:sp3d>
                <a:bevelT/>
              </a:sp3d>
            </c:spPr>
            <c:txPr>
              <a:bodyPr/>
              <a:lstStyle/>
              <a:p>
                <a:pPr>
                  <a:defRPr sz="900" b="0" baseline="0">
                    <a:solidFill>
                      <a:srgbClr val="351805"/>
                    </a:solidFill>
                    <a:latin typeface="+mj-lt"/>
                  </a:defRPr>
                </a:pPr>
                <a:endParaRPr lang="cs-CZ"/>
              </a:p>
            </c:txPr>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Vlast_KAN_anom_celkem!$A$90:$A$103</c:f>
              <c:strCache>
                <c:ptCount val="14"/>
                <c:pt idx="0">
                  <c:v>NULOVÉ STOČNÉ CELKEM </c:v>
                </c:pt>
                <c:pt idx="1">
                  <c:v>VYSOKÁ CENA PRO STOČNÉ (HODNOTA VÍCE NEŽ 1,5 NÁSOBEK PRŮMĚRNÉ CENY PRO STOČNÉ POROVNÁNÍ SKUPINY PLNÍCÍCH OKF MEZI 1 AŽ 1,5; PLNĚNÍ OBNOVY)</c:v>
                </c:pt>
                <c:pt idx="2">
                  <c:v>NENULOVÝ POČET PORUCH A NULOVÉ NÁKLADY NA OPRAVY</c:v>
                </c:pt>
                <c:pt idx="3">
                  <c:v>NULOVÉ ODPISY + NULOVÉ OPRAVY +4.4 VE SMÍŠENÉM NEBO KOMBINOVANÉM MODELU</c:v>
                </c:pt>
                <c:pt idx="4">
                  <c:v>NÁJEM JE VĚTŠÍ NEŽ NULA VE SMÍŠENÉM MODELU NEBO ODDÍLNÉM SE SERVISNÍ SMLOUVOU</c:v>
                </c:pt>
                <c:pt idx="5">
                  <c:v>ZÁPORNÝ ZISK KALKULOVÁN A ZÁPORNÝ ZISK DOSAŽEN</c:v>
                </c:pt>
                <c:pt idx="6">
                  <c:v>KALKULOVÁN KLADNÝ NEBO NULOVÝ ZISK A DOSAŽEN ZÁPORNÝ</c:v>
                </c:pt>
                <c:pt idx="7">
                  <c:v>NULOVÝ CELÝ ŘÁDEK 20</c:v>
                </c:pt>
                <c:pt idx="8">
                  <c:v>ZÁPORNÝ KALKULAČNÍ ZISK</c:v>
                </c:pt>
                <c:pt idx="9">
                  <c:v>NULOVÝ POČET PORUCH + OPRAVY VYŠŠÍ NEŽ PRŮMĚRNÉ NÁKLADY NA ODSTRANĚNÍ PORUCHY VŠECH SUBJEKTU, KTERÉ MAJÍ NENULOVÝ POČET PORUCH</c:v>
                </c:pt>
                <c:pt idx="10">
                  <c:v>NÁJEM JE MENŠÍ NEBO ROVEN 0 V ODDÍLNÉM (BEZ SERVISNÍCH SMLUV) NEBO KOMBINOVANÉM MODELU</c:v>
                </c:pt>
                <c:pt idx="11">
                  <c:v>NEDOSTATEČNÁ TVORBA PROSTŘEDKŮ NA OBNOVU VIM</c:v>
                </c:pt>
                <c:pt idx="12">
                  <c:v>VYSOKÝ PODÍL KALKULAČNÍHO ZISKU K ROZDĚLENÍ NA ÚVN (BEZ ČÁSTI NA ROZVOJ A OBNOVU) (HODNOTA VÍCE NEŽ 1,5 NÁSOBEK MEDIANU SKUPINY Z POROVNÁNÍ S KLADNÝM KALKULAČNÍM ZISKEM)</c:v>
                </c:pt>
                <c:pt idx="13">
                  <c:v>VYSOKÝ POČET PORUCH NA 1 KM STOKOVÉ SÍTĚ / ROK (HODNOTA 1,5 NÁSOBKU MEDIANU SKUPINY Z POROVNÁNÍ BEZ NULOVÉ HODNOTY UKAZATELE)</c:v>
                </c:pt>
              </c:strCache>
            </c:strRef>
          </c:cat>
          <c:val>
            <c:numRef>
              <c:f>Vlast_KAN_anom_celkem!$B$90:$B$103</c:f>
              <c:numCache>
                <c:formatCode>#,##0.00</c:formatCode>
                <c:ptCount val="14"/>
                <c:pt idx="0">
                  <c:v>0.66094800000000054</c:v>
                </c:pt>
                <c:pt idx="1">
                  <c:v>0.88636699999999968</c:v>
                </c:pt>
                <c:pt idx="2">
                  <c:v>1.6429749999999999</c:v>
                </c:pt>
                <c:pt idx="3">
                  <c:v>2.4681940000000013</c:v>
                </c:pt>
                <c:pt idx="4">
                  <c:v>5.8485909999999972</c:v>
                </c:pt>
                <c:pt idx="5">
                  <c:v>11.108989999999999</c:v>
                </c:pt>
                <c:pt idx="6">
                  <c:v>25.657122000000001</c:v>
                </c:pt>
                <c:pt idx="7">
                  <c:v>34.626328000000022</c:v>
                </c:pt>
                <c:pt idx="8">
                  <c:v>36.766112000000042</c:v>
                </c:pt>
                <c:pt idx="9">
                  <c:v>40.197973000000012</c:v>
                </c:pt>
                <c:pt idx="10">
                  <c:v>45.617357000000005</c:v>
                </c:pt>
                <c:pt idx="11">
                  <c:v>69.645258000000013</c:v>
                </c:pt>
                <c:pt idx="12">
                  <c:v>175.75594299999997</c:v>
                </c:pt>
                <c:pt idx="13">
                  <c:v>213.62995999999998</c:v>
                </c:pt>
              </c:numCache>
            </c:numRef>
          </c:val>
          <c:extLst xmlns:c16r2="http://schemas.microsoft.com/office/drawing/2015/06/chart">
            <c:ext xmlns:c16="http://schemas.microsoft.com/office/drawing/2014/chart" uri="{C3380CC4-5D6E-409C-BE32-E72D297353CC}">
              <c16:uniqueId val="{0000000C-9EF4-4AB2-8645-C9171AE03138}"/>
            </c:ext>
          </c:extLst>
        </c:ser>
        <c:ser>
          <c:idx val="1"/>
          <c:order val="1"/>
          <c:tx>
            <c:strRef>
              <c:f>Vlast_KAN_anom_celkem!$E$89</c:f>
              <c:strCache>
                <c:ptCount val="1"/>
                <c:pt idx="0">
                  <c:v>BEZ VÝSKYTU DANÉ ANOMÁLIE</c:v>
                </c:pt>
              </c:strCache>
            </c:strRef>
          </c:tx>
          <c:spPr>
            <a:solidFill>
              <a:srgbClr val="FFC000"/>
            </a:solidFill>
            <a:ln>
              <a:noFill/>
            </a:ln>
            <a:scene3d>
              <a:camera prst="orthographicFront"/>
              <a:lightRig rig="threePt" dir="t"/>
            </a:scene3d>
            <a:sp3d>
              <a:bevelT/>
              <a:bevelB/>
            </a:sp3d>
          </c:spPr>
          <c:invertIfNegative val="0"/>
          <c:cat>
            <c:strRef>
              <c:f>Vlast_KAN_anom_celkem!$A$90:$A$103</c:f>
              <c:strCache>
                <c:ptCount val="14"/>
                <c:pt idx="0">
                  <c:v>NULOVÉ STOČNÉ CELKEM </c:v>
                </c:pt>
                <c:pt idx="1">
                  <c:v>VYSOKÁ CENA PRO STOČNÉ (HODNOTA VÍCE NEŽ 1,5 NÁSOBEK PRŮMĚRNÉ CENY PRO STOČNÉ POROVNÁNÍ SKUPINY PLNÍCÍCH OKF MEZI 1 AŽ 1,5; PLNĚNÍ OBNOVY)</c:v>
                </c:pt>
                <c:pt idx="2">
                  <c:v>NENULOVÝ POČET PORUCH A NULOVÉ NÁKLADY NA OPRAVY</c:v>
                </c:pt>
                <c:pt idx="3">
                  <c:v>NULOVÉ ODPISY + NULOVÉ OPRAVY +4.4 VE SMÍŠENÉM NEBO KOMBINOVANÉM MODELU</c:v>
                </c:pt>
                <c:pt idx="4">
                  <c:v>NÁJEM JE VĚTŠÍ NEŽ NULA VE SMÍŠENÉM MODELU NEBO ODDÍLNÉM SE SERVISNÍ SMLOUVOU</c:v>
                </c:pt>
                <c:pt idx="5">
                  <c:v>ZÁPORNÝ ZISK KALKULOVÁN A ZÁPORNÝ ZISK DOSAŽEN</c:v>
                </c:pt>
                <c:pt idx="6">
                  <c:v>KALKULOVÁN KLADNÝ NEBO NULOVÝ ZISK A DOSAŽEN ZÁPORNÝ</c:v>
                </c:pt>
                <c:pt idx="7">
                  <c:v>NULOVÝ CELÝ ŘÁDEK 20</c:v>
                </c:pt>
                <c:pt idx="8">
                  <c:v>ZÁPORNÝ KALKULAČNÍ ZISK</c:v>
                </c:pt>
                <c:pt idx="9">
                  <c:v>NULOVÝ POČET PORUCH + OPRAVY VYŠŠÍ NEŽ PRŮMĚRNÉ NÁKLADY NA ODSTRANĚNÍ PORUCHY VŠECH SUBJEKTU, KTERÉ MAJÍ NENULOVÝ POČET PORUCH</c:v>
                </c:pt>
                <c:pt idx="10">
                  <c:v>NÁJEM JE MENŠÍ NEBO ROVEN 0 V ODDÍLNÉM (BEZ SERVISNÍCH SMLUV) NEBO KOMBINOVANÉM MODELU</c:v>
                </c:pt>
                <c:pt idx="11">
                  <c:v>NEDOSTATEČNÁ TVORBA PROSTŘEDKŮ NA OBNOVU VIM</c:v>
                </c:pt>
                <c:pt idx="12">
                  <c:v>VYSOKÝ PODÍL KALKULAČNÍHO ZISKU K ROZDĚLENÍ NA ÚVN (BEZ ČÁSTI NA ROZVOJ A OBNOVU) (HODNOTA VÍCE NEŽ 1,5 NÁSOBEK MEDIANU SKUPINY Z POROVNÁNÍ S KLADNÝM KALKULAČNÍM ZISKEM)</c:v>
                </c:pt>
                <c:pt idx="13">
                  <c:v>VYSOKÝ POČET PORUCH NA 1 KM STOKOVÉ SÍTĚ / ROK (HODNOTA 1,5 NÁSOBKU MEDIANU SKUPINY Z POROVNÁNÍ BEZ NULOVÉ HODNOTY UKAZATELE)</c:v>
                </c:pt>
              </c:strCache>
            </c:strRef>
          </c:cat>
          <c:val>
            <c:numRef>
              <c:f>Vlast_KAN_anom_celkem!$E$90:$E$103</c:f>
              <c:numCache>
                <c:formatCode>#,##0.00</c:formatCode>
                <c:ptCount val="14"/>
                <c:pt idx="0">
                  <c:v>498.83905199999981</c:v>
                </c:pt>
                <c:pt idx="1">
                  <c:v>498.61363299999999</c:v>
                </c:pt>
                <c:pt idx="2">
                  <c:v>497.85702500000002</c:v>
                </c:pt>
                <c:pt idx="3">
                  <c:v>497.03180599999985</c:v>
                </c:pt>
                <c:pt idx="4">
                  <c:v>493.651409</c:v>
                </c:pt>
                <c:pt idx="5">
                  <c:v>488.39100999999977</c:v>
                </c:pt>
                <c:pt idx="6">
                  <c:v>473.84287799999998</c:v>
                </c:pt>
                <c:pt idx="7">
                  <c:v>464.873672</c:v>
                </c:pt>
                <c:pt idx="8">
                  <c:v>462.73388799999981</c:v>
                </c:pt>
                <c:pt idx="9">
                  <c:v>459.30202700000001</c:v>
                </c:pt>
                <c:pt idx="10">
                  <c:v>453.8826430000002</c:v>
                </c:pt>
                <c:pt idx="11">
                  <c:v>429.85474200000016</c:v>
                </c:pt>
                <c:pt idx="12">
                  <c:v>323.744057</c:v>
                </c:pt>
                <c:pt idx="13">
                  <c:v>285.87004000000002</c:v>
                </c:pt>
              </c:numCache>
            </c:numRef>
          </c:val>
          <c:extLst xmlns:c16r2="http://schemas.microsoft.com/office/drawing/2015/06/chart">
            <c:ext xmlns:c16="http://schemas.microsoft.com/office/drawing/2014/chart" uri="{C3380CC4-5D6E-409C-BE32-E72D297353CC}">
              <c16:uniqueId val="{0000000D-9EF4-4AB2-8645-C9171AE03138}"/>
            </c:ext>
          </c:extLst>
        </c:ser>
        <c:ser>
          <c:idx val="2"/>
          <c:order val="2"/>
          <c:tx>
            <c:strRef>
              <c:f>Vlast_KAN_anom_celkem!$F$89</c:f>
              <c:strCache>
                <c:ptCount val="1"/>
                <c:pt idx="0">
                  <c:v>NEANALYZOVANÁ DATA</c:v>
                </c:pt>
              </c:strCache>
            </c:strRef>
          </c:tx>
          <c:spPr>
            <a:solidFill>
              <a:srgbClr val="F8CBAD"/>
            </a:solidFill>
            <a:scene3d>
              <a:camera prst="orthographicFront"/>
              <a:lightRig rig="threePt" dir="t"/>
            </a:scene3d>
            <a:sp3d>
              <a:bevelT/>
            </a:sp3d>
          </c:spPr>
          <c:invertIfNegative val="0"/>
          <c:cat>
            <c:strRef>
              <c:f>Vlast_KAN_anom_celkem!$A$90:$A$103</c:f>
              <c:strCache>
                <c:ptCount val="14"/>
                <c:pt idx="0">
                  <c:v>NULOVÉ STOČNÉ CELKEM </c:v>
                </c:pt>
                <c:pt idx="1">
                  <c:v>VYSOKÁ CENA PRO STOČNÉ (HODNOTA VÍCE NEŽ 1,5 NÁSOBEK PRŮMĚRNÉ CENY PRO STOČNÉ POROVNÁNÍ SKUPINY PLNÍCÍCH OKF MEZI 1 AŽ 1,5; PLNĚNÍ OBNOVY)</c:v>
                </c:pt>
                <c:pt idx="2">
                  <c:v>NENULOVÝ POČET PORUCH A NULOVÉ NÁKLADY NA OPRAVY</c:v>
                </c:pt>
                <c:pt idx="3">
                  <c:v>NULOVÉ ODPISY + NULOVÉ OPRAVY +4.4 VE SMÍŠENÉM NEBO KOMBINOVANÉM MODELU</c:v>
                </c:pt>
                <c:pt idx="4">
                  <c:v>NÁJEM JE VĚTŠÍ NEŽ NULA VE SMÍŠENÉM MODELU NEBO ODDÍLNÉM SE SERVISNÍ SMLOUVOU</c:v>
                </c:pt>
                <c:pt idx="5">
                  <c:v>ZÁPORNÝ ZISK KALKULOVÁN A ZÁPORNÝ ZISK DOSAŽEN</c:v>
                </c:pt>
                <c:pt idx="6">
                  <c:v>KALKULOVÁN KLADNÝ NEBO NULOVÝ ZISK A DOSAŽEN ZÁPORNÝ</c:v>
                </c:pt>
                <c:pt idx="7">
                  <c:v>NULOVÝ CELÝ ŘÁDEK 20</c:v>
                </c:pt>
                <c:pt idx="8">
                  <c:v>ZÁPORNÝ KALKULAČNÍ ZISK</c:v>
                </c:pt>
                <c:pt idx="9">
                  <c:v>NULOVÝ POČET PORUCH + OPRAVY VYŠŠÍ NEŽ PRŮMĚRNÉ NÁKLADY NA ODSTRANĚNÍ PORUCHY VŠECH SUBJEKTU, KTERÉ MAJÍ NENULOVÝ POČET PORUCH</c:v>
                </c:pt>
                <c:pt idx="10">
                  <c:v>NÁJEM JE MENŠÍ NEBO ROVEN 0 V ODDÍLNÉM (BEZ SERVISNÍCH SMLUV) NEBO KOMBINOVANÉM MODELU</c:v>
                </c:pt>
                <c:pt idx="11">
                  <c:v>NEDOSTATEČNÁ TVORBA PROSTŘEDKŮ NA OBNOVU VIM</c:v>
                </c:pt>
                <c:pt idx="12">
                  <c:v>VYSOKÝ PODÍL KALKULAČNÍHO ZISKU K ROZDĚLENÍ NA ÚVN (BEZ ČÁSTI NA ROZVOJ A OBNOVU) (HODNOTA VÍCE NEŽ 1,5 NÁSOBEK MEDIANU SKUPINY Z POROVNÁNÍ S KLADNÝM KALKULAČNÍM ZISKEM)</c:v>
                </c:pt>
                <c:pt idx="13">
                  <c:v>VYSOKÝ POČET PORUCH NA 1 KM STOKOVÉ SÍTĚ / ROK (HODNOTA 1,5 NÁSOBKU MEDIANU SKUPINY Z POROVNÁNÍ BEZ NULOVÉ HODNOTY UKAZATELE)</c:v>
                </c:pt>
              </c:strCache>
            </c:strRef>
          </c:cat>
          <c:val>
            <c:numRef>
              <c:f>Vlast_KAN_anom_celkem!$F$90:$F$103</c:f>
              <c:numCache>
                <c:formatCode>#,##0.00</c:formatCode>
                <c:ptCount val="14"/>
                <c:pt idx="0">
                  <c:v>11.310000000000002</c:v>
                </c:pt>
                <c:pt idx="1">
                  <c:v>11.310000000000002</c:v>
                </c:pt>
                <c:pt idx="2">
                  <c:v>11.310000000000002</c:v>
                </c:pt>
                <c:pt idx="3">
                  <c:v>11.310000000000002</c:v>
                </c:pt>
                <c:pt idx="4">
                  <c:v>11.310000000000002</c:v>
                </c:pt>
                <c:pt idx="5">
                  <c:v>11.310000000000002</c:v>
                </c:pt>
                <c:pt idx="6">
                  <c:v>11.310000000000002</c:v>
                </c:pt>
                <c:pt idx="7">
                  <c:v>11.310000000000002</c:v>
                </c:pt>
                <c:pt idx="8">
                  <c:v>11.310000000000002</c:v>
                </c:pt>
                <c:pt idx="9">
                  <c:v>11.310000000000002</c:v>
                </c:pt>
                <c:pt idx="10">
                  <c:v>11.310000000000002</c:v>
                </c:pt>
                <c:pt idx="11">
                  <c:v>11.310000000000002</c:v>
                </c:pt>
                <c:pt idx="12">
                  <c:v>11.310000000000002</c:v>
                </c:pt>
                <c:pt idx="13">
                  <c:v>11.310000000000002</c:v>
                </c:pt>
              </c:numCache>
            </c:numRef>
          </c:val>
          <c:extLst xmlns:c16r2="http://schemas.microsoft.com/office/drawing/2015/06/chart">
            <c:ext xmlns:c16="http://schemas.microsoft.com/office/drawing/2014/chart" uri="{C3380CC4-5D6E-409C-BE32-E72D297353CC}">
              <c16:uniqueId val="{0000000E-9EF4-4AB2-8645-C9171AE03138}"/>
            </c:ext>
          </c:extLst>
        </c:ser>
        <c:dLbls>
          <c:showLegendKey val="0"/>
          <c:showVal val="0"/>
          <c:showCatName val="0"/>
          <c:showSerName val="0"/>
          <c:showPercent val="0"/>
          <c:showBubbleSize val="0"/>
        </c:dLbls>
        <c:gapWidth val="21"/>
        <c:overlap val="100"/>
        <c:axId val="247584648"/>
        <c:axId val="247587392"/>
      </c:barChart>
      <c:catAx>
        <c:axId val="247584648"/>
        <c:scaling>
          <c:orientation val="minMax"/>
        </c:scaling>
        <c:delete val="0"/>
        <c:axPos val="l"/>
        <c:numFmt formatCode="General" sourceLinked="1"/>
        <c:majorTickMark val="none"/>
        <c:minorTickMark val="none"/>
        <c:tickLblPos val="nextTo"/>
        <c:txPr>
          <a:bodyPr/>
          <a:lstStyle/>
          <a:p>
            <a:pPr>
              <a:defRPr sz="900" b="1" cap="small" baseline="0">
                <a:solidFill>
                  <a:schemeClr val="accent2">
                    <a:lumMod val="50000"/>
                  </a:schemeClr>
                </a:solidFill>
                <a:latin typeface="+mj-lt"/>
              </a:defRPr>
            </a:pPr>
            <a:endParaRPr lang="cs-CZ"/>
          </a:p>
        </c:txPr>
        <c:crossAx val="247587392"/>
        <c:crosses val="autoZero"/>
        <c:auto val="0"/>
        <c:lblAlgn val="ctr"/>
        <c:lblOffset val="100"/>
        <c:noMultiLvlLbl val="0"/>
      </c:catAx>
      <c:valAx>
        <c:axId val="247587392"/>
        <c:scaling>
          <c:orientation val="minMax"/>
        </c:scaling>
        <c:delete val="0"/>
        <c:axPos val="b"/>
        <c:majorGridlines/>
        <c:numFmt formatCode="0%" sourceLinked="1"/>
        <c:majorTickMark val="none"/>
        <c:minorTickMark val="none"/>
        <c:tickLblPos val="nextTo"/>
        <c:crossAx val="247584648"/>
        <c:crosses val="autoZero"/>
        <c:crossBetween val="between"/>
      </c:valAx>
    </c:plotArea>
    <c:legend>
      <c:legendPos val="r"/>
      <c:layout>
        <c:manualLayout>
          <c:xMode val="edge"/>
          <c:yMode val="edge"/>
          <c:x val="7.8846794694799032E-3"/>
          <c:y val="0.96464941186969522"/>
          <c:w val="0.98405405491181797"/>
          <c:h val="3.0312752845362598E-2"/>
        </c:manualLayout>
      </c:layout>
      <c:overlay val="0"/>
    </c:legend>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l" defTabSz="914400" rtl="0" eaLnBrk="1" fontAlgn="auto" latinLnBrk="0" hangingPunct="1">
              <a:lnSpc>
                <a:spcPct val="100000"/>
              </a:lnSpc>
              <a:spcBef>
                <a:spcPts val="0"/>
              </a:spcBef>
              <a:spcAft>
                <a:spcPts val="0"/>
              </a:spcAft>
              <a:buClrTx/>
              <a:buSzTx/>
              <a:buFontTx/>
              <a:buNone/>
              <a:tabLst/>
              <a:defRPr sz="1100" b="1" i="0" u="none" strike="noStrike" kern="1200" baseline="0">
                <a:solidFill>
                  <a:srgbClr val="002060"/>
                </a:solidFill>
                <a:latin typeface="+mj-lt"/>
                <a:ea typeface="+mn-ea"/>
                <a:cs typeface="+mn-cs"/>
              </a:defRPr>
            </a:pPr>
            <a:r>
              <a:rPr lang="cs-CZ" sz="1100" b="1" i="0" u="none" strike="noStrike" kern="1200" cap="all" baseline="0">
                <a:solidFill>
                  <a:schemeClr val="accent2">
                    <a:lumMod val="50000"/>
                  </a:schemeClr>
                </a:solidFill>
                <a:latin typeface="+mj-lt"/>
                <a:ea typeface="+mn-ea"/>
                <a:cs typeface="+mn-cs"/>
              </a:rPr>
              <a:t>BENCHMARKINGU VLASTNICKÝCH SUBJEKTŮ 2017 - Kanalizace</a:t>
            </a:r>
            <a:endParaRPr lang="sk-SK" sz="1100" b="1" i="0" u="none" strike="noStrike" kern="1200" cap="all" baseline="0">
              <a:solidFill>
                <a:schemeClr val="accent2">
                  <a:lumMod val="50000"/>
                </a:schemeClr>
              </a:solidFill>
              <a:latin typeface="+mj-lt"/>
              <a:ea typeface="+mn-ea"/>
              <a:cs typeface="+mn-cs"/>
            </a:endParaRPr>
          </a:p>
          <a:p>
            <a:pPr marL="0" marR="0" indent="0" algn="l" defTabSz="914400" rtl="0" eaLnBrk="1" fontAlgn="auto" latinLnBrk="0" hangingPunct="1">
              <a:lnSpc>
                <a:spcPct val="100000"/>
              </a:lnSpc>
              <a:spcBef>
                <a:spcPts val="0"/>
              </a:spcBef>
              <a:spcAft>
                <a:spcPts val="0"/>
              </a:spcAft>
              <a:buClrTx/>
              <a:buSzTx/>
              <a:buFontTx/>
              <a:buNone/>
              <a:tabLst/>
              <a:defRPr sz="1100" b="1" i="0" u="none" strike="noStrike" kern="1200" baseline="0">
                <a:solidFill>
                  <a:srgbClr val="002060"/>
                </a:solidFill>
                <a:latin typeface="+mj-lt"/>
                <a:ea typeface="+mn-ea"/>
                <a:cs typeface="+mn-cs"/>
              </a:defRPr>
            </a:pPr>
            <a:r>
              <a:rPr lang="sk-SK" sz="1100" b="1" i="0" u="none" strike="noStrike" kern="1200" cap="all" baseline="0">
                <a:solidFill>
                  <a:schemeClr val="accent2">
                    <a:lumMod val="50000"/>
                  </a:schemeClr>
                </a:solidFill>
                <a:latin typeface="+mj-lt"/>
                <a:ea typeface="+mn-ea"/>
                <a:cs typeface="+mn-cs"/>
              </a:rPr>
              <a:t>Výskyt alespoň jedné anomálie ve skupině - </a:t>
            </a:r>
            <a:r>
              <a:rPr lang="cs-CZ" sz="1100" b="1" i="0" u="none" strike="noStrike" kern="1200" cap="all" baseline="0">
                <a:solidFill>
                  <a:schemeClr val="accent2">
                    <a:lumMod val="50000"/>
                  </a:schemeClr>
                </a:solidFill>
                <a:latin typeface="+mj-lt"/>
                <a:ea typeface="+mn-ea"/>
                <a:cs typeface="+mn-cs"/>
              </a:rPr>
              <a:t>VE VZTAHU K MNOŽSTVÍ odpadní a srážkové vody FAKTUROVANÉ </a:t>
            </a:r>
            <a:r>
              <a:rPr lang="en-US" sz="1100" b="1" i="0" u="none" strike="noStrike" kern="1200" cap="all" baseline="0">
                <a:solidFill>
                  <a:schemeClr val="accent2">
                    <a:lumMod val="50000"/>
                  </a:schemeClr>
                </a:solidFill>
                <a:latin typeface="+mj-lt"/>
                <a:ea typeface="+mn-ea"/>
                <a:cs typeface="+mn-cs"/>
              </a:rPr>
              <a:t>[MIL.M3]</a:t>
            </a:r>
            <a:r>
              <a:rPr lang="cs-CZ" sz="1100" b="1" i="0" u="none" strike="noStrike" kern="1200" cap="all" baseline="0">
                <a:solidFill>
                  <a:schemeClr val="accent2">
                    <a:lumMod val="50000"/>
                  </a:schemeClr>
                </a:solidFill>
                <a:latin typeface="+mj-lt"/>
                <a:ea typeface="+mn-ea"/>
                <a:cs typeface="+mn-cs"/>
              </a:rPr>
              <a:t> </a:t>
            </a:r>
            <a:endParaRPr lang="sk-SK" sz="1100" cap="all">
              <a:solidFill>
                <a:srgbClr val="002060"/>
              </a:solidFill>
              <a:latin typeface="+mj-lt"/>
            </a:endParaRPr>
          </a:p>
        </c:rich>
      </c:tx>
      <c:layout>
        <c:manualLayout>
          <c:xMode val="edge"/>
          <c:yMode val="edge"/>
          <c:x val="1.7935885939374584E-2"/>
          <c:y val="1.4079795732055233E-2"/>
        </c:manualLayout>
      </c:layout>
      <c:overlay val="0"/>
    </c:title>
    <c:autoTitleDeleted val="0"/>
    <c:plotArea>
      <c:layout>
        <c:manualLayout>
          <c:layoutTarget val="inner"/>
          <c:xMode val="edge"/>
          <c:yMode val="edge"/>
          <c:x val="0.11375500059372454"/>
          <c:y val="0.1685980828483396"/>
          <c:w val="0.82164629577309101"/>
          <c:h val="0.60355075895233357"/>
        </c:manualLayout>
      </c:layout>
      <c:barChart>
        <c:barDir val="col"/>
        <c:grouping val="stacked"/>
        <c:varyColors val="0"/>
        <c:ser>
          <c:idx val="1"/>
          <c:order val="0"/>
          <c:tx>
            <c:strRef>
              <c:f>Vlast_KAN_anom_celkem!$B$107</c:f>
              <c:strCache>
                <c:ptCount val="1"/>
                <c:pt idx="0">
                  <c:v>Objem vody odpadní a srážkové fakturované bez anomálií (v mil. m3)</c:v>
                </c:pt>
              </c:strCache>
            </c:strRef>
          </c:tx>
          <c:spPr>
            <a:solidFill>
              <a:srgbClr val="FFC000"/>
            </a:solidFill>
            <a:scene3d>
              <a:camera prst="orthographicFront"/>
              <a:lightRig rig="threePt" dir="t"/>
            </a:scene3d>
            <a:sp3d>
              <a:bevelT/>
            </a:sp3d>
          </c:spPr>
          <c:invertIfNegative val="0"/>
          <c:cat>
            <c:strRef>
              <c:f>Vlast_KAN_anom_celkem!$A$108:$A$113</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Vlast_KAN_anom_celkem!$B$108:$B$113</c:f>
              <c:numCache>
                <c:formatCode>#,##0.00</c:formatCode>
                <c:ptCount val="6"/>
                <c:pt idx="0">
                  <c:v>87.374033999999952</c:v>
                </c:pt>
                <c:pt idx="1">
                  <c:v>27.667561000000017</c:v>
                </c:pt>
                <c:pt idx="2">
                  <c:v>6.5629850000000065</c:v>
                </c:pt>
                <c:pt idx="3">
                  <c:v>1.114416999999996</c:v>
                </c:pt>
                <c:pt idx="4">
                  <c:v>7.6939999999998737E-3</c:v>
                </c:pt>
                <c:pt idx="5">
                  <c:v>0</c:v>
                </c:pt>
              </c:numCache>
            </c:numRef>
          </c:val>
          <c:extLst xmlns:c16r2="http://schemas.microsoft.com/office/drawing/2015/06/chart">
            <c:ext xmlns:c16="http://schemas.microsoft.com/office/drawing/2014/chart" uri="{C3380CC4-5D6E-409C-BE32-E72D297353CC}">
              <c16:uniqueId val="{00000002-64EF-417D-A87D-40818EF8A220}"/>
            </c:ext>
          </c:extLst>
        </c:ser>
        <c:ser>
          <c:idx val="0"/>
          <c:order val="1"/>
          <c:tx>
            <c:strRef>
              <c:f>Vlast_KAN_anom_celkem!$C$107</c:f>
              <c:strCache>
                <c:ptCount val="1"/>
                <c:pt idx="0">
                  <c:v>Objem vody odpadní a srážkové fakturované (mil. m3) s výskytem alespoň jedné anomálie</c:v>
                </c:pt>
              </c:strCache>
            </c:strRef>
          </c:tx>
          <c:spPr>
            <a:solidFill>
              <a:srgbClr val="FF4A11"/>
            </a:solidFill>
            <a:scene3d>
              <a:camera prst="orthographicFront"/>
              <a:lightRig rig="threePt" dir="t"/>
            </a:scene3d>
            <a:sp3d>
              <a:bevelT/>
            </a:sp3d>
          </c:spPr>
          <c:invertIfNegative val="0"/>
          <c:dLbls>
            <c:dLbl>
              <c:idx val="0"/>
              <c:layout>
                <c:manualLayout>
                  <c:x val="-1.2480499219968799E-2"/>
                  <c:y val="-1.6304347826086956E-2"/>
                </c:manualLayout>
              </c:layout>
              <c:tx>
                <c:rich>
                  <a:bodyPr/>
                  <a:lstStyle/>
                  <a:p>
                    <a:fld id="{88C6165A-90DF-4D77-ACB8-9F20137E18D1}" type="VALUE">
                      <a:rPr lang="en-US"/>
                      <a:pPr/>
                      <a:t>[HODNOTA]</a:t>
                    </a:fld>
                    <a:r>
                      <a:rPr lang="en-US"/>
                      <a:t> </a:t>
                    </a:r>
                    <a:r>
                      <a:rPr lang="en-US" sz="1000" b="0" i="0" u="none" strike="noStrike" kern="1200" baseline="0">
                        <a:solidFill>
                          <a:sysClr val="windowText" lastClr="000000"/>
                        </a:solidFill>
                      </a:rPr>
                      <a:t>mil.m</a:t>
                    </a:r>
                    <a:r>
                      <a:rPr lang="en-US" sz="1000" b="0" i="0" u="none" strike="noStrike" kern="1200" baseline="30000">
                        <a:solidFill>
                          <a:sysClr val="windowText" lastClr="000000"/>
                        </a:solidFill>
                      </a:rPr>
                      <a:t>3</a:t>
                    </a:r>
                  </a:p>
                </c:rich>
              </c:tx>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1.6640665626625067E-2"/>
                  <c:y val="-1.8115942028985508E-2"/>
                </c:manualLayout>
              </c:layout>
              <c:tx>
                <c:rich>
                  <a:bodyPr/>
                  <a:lstStyle/>
                  <a:p>
                    <a:fld id="{88C6165A-90DF-4D77-ACB8-9F20137E18D1}" type="VALUE">
                      <a:rPr lang="en-US"/>
                      <a:pPr/>
                      <a:t>[HODNOTA]</a:t>
                    </a:fld>
                    <a:r>
                      <a:rPr lang="en-US"/>
                      <a:t> </a:t>
                    </a:r>
                    <a:r>
                      <a:rPr lang="en-US" sz="1000" b="0" i="0" u="none" strike="noStrike" kern="1200" baseline="0">
                        <a:solidFill>
                          <a:sysClr val="windowText" lastClr="000000"/>
                        </a:solidFill>
                      </a:rPr>
                      <a:t>mil.m</a:t>
                    </a:r>
                    <a:r>
                      <a:rPr lang="en-US" sz="1000" b="0" i="0" u="none" strike="noStrike" kern="1200" baseline="30000">
                        <a:solidFill>
                          <a:sysClr val="windowText" lastClr="000000"/>
                        </a:solidFill>
                      </a:rPr>
                      <a:t>3</a:t>
                    </a:r>
                  </a:p>
                </c:rich>
              </c:tx>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3.9521580863234526E-2"/>
                  <c:y val="-3.6231884057971016E-2"/>
                </c:manualLayout>
              </c:layout>
              <c:tx>
                <c:rich>
                  <a:bodyPr/>
                  <a:lstStyle/>
                  <a:p>
                    <a:fld id="{88C6165A-90DF-4D77-ACB8-9F20137E18D1}" type="VALUE">
                      <a:rPr lang="en-US"/>
                      <a:pPr/>
                      <a:t>[HODNOTA]</a:t>
                    </a:fld>
                    <a:r>
                      <a:rPr lang="en-US"/>
                      <a:t> </a:t>
                    </a:r>
                    <a:r>
                      <a:rPr lang="en-US" sz="1000" b="0" i="0" u="none" strike="noStrike" kern="1200" baseline="0">
                        <a:solidFill>
                          <a:sysClr val="windowText" lastClr="000000"/>
                        </a:solidFill>
                      </a:rPr>
                      <a:t>mil.m</a:t>
                    </a:r>
                    <a:r>
                      <a:rPr lang="en-US" sz="1000" b="0" i="0" u="none" strike="noStrike" kern="1200" baseline="30000">
                        <a:solidFill>
                          <a:sysClr val="windowText" lastClr="000000"/>
                        </a:solidFill>
                      </a:rPr>
                      <a:t>3</a:t>
                    </a:r>
                  </a:p>
                </c:rich>
              </c:tx>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4.1601664066561904E-3"/>
                  <c:y val="2.8985507246376812E-2"/>
                </c:manualLayout>
              </c:layout>
              <c:tx>
                <c:rich>
                  <a:bodyPr/>
                  <a:lstStyle/>
                  <a:p>
                    <a:fld id="{88C6165A-90DF-4D77-ACB8-9F20137E18D1}" type="VALUE">
                      <a:rPr lang="en-US"/>
                      <a:pPr/>
                      <a:t>[HODNOTA]</a:t>
                    </a:fld>
                    <a:r>
                      <a:rPr lang="en-US"/>
                      <a:t> </a:t>
                    </a:r>
                    <a:r>
                      <a:rPr lang="en-US" sz="1000" b="0" i="0" u="none" strike="noStrike" kern="1200" baseline="0">
                        <a:solidFill>
                          <a:sysClr val="windowText" lastClr="000000"/>
                        </a:solidFill>
                      </a:rPr>
                      <a:t>mil.m</a:t>
                    </a:r>
                    <a:r>
                      <a:rPr lang="en-US" sz="1000" b="0" i="0" u="none" strike="noStrike" kern="1200" baseline="30000">
                        <a:solidFill>
                          <a:sysClr val="windowText" lastClr="000000"/>
                        </a:solidFill>
                      </a:rPr>
                      <a:t>3</a:t>
                    </a:r>
                  </a:p>
                </c:rich>
              </c:tx>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4"/>
              <c:layout>
                <c:manualLayout>
                  <c:x val="2.0800832033281331E-2"/>
                  <c:y val="-5.4347826086956652E-2"/>
                </c:manualLayout>
              </c:layout>
              <c:tx>
                <c:rich>
                  <a:bodyPr/>
                  <a:lstStyle/>
                  <a:p>
                    <a:fld id="{88C6165A-90DF-4D77-ACB8-9F20137E18D1}" type="VALUE">
                      <a:rPr lang="en-US"/>
                      <a:pPr/>
                      <a:t>[HODNOTA]</a:t>
                    </a:fld>
                    <a:r>
                      <a:rPr lang="en-US"/>
                      <a:t> </a:t>
                    </a:r>
                    <a:r>
                      <a:rPr lang="en-US" sz="1000" b="0" i="0" u="none" strike="noStrike" kern="1200" baseline="0">
                        <a:solidFill>
                          <a:sysClr val="windowText" lastClr="000000"/>
                        </a:solidFill>
                      </a:rPr>
                      <a:t>mil.m</a:t>
                    </a:r>
                    <a:r>
                      <a:rPr lang="en-US" sz="1000" b="0" i="0" u="none" strike="noStrike" kern="1200" baseline="30000">
                        <a:solidFill>
                          <a:sysClr val="windowText" lastClr="000000"/>
                        </a:solidFill>
                      </a:rPr>
                      <a:t>3</a:t>
                    </a:r>
                  </a:p>
                </c:rich>
              </c:tx>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5"/>
              <c:layout>
                <c:manualLayout>
                  <c:x val="3.3281331253249981E-2"/>
                  <c:y val="3.2608695652173912E-2"/>
                </c:manualLayout>
              </c:layout>
              <c:tx>
                <c:rich>
                  <a:bodyPr/>
                  <a:lstStyle/>
                  <a:p>
                    <a:fld id="{88C6165A-90DF-4D77-ACB8-9F20137E18D1}" type="VALUE">
                      <a:rPr lang="en-US"/>
                      <a:pPr/>
                      <a:t>[HODNOTA]</a:t>
                    </a:fld>
                    <a:r>
                      <a:rPr lang="en-US"/>
                      <a:t> </a:t>
                    </a:r>
                    <a:r>
                      <a:rPr lang="en-US" sz="1000" b="0" i="0" u="none" strike="noStrike" kern="1200" baseline="0">
                        <a:solidFill>
                          <a:sysClr val="windowText" lastClr="000000"/>
                        </a:solidFill>
                      </a:rPr>
                      <a:t>mil.m</a:t>
                    </a:r>
                    <a:r>
                      <a:rPr lang="en-US" sz="1000" b="0" i="0" u="none" strike="noStrike" kern="1200" baseline="30000">
                        <a:solidFill>
                          <a:sysClr val="windowText" lastClr="000000"/>
                        </a:solidFill>
                      </a:rPr>
                      <a:t>3</a:t>
                    </a:r>
                  </a:p>
                </c:rich>
              </c:tx>
              <c:showLegendKey val="1"/>
              <c:showVal val="1"/>
              <c:showCatName val="0"/>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5400000"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cs-CZ"/>
              </a:p>
            </c:txPr>
            <c:showLegendKey val="1"/>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layout/>
                <c15:tx>
                  <c:rich>
                    <a:bodyPr rot="-5400000"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fld id="{88C6165A-90DF-4D77-ACB8-9F20137E18D1}" type="VALUE">
                        <a:rPr lang="en-US"/>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t>[HODNOTA]</a:t>
                      </a:fld>
                      <a:r>
                        <a:rPr lang="en-US"/>
                        <a:t> </a:t>
                      </a:r>
                      <a:r>
                        <a:rPr lang="en-US" sz="1000" b="0" i="0" u="none" strike="noStrike" kern="1200" baseline="0">
                          <a:solidFill>
                            <a:sysClr val="windowText" lastClr="000000"/>
                          </a:solidFill>
                        </a:rPr>
                        <a:t>mil.m</a:t>
                      </a:r>
                      <a:r>
                        <a:rPr lang="en-US" sz="1000" b="0" i="0" u="none" strike="noStrike" kern="1200" baseline="30000">
                          <a:solidFill>
                            <a:sysClr val="windowText" lastClr="000000"/>
                          </a:solidFill>
                        </a:rPr>
                        <a:t>3</a:t>
                      </a:r>
                    </a:p>
                  </c:rich>
                </c15:tx>
                <c15:dlblFieldTable/>
                <c15:showDataLabelsRange val="0"/>
                <c15:showLeaderLines val="0"/>
              </c:ext>
            </c:extLst>
          </c:dLbls>
          <c:cat>
            <c:strRef>
              <c:f>Vlast_KAN_anom_celkem!$A$108:$A$113</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Vlast_KAN_anom_celkem!$C$108:$C$113</c:f>
              <c:numCache>
                <c:formatCode>#,##0.00</c:formatCode>
                <c:ptCount val="6"/>
                <c:pt idx="0">
                  <c:v>115.523628</c:v>
                </c:pt>
                <c:pt idx="1">
                  <c:v>154.303122</c:v>
                </c:pt>
                <c:pt idx="2">
                  <c:v>69.535910999999984</c:v>
                </c:pt>
                <c:pt idx="3">
                  <c:v>34.514306000000005</c:v>
                </c:pt>
                <c:pt idx="4">
                  <c:v>2.7776769999999993</c:v>
                </c:pt>
                <c:pt idx="5">
                  <c:v>0.12046100000000005</c:v>
                </c:pt>
              </c:numCache>
            </c:numRef>
          </c:val>
          <c:extLst xmlns:c16r2="http://schemas.microsoft.com/office/drawing/2015/06/chart">
            <c:ext xmlns:c16="http://schemas.microsoft.com/office/drawing/2014/chart" uri="{C3380CC4-5D6E-409C-BE32-E72D297353CC}">
              <c16:uniqueId val="{00000003-64EF-417D-A87D-40818EF8A220}"/>
            </c:ext>
          </c:extLst>
        </c:ser>
        <c:dLbls>
          <c:showLegendKey val="0"/>
          <c:showVal val="0"/>
          <c:showCatName val="0"/>
          <c:showSerName val="0"/>
          <c:showPercent val="0"/>
          <c:showBubbleSize val="0"/>
        </c:dLbls>
        <c:gapWidth val="75"/>
        <c:overlap val="100"/>
        <c:axId val="247588176"/>
        <c:axId val="247587000"/>
      </c:barChart>
      <c:lineChart>
        <c:grouping val="standard"/>
        <c:varyColors val="0"/>
        <c:ser>
          <c:idx val="3"/>
          <c:order val="3"/>
          <c:tx>
            <c:strRef>
              <c:f>Vlast_KAN_anom_celkem!$D$107</c:f>
              <c:strCache>
                <c:ptCount val="1"/>
                <c:pt idx="0">
                  <c:v>Objem vody odpadní a srážkové fakturované (mil. m3) ve skupině</c:v>
                </c:pt>
              </c:strCache>
            </c:strRef>
          </c:tx>
          <c:spPr>
            <a:ln w="38100">
              <a:solidFill>
                <a:srgbClr val="008000"/>
              </a:solidFill>
            </a:ln>
          </c:spPr>
          <c:marker>
            <c:symbol val="square"/>
            <c:size val="10"/>
            <c:spPr>
              <a:solidFill>
                <a:srgbClr val="008000"/>
              </a:solidFill>
            </c:spPr>
          </c:marker>
          <c:dPt>
            <c:idx val="0"/>
            <c:marker>
              <c:spPr>
                <a:solidFill>
                  <a:srgbClr val="008000"/>
                </a:solidFill>
                <a:ln>
                  <a:solidFill>
                    <a:srgbClr val="008000"/>
                  </a:solidFill>
                </a:ln>
              </c:spPr>
            </c:marker>
            <c:bubble3D val="0"/>
          </c:dPt>
          <c:dPt>
            <c:idx val="1"/>
            <c:marker>
              <c:spPr>
                <a:solidFill>
                  <a:srgbClr val="008000"/>
                </a:solidFill>
                <a:ln>
                  <a:solidFill>
                    <a:srgbClr val="008000"/>
                  </a:solidFill>
                </a:ln>
              </c:spPr>
            </c:marker>
            <c:bubble3D val="0"/>
          </c:dPt>
          <c:dPt>
            <c:idx val="2"/>
            <c:marker>
              <c:spPr>
                <a:solidFill>
                  <a:srgbClr val="008000"/>
                </a:solidFill>
                <a:ln>
                  <a:solidFill>
                    <a:srgbClr val="008000"/>
                  </a:solidFill>
                </a:ln>
              </c:spPr>
            </c:marker>
            <c:bubble3D val="0"/>
          </c:dPt>
          <c:dPt>
            <c:idx val="3"/>
            <c:marker>
              <c:spPr>
                <a:solidFill>
                  <a:srgbClr val="008000"/>
                </a:solidFill>
                <a:ln>
                  <a:solidFill>
                    <a:srgbClr val="008000"/>
                  </a:solidFill>
                </a:ln>
              </c:spPr>
            </c:marker>
            <c:bubble3D val="0"/>
          </c:dPt>
          <c:dPt>
            <c:idx val="4"/>
            <c:marker>
              <c:spPr>
                <a:solidFill>
                  <a:srgbClr val="008000"/>
                </a:solidFill>
                <a:ln>
                  <a:solidFill>
                    <a:srgbClr val="008000"/>
                  </a:solidFill>
                </a:ln>
              </c:spPr>
            </c:marker>
            <c:bubble3D val="0"/>
          </c:dPt>
          <c:dLbls>
            <c:dLbl>
              <c:idx val="0"/>
              <c:layout>
                <c:manualLayout>
                  <c:x val="-1.9363561187605904E-2"/>
                  <c:y val="-1.5822784810126583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8000"/>
                        </a:solidFill>
                        <a:latin typeface="+mn-lt"/>
                        <a:ea typeface="+mn-ea"/>
                        <a:cs typeface="+mn-cs"/>
                      </a:defRPr>
                    </a:pPr>
                    <a:r>
                      <a:rPr lang="en-US" b="1">
                        <a:solidFill>
                          <a:srgbClr val="008000"/>
                        </a:solidFill>
                      </a:rPr>
                      <a:t>2</a:t>
                    </a:r>
                    <a:r>
                      <a:rPr lang="en-US"/>
                      <a:t>02,90 </a:t>
                    </a:r>
                    <a:r>
                      <a:rPr lang="en-US" sz="1000" b="1" i="0" u="none" strike="noStrike" kern="1200" baseline="0">
                        <a:solidFill>
                          <a:srgbClr val="008000"/>
                        </a:solidFill>
                        <a:latin typeface="+mn-lt"/>
                        <a:ea typeface="+mn-ea"/>
                        <a:cs typeface="+mn-cs"/>
                      </a:rPr>
                      <a:t>mil.m</a:t>
                    </a:r>
                    <a:r>
                      <a:rPr lang="en-US" sz="1000" b="1" i="0" u="none" strike="noStrike" kern="1200" baseline="30000">
                        <a:solidFill>
                          <a:srgbClr val="008000"/>
                        </a:solidFill>
                        <a:latin typeface="+mn-lt"/>
                        <a:ea typeface="+mn-ea"/>
                        <a:cs typeface="+mn-cs"/>
                      </a:rPr>
                      <a:t>3</a:t>
                    </a:r>
                  </a:p>
                </c:rich>
              </c:tx>
              <c:sp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1.0548523206751073E-2"/>
                </c:manualLayout>
              </c:layout>
              <c:tx>
                <c:rich>
                  <a:bodyPr/>
                  <a:lstStyle/>
                  <a:p>
                    <a:r>
                      <a:rPr lang="en-US" b="1">
                        <a:solidFill>
                          <a:srgbClr val="008000"/>
                        </a:solidFill>
                      </a:rPr>
                      <a:t>1</a:t>
                    </a:r>
                    <a:r>
                      <a:rPr lang="en-US"/>
                      <a:t>81,97 </a:t>
                    </a:r>
                    <a:r>
                      <a:rPr lang="en-US" sz="1000" b="1" i="0" u="none" strike="noStrike" baseline="0"/>
                      <a:t>mil.m</a:t>
                    </a:r>
                    <a:r>
                      <a:rPr lang="en-US" sz="1000" b="1" i="0" u="none" strike="noStrike" baseline="30000"/>
                      <a:t>3</a:t>
                    </a:r>
                    <a:endParaRPr lang="en-US" b="1" baseline="30000"/>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2809712329834283E-3"/>
                  <c:y val="-1.1603375527426175E-2"/>
                </c:manualLayout>
              </c:layout>
              <c:tx>
                <c:rich>
                  <a:bodyPr/>
                  <a:lstStyle/>
                  <a:p>
                    <a:r>
                      <a:rPr lang="en-US" b="1">
                        <a:solidFill>
                          <a:srgbClr val="008000"/>
                        </a:solidFill>
                      </a:rPr>
                      <a:t>7</a:t>
                    </a:r>
                    <a:r>
                      <a:rPr lang="en-US" b="1"/>
                      <a:t>6,10 </a:t>
                    </a:r>
                    <a:r>
                      <a:rPr lang="en-US" sz="1000" b="1" i="0" u="none" strike="noStrike" baseline="0"/>
                      <a:t>mil.m</a:t>
                    </a:r>
                    <a:r>
                      <a:rPr lang="en-US" sz="1000" b="1" i="0" u="none" strike="noStrike" baseline="30000"/>
                      <a:t>3</a:t>
                    </a:r>
                    <a:endParaRPr lang="en-US" b="1" baseline="30000"/>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0319464747093896E-2"/>
                  <c:y val="-3.0017545361177813E-2"/>
                </c:manualLayout>
              </c:layout>
              <c:tx>
                <c:rich>
                  <a:bodyPr/>
                  <a:lstStyle/>
                  <a:p>
                    <a:r>
                      <a:rPr lang="en-US" b="1">
                        <a:solidFill>
                          <a:srgbClr val="008000"/>
                        </a:solidFill>
                      </a:rPr>
                      <a:t>3</a:t>
                    </a:r>
                    <a:r>
                      <a:rPr lang="en-US" b="1"/>
                      <a:t>5,63 </a:t>
                    </a:r>
                    <a:r>
                      <a:rPr lang="en-US" sz="1000" b="1" i="0" u="none" strike="noStrike" baseline="0"/>
                      <a:t>mil.m</a:t>
                    </a:r>
                    <a:r>
                      <a:rPr lang="en-US" sz="1000" b="1" i="0" u="none" strike="noStrike" baseline="30000"/>
                      <a:t>3</a:t>
                    </a:r>
                    <a:endParaRPr lang="en-US" b="1" baseline="30000"/>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2809712329834283E-3"/>
                  <c:y val="1.5822784810126583E-2"/>
                </c:manualLayout>
              </c:layout>
              <c:tx>
                <c:rich>
                  <a:bodyPr/>
                  <a:lstStyle/>
                  <a:p>
                    <a:r>
                      <a:rPr lang="en-US" b="1">
                        <a:solidFill>
                          <a:srgbClr val="008000"/>
                        </a:solidFill>
                      </a:rPr>
                      <a:t>2</a:t>
                    </a:r>
                    <a:r>
                      <a:rPr lang="en-US" b="1"/>
                      <a:t>,79 </a:t>
                    </a:r>
                    <a:r>
                      <a:rPr lang="en-US" sz="1000" b="1" i="0" u="none" strike="noStrike" baseline="0"/>
                      <a:t>mil.m</a:t>
                    </a:r>
                    <a:r>
                      <a:rPr lang="en-US" sz="1000" b="1" i="0" u="none" strike="noStrike" baseline="30000"/>
                      <a:t>3</a:t>
                    </a:r>
                    <a:endParaRPr lang="en-US" b="1" baseline="30000"/>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4720765208561103E-2"/>
                  <c:y val="-8.9387338810909642E-2"/>
                </c:manualLayout>
              </c:layout>
              <c:tx>
                <c:rich>
                  <a:bodyPr/>
                  <a:lstStyle/>
                  <a:p>
                    <a:r>
                      <a:rPr lang="en-US" b="1">
                        <a:solidFill>
                          <a:srgbClr val="008000"/>
                        </a:solidFill>
                      </a:rPr>
                      <a:t>0</a:t>
                    </a:r>
                    <a:r>
                      <a:rPr lang="en-US" b="1"/>
                      <a:t>,12 </a:t>
                    </a:r>
                    <a:r>
                      <a:rPr lang="en-US" sz="1000" b="1" i="0" u="none" strike="noStrike" baseline="0"/>
                      <a:t>mil.m</a:t>
                    </a:r>
                    <a:r>
                      <a:rPr lang="en-US" sz="1000" b="1" i="0" u="none" strike="noStrike" baseline="30000"/>
                      <a:t>3</a:t>
                    </a:r>
                    <a:endParaRPr lang="en-US" b="1" baseline="30000"/>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rgbClr val="008000"/>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Vlast_KAN_anom_celkem!$A$108:$A$113</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Vlast_KAN_anom_celkem!$D$108:$D$113</c:f>
              <c:numCache>
                <c:formatCode>#,##0.00</c:formatCode>
                <c:ptCount val="6"/>
                <c:pt idx="0">
                  <c:v>202.89766199999997</c:v>
                </c:pt>
                <c:pt idx="1">
                  <c:v>181.97068299999998</c:v>
                </c:pt>
                <c:pt idx="2">
                  <c:v>76.098895999999982</c:v>
                </c:pt>
                <c:pt idx="3">
                  <c:v>35.628723000000036</c:v>
                </c:pt>
                <c:pt idx="4">
                  <c:v>2.7853709999999992</c:v>
                </c:pt>
                <c:pt idx="5">
                  <c:v>0.12046100000000005</c:v>
                </c:pt>
              </c:numCache>
            </c:numRef>
          </c:val>
          <c:smooth val="0"/>
        </c:ser>
        <c:dLbls>
          <c:showLegendKey val="0"/>
          <c:showVal val="0"/>
          <c:showCatName val="0"/>
          <c:showSerName val="0"/>
          <c:showPercent val="0"/>
          <c:showBubbleSize val="0"/>
        </c:dLbls>
        <c:marker val="1"/>
        <c:smooth val="0"/>
        <c:axId val="247588176"/>
        <c:axId val="247587000"/>
      </c:lineChart>
      <c:lineChart>
        <c:grouping val="standard"/>
        <c:varyColors val="0"/>
        <c:ser>
          <c:idx val="2"/>
          <c:order val="2"/>
          <c:tx>
            <c:strRef>
              <c:f>Vlast_KAN_anom_celkem!$E$107</c:f>
              <c:strCache>
                <c:ptCount val="1"/>
                <c:pt idx="0">
                  <c:v>četnost výskytu anomálií</c:v>
                </c:pt>
              </c:strCache>
            </c:strRef>
          </c:tx>
          <c:spPr>
            <a:ln w="28575">
              <a:noFill/>
            </a:ln>
          </c:spPr>
          <c:marker>
            <c:symbol val="triangle"/>
            <c:size val="16"/>
            <c:spPr>
              <a:solidFill>
                <a:srgbClr val="F8CBAD"/>
              </a:solidFill>
              <a:scene3d>
                <a:camera prst="orthographicFront"/>
                <a:lightRig rig="threePt" dir="t"/>
              </a:scene3d>
              <a:sp3d>
                <a:bevelT/>
              </a:sp3d>
            </c:spPr>
          </c:marker>
          <c:dLbls>
            <c:dLbl>
              <c:idx val="0"/>
              <c:layout>
                <c:manualLayout>
                  <c:x val="-6.5707643059990911E-2"/>
                  <c:y val="-3.7820774113612086E-2"/>
                </c:manualLayout>
              </c:layout>
              <c:tx>
                <c:rich>
                  <a:bodyPr/>
                  <a:lstStyle/>
                  <a:p>
                    <a:r>
                      <a:rPr lang="en-US"/>
                      <a:t>3 výskyty</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904996868070847E-2"/>
                  <c:y val="-3.6424221202680337E-2"/>
                </c:manualLayout>
              </c:layout>
              <c:tx>
                <c:rich>
                  <a:bodyPr/>
                  <a:lstStyle/>
                  <a:p>
                    <a:r>
                      <a:rPr lang="en-US"/>
                      <a:t>72 </a:t>
                    </a:r>
                    <a:br>
                      <a:rPr lang="en-US"/>
                    </a:br>
                    <a:r>
                      <a:rPr lang="en-US"/>
                      <a:t>výskytů</a:t>
                    </a:r>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2186789833798078E-2"/>
                  <c:y val="4.3503223781809749E-2"/>
                </c:manualLayout>
              </c:layout>
              <c:tx>
                <c:rich>
                  <a:bodyPr/>
                  <a:lstStyle/>
                  <a:p>
                    <a:r>
                      <a:rPr lang="en-US"/>
                      <a:t>714</a:t>
                    </a:r>
                    <a:br>
                      <a:rPr lang="en-US"/>
                    </a:br>
                    <a:r>
                      <a:rPr lang="en-US"/>
                      <a:t> výskytů</a:t>
                    </a:r>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0618469543430087E-2"/>
                  <c:y val="-3.8657915765090395E-2"/>
                </c:manualLayout>
              </c:layout>
              <c:tx>
                <c:rich>
                  <a:bodyPr/>
                  <a:lstStyle/>
                  <a:p>
                    <a:r>
                      <a:rPr lang="en-US"/>
                      <a:t>4303 </a:t>
                    </a:r>
                    <a:br>
                      <a:rPr lang="en-US"/>
                    </a:br>
                    <a:r>
                      <a:rPr lang="en-US"/>
                      <a:t>výskytů</a:t>
                    </a:r>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5529296026869263E-2"/>
                  <c:y val="-3.9123353594483698E-2"/>
                </c:manualLayout>
              </c:layout>
              <c:tx>
                <c:rich>
                  <a:bodyPr/>
                  <a:lstStyle/>
                  <a:p>
                    <a:r>
                      <a:rPr lang="en-US"/>
                      <a:t>1032 </a:t>
                    </a:r>
                    <a:br>
                      <a:rPr lang="en-US"/>
                    </a:br>
                    <a:r>
                      <a:rPr lang="en-US"/>
                      <a:t>výskytů</a:t>
                    </a:r>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6.4906484054061409E-2"/>
                  <c:y val="-3.549334554389371E-2"/>
                </c:manualLayout>
              </c:layout>
              <c:tx>
                <c:rich>
                  <a:bodyPr/>
                  <a:lstStyle/>
                  <a:p>
                    <a:r>
                      <a:rPr lang="en-US"/>
                      <a:t>50 </a:t>
                    </a:r>
                    <a:br>
                      <a:rPr lang="en-US"/>
                    </a:br>
                    <a:r>
                      <a:rPr lang="en-US"/>
                      <a:t>výskytů</a:t>
                    </a:r>
                  </a:p>
                </c:rich>
              </c:tx>
              <c:showLegendKey val="0"/>
              <c:showVal val="1"/>
              <c:showCatName val="0"/>
              <c:showSerName val="0"/>
              <c:showPercent val="0"/>
              <c:showBubbleSize val="0"/>
              <c:extLst>
                <c:ext xmlns:c15="http://schemas.microsoft.com/office/drawing/2012/chart" uri="{CE6537A1-D6FC-4f65-9D91-7224C49458BB}">
                  <c15:layout/>
                </c:ext>
              </c:extLst>
            </c:dLbl>
            <c:spPr>
              <a:solidFill>
                <a:srgbClr val="F8CBAD"/>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Vlast_KAN_anom_celkem!$A$108:$A$113</c:f>
              <c:strCache>
                <c:ptCount val="6"/>
                <c:pt idx="0">
                  <c:v>I.skupina(&gt;10 000mil.Kč)</c:v>
                </c:pt>
                <c:pt idx="1">
                  <c:v>II.skupina(&gt;1 000mil.Kč)</c:v>
                </c:pt>
                <c:pt idx="2">
                  <c:v>III.skupina(&gt;100mil.Kč)</c:v>
                </c:pt>
                <c:pt idx="3">
                  <c:v>IV.skupina(&gt;10mil.Kč)</c:v>
                </c:pt>
                <c:pt idx="4">
                  <c:v>V.skupina(&gt;1mil.Kč)</c:v>
                </c:pt>
                <c:pt idx="5">
                  <c:v>VI.skupina(&lt;1mil.Kč)</c:v>
                </c:pt>
              </c:strCache>
            </c:strRef>
          </c:cat>
          <c:val>
            <c:numRef>
              <c:f>Vlast_KAN_anom_celkem!$E$108:$E$113</c:f>
              <c:numCache>
                <c:formatCode>General</c:formatCode>
                <c:ptCount val="6"/>
                <c:pt idx="0">
                  <c:v>3</c:v>
                </c:pt>
                <c:pt idx="1">
                  <c:v>72</c:v>
                </c:pt>
                <c:pt idx="2">
                  <c:v>714</c:v>
                </c:pt>
                <c:pt idx="3">
                  <c:v>4303</c:v>
                </c:pt>
                <c:pt idx="4">
                  <c:v>1032</c:v>
                </c:pt>
                <c:pt idx="5">
                  <c:v>50</c:v>
                </c:pt>
              </c:numCache>
            </c:numRef>
          </c:val>
          <c:smooth val="0"/>
        </c:ser>
        <c:dLbls>
          <c:showLegendKey val="0"/>
          <c:showVal val="0"/>
          <c:showCatName val="0"/>
          <c:showSerName val="0"/>
          <c:showPercent val="0"/>
          <c:showBubbleSize val="0"/>
        </c:dLbls>
        <c:marker val="1"/>
        <c:smooth val="0"/>
        <c:axId val="247586216"/>
        <c:axId val="247586608"/>
      </c:lineChart>
      <c:catAx>
        <c:axId val="247588176"/>
        <c:scaling>
          <c:orientation val="minMax"/>
        </c:scaling>
        <c:delete val="0"/>
        <c:axPos val="b"/>
        <c:majorGridlines/>
        <c:numFmt formatCode="General" sourceLinked="0"/>
        <c:majorTickMark val="none"/>
        <c:minorTickMark val="none"/>
        <c:tickLblPos val="nextTo"/>
        <c:txPr>
          <a:bodyPr/>
          <a:lstStyle/>
          <a:p>
            <a:pPr>
              <a:defRPr sz="1000">
                <a:solidFill>
                  <a:schemeClr val="accent2">
                    <a:lumMod val="50000"/>
                  </a:schemeClr>
                </a:solidFill>
                <a:latin typeface="+mj-lt"/>
              </a:defRPr>
            </a:pPr>
            <a:endParaRPr lang="cs-CZ"/>
          </a:p>
        </c:txPr>
        <c:crossAx val="247587000"/>
        <c:crosses val="autoZero"/>
        <c:auto val="1"/>
        <c:lblAlgn val="ctr"/>
        <c:lblOffset val="100"/>
        <c:noMultiLvlLbl val="0"/>
      </c:catAx>
      <c:valAx>
        <c:axId val="247587000"/>
        <c:scaling>
          <c:orientation val="minMax"/>
          <c:max val="230"/>
          <c:min val="0"/>
        </c:scaling>
        <c:delete val="0"/>
        <c:axPos val="l"/>
        <c:majorGridlines/>
        <c:title>
          <c:tx>
            <c:rich>
              <a:bodyPr rot="-5400000" vert="horz"/>
              <a:lstStyle/>
              <a:p>
                <a:pPr>
                  <a:defRPr sz="1100">
                    <a:solidFill>
                      <a:srgbClr val="002060"/>
                    </a:solidFill>
                    <a:latin typeface="+mj-lt"/>
                  </a:defRPr>
                </a:pPr>
                <a:r>
                  <a:rPr lang="cs-CZ" sz="1100" b="1" i="0" u="none" strike="noStrike" cap="all" baseline="0">
                    <a:solidFill>
                      <a:schemeClr val="accent2">
                        <a:lumMod val="50000"/>
                      </a:schemeClr>
                    </a:solidFill>
                  </a:rPr>
                  <a:t>MNOŽSTVÍ odpadní a srážkové vody FAKTUROVANÉ </a:t>
                </a:r>
                <a:r>
                  <a:rPr lang="en-US" sz="1100" b="1" i="0" u="none" strike="noStrike" cap="all" baseline="0">
                    <a:solidFill>
                      <a:schemeClr val="accent2">
                        <a:lumMod val="50000"/>
                      </a:schemeClr>
                    </a:solidFill>
                  </a:rPr>
                  <a:t>[MIL.M3</a:t>
                </a:r>
                <a:endParaRPr lang="sk-SK" sz="1100" baseline="30000">
                  <a:solidFill>
                    <a:schemeClr val="accent2">
                      <a:lumMod val="50000"/>
                    </a:schemeClr>
                  </a:solidFill>
                  <a:latin typeface="+mj-lt"/>
                </a:endParaRPr>
              </a:p>
            </c:rich>
          </c:tx>
          <c:layout/>
          <c:overlay val="0"/>
        </c:title>
        <c:numFmt formatCode="#,##0.00" sourceLinked="1"/>
        <c:majorTickMark val="none"/>
        <c:minorTickMark val="none"/>
        <c:tickLblPos val="nextTo"/>
        <c:spPr>
          <a:ln w="6350">
            <a:noFill/>
          </a:ln>
        </c:spPr>
        <c:txPr>
          <a:bodyPr/>
          <a:lstStyle/>
          <a:p>
            <a:pPr>
              <a:defRPr>
                <a:solidFill>
                  <a:schemeClr val="accent2">
                    <a:lumMod val="50000"/>
                  </a:schemeClr>
                </a:solidFill>
              </a:defRPr>
            </a:pPr>
            <a:endParaRPr lang="cs-CZ"/>
          </a:p>
        </c:txPr>
        <c:crossAx val="247588176"/>
        <c:crosses val="autoZero"/>
        <c:crossBetween val="between"/>
      </c:valAx>
      <c:valAx>
        <c:axId val="247586608"/>
        <c:scaling>
          <c:orientation val="minMax"/>
        </c:scaling>
        <c:delete val="0"/>
        <c:axPos val="r"/>
        <c:numFmt formatCode="General" sourceLinked="1"/>
        <c:majorTickMark val="out"/>
        <c:minorTickMark val="none"/>
        <c:tickLblPos val="nextTo"/>
        <c:crossAx val="247586216"/>
        <c:crosses val="max"/>
        <c:crossBetween val="between"/>
      </c:valAx>
      <c:catAx>
        <c:axId val="247586216"/>
        <c:scaling>
          <c:orientation val="minMax"/>
        </c:scaling>
        <c:delete val="1"/>
        <c:axPos val="b"/>
        <c:numFmt formatCode="General" sourceLinked="1"/>
        <c:majorTickMark val="out"/>
        <c:minorTickMark val="none"/>
        <c:tickLblPos val="none"/>
        <c:crossAx val="247586608"/>
        <c:crosses val="autoZero"/>
        <c:auto val="1"/>
        <c:lblAlgn val="ctr"/>
        <c:lblOffset val="100"/>
        <c:noMultiLvlLbl val="0"/>
      </c:catAx>
    </c:plotArea>
    <c:legend>
      <c:legendPos val="b"/>
      <c:layout>
        <c:manualLayout>
          <c:xMode val="edge"/>
          <c:yMode val="edge"/>
          <c:x val="3.0439891938837074E-2"/>
          <c:y val="0.91486761418220652"/>
          <c:w val="0.95147346698792956"/>
          <c:h val="8.4930562477158744E-2"/>
        </c:manualLayout>
      </c:layout>
      <c:overlay val="0"/>
      <c:txPr>
        <a:bodyPr/>
        <a:lstStyle/>
        <a:p>
          <a:pPr>
            <a:defRPr sz="1050" b="1" cap="small" baseline="0">
              <a:solidFill>
                <a:schemeClr val="accent2">
                  <a:lumMod val="50000"/>
                </a:schemeClr>
              </a:solidFill>
              <a:latin typeface="+mj-lt"/>
            </a:defRPr>
          </a:pPr>
          <a:endParaRPr lang="cs-CZ"/>
        </a:p>
      </c:txPr>
    </c:legend>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b="1" i="0" cap="small" baseline="0">
                <a:solidFill>
                  <a:srgbClr val="002060"/>
                </a:solidFill>
                <a:latin typeface="Calibri Light" pitchFamily="34" charset="0"/>
              </a:defRPr>
            </a:pPr>
            <a:r>
              <a:rPr lang="sk-SK" sz="1100" b="1" i="0" cap="small" baseline="0">
                <a:solidFill>
                  <a:srgbClr val="002060"/>
                </a:solidFill>
                <a:latin typeface="Calibri Light" pitchFamily="34" charset="0"/>
              </a:rPr>
              <a:t>Benchmarking </a:t>
            </a:r>
            <a:r>
              <a:rPr lang="cs-CZ" sz="1100" b="1" i="0" u="none" strike="noStrike" kern="1200" cap="small" baseline="0">
                <a:solidFill>
                  <a:srgbClr val="002060"/>
                </a:solidFill>
                <a:latin typeface="Calibri Light" pitchFamily="34" charset="0"/>
                <a:ea typeface="+mn-ea"/>
                <a:cs typeface="+mn-cs"/>
              </a:rPr>
              <a:t>provozovatelských</a:t>
            </a:r>
            <a:r>
              <a:rPr lang="sk-SK" sz="1100" b="1" i="0" cap="small" baseline="0">
                <a:solidFill>
                  <a:srgbClr val="002060"/>
                </a:solidFill>
                <a:latin typeface="Calibri Light" pitchFamily="34" charset="0"/>
              </a:rPr>
              <a:t> subjektů 2017 - pitná voda Výskyt alespoň jedné anomálie podle množství fakturované vody</a:t>
            </a:r>
          </a:p>
        </c:rich>
      </c:tx>
      <c:layout>
        <c:manualLayout>
          <c:xMode val="edge"/>
          <c:yMode val="edge"/>
          <c:x val="4.8691829420185087E-2"/>
          <c:y val="2.9109565995855798E-2"/>
        </c:manualLayout>
      </c:layout>
      <c:overlay val="1"/>
    </c:title>
    <c:autoTitleDeleted val="0"/>
    <c:plotArea>
      <c:layout>
        <c:manualLayout>
          <c:layoutTarget val="inner"/>
          <c:xMode val="edge"/>
          <c:yMode val="edge"/>
          <c:x val="0.24458920437112058"/>
          <c:y val="0.18699054271827201"/>
          <c:w val="0.51930880591145556"/>
          <c:h val="0.71827290263415933"/>
        </c:manualLayout>
      </c:layout>
      <c:pieChart>
        <c:varyColors val="1"/>
        <c:ser>
          <c:idx val="0"/>
          <c:order val="0"/>
          <c:spPr>
            <a:scene3d>
              <a:camera prst="orthographicFront"/>
              <a:lightRig rig="threePt" dir="t"/>
            </a:scene3d>
            <a:sp3d>
              <a:bevelT/>
            </a:sp3d>
          </c:spPr>
          <c:dPt>
            <c:idx val="0"/>
            <c:bubble3D val="0"/>
            <c:explosion val="5"/>
            <c:spPr>
              <a:solidFill>
                <a:srgbClr val="5B9BD5"/>
              </a:solidFill>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7E44-4214-945B-CA4ACC0A7414}"/>
              </c:ext>
            </c:extLst>
          </c:dPt>
          <c:dPt>
            <c:idx val="1"/>
            <c:bubble3D val="0"/>
            <c:spPr>
              <a:solidFill>
                <a:srgbClr val="CE9CE4"/>
              </a:solidFill>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7E44-4214-945B-CA4ACC0A7414}"/>
              </c:ext>
            </c:extLst>
          </c:dPt>
          <c:dLbls>
            <c:dLbl>
              <c:idx val="0"/>
              <c:layout>
                <c:manualLayout>
                  <c:x val="-0.21118745022911239"/>
                  <c:y val="4.5123698961382464E-2"/>
                </c:manualLayout>
              </c:layout>
              <c:tx>
                <c:rich>
                  <a:bodyPr/>
                  <a:lstStyle/>
                  <a:p>
                    <a:r>
                      <a:rPr lang="en-US"/>
                      <a:t>184,078 </a:t>
                    </a:r>
                    <a:r>
                      <a:rPr lang="en-US" sz="1000" b="0" i="0" u="none" strike="noStrike" baseline="0"/>
                      <a:t>MIL.M</a:t>
                    </a:r>
                    <a:r>
                      <a:rPr lang="en-US" sz="1000" b="0" i="0" u="none" strike="noStrike" baseline="30000"/>
                      <a:t>3</a:t>
                    </a:r>
                    <a:r>
                      <a:rPr lang="en-US"/>
                      <a:t>; 39,90%</a:t>
                    </a:r>
                  </a:p>
                </c:rich>
              </c:tx>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26562808414773148"/>
                  <c:y val="-2.1296261539513691E-2"/>
                </c:manualLayout>
              </c:layout>
              <c:tx>
                <c:rich>
                  <a:bodyPr/>
                  <a:lstStyle/>
                  <a:p>
                    <a:r>
                      <a:rPr lang="en-US"/>
                      <a:t>277,28 </a:t>
                    </a:r>
                    <a:r>
                      <a:rPr lang="en-US" sz="1000" b="0" i="0" u="none" strike="noStrike" baseline="0"/>
                      <a:t>MIL.M</a:t>
                    </a:r>
                    <a:r>
                      <a:rPr lang="en-US" sz="1000" b="0" i="0" u="none" strike="noStrike" baseline="30000"/>
                      <a:t>3</a:t>
                    </a:r>
                    <a:r>
                      <a:rPr lang="en-US"/>
                      <a:t>; 60,10%</a:t>
                    </a:r>
                  </a:p>
                </c:rich>
              </c:tx>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wrap="square" lIns="38100" tIns="19050" rIns="38100" bIns="19050" anchor="ctr">
                <a:spAutoFit/>
              </a:bodyPr>
              <a:lstStyle/>
              <a:p>
                <a:pPr>
                  <a:defRPr baseline="0">
                    <a:solidFill>
                      <a:srgbClr val="002060"/>
                    </a:solidFill>
                  </a:defRPr>
                </a:pPr>
                <a:endParaRPr lang="cs-CZ"/>
              </a:p>
            </c:txPr>
            <c:showLegendKey val="0"/>
            <c:showVal val="1"/>
            <c:showCatName val="0"/>
            <c:showSerName val="0"/>
            <c:showPercent val="1"/>
            <c:showBubbleSize val="0"/>
            <c:showLeaderLines val="0"/>
            <c:extLst>
              <c:ext xmlns:c15="http://schemas.microsoft.com/office/drawing/2012/chart" uri="{CE6537A1-D6FC-4f65-9D91-7224C49458BB}"/>
            </c:extLst>
          </c:dLbls>
          <c:cat>
            <c:strRef>
              <c:f>Prov_VODA_anom_celkem!$B$116:$C$116</c:f>
              <c:strCache>
                <c:ptCount val="2"/>
                <c:pt idx="0">
                  <c:v>Objem vody fakturované bez anomálií</c:v>
                </c:pt>
                <c:pt idx="1">
                  <c:v>Objem vody pitné fakturované (mil. m3) s výskytem alespoň jedné anomálie</c:v>
                </c:pt>
              </c:strCache>
            </c:strRef>
          </c:cat>
          <c:val>
            <c:numRef>
              <c:f>Prov_VODA_anom_celkem!$B$125:$C$125</c:f>
              <c:numCache>
                <c:formatCode>0.00</c:formatCode>
                <c:ptCount val="2"/>
                <c:pt idx="0" formatCode="0.000">
                  <c:v>184.07788499999995</c:v>
                </c:pt>
                <c:pt idx="1">
                  <c:v>277.27711099999999</c:v>
                </c:pt>
              </c:numCache>
            </c:numRef>
          </c:val>
          <c:extLst xmlns:c16r2="http://schemas.microsoft.com/office/drawing/2015/06/chart">
            <c:ext xmlns:c16="http://schemas.microsoft.com/office/drawing/2014/chart" uri="{C3380CC4-5D6E-409C-BE32-E72D297353CC}">
              <c16:uniqueId val="{00000004-7E44-4214-945B-CA4ACC0A7414}"/>
            </c:ext>
          </c:extLst>
        </c:ser>
        <c:dLbls>
          <c:showLegendKey val="0"/>
          <c:showVal val="0"/>
          <c:showCatName val="0"/>
          <c:showSerName val="0"/>
          <c:showPercent val="0"/>
          <c:showBubbleSize val="0"/>
          <c:showLeaderLines val="0"/>
        </c:dLbls>
        <c:firstSliceAng val="0"/>
      </c:pieChart>
    </c:plotArea>
    <c:legend>
      <c:legendPos val="r"/>
      <c:layout>
        <c:manualLayout>
          <c:xMode val="edge"/>
          <c:yMode val="edge"/>
          <c:x val="2.6594521448758085E-3"/>
          <c:y val="0.90395167136082688"/>
          <c:w val="0.99488579682564648"/>
          <c:h val="8.8033140435758786E-2"/>
        </c:manualLayout>
      </c:layout>
      <c:overlay val="0"/>
      <c:txPr>
        <a:bodyPr/>
        <a:lstStyle/>
        <a:p>
          <a:pPr rtl="0">
            <a:defRPr sz="1050" b="1" cap="small" baseline="0">
              <a:solidFill>
                <a:srgbClr val="002060"/>
              </a:solidFill>
              <a:latin typeface="+mj-lt"/>
            </a:defRPr>
          </a:pPr>
          <a:endParaRPr lang="cs-CZ"/>
        </a:p>
      </c:txPr>
    </c:legend>
    <c:plotVisOnly val="1"/>
    <c:dispBlanksAs val="zero"/>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lgn="l">
              <a:defRPr sz="1000">
                <a:solidFill>
                  <a:srgbClr val="002060"/>
                </a:solidFill>
                <a:latin typeface="+mj-lt"/>
              </a:defRPr>
            </a:pPr>
            <a:r>
              <a:rPr lang="cs-CZ" sz="1000" b="1" i="0" baseline="0">
                <a:solidFill>
                  <a:srgbClr val="002060"/>
                </a:solidFill>
                <a:latin typeface="+mj-lt"/>
              </a:rPr>
              <a:t>VÝSKYT ANOMÁLIÍ VE VZTAHU K MNOŽSTVÍ VODY PITNÉ FAKTUROVANÉ </a:t>
            </a:r>
            <a:r>
              <a:rPr lang="en-US" sz="1000" b="1" i="0" baseline="0">
                <a:solidFill>
                  <a:srgbClr val="002060"/>
                </a:solidFill>
                <a:latin typeface="+mj-lt"/>
              </a:rPr>
              <a:t>[MIL.M</a:t>
            </a:r>
            <a:r>
              <a:rPr lang="en-US" sz="1000" b="1" i="0" baseline="30000">
                <a:solidFill>
                  <a:srgbClr val="002060"/>
                </a:solidFill>
                <a:latin typeface="+mj-lt"/>
              </a:rPr>
              <a:t>3</a:t>
            </a:r>
            <a:r>
              <a:rPr lang="en-US" sz="1000" b="1" i="0" baseline="0">
                <a:solidFill>
                  <a:srgbClr val="002060"/>
                </a:solidFill>
                <a:latin typeface="+mj-lt"/>
              </a:rPr>
              <a:t>]</a:t>
            </a:r>
            <a:r>
              <a:rPr lang="cs-CZ" sz="1000" b="1" i="0" baseline="0">
                <a:solidFill>
                  <a:srgbClr val="002060"/>
                </a:solidFill>
                <a:latin typeface="+mj-lt"/>
              </a:rPr>
              <a:t> </a:t>
            </a:r>
            <a:endParaRPr lang="sk-SK" sz="1000">
              <a:solidFill>
                <a:srgbClr val="002060"/>
              </a:solidFill>
              <a:latin typeface="+mj-lt"/>
            </a:endParaRPr>
          </a:p>
          <a:p>
            <a:pPr algn="l">
              <a:defRPr sz="1000">
                <a:solidFill>
                  <a:srgbClr val="002060"/>
                </a:solidFill>
                <a:latin typeface="+mj-lt"/>
              </a:defRPr>
            </a:pPr>
            <a:r>
              <a:rPr lang="cs-CZ" sz="1000" b="1" i="0" baseline="0">
                <a:solidFill>
                  <a:srgbClr val="002060"/>
                </a:solidFill>
                <a:latin typeface="+mj-lt"/>
              </a:rPr>
              <a:t>BENCHMARKINGU PROVOZOVATELSKÝCH SUBJEKTŮ 2017 - VODOVODY</a:t>
            </a:r>
            <a:endParaRPr lang="sk-SK" sz="1000">
              <a:solidFill>
                <a:srgbClr val="002060"/>
              </a:solidFill>
              <a:latin typeface="+mj-lt"/>
            </a:endParaRPr>
          </a:p>
        </c:rich>
      </c:tx>
      <c:layout>
        <c:manualLayout>
          <c:xMode val="edge"/>
          <c:yMode val="edge"/>
          <c:x val="8.6989209039057443E-3"/>
          <c:y val="4.6154672367805264E-3"/>
        </c:manualLayout>
      </c:layout>
      <c:overlay val="0"/>
    </c:title>
    <c:autoTitleDeleted val="0"/>
    <c:plotArea>
      <c:layout>
        <c:manualLayout>
          <c:layoutTarget val="inner"/>
          <c:xMode val="edge"/>
          <c:yMode val="edge"/>
          <c:x val="0.52125108510961848"/>
          <c:y val="0.1345247605297295"/>
          <c:w val="0.43450161981861041"/>
          <c:h val="0.78002021969476065"/>
        </c:manualLayout>
      </c:layout>
      <c:barChart>
        <c:barDir val="bar"/>
        <c:grouping val="percentStacked"/>
        <c:varyColors val="0"/>
        <c:ser>
          <c:idx val="0"/>
          <c:order val="0"/>
          <c:tx>
            <c:strRef>
              <c:f>Prov_VODA_anom_celkem!$B$100</c:f>
              <c:strCache>
                <c:ptCount val="1"/>
                <c:pt idx="0">
                  <c:v>NALEZENA ANOMÁLIE</c:v>
                </c:pt>
              </c:strCache>
            </c:strRef>
          </c:tx>
          <c:spPr>
            <a:solidFill>
              <a:srgbClr val="CE9CE4"/>
            </a:solidFill>
            <a:scene3d>
              <a:camera prst="orthographicFront"/>
              <a:lightRig rig="threePt" dir="t"/>
            </a:scene3d>
            <a:sp3d>
              <a:bevelT/>
            </a:sp3d>
          </c:spPr>
          <c:invertIfNegative val="0"/>
          <c:dLbls>
            <c:dLbl>
              <c:idx val="0"/>
              <c:layout>
                <c:manualLayout>
                  <c:x val="0.12821579999924518"/>
                  <c:y val="-1.020549774181264E-3"/>
                </c:manualLayout>
              </c:layout>
              <c:tx>
                <c:rich>
                  <a:bodyPr wrap="square" lIns="38100" tIns="19050" rIns="38100" bIns="19050" anchor="ctr">
                    <a:spAutoFit/>
                  </a:bodyPr>
                  <a:lstStyle/>
                  <a:p>
                    <a:pPr>
                      <a:defRPr sz="900"/>
                    </a:pPr>
                    <a:r>
                      <a:rPr lang="en-US" sz="900" b="0" i="0" u="none" strike="noStrike" baseline="0"/>
                      <a:t>1,97 mil.m3; 0,43%; </a:t>
                    </a:r>
                    <a:br>
                      <a:rPr lang="en-US" sz="900" b="0" i="0" u="none" strike="noStrike" baseline="0"/>
                    </a:br>
                    <a:r>
                      <a:rPr lang="en-US" sz="900" b="0" i="0" u="none" strike="noStrike" baseline="0"/>
                      <a:t>162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1"/>
              <c:layout>
                <c:manualLayout>
                  <c:x val="0.12711428536682837"/>
                  <c:y val="-2.0410995483625279E-3"/>
                </c:manualLayout>
              </c:layout>
              <c:tx>
                <c:rich>
                  <a:bodyPr wrap="square" lIns="38100" tIns="19050" rIns="38100" bIns="19050" anchor="ctr">
                    <a:spAutoFit/>
                  </a:bodyPr>
                  <a:lstStyle/>
                  <a:p>
                    <a:pPr>
                      <a:defRPr sz="900"/>
                    </a:pPr>
                    <a:r>
                      <a:rPr lang="en-US" sz="900" b="0" i="0" u="none" strike="noStrike" baseline="0"/>
                      <a:t>2,47 mil.m3; 0,54%; </a:t>
                    </a:r>
                    <a:br>
                      <a:rPr lang="en-US" sz="900" b="0" i="0" u="none" strike="noStrike" baseline="0"/>
                    </a:br>
                    <a:r>
                      <a:rPr lang="en-US" sz="900" b="0" i="0" u="none" strike="noStrike" baseline="0"/>
                      <a:t>77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2"/>
              <c:layout>
                <c:manualLayout>
                  <c:x val="0.14212107246660022"/>
                  <c:y val="0"/>
                </c:manualLayout>
              </c:layout>
              <c:tx>
                <c:rich>
                  <a:bodyPr wrap="square" lIns="38100" tIns="19050" rIns="38100" bIns="19050" anchor="ctr">
                    <a:spAutoFit/>
                  </a:bodyPr>
                  <a:lstStyle/>
                  <a:p>
                    <a:pPr>
                      <a:defRPr sz="900"/>
                    </a:pPr>
                    <a:r>
                      <a:rPr lang="en-US" sz="900" b="0" i="0" u="none" strike="noStrike" baseline="0"/>
                      <a:t>3,26 mil.m3; 0,71%; </a:t>
                    </a:r>
                    <a:br>
                      <a:rPr lang="en-US" sz="900" b="0" i="0" u="none" strike="noStrike" baseline="0"/>
                    </a:br>
                    <a:r>
                      <a:rPr lang="en-US" sz="900" b="0" i="0" u="none" strike="noStrike" baseline="0"/>
                      <a:t>158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3"/>
              <c:layout>
                <c:manualLayout>
                  <c:x val="0.13077244198465951"/>
                  <c:y val="0"/>
                </c:manualLayout>
              </c:layout>
              <c:tx>
                <c:rich>
                  <a:bodyPr wrap="square" lIns="38100" tIns="19050" rIns="38100" bIns="19050" anchor="ctr">
                    <a:spAutoFit/>
                  </a:bodyPr>
                  <a:lstStyle/>
                  <a:p>
                    <a:pPr>
                      <a:defRPr sz="900"/>
                    </a:pPr>
                    <a:r>
                      <a:rPr lang="en-US" sz="900" b="0" i="0" u="none" strike="noStrike" baseline="0"/>
                      <a:t>4,64 mil.m3; 1,01%; </a:t>
                    </a:r>
                    <a:br>
                      <a:rPr lang="en-US" sz="900" b="0" i="0" u="none" strike="noStrike" baseline="0"/>
                    </a:br>
                    <a:r>
                      <a:rPr lang="en-US" sz="900" b="0" i="0" u="none" strike="noStrike" baseline="0"/>
                      <a:t>94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4"/>
              <c:layout>
                <c:manualLayout>
                  <c:x val="0.10552996618820794"/>
                  <c:y val="-1.0206301324311247E-3"/>
                </c:manualLayout>
              </c:layout>
              <c:tx>
                <c:rich>
                  <a:bodyPr wrap="square" lIns="38100" tIns="19050" rIns="38100" bIns="19050" anchor="ctr">
                    <a:spAutoFit/>
                  </a:bodyPr>
                  <a:lstStyle/>
                  <a:p>
                    <a:pPr>
                      <a:defRPr sz="900"/>
                    </a:pPr>
                    <a:r>
                      <a:rPr lang="en-US" sz="900" b="0" i="0" u="none" strike="noStrike" baseline="0"/>
                      <a:t>4,76 mil.m3; 1,03%; </a:t>
                    </a:r>
                    <a:br>
                      <a:rPr lang="en-US" sz="900" b="0" i="0" u="none" strike="noStrike" baseline="0"/>
                    </a:br>
                    <a:r>
                      <a:rPr lang="en-US" sz="900" b="0" i="0" u="none" strike="noStrike" baseline="0"/>
                      <a:t>260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5"/>
              <c:layout>
                <c:manualLayout>
                  <c:x val="0.11500999508946937"/>
                  <c:y val="0"/>
                </c:manualLayout>
              </c:layout>
              <c:tx>
                <c:rich>
                  <a:bodyPr wrap="square" lIns="38100" tIns="19050" rIns="38100" bIns="19050" anchor="ctr">
                    <a:spAutoFit/>
                  </a:bodyPr>
                  <a:lstStyle/>
                  <a:p>
                    <a:pPr>
                      <a:defRPr sz="900"/>
                    </a:pPr>
                    <a:r>
                      <a:rPr lang="en-US" sz="900" b="0" i="0" u="none" strike="noStrike" baseline="0"/>
                      <a:t>5,11 mil.m3; 1,11%; </a:t>
                    </a:r>
                    <a:br>
                      <a:rPr lang="en-US" sz="900" b="0" i="0" u="none" strike="noStrike" baseline="0"/>
                    </a:br>
                    <a:r>
                      <a:rPr lang="en-US" sz="900" b="0" i="0" u="none" strike="noStrike" baseline="0"/>
                      <a:t>196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6"/>
              <c:layout>
                <c:manualLayout>
                  <c:x val="0.1351147600654346"/>
                  <c:y val="0"/>
                </c:manualLayout>
              </c:layout>
              <c:tx>
                <c:rich>
                  <a:bodyPr wrap="square" lIns="38100" tIns="19050" rIns="38100" bIns="19050" anchor="ctr">
                    <a:spAutoFit/>
                  </a:bodyPr>
                  <a:lstStyle/>
                  <a:p>
                    <a:pPr>
                      <a:defRPr sz="900"/>
                    </a:pPr>
                    <a:r>
                      <a:rPr lang="en-US" sz="900" b="0" i="0" u="none" strike="noStrike" baseline="0"/>
                      <a:t>12,75 mil.m3; 2,76%;</a:t>
                    </a:r>
                    <a:br>
                      <a:rPr lang="en-US" sz="900" b="0" i="0" u="none" strike="noStrike" baseline="0"/>
                    </a:br>
                    <a:r>
                      <a:rPr lang="en-US" sz="900" b="0" i="0" u="none" strike="noStrike" baseline="0"/>
                      <a:t> 93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7"/>
              <c:layout>
                <c:manualLayout>
                  <c:x val="0.14067013856418767"/>
                  <c:y val="0"/>
                </c:manualLayout>
              </c:layout>
              <c:tx>
                <c:rich>
                  <a:bodyPr wrap="square" lIns="38100" tIns="19050" rIns="38100" bIns="19050" anchor="ctr">
                    <a:spAutoFit/>
                  </a:bodyPr>
                  <a:lstStyle/>
                  <a:p>
                    <a:pPr>
                      <a:defRPr sz="900"/>
                    </a:pPr>
                    <a:r>
                      <a:rPr lang="en-US" sz="900" b="0" i="0" u="none" strike="noStrike" baseline="0"/>
                      <a:t>27,75 mil.m3; 6,01%;</a:t>
                    </a:r>
                    <a:br>
                      <a:rPr lang="en-US" sz="900" b="0" i="0" u="none" strike="noStrike" baseline="0"/>
                    </a:br>
                    <a:r>
                      <a:rPr lang="en-US" sz="900" b="0" i="0" u="none" strike="noStrike" baseline="0"/>
                      <a:t>102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8"/>
              <c:layout>
                <c:manualLayout>
                  <c:x val="0.15446271204707065"/>
                  <c:y val="1.020549774181264E-3"/>
                </c:manualLayout>
              </c:layout>
              <c:tx>
                <c:rich>
                  <a:bodyPr wrap="square" lIns="38100" tIns="19050" rIns="38100" bIns="19050" anchor="ctr">
                    <a:spAutoFit/>
                  </a:bodyPr>
                  <a:lstStyle/>
                  <a:p>
                    <a:pPr>
                      <a:defRPr sz="900"/>
                    </a:pPr>
                    <a:r>
                      <a:rPr lang="en-US" sz="900" b="0" i="0" u="none" strike="noStrike" baseline="0"/>
                      <a:t>28,79 mil.m3; 6,24%;</a:t>
                    </a:r>
                    <a:br>
                      <a:rPr lang="en-US" sz="900" b="0" i="0" u="none" strike="noStrike" baseline="0"/>
                    </a:br>
                    <a:r>
                      <a:rPr lang="en-US" sz="900" b="0" i="0" u="none" strike="noStrike" baseline="0"/>
                      <a:t> 817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9"/>
              <c:layout>
                <c:manualLayout>
                  <c:x val="0.13645813196034171"/>
                  <c:y val="0"/>
                </c:manualLayout>
              </c:layout>
              <c:tx>
                <c:rich>
                  <a:bodyPr wrap="square" lIns="38100" tIns="19050" rIns="38100" bIns="19050" anchor="ctr">
                    <a:spAutoFit/>
                  </a:bodyPr>
                  <a:lstStyle/>
                  <a:p>
                    <a:pPr>
                      <a:defRPr sz="900"/>
                    </a:pPr>
                    <a:r>
                      <a:rPr lang="en-US" sz="900" b="0" i="0" u="none" strike="noStrike" baseline="0"/>
                      <a:t>71,41 mil.m3; 15,48%; </a:t>
                    </a:r>
                    <a:br>
                      <a:rPr lang="en-US" sz="900" b="0" i="0" u="none" strike="noStrike" baseline="0"/>
                    </a:br>
                    <a:r>
                      <a:rPr lang="en-US" sz="900" b="0" i="0" u="none" strike="noStrike" baseline="0"/>
                      <a:t>63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10"/>
              <c:layout>
                <c:manualLayout>
                  <c:x val="0.18051473347895788"/>
                  <c:y val="-2.0410995483625279E-3"/>
                </c:manualLayout>
              </c:layout>
              <c:tx>
                <c:rich>
                  <a:bodyPr wrap="square" lIns="38100" tIns="19050" rIns="38100" bIns="19050" anchor="ctr">
                    <a:spAutoFit/>
                  </a:bodyPr>
                  <a:lstStyle/>
                  <a:p>
                    <a:pPr>
                      <a:defRPr sz="900"/>
                    </a:pPr>
                    <a:r>
                      <a:rPr lang="en-US" sz="900" b="0" i="0" u="none" strike="noStrike" baseline="0"/>
                      <a:t>107,39 mil.m3; 23,28%;</a:t>
                    </a:r>
                    <a:br>
                      <a:rPr lang="en-US" sz="900" b="0" i="0" u="none" strike="noStrike" baseline="0"/>
                    </a:br>
                    <a:r>
                      <a:rPr lang="en-US" sz="900" b="0" i="0" u="none" strike="noStrike" baseline="0"/>
                      <a:t> 78  výskytů </a:t>
                    </a:r>
                    <a:endParaRPr lang="en-US" sz="900"/>
                  </a:p>
                </c:rich>
              </c:tx>
              <c:spPr>
                <a:noFill/>
                <a:ln>
                  <a:noFill/>
                </a:ln>
                <a:effectLst/>
              </c:spPr>
              <c:dLblPos val="ctr"/>
              <c:showLegendKey val="1"/>
              <c:showVal val="1"/>
              <c:showCatName val="0"/>
              <c:showSerName val="0"/>
              <c:showPercent val="0"/>
              <c:showBubbleSize val="0"/>
              <c:extLst>
                <c:ext xmlns:c15="http://schemas.microsoft.com/office/drawing/2012/chart" uri="{CE6537A1-D6FC-4f65-9D91-7224C49458BB}">
                  <c15:layout/>
                </c:ext>
              </c:extLst>
            </c:dLbl>
            <c:dLbl>
              <c:idx val="11"/>
              <c:layout>
                <c:manualLayout>
                  <c:x val="0.15688034114559199"/>
                  <c:y val="1.8709863055388581E-17"/>
                </c:manualLayout>
              </c:layout>
              <c:tx>
                <c:rich>
                  <a:bodyPr/>
                  <a:lstStyle/>
                  <a:p>
                    <a:r>
                      <a:rPr lang="en-US" sz="900" b="0" i="0" u="none" strike="noStrike" baseline="0"/>
                      <a:t>108,11 mil.m3; 23,43%; 136  výskytů </a:t>
                    </a:r>
                    <a:endParaRPr lang="en-US" sz="700"/>
                  </a:p>
                </c:rich>
              </c:tx>
              <c:dLblPos val="ctr"/>
              <c:showLegendKey val="1"/>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00"/>
                </a:pPr>
                <a:endParaRPr lang="cs-CZ"/>
              </a:p>
            </c:txPr>
            <c:dLblPos val="inEnd"/>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Prov_VODA_anom_celkem!$A$101:$A$112</c:f>
              <c:strCache>
                <c:ptCount val="12"/>
                <c:pt idx="0">
                  <c:v>NULOVÝ OBJEM NEFAKTUROVANÉ VODY</c:v>
                </c:pt>
                <c:pt idx="1">
                  <c:v>VYSOKÁ CENA PRO VODNÉ (více než 1,5 násobek průměru z porovnání splňujících stanovená kritéria)</c:v>
                </c:pt>
                <c:pt idx="2">
                  <c:v> PODÍL NEVYHOVUJÍCÍ MIKROBIOLOGICKÉ A BIOLOGICKÉ VZORKY  (VÍC  NEŽ 20% NEVYHOVUJÍCÍCH VZORKŮ)</c:v>
                </c:pt>
                <c:pt idx="3">
                  <c:v>NULOVÝ POČET ZAMĚSTNANCŮ + VYKÁZANÉ MZDOVÉ NÁKLADY</c:v>
                </c:pt>
                <c:pt idx="4">
                  <c:v>NULOVÉ ZTRÁTY VODY</c:v>
                </c:pt>
                <c:pt idx="5">
                  <c:v> PODÍL NEVYHOVUJÍCÍ FYZIKÁLNĚ CHEMICKÉ VZORKY (VÍC  NEŽ 20% NEVYHOVUJÍCÍCH VZORKŮ)</c:v>
                </c:pt>
                <c:pt idx="6">
                  <c:v>NULOVÉ MZDOVÉ NÁKLADY + NENULOVÝ POČET ZAMĚSTNANCŮ</c:v>
                </c:pt>
                <c:pt idx="7">
                  <c:v>VYSOKÁ HODNOTA  NEFAKTUROVANÉ VODY NA KM PŘEPOČTENÉ DÉLKY V M3/KM/DEN (převyšuje 1,5 násobek mediánu skupiny z porovnání vykazujících ztráty vody nad 4 m3/km/den)</c:v>
                </c:pt>
                <c:pt idx="8">
                  <c:v>ZÁPORNÝ KALKULAČNÍ ZISK</c:v>
                </c:pt>
                <c:pt idx="9">
                  <c:v>VYSOKÝ PODÍL ZTRÁT VODY NA VODĚ URČENÉ K REALIZACI (%) (převyšuje 1,5 násobek mediánu skupiny z porovnání vykazujících ztráty vody nad 4 m3/km/den)</c:v>
                </c:pt>
                <c:pt idx="10">
                  <c:v>VYSOKÉ ZTRÁTY VODY NA 1 KM PŘEPOČTENÉ DÉLKY VODOVODNÍHO ŘADU NA DEN  (M3/KM)/DEN (převyšuje 1,5 násobek mediánu skupiny z porovnání vykazujících ztráty vody nad 4 m3/km/den)</c:v>
                </c:pt>
                <c:pt idx="11">
                  <c:v>PODÍL KALKULAČNÍHO ZISKU K ROZDĚLENÍ NA ÚVN (více než 1,5 násobek průměru z porovnání splňujících stanovená kritéria)</c:v>
                </c:pt>
              </c:strCache>
            </c:strRef>
          </c:cat>
          <c:val>
            <c:numRef>
              <c:f>Prov_VODA_anom_celkem!$B$101:$B$112</c:f>
              <c:numCache>
                <c:formatCode>0.000</c:formatCode>
                <c:ptCount val="12"/>
                <c:pt idx="0">
                  <c:v>1.9712330000000002</c:v>
                </c:pt>
                <c:pt idx="1">
                  <c:v>2.4719530000000001</c:v>
                </c:pt>
                <c:pt idx="2">
                  <c:v>3.258659999999999</c:v>
                </c:pt>
                <c:pt idx="3">
                  <c:v>4.6399819999999998</c:v>
                </c:pt>
                <c:pt idx="4">
                  <c:v>4.7586870000000001</c:v>
                </c:pt>
                <c:pt idx="5">
                  <c:v>5.1072580000000007</c:v>
                </c:pt>
                <c:pt idx="6">
                  <c:v>12.749327000000001</c:v>
                </c:pt>
                <c:pt idx="7">
                  <c:v>27.749672</c:v>
                </c:pt>
                <c:pt idx="8">
                  <c:v>28.791585999999999</c:v>
                </c:pt>
                <c:pt idx="9">
                  <c:v>71.405870000000007</c:v>
                </c:pt>
                <c:pt idx="10">
                  <c:v>107.38742100000002</c:v>
                </c:pt>
                <c:pt idx="11">
                  <c:v>108.10868499999999</c:v>
                </c:pt>
              </c:numCache>
            </c:numRef>
          </c:val>
          <c:extLst xmlns:c16r2="http://schemas.microsoft.com/office/drawing/2015/06/chart">
            <c:ext xmlns:c16="http://schemas.microsoft.com/office/drawing/2014/chart" uri="{C3380CC4-5D6E-409C-BE32-E72D297353CC}">
              <c16:uniqueId val="{00000014-F8A3-4C64-875B-A866401908F8}"/>
            </c:ext>
          </c:extLst>
        </c:ser>
        <c:ser>
          <c:idx val="3"/>
          <c:order val="3"/>
          <c:tx>
            <c:strRef>
              <c:f>Prov_VODA_anom_celkem!$E$100</c:f>
              <c:strCache>
                <c:ptCount val="1"/>
                <c:pt idx="0">
                  <c:v>BEZ VÝSKYTU DANÉ ANOMÁLIE</c:v>
                </c:pt>
              </c:strCache>
            </c:strRef>
          </c:tx>
          <c:spPr>
            <a:solidFill>
              <a:srgbClr val="5B9BD5"/>
            </a:solidFill>
            <a:scene3d>
              <a:camera prst="orthographicFront"/>
              <a:lightRig rig="threePt" dir="t"/>
            </a:scene3d>
            <a:sp3d>
              <a:bevelT/>
            </a:sp3d>
          </c:spPr>
          <c:invertIfNegative val="0"/>
          <c:cat>
            <c:strRef>
              <c:f>Prov_VODA_anom_celkem!$A$101:$A$112</c:f>
              <c:strCache>
                <c:ptCount val="12"/>
                <c:pt idx="0">
                  <c:v>NULOVÝ OBJEM NEFAKTUROVANÉ VODY</c:v>
                </c:pt>
                <c:pt idx="1">
                  <c:v>VYSOKÁ CENA PRO VODNÉ (více než 1,5 násobek průměru z porovnání splňujících stanovená kritéria)</c:v>
                </c:pt>
                <c:pt idx="2">
                  <c:v> PODÍL NEVYHOVUJÍCÍ MIKROBIOLOGICKÉ A BIOLOGICKÉ VZORKY  (VÍC  NEŽ 20% NEVYHOVUJÍCÍCH VZORKŮ)</c:v>
                </c:pt>
                <c:pt idx="3">
                  <c:v>NULOVÝ POČET ZAMĚSTNANCŮ + VYKÁZANÉ MZDOVÉ NÁKLADY</c:v>
                </c:pt>
                <c:pt idx="4">
                  <c:v>NULOVÉ ZTRÁTY VODY</c:v>
                </c:pt>
                <c:pt idx="5">
                  <c:v> PODÍL NEVYHOVUJÍCÍ FYZIKÁLNĚ CHEMICKÉ VZORKY (VÍC  NEŽ 20% NEVYHOVUJÍCÍCH VZORKŮ)</c:v>
                </c:pt>
                <c:pt idx="6">
                  <c:v>NULOVÉ MZDOVÉ NÁKLADY + NENULOVÝ POČET ZAMĚSTNANCŮ</c:v>
                </c:pt>
                <c:pt idx="7">
                  <c:v>VYSOKÁ HODNOTA  NEFAKTUROVANÉ VODY NA KM PŘEPOČTENÉ DÉLKY V M3/KM/DEN (převyšuje 1,5 násobek mediánu skupiny z porovnání vykazujících ztráty vody nad 4 m3/km/den)</c:v>
                </c:pt>
                <c:pt idx="8">
                  <c:v>ZÁPORNÝ KALKULAČNÍ ZISK</c:v>
                </c:pt>
                <c:pt idx="9">
                  <c:v>VYSOKÝ PODÍL ZTRÁT VODY NA VODĚ URČENÉ K REALIZACI (%) (převyšuje 1,5 násobek mediánu skupiny z porovnání vykazujících ztráty vody nad 4 m3/km/den)</c:v>
                </c:pt>
                <c:pt idx="10">
                  <c:v>VYSOKÉ ZTRÁTY VODY NA 1 KM PŘEPOČTENÉ DÉLKY VODOVODNÍHO ŘADU NA DEN  (M3/KM)/DEN (převyšuje 1,5 násobek mediánu skupiny z porovnání vykazujících ztráty vody nad 4 m3/km/den)</c:v>
                </c:pt>
                <c:pt idx="11">
                  <c:v>PODÍL KALKULAČNÍHO ZISKU K ROZDĚLENÍ NA ÚVN (více než 1,5 násobek průměru z porovnání splňujících stanovená kritéria)</c:v>
                </c:pt>
              </c:strCache>
            </c:strRef>
          </c:cat>
          <c:val>
            <c:numRef>
              <c:f>Prov_VODA_anom_celkem!$E$101:$E$112</c:f>
              <c:numCache>
                <c:formatCode>0.000</c:formatCode>
                <c:ptCount val="12"/>
                <c:pt idx="0">
                  <c:v>459.38376700000003</c:v>
                </c:pt>
                <c:pt idx="1">
                  <c:v>458.88304700000003</c:v>
                </c:pt>
                <c:pt idx="2">
                  <c:v>458.09634</c:v>
                </c:pt>
                <c:pt idx="3">
                  <c:v>456.71501800000004</c:v>
                </c:pt>
                <c:pt idx="4">
                  <c:v>456.59631300000001</c:v>
                </c:pt>
                <c:pt idx="5">
                  <c:v>456.24774200000002</c:v>
                </c:pt>
                <c:pt idx="6">
                  <c:v>448.60567300000002</c:v>
                </c:pt>
                <c:pt idx="7">
                  <c:v>433.60532800000004</c:v>
                </c:pt>
                <c:pt idx="8">
                  <c:v>432.56341400000002</c:v>
                </c:pt>
                <c:pt idx="9">
                  <c:v>389.94913000000003</c:v>
                </c:pt>
                <c:pt idx="10">
                  <c:v>353.967579</c:v>
                </c:pt>
                <c:pt idx="11">
                  <c:v>353.24631500000004</c:v>
                </c:pt>
              </c:numCache>
            </c:numRef>
          </c:val>
          <c:extLst xmlns:c16r2="http://schemas.microsoft.com/office/drawing/2015/06/chart">
            <c:ext xmlns:c16="http://schemas.microsoft.com/office/drawing/2014/chart" uri="{C3380CC4-5D6E-409C-BE32-E72D297353CC}">
              <c16:uniqueId val="{00000015-F8A3-4C64-875B-A866401908F8}"/>
            </c:ext>
          </c:extLst>
        </c:ser>
        <c:ser>
          <c:idx val="4"/>
          <c:order val="4"/>
          <c:tx>
            <c:strRef>
              <c:f>Prov_VODA_anom_celkem!$F$100</c:f>
              <c:strCache>
                <c:ptCount val="1"/>
                <c:pt idx="0">
                  <c:v>NEANALYZOVANÁ DATA</c:v>
                </c:pt>
              </c:strCache>
            </c:strRef>
          </c:tx>
          <c:spPr>
            <a:scene3d>
              <a:camera prst="orthographicFront"/>
              <a:lightRig rig="threePt" dir="t"/>
            </a:scene3d>
            <a:sp3d>
              <a:bevelT/>
            </a:sp3d>
          </c:spPr>
          <c:invertIfNegative val="0"/>
          <c:cat>
            <c:strRef>
              <c:f>Prov_VODA_anom_celkem!$A$101:$A$112</c:f>
              <c:strCache>
                <c:ptCount val="12"/>
                <c:pt idx="0">
                  <c:v>NULOVÝ OBJEM NEFAKTUROVANÉ VODY</c:v>
                </c:pt>
                <c:pt idx="1">
                  <c:v>VYSOKÁ CENA PRO VODNÉ (více než 1,5 násobek průměru z porovnání splňujících stanovená kritéria)</c:v>
                </c:pt>
                <c:pt idx="2">
                  <c:v> PODÍL NEVYHOVUJÍCÍ MIKROBIOLOGICKÉ A BIOLOGICKÉ VZORKY  (VÍC  NEŽ 20% NEVYHOVUJÍCÍCH VZORKŮ)</c:v>
                </c:pt>
                <c:pt idx="3">
                  <c:v>NULOVÝ POČET ZAMĚSTNANCŮ + VYKÁZANÉ MZDOVÉ NÁKLADY</c:v>
                </c:pt>
                <c:pt idx="4">
                  <c:v>NULOVÉ ZTRÁTY VODY</c:v>
                </c:pt>
                <c:pt idx="5">
                  <c:v> PODÍL NEVYHOVUJÍCÍ FYZIKÁLNĚ CHEMICKÉ VZORKY (VÍC  NEŽ 20% NEVYHOVUJÍCÍCH VZORKŮ)</c:v>
                </c:pt>
                <c:pt idx="6">
                  <c:v>NULOVÉ MZDOVÉ NÁKLADY + NENULOVÝ POČET ZAMĚSTNANCŮ</c:v>
                </c:pt>
                <c:pt idx="7">
                  <c:v>VYSOKÁ HODNOTA  NEFAKTUROVANÉ VODY NA KM PŘEPOČTENÉ DÉLKY V M3/KM/DEN (převyšuje 1,5 násobek mediánu skupiny z porovnání vykazujících ztráty vody nad 4 m3/km/den)</c:v>
                </c:pt>
                <c:pt idx="8">
                  <c:v>ZÁPORNÝ KALKULAČNÍ ZISK</c:v>
                </c:pt>
                <c:pt idx="9">
                  <c:v>VYSOKÝ PODÍL ZTRÁT VODY NA VODĚ URČENÉ K REALIZACI (%) (převyšuje 1,5 násobek mediánu skupiny z porovnání vykazujících ztráty vody nad 4 m3/km/den)</c:v>
                </c:pt>
                <c:pt idx="10">
                  <c:v>VYSOKÉ ZTRÁTY VODY NA 1 KM PŘEPOČTENÉ DÉLKY VODOVODNÍHO ŘADU NA DEN  (M3/KM)/DEN (převyšuje 1,5 násobek mediánu skupiny z porovnání vykazujících ztráty vody nad 4 m3/km/den)</c:v>
                </c:pt>
                <c:pt idx="11">
                  <c:v>PODÍL KALKULAČNÍHO ZISKU K ROZDĚLENÍ NA ÚVN (více než 1,5 násobek průměru z porovnání splňujících stanovená kritéria)</c:v>
                </c:pt>
              </c:strCache>
            </c:strRef>
          </c:cat>
          <c:val>
            <c:numRef>
              <c:f>Prov_VODA_anom_celkem!$F$101:$F$112</c:f>
              <c:numCache>
                <c:formatCode>0.000</c:formatCode>
                <c:ptCount val="12"/>
                <c:pt idx="0">
                  <c:v>11.841999999999985</c:v>
                </c:pt>
                <c:pt idx="1">
                  <c:v>11.841999999999985</c:v>
                </c:pt>
                <c:pt idx="2">
                  <c:v>11.841999999999985</c:v>
                </c:pt>
                <c:pt idx="3">
                  <c:v>11.841999999999985</c:v>
                </c:pt>
                <c:pt idx="4">
                  <c:v>11.841999999999985</c:v>
                </c:pt>
                <c:pt idx="5">
                  <c:v>11.841999999999985</c:v>
                </c:pt>
                <c:pt idx="6">
                  <c:v>11.841999999999985</c:v>
                </c:pt>
                <c:pt idx="7">
                  <c:v>11.841999999999985</c:v>
                </c:pt>
                <c:pt idx="8">
                  <c:v>11.841999999999985</c:v>
                </c:pt>
                <c:pt idx="9">
                  <c:v>11.841999999999985</c:v>
                </c:pt>
                <c:pt idx="10">
                  <c:v>11.841999999999985</c:v>
                </c:pt>
                <c:pt idx="11">
                  <c:v>11.841999999999985</c:v>
                </c:pt>
              </c:numCache>
            </c:numRef>
          </c:val>
          <c:extLst xmlns:c16r2="http://schemas.microsoft.com/office/drawing/2015/06/chart">
            <c:ext xmlns:c16="http://schemas.microsoft.com/office/drawing/2014/chart" uri="{C3380CC4-5D6E-409C-BE32-E72D297353CC}">
              <c16:uniqueId val="{00000016-F8A3-4C64-875B-A866401908F8}"/>
            </c:ext>
          </c:extLst>
        </c:ser>
        <c:dLbls>
          <c:showLegendKey val="0"/>
          <c:showVal val="0"/>
          <c:showCatName val="0"/>
          <c:showSerName val="0"/>
          <c:showPercent val="0"/>
          <c:showBubbleSize val="0"/>
        </c:dLbls>
        <c:gapWidth val="25"/>
        <c:overlap val="100"/>
        <c:axId val="247591880"/>
        <c:axId val="247593448"/>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Prov_VODA_anom_celkem!$C$100</c15:sqref>
                        </c15:formulaRef>
                      </c:ext>
                    </c:extLst>
                    <c:strCache>
                      <c:ptCount val="1"/>
                      <c:pt idx="0">
                        <c:v>ANALYZOVANÉ</c:v>
                      </c:pt>
                    </c:strCache>
                  </c:strRef>
                </c:tx>
                <c:invertIfNegative val="0"/>
                <c:cat>
                  <c:strRef>
                    <c:extLst xmlns:c16r2="http://schemas.microsoft.com/office/drawing/2015/06/chart">
                      <c:ext uri="{02D57815-91ED-43cb-92C2-25804820EDAC}">
                        <c15:formulaRef>
                          <c15:sqref>Prov_VODA_anom_celkem!$A$101:$A$112</c15:sqref>
                        </c15:formulaRef>
                      </c:ext>
                    </c:extLst>
                    <c:strCache>
                      <c:ptCount val="12"/>
                      <c:pt idx="0">
                        <c:v>NULOVÝ OBJEM NEFAKTUROVANÉ VODY</c:v>
                      </c:pt>
                      <c:pt idx="1">
                        <c:v>VYSOKÁ CENA PRO VODNÉ (více než 1,5 násobek průměru z porovnání splňujících stanovená kritéria)</c:v>
                      </c:pt>
                      <c:pt idx="2">
                        <c:v> PODÍL NEVYHOVUJÍCÍ MIKROBIOLOGICKÉ A BIOLOGICKÉ VZORKY  (VÍC  NEŽ 20% NEVYHOVUJÍCÍCH VZORKŮ)</c:v>
                      </c:pt>
                      <c:pt idx="3">
                        <c:v>NULOVÝ POČET ZAMĚSTNANCŮ + VYKÁZANÉ MZDOVÉ NÁKLADY</c:v>
                      </c:pt>
                      <c:pt idx="4">
                        <c:v>NULOVÉ ZTRÁTY VODY</c:v>
                      </c:pt>
                      <c:pt idx="5">
                        <c:v> PODÍL NEVYHOVUJÍCÍ FYZIKÁLNĚ CHEMICKÉ VZORKY (VÍC  NEŽ 20% NEVYHOVUJÍCÍCH VZORKŮ)</c:v>
                      </c:pt>
                      <c:pt idx="6">
                        <c:v>NULOVÉ MZDOVÉ NÁKLADY + NENULOVÝ POČET ZAMĚSTNANCŮ</c:v>
                      </c:pt>
                      <c:pt idx="7">
                        <c:v>VYSOKÁ HODNOTA  NEFAKTUROVANÉ VODY NA KM PŘEPOČTENÉ DÉLKY V M3/KM/DEN (převyšuje 1,5 násobek mediánu skupiny z porovnání vykazujících ztráty vody nad 4 m3/km/den)</c:v>
                      </c:pt>
                      <c:pt idx="8">
                        <c:v>ZÁPORNÝ KALKULAČNÍ ZISK</c:v>
                      </c:pt>
                      <c:pt idx="9">
                        <c:v>VYSOKÝ PODÍL ZTRÁT VODY NA VODĚ URČENÉ K REALIZACI (%) (převyšuje 1,5 násobek mediánu skupiny z porovnání vykazujících ztráty vody nad 4 m3/km/den)</c:v>
                      </c:pt>
                      <c:pt idx="10">
                        <c:v>VYSOKÉ ZTRÁTY VODY NA 1 KM PŘEPOČTENÉ DÉLKY VODOVODNÍHO ŘADU NA DEN  (M3/KM)/DEN (převyšuje 1,5 násobek mediánu skupiny z porovnání vykazujících ztráty vody nad 4 m3/km/den)</c:v>
                      </c:pt>
                      <c:pt idx="11">
                        <c:v>PODÍL KALKULAČNÍHO ZISKU K ROZDĚLENÍ NA ÚVN (více než 1,5 násobek průměru z porovnání splňujících stanovená kritéria)</c:v>
                      </c:pt>
                    </c:strCache>
                  </c:strRef>
                </c:cat>
                <c:val>
                  <c:numRef>
                    <c:extLst xmlns:c16r2="http://schemas.microsoft.com/office/drawing/2015/06/chart">
                      <c:ext uri="{02D57815-91ED-43cb-92C2-25804820EDAC}">
                        <c15:formulaRef>
                          <c15:sqref>Prov_VODA_anom_celkem!$C$101:$C$112</c15:sqref>
                        </c15:formulaRef>
                      </c:ext>
                    </c:extLst>
                    <c:numCache>
                      <c:formatCode>0.000</c:formatCode>
                      <c:ptCount val="12"/>
                      <c:pt idx="0">
                        <c:v>461.35500000000002</c:v>
                      </c:pt>
                      <c:pt idx="1">
                        <c:v>461.35500000000002</c:v>
                      </c:pt>
                      <c:pt idx="2">
                        <c:v>461.35500000000002</c:v>
                      </c:pt>
                      <c:pt idx="3">
                        <c:v>461.35500000000002</c:v>
                      </c:pt>
                      <c:pt idx="4">
                        <c:v>461.35500000000002</c:v>
                      </c:pt>
                      <c:pt idx="5">
                        <c:v>461.35500000000002</c:v>
                      </c:pt>
                      <c:pt idx="6">
                        <c:v>461.35500000000002</c:v>
                      </c:pt>
                      <c:pt idx="7">
                        <c:v>461.35500000000002</c:v>
                      </c:pt>
                      <c:pt idx="8">
                        <c:v>461.35500000000002</c:v>
                      </c:pt>
                      <c:pt idx="9">
                        <c:v>461.35500000000002</c:v>
                      </c:pt>
                      <c:pt idx="10">
                        <c:v>461.35500000000002</c:v>
                      </c:pt>
                      <c:pt idx="11">
                        <c:v>461.35500000000002</c:v>
                      </c:pt>
                    </c:numCache>
                  </c:numRef>
                </c:val>
                <c:extLst xmlns:c16r2="http://schemas.microsoft.com/office/drawing/2015/06/chart">
                  <c:ext xmlns:c16="http://schemas.microsoft.com/office/drawing/2014/chart" uri="{C3380CC4-5D6E-409C-BE32-E72D297353CC}">
                    <c16:uniqueId val="{00000017-F8A3-4C64-875B-A866401908F8}"/>
                  </c:ext>
                </c:extLst>
              </c15:ser>
            </c15:filteredBarSeries>
            <c15:filteredBarSeries>
              <c15:ser>
                <c:idx val="2"/>
                <c:order val="2"/>
                <c:tx>
                  <c:strRef>
                    <c:extLst xmlns:c16r2="http://schemas.microsoft.com/office/drawing/2015/06/chart" xmlns:c15="http://schemas.microsoft.com/office/drawing/2012/chart">
                      <c:ext xmlns:c15="http://schemas.microsoft.com/office/drawing/2012/chart" uri="{02D57815-91ED-43cb-92C2-25804820EDAC}">
                        <c15:formulaRef>
                          <c15:sqref>Prov_VODA_anom_celkem!$D$100</c15:sqref>
                        </c15:formulaRef>
                      </c:ext>
                    </c:extLst>
                    <c:strCache>
                      <c:ptCount val="1"/>
                      <c:pt idx="0">
                        <c:v>CELKEM TRH</c:v>
                      </c:pt>
                    </c:strCache>
                  </c:strRef>
                </c:tx>
                <c:invertIfNegative val="0"/>
                <c:cat>
                  <c:strRef>
                    <c:extLst xmlns:c16r2="http://schemas.microsoft.com/office/drawing/2015/06/chart" xmlns:c15="http://schemas.microsoft.com/office/drawing/2012/chart">
                      <c:ext xmlns:c15="http://schemas.microsoft.com/office/drawing/2012/chart" uri="{02D57815-91ED-43cb-92C2-25804820EDAC}">
                        <c15:formulaRef>
                          <c15:sqref>Prov_VODA_anom_celkem!$A$101:$A$112</c15:sqref>
                        </c15:formulaRef>
                      </c:ext>
                    </c:extLst>
                    <c:strCache>
                      <c:ptCount val="12"/>
                      <c:pt idx="0">
                        <c:v>NULOVÝ OBJEM NEFAKTUROVANÉ VODY</c:v>
                      </c:pt>
                      <c:pt idx="1">
                        <c:v>VYSOKÁ CENA PRO VODNÉ (více než 1,5 násobek průměru z porovnání splňujících stanovená kritéria)</c:v>
                      </c:pt>
                      <c:pt idx="2">
                        <c:v> PODÍL NEVYHOVUJÍCÍ MIKROBIOLOGICKÉ A BIOLOGICKÉ VZORKY  (VÍC  NEŽ 20% NEVYHOVUJÍCÍCH VZORKŮ)</c:v>
                      </c:pt>
                      <c:pt idx="3">
                        <c:v>NULOVÝ POČET ZAMĚSTNANCŮ + VYKÁZANÉ MZDOVÉ NÁKLADY</c:v>
                      </c:pt>
                      <c:pt idx="4">
                        <c:v>NULOVÉ ZTRÁTY VODY</c:v>
                      </c:pt>
                      <c:pt idx="5">
                        <c:v> PODÍL NEVYHOVUJÍCÍ FYZIKÁLNĚ CHEMICKÉ VZORKY (VÍC  NEŽ 20% NEVYHOVUJÍCÍCH VZORKŮ)</c:v>
                      </c:pt>
                      <c:pt idx="6">
                        <c:v>NULOVÉ MZDOVÉ NÁKLADY + NENULOVÝ POČET ZAMĚSTNANCŮ</c:v>
                      </c:pt>
                      <c:pt idx="7">
                        <c:v>VYSOKÁ HODNOTA  NEFAKTUROVANÉ VODY NA KM PŘEPOČTENÉ DÉLKY V M3/KM/DEN (převyšuje 1,5 násobek mediánu skupiny z porovnání vykazujících ztráty vody nad 4 m3/km/den)</c:v>
                      </c:pt>
                      <c:pt idx="8">
                        <c:v>ZÁPORNÝ KALKULAČNÍ ZISK</c:v>
                      </c:pt>
                      <c:pt idx="9">
                        <c:v>VYSOKÝ PODÍL ZTRÁT VODY NA VODĚ URČENÉ K REALIZACI (%) (převyšuje 1,5 násobek mediánu skupiny z porovnání vykazujících ztráty vody nad 4 m3/km/den)</c:v>
                      </c:pt>
                      <c:pt idx="10">
                        <c:v>VYSOKÉ ZTRÁTY VODY NA 1 KM PŘEPOČTENÉ DÉLKY VODOVODNÍHO ŘADU NA DEN  (M3/KM)/DEN (převyšuje 1,5 násobek mediánu skupiny z porovnání vykazujících ztráty vody nad 4 m3/km/den)</c:v>
                      </c:pt>
                      <c:pt idx="11">
                        <c:v>PODÍL KALKULAČNÍHO ZISKU K ROZDĚLENÍ NA ÚVN (více než 1,5 násobek průměru z porovnání splňujících stanovená kritéria)</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Prov_VODA_anom_celkem!$D$101:$D$112</c15:sqref>
                        </c15:formulaRef>
                      </c:ext>
                    </c:extLst>
                    <c:numCache>
                      <c:formatCode>0.000</c:formatCode>
                      <c:ptCount val="12"/>
                      <c:pt idx="0">
                        <c:v>473.197</c:v>
                      </c:pt>
                      <c:pt idx="1">
                        <c:v>473.197</c:v>
                      </c:pt>
                      <c:pt idx="2">
                        <c:v>473.197</c:v>
                      </c:pt>
                      <c:pt idx="3">
                        <c:v>473.197</c:v>
                      </c:pt>
                      <c:pt idx="4">
                        <c:v>473.197</c:v>
                      </c:pt>
                      <c:pt idx="5">
                        <c:v>473.197</c:v>
                      </c:pt>
                      <c:pt idx="6">
                        <c:v>473.197</c:v>
                      </c:pt>
                      <c:pt idx="7">
                        <c:v>473.197</c:v>
                      </c:pt>
                      <c:pt idx="8">
                        <c:v>473.197</c:v>
                      </c:pt>
                      <c:pt idx="9">
                        <c:v>473.197</c:v>
                      </c:pt>
                      <c:pt idx="10">
                        <c:v>473.197</c:v>
                      </c:pt>
                      <c:pt idx="11">
                        <c:v>473.197</c:v>
                      </c:pt>
                    </c:numCache>
                  </c:numRef>
                </c:val>
                <c:extLst xmlns:c16r2="http://schemas.microsoft.com/office/drawing/2015/06/chart" xmlns:c15="http://schemas.microsoft.com/office/drawing/2012/chart">
                  <c:ext xmlns:c16="http://schemas.microsoft.com/office/drawing/2014/chart" uri="{C3380CC4-5D6E-409C-BE32-E72D297353CC}">
                    <c16:uniqueId val="{00000018-F8A3-4C64-875B-A866401908F8}"/>
                  </c:ext>
                </c:extLst>
              </c15:ser>
            </c15:filteredBarSeries>
          </c:ext>
        </c:extLst>
      </c:barChart>
      <c:catAx>
        <c:axId val="247591880"/>
        <c:scaling>
          <c:orientation val="minMax"/>
        </c:scaling>
        <c:delete val="0"/>
        <c:axPos val="l"/>
        <c:numFmt formatCode="General" sourceLinked="1"/>
        <c:majorTickMark val="none"/>
        <c:minorTickMark val="none"/>
        <c:tickLblPos val="nextTo"/>
        <c:txPr>
          <a:bodyPr rot="0" vert="horz"/>
          <a:lstStyle/>
          <a:p>
            <a:pPr>
              <a:defRPr sz="900" b="1" cap="small" baseline="0">
                <a:solidFill>
                  <a:srgbClr val="002060"/>
                </a:solidFill>
                <a:latin typeface="+mj-lt"/>
              </a:defRPr>
            </a:pPr>
            <a:endParaRPr lang="cs-CZ"/>
          </a:p>
        </c:txPr>
        <c:crossAx val="247593448"/>
        <c:crosses val="autoZero"/>
        <c:auto val="0"/>
        <c:lblAlgn val="r"/>
        <c:lblOffset val="100"/>
        <c:noMultiLvlLbl val="0"/>
      </c:catAx>
      <c:valAx>
        <c:axId val="247593448"/>
        <c:scaling>
          <c:orientation val="minMax"/>
        </c:scaling>
        <c:delete val="0"/>
        <c:axPos val="b"/>
        <c:majorGridlines/>
        <c:numFmt formatCode="0%" sourceLinked="1"/>
        <c:majorTickMark val="none"/>
        <c:minorTickMark val="none"/>
        <c:tickLblPos val="nextTo"/>
        <c:txPr>
          <a:bodyPr/>
          <a:lstStyle/>
          <a:p>
            <a:pPr>
              <a:defRPr sz="900"/>
            </a:pPr>
            <a:endParaRPr lang="cs-CZ"/>
          </a:p>
        </c:txPr>
        <c:crossAx val="247591880"/>
        <c:crosses val="autoZero"/>
        <c:crossBetween val="between"/>
      </c:valAx>
    </c:plotArea>
    <c:legend>
      <c:legendPos val="b"/>
      <c:layout>
        <c:manualLayout>
          <c:xMode val="edge"/>
          <c:yMode val="edge"/>
          <c:x val="1.6201026139648762E-2"/>
          <c:y val="0.97119603382910524"/>
          <c:w val="0.97914436274297023"/>
          <c:h val="2.34012218917585E-2"/>
        </c:manualLayout>
      </c:layout>
      <c:overlay val="0"/>
    </c:legend>
    <c:plotVisOnly val="1"/>
    <c:dispBlanksAs val="gap"/>
    <c:showDLblsOverMax val="0"/>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l">
              <a:defRPr sz="1100">
                <a:solidFill>
                  <a:srgbClr val="002060"/>
                </a:solidFill>
                <a:latin typeface="+mj-lt"/>
              </a:defRPr>
            </a:pPr>
            <a:r>
              <a:rPr lang="sk-SK" sz="1100" cap="all">
                <a:solidFill>
                  <a:srgbClr val="002060"/>
                </a:solidFill>
                <a:latin typeface="+mj-lt"/>
              </a:rPr>
              <a:t>Benchmarking </a:t>
            </a:r>
            <a:r>
              <a:rPr lang="cs-CZ" sz="1100" b="1" i="0" u="none" strike="noStrike" baseline="0">
                <a:effectLst/>
              </a:rPr>
              <a:t>PROVOZOVATELSKÝCH</a:t>
            </a:r>
            <a:r>
              <a:rPr lang="sk-SK" sz="1100" cap="all">
                <a:solidFill>
                  <a:srgbClr val="002060"/>
                </a:solidFill>
                <a:latin typeface="+mj-lt"/>
              </a:rPr>
              <a:t> subjektů 2017 - Pitná voda</a:t>
            </a:r>
          </a:p>
          <a:p>
            <a:pPr algn="l">
              <a:defRPr sz="1100">
                <a:solidFill>
                  <a:srgbClr val="002060"/>
                </a:solidFill>
                <a:latin typeface="+mj-lt"/>
              </a:defRPr>
            </a:pPr>
            <a:r>
              <a:rPr lang="sk-SK" sz="1100" cap="all">
                <a:solidFill>
                  <a:srgbClr val="002060"/>
                </a:solidFill>
                <a:latin typeface="+mj-lt"/>
              </a:rPr>
              <a:t>Výskyt</a:t>
            </a:r>
            <a:r>
              <a:rPr lang="sk-SK" sz="1100" cap="all" baseline="0">
                <a:solidFill>
                  <a:srgbClr val="002060"/>
                </a:solidFill>
                <a:latin typeface="+mj-lt"/>
              </a:rPr>
              <a:t> alespoň jedné anomálie ve skupině</a:t>
            </a:r>
          </a:p>
          <a:p>
            <a:pPr algn="l">
              <a:defRPr sz="1100">
                <a:solidFill>
                  <a:srgbClr val="002060"/>
                </a:solidFill>
                <a:latin typeface="+mj-lt"/>
              </a:defRPr>
            </a:pPr>
            <a:r>
              <a:rPr lang="sk-SK" sz="1100" cap="all" baseline="0">
                <a:solidFill>
                  <a:srgbClr val="002060"/>
                </a:solidFill>
                <a:latin typeface="+mj-lt"/>
              </a:rPr>
              <a:t>- převedeno na objem vody fakturované (mil. m</a:t>
            </a:r>
            <a:r>
              <a:rPr lang="sk-SK" sz="1100" cap="all" baseline="30000">
                <a:solidFill>
                  <a:srgbClr val="002060"/>
                </a:solidFill>
                <a:latin typeface="+mj-lt"/>
              </a:rPr>
              <a:t>3</a:t>
            </a:r>
            <a:r>
              <a:rPr lang="sk-SK" sz="1100" cap="all" baseline="0">
                <a:solidFill>
                  <a:srgbClr val="002060"/>
                </a:solidFill>
                <a:latin typeface="+mj-lt"/>
              </a:rPr>
              <a:t>)</a:t>
            </a:r>
            <a:endParaRPr lang="sk-SK" sz="1100" cap="all">
              <a:solidFill>
                <a:srgbClr val="002060"/>
              </a:solidFill>
              <a:latin typeface="+mj-lt"/>
            </a:endParaRPr>
          </a:p>
        </c:rich>
      </c:tx>
      <c:layout>
        <c:manualLayout>
          <c:xMode val="edge"/>
          <c:yMode val="edge"/>
          <c:x val="1.2953797649981719E-3"/>
          <c:y val="4.0767902520389828E-3"/>
        </c:manualLayout>
      </c:layout>
      <c:overlay val="0"/>
    </c:title>
    <c:autoTitleDeleted val="0"/>
    <c:plotArea>
      <c:layout>
        <c:manualLayout>
          <c:layoutTarget val="inner"/>
          <c:xMode val="edge"/>
          <c:yMode val="edge"/>
          <c:x val="0.10351818183718682"/>
          <c:y val="0.15405092568381218"/>
          <c:w val="0.8300078534888804"/>
          <c:h val="0.61010402401620345"/>
        </c:manualLayout>
      </c:layout>
      <c:barChart>
        <c:barDir val="col"/>
        <c:grouping val="stacked"/>
        <c:varyColors val="0"/>
        <c:ser>
          <c:idx val="0"/>
          <c:order val="0"/>
          <c:tx>
            <c:strRef>
              <c:f>Prov_VODA_anom_celkem!$B$116</c:f>
              <c:strCache>
                <c:ptCount val="1"/>
                <c:pt idx="0">
                  <c:v>Objem vody fakturované bez anomálií</c:v>
                </c:pt>
              </c:strCache>
            </c:strRef>
          </c:tx>
          <c:spPr>
            <a:solidFill>
              <a:srgbClr val="5B9BD5"/>
            </a:solidFill>
            <a:scene3d>
              <a:camera prst="orthographicFront"/>
              <a:lightRig rig="threePt" dir="t"/>
            </a:scene3d>
            <a:sp3d>
              <a:bevelT/>
            </a:sp3d>
          </c:spPr>
          <c:invertIfNegative val="0"/>
          <c:cat>
            <c:strRef>
              <c:f>Prov_VODA_anom_celkem!$A$117:$A$124</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Prov_VODA_anom_celkem!$B$117:$B$124</c:f>
              <c:numCache>
                <c:formatCode>General</c:formatCode>
                <c:ptCount val="8"/>
                <c:pt idx="0">
                  <c:v>0</c:v>
                </c:pt>
                <c:pt idx="1">
                  <c:v>45.874446000000006</c:v>
                </c:pt>
                <c:pt idx="2">
                  <c:v>36.537206999999995</c:v>
                </c:pt>
                <c:pt idx="3">
                  <c:v>32.592779999999998</c:v>
                </c:pt>
                <c:pt idx="4">
                  <c:v>27.874443999999986</c:v>
                </c:pt>
                <c:pt idx="5">
                  <c:v>36.354609999999973</c:v>
                </c:pt>
                <c:pt idx="6">
                  <c:v>3.9081340000000004</c:v>
                </c:pt>
                <c:pt idx="7">
                  <c:v>0.93626400000000043</c:v>
                </c:pt>
              </c:numCache>
            </c:numRef>
          </c:val>
          <c:extLst xmlns:c16r2="http://schemas.microsoft.com/office/drawing/2015/06/chart">
            <c:ext xmlns:c16="http://schemas.microsoft.com/office/drawing/2014/chart" uri="{C3380CC4-5D6E-409C-BE32-E72D297353CC}">
              <c16:uniqueId val="{00000001-7A7C-4CA5-BA41-DDEA66F08E27}"/>
            </c:ext>
          </c:extLst>
        </c:ser>
        <c:ser>
          <c:idx val="1"/>
          <c:order val="1"/>
          <c:tx>
            <c:strRef>
              <c:f>Prov_VODA_anom_celkem!$C$116</c:f>
              <c:strCache>
                <c:ptCount val="1"/>
                <c:pt idx="0">
                  <c:v>Objem vody pitné fakturované (mil. m3) s výskytem alespoň jedné anomálie</c:v>
                </c:pt>
              </c:strCache>
            </c:strRef>
          </c:tx>
          <c:spPr>
            <a:solidFill>
              <a:srgbClr val="CE9CE4"/>
            </a:solidFill>
            <a:scene3d>
              <a:camera prst="orthographicFront"/>
              <a:lightRig rig="threePt" dir="t"/>
            </a:scene3d>
            <a:sp3d>
              <a:bevelT/>
            </a:sp3d>
          </c:spPr>
          <c:invertIfNegative val="0"/>
          <c:dLbls>
            <c:dLbl>
              <c:idx val="0"/>
              <c:layout/>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mn-lt"/>
                        <a:ea typeface="+mn-ea"/>
                        <a:cs typeface="+mn-cs"/>
                      </a:defRPr>
                    </a:pPr>
                    <a:r>
                      <a:rPr lang="en-US" sz="900" b="0" i="0" u="none" strike="noStrike" kern="1200" baseline="0">
                        <a:solidFill>
                          <a:sysClr val="windowText" lastClr="000000"/>
                        </a:solidFill>
                        <a:latin typeface="+mn-lt"/>
                        <a:ea typeface="+mn-ea"/>
                        <a:cs typeface="+mn-cs"/>
                      </a:rPr>
                      <a:t>164,60 mil. m</a:t>
                    </a:r>
                    <a:r>
                      <a:rPr lang="en-US" sz="900" b="0" i="0" u="none" strike="noStrike" kern="1200" baseline="30000">
                        <a:solidFill>
                          <a:sysClr val="windowText" lastClr="000000"/>
                        </a:solidFill>
                        <a:latin typeface="+mn-lt"/>
                        <a:ea typeface="+mn-ea"/>
                        <a:cs typeface="+mn-cs"/>
                      </a:rPr>
                      <a:t>3</a:t>
                    </a:r>
                  </a:p>
                </c:rich>
              </c:tx>
              <c:numFmt formatCode="#,##0.00" sourceLinked="0"/>
              <c:spPr/>
              <c:showLegendKey val="1"/>
              <c:showVal val="1"/>
              <c:showCatName val="0"/>
              <c:showSerName val="0"/>
              <c:showPercent val="0"/>
              <c:showBubbleSize val="0"/>
              <c:extLst>
                <c:ext xmlns:c15="http://schemas.microsoft.com/office/drawing/2012/chart" uri="{CE6537A1-D6FC-4f65-9D91-7224C49458BB}">
                  <c15:layout/>
                </c:ext>
              </c:extLst>
            </c:dLbl>
            <c:dLbl>
              <c:idx val="1"/>
              <c:layout>
                <c:manualLayout>
                  <c:x val="-1.2388197907383937E-2"/>
                  <c:y val="4.8529445373253086E-2"/>
                </c:manualLayout>
              </c:layout>
              <c:tx>
                <c:rich>
                  <a:bodyPr/>
                  <a:lstStyle/>
                  <a:p>
                    <a:r>
                      <a:rPr lang="en-US"/>
                      <a:t>4,89 </a:t>
                    </a:r>
                    <a:r>
                      <a:rPr lang="en-US" sz="1000" b="0" i="0" u="none" strike="noStrike" baseline="0"/>
                      <a:t>mil. m</a:t>
                    </a:r>
                    <a:r>
                      <a:rPr lang="en-US" sz="1000" b="0"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41,78 </a:t>
                    </a:r>
                    <a:r>
                      <a:rPr lang="en-US" sz="1000" b="0" i="0" u="none" strike="noStrike" baseline="0"/>
                      <a:t>mil. m</a:t>
                    </a:r>
                    <a:r>
                      <a:rPr lang="en-US" sz="1000" b="0"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a:t>28,67 </a:t>
                    </a:r>
                    <a:r>
                      <a:rPr lang="en-US" sz="1000" b="0" i="0" u="none" strike="noStrike" baseline="0"/>
                      <a:t>mil. m</a:t>
                    </a:r>
                    <a:r>
                      <a:rPr lang="en-US" sz="1000" b="0"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4"/>
              <c:layout/>
              <c:tx>
                <c:rich>
                  <a:bodyPr/>
                  <a:lstStyle/>
                  <a:p>
                    <a:r>
                      <a:rPr lang="en-US"/>
                      <a:t>20,35 </a:t>
                    </a:r>
                    <a:r>
                      <a:rPr lang="en-US" sz="1000" b="0" i="0" u="none" strike="noStrike" baseline="0"/>
                      <a:t>mil. m</a:t>
                    </a:r>
                    <a:r>
                      <a:rPr lang="en-US" sz="1000" b="0"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5"/>
              <c:layout>
                <c:manualLayout>
                  <c:x val="-5.3092276745931163E-3"/>
                  <c:y val="3.7330342594810072E-2"/>
                </c:manualLayout>
              </c:layout>
              <c:tx>
                <c:rich>
                  <a:bodyPr/>
                  <a:lstStyle/>
                  <a:p>
                    <a:r>
                      <a:rPr lang="en-US"/>
                      <a:t>2,31 </a:t>
                    </a:r>
                    <a:r>
                      <a:rPr lang="en-US" sz="1000" b="0" i="0" u="none" strike="noStrike" baseline="0"/>
                      <a:t>mil. m</a:t>
                    </a:r>
                    <a:r>
                      <a:rPr lang="en-US" sz="1000" b="0" i="0" u="none" strike="noStrike" baseline="30000"/>
                      <a:t>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6"/>
              <c:layout>
                <c:manualLayout>
                  <c:x val="-2.0376207342529512E-2"/>
                  <c:y val="3.961429237058943E-2"/>
                </c:manualLayout>
              </c:layout>
              <c:tx>
                <c:rich>
                  <a:bodyPr rot="0" vert="horz"/>
                  <a:lstStyle/>
                  <a:p>
                    <a:pPr>
                      <a:defRPr sz="900"/>
                    </a:pPr>
                    <a:r>
                      <a:rPr lang="en-US" sz="900"/>
                      <a:t>8,73 </a:t>
                    </a:r>
                    <a:r>
                      <a:rPr lang="en-US" sz="900" b="0" i="0" u="none" strike="noStrike" baseline="0"/>
                      <a:t>mil. m</a:t>
                    </a:r>
                    <a:r>
                      <a:rPr lang="en-US" sz="900" b="0" i="0" u="none" strike="noStrike" baseline="30000"/>
                      <a:t>3</a:t>
                    </a:r>
                    <a:endParaRPr lang="en-US" sz="900"/>
                  </a:p>
                </c:rich>
              </c:tx>
              <c:numFmt formatCode="#,##0.00" sourceLinked="0"/>
              <c:spPr/>
              <c:showLegendKey val="1"/>
              <c:showVal val="1"/>
              <c:showCatName val="0"/>
              <c:showSerName val="0"/>
              <c:showPercent val="0"/>
              <c:showBubbleSize val="0"/>
              <c:extLst>
                <c:ext xmlns:c15="http://schemas.microsoft.com/office/drawing/2012/chart" uri="{CE6537A1-D6FC-4f65-9D91-7224C49458BB}">
                  <c15:layout/>
                </c:ext>
              </c:extLst>
            </c:dLbl>
            <c:dLbl>
              <c:idx val="7"/>
              <c:layout>
                <c:manualLayout>
                  <c:x val="2.6546138372965579E-2"/>
                  <c:y val="2.4264722686626543E-2"/>
                </c:manualLayout>
              </c:layout>
              <c:tx>
                <c:rich>
                  <a:bodyPr rot="0" vert="horz"/>
                  <a:lstStyle/>
                  <a:p>
                    <a:pPr>
                      <a:defRPr sz="900"/>
                    </a:pPr>
                    <a:r>
                      <a:rPr lang="en-US" sz="900"/>
                      <a:t>5,94 </a:t>
                    </a:r>
                    <a:r>
                      <a:rPr lang="en-US" sz="900" b="0" i="0" u="none" strike="noStrike" baseline="0"/>
                      <a:t>mil. m</a:t>
                    </a:r>
                    <a:r>
                      <a:rPr lang="en-US" sz="900" b="0" i="0" u="none" strike="noStrike" baseline="30000"/>
                      <a:t>3</a:t>
                    </a:r>
                    <a:endParaRPr lang="en-US" sz="900"/>
                  </a:p>
                </c:rich>
              </c:tx>
              <c:numFmt formatCode="#,##0.00" sourceLinked="0"/>
              <c:spPr/>
              <c:showLegendKey val="1"/>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rot="-5400000" vert="horz"/>
              <a:lstStyle/>
              <a:p>
                <a:pPr>
                  <a:defRPr sz="900"/>
                </a:pPr>
                <a:endParaRPr lang="cs-CZ"/>
              </a:p>
            </c:txPr>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Prov_VODA_anom_celkem!$A$117:$A$124</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Prov_VODA_anom_celkem!$C$117:$C$124</c:f>
              <c:numCache>
                <c:formatCode>General</c:formatCode>
                <c:ptCount val="8"/>
                <c:pt idx="0">
                  <c:v>164.59618799999998</c:v>
                </c:pt>
                <c:pt idx="1">
                  <c:v>4.8900319999999997</c:v>
                </c:pt>
                <c:pt idx="2">
                  <c:v>41.784277000000003</c:v>
                </c:pt>
                <c:pt idx="3">
                  <c:v>28.674616999999998</c:v>
                </c:pt>
                <c:pt idx="4">
                  <c:v>20.349900000000002</c:v>
                </c:pt>
                <c:pt idx="5">
                  <c:v>2.3084220000000002</c:v>
                </c:pt>
                <c:pt idx="6">
                  <c:v>8.7294749999999972</c:v>
                </c:pt>
                <c:pt idx="7">
                  <c:v>5.9441999999999977</c:v>
                </c:pt>
              </c:numCache>
            </c:numRef>
          </c:val>
          <c:extLst xmlns:c16r2="http://schemas.microsoft.com/office/drawing/2015/06/chart">
            <c:ext xmlns:c16="http://schemas.microsoft.com/office/drawing/2014/chart" uri="{C3380CC4-5D6E-409C-BE32-E72D297353CC}">
              <c16:uniqueId val="{00000002-7A7C-4CA5-BA41-DDEA66F08E27}"/>
            </c:ext>
          </c:extLst>
        </c:ser>
        <c:dLbls>
          <c:showLegendKey val="0"/>
          <c:showVal val="0"/>
          <c:showCatName val="0"/>
          <c:showSerName val="0"/>
          <c:showPercent val="0"/>
          <c:showBubbleSize val="0"/>
        </c:dLbls>
        <c:gapWidth val="30"/>
        <c:overlap val="100"/>
        <c:axId val="247591096"/>
        <c:axId val="373193472"/>
      </c:barChart>
      <c:lineChart>
        <c:grouping val="standard"/>
        <c:varyColors val="0"/>
        <c:ser>
          <c:idx val="2"/>
          <c:order val="2"/>
          <c:tx>
            <c:strRef>
              <c:f>Prov_VODA_anom_celkem!$D$116</c:f>
              <c:strCache>
                <c:ptCount val="1"/>
                <c:pt idx="0">
                  <c:v>Objem vody fakturované ve skupině</c:v>
                </c:pt>
              </c:strCache>
            </c:strRef>
          </c:tx>
          <c:spPr>
            <a:ln w="38100"/>
          </c:spPr>
          <c:marker>
            <c:symbol val="square"/>
            <c:size val="5"/>
          </c:marker>
          <c:dLbls>
            <c:dLbl>
              <c:idx val="0"/>
              <c:layout>
                <c:manualLayout>
                  <c:x val="-2.4776395814767874E-2"/>
                  <c:y val="-1.866517129740505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mn-lt"/>
                        <a:ea typeface="+mn-ea"/>
                        <a:cs typeface="+mn-cs"/>
                      </a:defRPr>
                    </a:pPr>
                    <a:r>
                      <a:rPr lang="en-US" sz="900" b="0" i="0" u="none" strike="noStrike" kern="1200" baseline="0">
                        <a:solidFill>
                          <a:sysClr val="windowText" lastClr="000000"/>
                        </a:solidFill>
                        <a:latin typeface="+mn-lt"/>
                        <a:ea typeface="+mn-ea"/>
                        <a:cs typeface="+mn-cs"/>
                      </a:rPr>
                      <a:t>164,60 mil. m3</a:t>
                    </a:r>
                  </a:p>
                </c:rich>
              </c:tx>
              <c:numFmt formatCode="#,##0.00" sourceLinked="0"/>
              <c:spPr/>
              <c:showLegendKey val="1"/>
              <c:showVal val="1"/>
              <c:showCatName val="0"/>
              <c:showSerName val="0"/>
              <c:showPercent val="0"/>
              <c:showBubbleSize val="0"/>
              <c:extLst>
                <c:ext xmlns:c15="http://schemas.microsoft.com/office/drawing/2012/chart" uri="{CE6537A1-D6FC-4f65-9D91-7224C49458BB}">
                  <c15:layout/>
                </c:ext>
              </c:extLst>
            </c:dLbl>
            <c:dLbl>
              <c:idx val="1"/>
              <c:layout>
                <c:manualLayout>
                  <c:x val="-9.379635558447838E-2"/>
                  <c:y val="-2.8931015510977803E-2"/>
                </c:manualLayout>
              </c:layout>
              <c:tx>
                <c:rich>
                  <a:bodyPr/>
                  <a:lstStyle/>
                  <a:p>
                    <a:r>
                      <a:rPr lang="en-US"/>
                      <a:t>50,76 </a:t>
                    </a:r>
                    <a:r>
                      <a:rPr lang="en-US" sz="1000" b="0" i="0" u="none" strike="noStrike" baseline="0"/>
                      <a:t>mil. 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2"/>
              <c:layout>
                <c:manualLayout>
                  <c:x val="-6.3710732095117392E-2"/>
                  <c:y val="-1.8665171297405036E-2"/>
                </c:manualLayout>
              </c:layout>
              <c:tx>
                <c:rich>
                  <a:bodyPr/>
                  <a:lstStyle/>
                  <a:p>
                    <a:r>
                      <a:rPr lang="en-US"/>
                      <a:t>78,32 </a:t>
                    </a:r>
                    <a:r>
                      <a:rPr lang="en-US" sz="1000" b="0" i="0" u="none" strike="noStrike" baseline="0"/>
                      <a:t>mil. 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3"/>
              <c:layout>
                <c:manualLayout>
                  <c:x val="-1.4157940465581642E-2"/>
                  <c:y val="-1.2132361343313271E-2"/>
                </c:manualLayout>
              </c:layout>
              <c:tx>
                <c:rich>
                  <a:bodyPr/>
                  <a:lstStyle/>
                  <a:p>
                    <a:r>
                      <a:rPr lang="en-US"/>
                      <a:t>61,27 </a:t>
                    </a:r>
                    <a:r>
                      <a:rPr lang="en-US" sz="1000" b="0" i="0" u="none" strike="noStrike" baseline="0"/>
                      <a:t>mil. 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4"/>
              <c:layout>
                <c:manualLayout>
                  <c:x val="-2.3006653256570236E-2"/>
                  <c:y val="-1.5865395602794347E-2"/>
                </c:manualLayout>
              </c:layout>
              <c:tx>
                <c:rich>
                  <a:bodyPr/>
                  <a:lstStyle/>
                  <a:p>
                    <a:r>
                      <a:rPr lang="en-US"/>
                      <a:t>48,22 </a:t>
                    </a:r>
                    <a:r>
                      <a:rPr lang="en-US" sz="1000" b="0" i="0" u="none" strike="noStrike" baseline="0"/>
                      <a:t>mil. 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5"/>
              <c:layout>
                <c:manualLayout>
                  <c:x val="-8.8487127909885263E-3"/>
                  <c:y val="-5.5995513892215104E-3"/>
                </c:manualLayout>
              </c:layout>
              <c:tx>
                <c:rich>
                  <a:bodyPr/>
                  <a:lstStyle/>
                  <a:p>
                    <a:r>
                      <a:rPr lang="en-US"/>
                      <a:t>38,66 </a:t>
                    </a:r>
                    <a:r>
                      <a:rPr lang="en-US" sz="1000" b="0" i="0" u="none" strike="noStrike" baseline="0"/>
                      <a:t>mil. 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6"/>
              <c:layout>
                <c:manualLayout>
                  <c:x val="-1.4157940465581642E-2"/>
                  <c:y val="-1.2132361343313271E-2"/>
                </c:manualLayout>
              </c:layout>
              <c:tx>
                <c:rich>
                  <a:bodyPr/>
                  <a:lstStyle/>
                  <a:p>
                    <a:r>
                      <a:rPr lang="en-US"/>
                      <a:t>12,64 </a:t>
                    </a:r>
                    <a:r>
                      <a:rPr lang="en-US" sz="1000" b="0" i="0" u="none" strike="noStrike" baseline="0"/>
                      <a:t>mil. 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dLbl>
              <c:idx val="7"/>
              <c:layout>
                <c:manualLayout>
                  <c:x val="-1.4157940465581642E-2"/>
                  <c:y val="-9.3325856487025179E-3"/>
                </c:manualLayout>
              </c:layout>
              <c:tx>
                <c:rich>
                  <a:bodyPr/>
                  <a:lstStyle/>
                  <a:p>
                    <a:r>
                      <a:rPr lang="en-US"/>
                      <a:t>6,88 </a:t>
                    </a:r>
                    <a:r>
                      <a:rPr lang="en-US" sz="1000" b="0" i="0" u="none" strike="noStrike" baseline="0"/>
                      <a:t>mil. m3</a:t>
                    </a:r>
                    <a:endParaRPr lang="en-US"/>
                  </a:p>
                </c:rich>
              </c:tx>
              <c:showLegendKey val="1"/>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wrap="square" lIns="38100" tIns="19050" rIns="38100" bIns="19050" anchor="ctr">
                <a:spAutoFit/>
              </a:bodyPr>
              <a:lstStyle/>
              <a:p>
                <a:pPr>
                  <a:defRPr sz="900"/>
                </a:pPr>
                <a:endParaRPr lang="cs-CZ"/>
              </a:p>
            </c:txPr>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Prov_VODA_anom_celkem!$A$117:$A$124</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Prov_VODA_anom_celkem!$D$117:$D$124</c:f>
              <c:numCache>
                <c:formatCode>General</c:formatCode>
                <c:ptCount val="8"/>
                <c:pt idx="0">
                  <c:v>164.59618799999998</c:v>
                </c:pt>
                <c:pt idx="1">
                  <c:v>50.764478000000004</c:v>
                </c:pt>
                <c:pt idx="2">
                  <c:v>78.321483999999998</c:v>
                </c:pt>
                <c:pt idx="3">
                  <c:v>61.267396999999995</c:v>
                </c:pt>
                <c:pt idx="4">
                  <c:v>48.224343999999988</c:v>
                </c:pt>
                <c:pt idx="5">
                  <c:v>38.663031999999973</c:v>
                </c:pt>
                <c:pt idx="6">
                  <c:v>12.637608999999998</c:v>
                </c:pt>
                <c:pt idx="7">
                  <c:v>6.8804639999999981</c:v>
                </c:pt>
              </c:numCache>
            </c:numRef>
          </c:val>
          <c:smooth val="0"/>
          <c:extLst xmlns:c16r2="http://schemas.microsoft.com/office/drawing/2015/06/chart">
            <c:ext xmlns:c16="http://schemas.microsoft.com/office/drawing/2014/chart" uri="{C3380CC4-5D6E-409C-BE32-E72D297353CC}">
              <c16:uniqueId val="{00000009-7A7C-4CA5-BA41-DDEA66F08E27}"/>
            </c:ext>
          </c:extLst>
        </c:ser>
        <c:dLbls>
          <c:showLegendKey val="0"/>
          <c:showVal val="0"/>
          <c:showCatName val="0"/>
          <c:showSerName val="0"/>
          <c:showPercent val="0"/>
          <c:showBubbleSize val="0"/>
        </c:dLbls>
        <c:marker val="1"/>
        <c:smooth val="0"/>
        <c:axId val="247591096"/>
        <c:axId val="373193472"/>
      </c:lineChart>
      <c:lineChart>
        <c:grouping val="standard"/>
        <c:varyColors val="0"/>
        <c:ser>
          <c:idx val="3"/>
          <c:order val="3"/>
          <c:tx>
            <c:strRef>
              <c:f>Prov_VODA_anom_celkem!$E$116</c:f>
              <c:strCache>
                <c:ptCount val="1"/>
                <c:pt idx="0">
                  <c:v>četnost výskytů anomálií</c:v>
                </c:pt>
              </c:strCache>
            </c:strRef>
          </c:tx>
          <c:spPr>
            <a:ln>
              <a:noFill/>
            </a:ln>
          </c:spPr>
          <c:marker>
            <c:symbol val="triangle"/>
            <c:size val="9"/>
            <c:spPr>
              <a:solidFill>
                <a:srgbClr val="FF3399"/>
              </a:solidFill>
              <a:ln w="73025">
                <a:solidFill>
                  <a:srgbClr val="FF3399"/>
                </a:solidFill>
              </a:ln>
            </c:spPr>
          </c:marker>
          <c:dLbls>
            <c:dLbl>
              <c:idx val="0"/>
              <c:layout>
                <c:manualLayout>
                  <c:x val="-5.4861959029958995E-2"/>
                  <c:y val="-2.4752276427903001E-2"/>
                </c:manualLayout>
              </c:layout>
              <c:tx>
                <c:rich>
                  <a:bodyPr/>
                  <a:lstStyle/>
                  <a:p>
                    <a:r>
                      <a:rPr lang="en-US" b="1">
                        <a:solidFill>
                          <a:schemeClr val="accent1">
                            <a:lumMod val="50000"/>
                          </a:schemeClr>
                        </a:solidFill>
                      </a:rPr>
                      <a:t>3</a:t>
                    </a:r>
                    <a:r>
                      <a:rPr lang="en-US"/>
                      <a:t> výskyty</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1776980198992885E-2"/>
                  <c:y val="-3.3805968187343167E-2"/>
                </c:manualLayout>
              </c:layout>
              <c:tx>
                <c:rich>
                  <a:bodyPr/>
                  <a:lstStyle/>
                  <a:p>
                    <a:r>
                      <a:rPr lang="en-US" b="1">
                        <a:solidFill>
                          <a:schemeClr val="accent1">
                            <a:lumMod val="50000"/>
                          </a:schemeClr>
                        </a:solidFill>
                      </a:rPr>
                      <a:t>1</a:t>
                    </a:r>
                    <a:r>
                      <a:rPr lang="en-US"/>
                      <a:t> výskyt</a:t>
                    </a:r>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0007351177957474E-2"/>
                  <c:y val="-3.3764240434639853E-2"/>
                </c:manualLayout>
              </c:layout>
              <c:tx>
                <c:rich>
                  <a:bodyPr/>
                  <a:lstStyle/>
                  <a:p>
                    <a:r>
                      <a:rPr lang="en-US" b="1">
                        <a:solidFill>
                          <a:schemeClr val="accent1">
                            <a:lumMod val="50000"/>
                          </a:schemeClr>
                        </a:solidFill>
                      </a:rPr>
                      <a:t>9</a:t>
                    </a:r>
                    <a:r>
                      <a:rPr lang="en-US"/>
                      <a:t> </a:t>
                    </a:r>
                  </a:p>
                  <a:p>
                    <a:r>
                      <a:rPr lang="en-US" sz="1000" b="1" i="0" u="none" strike="noStrike" baseline="0"/>
                      <a:t>výskytů</a:t>
                    </a:r>
                    <a:endParaRPr lang="en-US" b="1"/>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3092330008923626E-2"/>
                  <c:y val="-2.7593790955146125E-2"/>
                </c:manualLayout>
              </c:layout>
              <c:tx>
                <c:rich>
                  <a:bodyPr/>
                  <a:lstStyle/>
                  <a:p>
                    <a:r>
                      <a:rPr lang="en-US" b="1">
                        <a:solidFill>
                          <a:schemeClr val="accent1">
                            <a:lumMod val="50000"/>
                          </a:schemeClr>
                        </a:solidFill>
                      </a:rPr>
                      <a:t>1</a:t>
                    </a:r>
                    <a:r>
                      <a:rPr lang="en-US"/>
                      <a:t>3 </a:t>
                    </a:r>
                  </a:p>
                  <a:p>
                    <a:r>
                      <a:rPr lang="en-US" sz="1000" b="1" i="0" u="none" strike="noStrike" baseline="0"/>
                      <a:t>výskytů</a:t>
                    </a:r>
                    <a:endParaRPr lang="en-US" b="1"/>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9780132950181029E-2"/>
                  <c:y val="-2.3331519164281594E-2"/>
                </c:manualLayout>
              </c:layout>
              <c:tx>
                <c:rich>
                  <a:bodyPr/>
                  <a:lstStyle/>
                  <a:p>
                    <a:r>
                      <a:rPr lang="en-US" b="1">
                        <a:solidFill>
                          <a:schemeClr val="accent1">
                            <a:lumMod val="50000"/>
                          </a:schemeClr>
                        </a:solidFill>
                      </a:rPr>
                      <a:t>4</a:t>
                    </a:r>
                    <a:r>
                      <a:rPr lang="en-US"/>
                      <a:t>2 </a:t>
                    </a:r>
                    <a:br>
                      <a:rPr lang="en-US"/>
                    </a:br>
                    <a:r>
                      <a:rPr lang="en-US" sz="1000" b="1" i="0" u="none" strike="noStrike" baseline="0"/>
                      <a:t>výskytů</a:t>
                    </a:r>
                    <a:endParaRPr lang="en-US" b="1"/>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8487127909885263E-3"/>
                  <c:y val="9.3325856487025166E-4"/>
                </c:manualLayout>
              </c:layout>
              <c:tx>
                <c:rich>
                  <a:bodyPr/>
                  <a:lstStyle/>
                  <a:p>
                    <a:r>
                      <a:rPr lang="en-US" b="1">
                        <a:solidFill>
                          <a:schemeClr val="accent1">
                            <a:lumMod val="50000"/>
                          </a:schemeClr>
                        </a:solidFill>
                      </a:rPr>
                      <a:t>3</a:t>
                    </a:r>
                    <a:r>
                      <a:rPr lang="en-US"/>
                      <a:t>39 </a:t>
                    </a:r>
                    <a:r>
                      <a:rPr lang="en-US" sz="1000" b="1" i="0" u="none" strike="noStrike" baseline="0"/>
                      <a:t>výskytů</a:t>
                    </a:r>
                    <a:endParaRPr lang="en-US" b="1"/>
                  </a:p>
                </c:rich>
              </c:tx>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6.570773760618899E-2"/>
                  <c:y val="2.3456702422391083E-2"/>
                </c:manualLayout>
              </c:layout>
              <c:tx>
                <c:rich>
                  <a:bodyPr/>
                  <a:lstStyle/>
                  <a:p>
                    <a:r>
                      <a:rPr lang="en-US" b="1">
                        <a:solidFill>
                          <a:schemeClr val="accent1">
                            <a:lumMod val="50000"/>
                          </a:schemeClr>
                        </a:solidFill>
                      </a:rPr>
                      <a:t>6</a:t>
                    </a:r>
                    <a:r>
                      <a:rPr lang="en-US"/>
                      <a:t>70 </a:t>
                    </a:r>
                    <a:r>
                      <a:rPr lang="en-US" sz="1000" b="1" i="0" u="none" strike="noStrike" baseline="0"/>
                      <a:t>výskytů</a:t>
                    </a:r>
                    <a:endParaRPr lang="en-US" b="1"/>
                  </a:p>
                </c:rich>
              </c:tx>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6.5480474653315093E-2"/>
                  <c:y val="2.4264722686626512E-2"/>
                </c:manualLayout>
              </c:layout>
              <c:tx>
                <c:rich>
                  <a:bodyPr/>
                  <a:lstStyle/>
                  <a:p>
                    <a:r>
                      <a:rPr lang="en-US" b="1">
                        <a:solidFill>
                          <a:schemeClr val="accent1">
                            <a:lumMod val="50000"/>
                          </a:schemeClr>
                        </a:solidFill>
                      </a:rPr>
                      <a:t>1</a:t>
                    </a:r>
                    <a:r>
                      <a:rPr lang="en-US"/>
                      <a:t>159 výskytů</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b="1">
                    <a:solidFill>
                      <a:schemeClr val="accent1">
                        <a:lumMod val="50000"/>
                      </a:schemeClr>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Prov_VODA_anom_celkem!$A$117:$A$124</c:f>
              <c:strCache>
                <c:ptCount val="8"/>
                <c:pt idx="0">
                  <c:v>I.skupina(&gt;500 000př.ob.)</c:v>
                </c:pt>
                <c:pt idx="1">
                  <c:v>II.skupina(&gt;200 000př.ob.)</c:v>
                </c:pt>
                <c:pt idx="2">
                  <c:v>III.skupina(&gt;100 000př.ob.)</c:v>
                </c:pt>
                <c:pt idx="3">
                  <c:v>IV.skupina(&gt;50 000př.ob.)</c:v>
                </c:pt>
                <c:pt idx="4">
                  <c:v>V.skupina(&gt;10 000př.ob.)</c:v>
                </c:pt>
                <c:pt idx="5">
                  <c:v>VI.skupina(&gt;1 000př.ob.)</c:v>
                </c:pt>
                <c:pt idx="6">
                  <c:v>VII.skupina(&gt;300př.ob.)</c:v>
                </c:pt>
                <c:pt idx="7">
                  <c:v>VIII.skupina(&lt;300př.ob.)</c:v>
                </c:pt>
              </c:strCache>
            </c:strRef>
          </c:cat>
          <c:val>
            <c:numRef>
              <c:f>Prov_VODA_anom_celkem!$E$117:$E$124</c:f>
              <c:numCache>
                <c:formatCode>General</c:formatCode>
                <c:ptCount val="8"/>
                <c:pt idx="0">
                  <c:v>3</c:v>
                </c:pt>
                <c:pt idx="1">
                  <c:v>1</c:v>
                </c:pt>
                <c:pt idx="2">
                  <c:v>9</c:v>
                </c:pt>
                <c:pt idx="3">
                  <c:v>13</c:v>
                </c:pt>
                <c:pt idx="4">
                  <c:v>42</c:v>
                </c:pt>
                <c:pt idx="5">
                  <c:v>339</c:v>
                </c:pt>
                <c:pt idx="6">
                  <c:v>670</c:v>
                </c:pt>
                <c:pt idx="7">
                  <c:v>1159</c:v>
                </c:pt>
              </c:numCache>
            </c:numRef>
          </c:val>
          <c:smooth val="0"/>
          <c:extLst xmlns:c16r2="http://schemas.microsoft.com/office/drawing/2015/06/chart">
            <c:ext xmlns:c16="http://schemas.microsoft.com/office/drawing/2014/chart" uri="{C3380CC4-5D6E-409C-BE32-E72D297353CC}">
              <c16:uniqueId val="{00000013-7A7C-4CA5-BA41-DDEA66F08E27}"/>
            </c:ext>
          </c:extLst>
        </c:ser>
        <c:dLbls>
          <c:showLegendKey val="0"/>
          <c:showVal val="0"/>
          <c:showCatName val="0"/>
          <c:showSerName val="0"/>
          <c:showPercent val="0"/>
          <c:showBubbleSize val="0"/>
        </c:dLbls>
        <c:marker val="1"/>
        <c:smooth val="0"/>
        <c:axId val="373193080"/>
        <c:axId val="373190728"/>
      </c:lineChart>
      <c:catAx>
        <c:axId val="247591096"/>
        <c:scaling>
          <c:orientation val="minMax"/>
        </c:scaling>
        <c:delete val="0"/>
        <c:axPos val="b"/>
        <c:majorGridlines/>
        <c:numFmt formatCode="General" sourceLinked="0"/>
        <c:majorTickMark val="none"/>
        <c:minorTickMark val="none"/>
        <c:tickLblPos val="nextTo"/>
        <c:txPr>
          <a:bodyPr/>
          <a:lstStyle/>
          <a:p>
            <a:pPr>
              <a:defRPr sz="1000">
                <a:solidFill>
                  <a:srgbClr val="002060"/>
                </a:solidFill>
                <a:latin typeface="+mj-lt"/>
              </a:defRPr>
            </a:pPr>
            <a:endParaRPr lang="cs-CZ"/>
          </a:p>
        </c:txPr>
        <c:crossAx val="373193472"/>
        <c:crosses val="autoZero"/>
        <c:auto val="1"/>
        <c:lblAlgn val="ctr"/>
        <c:lblOffset val="100"/>
        <c:noMultiLvlLbl val="0"/>
      </c:catAx>
      <c:valAx>
        <c:axId val="373193472"/>
        <c:scaling>
          <c:orientation val="minMax"/>
          <c:max val="170"/>
          <c:min val="0"/>
        </c:scaling>
        <c:delete val="0"/>
        <c:axPos val="l"/>
        <c:majorGridlines/>
        <c:title>
          <c:tx>
            <c:rich>
              <a:bodyPr rot="-5400000" vert="horz"/>
              <a:lstStyle/>
              <a:p>
                <a:pPr>
                  <a:defRPr sz="1100">
                    <a:solidFill>
                      <a:srgbClr val="002060"/>
                    </a:solidFill>
                    <a:latin typeface="+mj-lt"/>
                  </a:defRPr>
                </a:pPr>
                <a:r>
                  <a:rPr lang="sk-SK" sz="1100">
                    <a:solidFill>
                      <a:srgbClr val="002060"/>
                    </a:solidFill>
                    <a:latin typeface="+mj-lt"/>
                  </a:rPr>
                  <a:t>Objem vody fakturovanej v mil. m</a:t>
                </a:r>
                <a:r>
                  <a:rPr lang="sk-SK" sz="1100" baseline="30000">
                    <a:solidFill>
                      <a:srgbClr val="002060"/>
                    </a:solidFill>
                    <a:latin typeface="+mj-lt"/>
                  </a:rPr>
                  <a:t>3</a:t>
                </a:r>
              </a:p>
            </c:rich>
          </c:tx>
          <c:layout/>
          <c:overlay val="0"/>
        </c:title>
        <c:numFmt formatCode="General" sourceLinked="1"/>
        <c:majorTickMark val="none"/>
        <c:minorTickMark val="none"/>
        <c:tickLblPos val="nextTo"/>
        <c:spPr>
          <a:ln w="6350">
            <a:noFill/>
          </a:ln>
        </c:spPr>
        <c:txPr>
          <a:bodyPr/>
          <a:lstStyle/>
          <a:p>
            <a:pPr>
              <a:defRPr sz="900"/>
            </a:pPr>
            <a:endParaRPr lang="cs-CZ"/>
          </a:p>
        </c:txPr>
        <c:crossAx val="247591096"/>
        <c:crosses val="autoZero"/>
        <c:crossBetween val="between"/>
      </c:valAx>
      <c:valAx>
        <c:axId val="373190728"/>
        <c:scaling>
          <c:orientation val="minMax"/>
          <c:max val="1200"/>
        </c:scaling>
        <c:delete val="0"/>
        <c:axPos val="r"/>
        <c:numFmt formatCode="General" sourceLinked="1"/>
        <c:majorTickMark val="out"/>
        <c:minorTickMark val="none"/>
        <c:tickLblPos val="nextTo"/>
        <c:txPr>
          <a:bodyPr/>
          <a:lstStyle/>
          <a:p>
            <a:pPr>
              <a:defRPr sz="900"/>
            </a:pPr>
            <a:endParaRPr lang="cs-CZ"/>
          </a:p>
        </c:txPr>
        <c:crossAx val="373193080"/>
        <c:crosses val="max"/>
        <c:crossBetween val="between"/>
      </c:valAx>
      <c:catAx>
        <c:axId val="373193080"/>
        <c:scaling>
          <c:orientation val="minMax"/>
        </c:scaling>
        <c:delete val="1"/>
        <c:axPos val="b"/>
        <c:numFmt formatCode="General" sourceLinked="1"/>
        <c:majorTickMark val="out"/>
        <c:minorTickMark val="none"/>
        <c:tickLblPos val="none"/>
        <c:crossAx val="373190728"/>
        <c:crosses val="autoZero"/>
        <c:auto val="1"/>
        <c:lblAlgn val="ctr"/>
        <c:lblOffset val="100"/>
        <c:noMultiLvlLbl val="0"/>
      </c:catAx>
    </c:plotArea>
    <c:legend>
      <c:legendPos val="b"/>
      <c:layout>
        <c:manualLayout>
          <c:xMode val="edge"/>
          <c:yMode val="edge"/>
          <c:x val="1.1327890054681758E-2"/>
          <c:y val="0.91742569970896848"/>
          <c:w val="0.95939508060743528"/>
          <c:h val="8.1583866192661766E-2"/>
        </c:manualLayout>
      </c:layout>
      <c:overlay val="0"/>
      <c:txPr>
        <a:bodyPr/>
        <a:lstStyle/>
        <a:p>
          <a:pPr>
            <a:defRPr sz="1050" cap="small" baseline="0">
              <a:solidFill>
                <a:srgbClr val="002060"/>
              </a:solidFill>
              <a:latin typeface="+mj-lt"/>
            </a:defRPr>
          </a:pPr>
          <a:endParaRPr lang="cs-CZ"/>
        </a:p>
      </c:txPr>
    </c:legend>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0.38612</cdr:x>
      <cdr:y>0.07185</cdr:y>
    </cdr:from>
    <cdr:to>
      <cdr:x>0.97438</cdr:x>
      <cdr:y>0.13035</cdr:y>
    </cdr:to>
    <cdr:sp macro="" textlink="">
      <cdr:nvSpPr>
        <cdr:cNvPr id="3" name="TextovéPole 2"/>
        <cdr:cNvSpPr txBox="1"/>
      </cdr:nvSpPr>
      <cdr:spPr>
        <a:xfrm xmlns:a="http://schemas.openxmlformats.org/drawingml/2006/main">
          <a:off x="2223820" y="579468"/>
          <a:ext cx="3388088" cy="47177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900" i="1">
              <a:solidFill>
                <a:srgbClr val="002060"/>
              </a:solidFill>
            </a:rPr>
            <a:t>1.</a:t>
          </a:r>
          <a:r>
            <a:rPr lang="cs-CZ" sz="900" i="1" baseline="0">
              <a:solidFill>
                <a:srgbClr val="002060"/>
              </a:solidFill>
            </a:rPr>
            <a:t> celková velikost trhu dle Porovnání 473,197 mil. m</a:t>
          </a:r>
          <a:r>
            <a:rPr lang="cs-CZ" sz="900" i="1" baseline="30000">
              <a:solidFill>
                <a:srgbClr val="002060"/>
              </a:solidFill>
            </a:rPr>
            <a:t>3</a:t>
          </a:r>
        </a:p>
        <a:p xmlns:a="http://schemas.openxmlformats.org/drawingml/2006/main">
          <a:r>
            <a:rPr lang="cs-CZ" sz="900" i="1" baseline="0">
              <a:solidFill>
                <a:srgbClr val="002060"/>
              </a:solidFill>
            </a:rPr>
            <a:t>2. velikost části analyzovaného trhu 461,355 mil. m</a:t>
          </a:r>
          <a:r>
            <a:rPr lang="cs-CZ" sz="900" i="1" baseline="30000">
              <a:solidFill>
                <a:srgbClr val="002060"/>
              </a:solidFill>
            </a:rPr>
            <a:t>3</a:t>
          </a:r>
          <a:r>
            <a:rPr lang="cs-CZ" sz="900" i="1" baseline="0">
              <a:solidFill>
                <a:srgbClr val="002060"/>
              </a:solidFill>
            </a:rPr>
            <a:t>( 97,5% podíl trhu)</a:t>
          </a:r>
        </a:p>
      </cdr:txBody>
    </cdr:sp>
  </cdr:relSizeAnchor>
  <cdr:relSizeAnchor xmlns:cdr="http://schemas.openxmlformats.org/drawingml/2006/chartDrawing">
    <cdr:from>
      <cdr:x>0.13466</cdr:x>
      <cdr:y>0.93248</cdr:y>
    </cdr:from>
    <cdr:to>
      <cdr:x>0.91204</cdr:x>
      <cdr:y>0.95768</cdr:y>
    </cdr:to>
    <cdr:sp macro="" textlink="">
      <cdr:nvSpPr>
        <cdr:cNvPr id="5" name="BlokTextu 1"/>
        <cdr:cNvSpPr txBox="1"/>
      </cdr:nvSpPr>
      <cdr:spPr>
        <a:xfrm xmlns:a="http://schemas.openxmlformats.org/drawingml/2006/main">
          <a:off x="775554" y="7520025"/>
          <a:ext cx="4477281" cy="2031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cs-CZ" sz="1000" b="1" i="1">
              <a:solidFill>
                <a:srgbClr val="002060"/>
              </a:solidFill>
              <a:latin typeface="+mj-lt"/>
            </a:rPr>
            <a:t>množství</a:t>
          </a:r>
          <a:r>
            <a:rPr lang="cs-CZ" sz="1000" b="1" i="1" baseline="0">
              <a:solidFill>
                <a:srgbClr val="002060"/>
              </a:solidFill>
              <a:latin typeface="+mj-lt"/>
            </a:rPr>
            <a:t> vody fakturované; % podíl analyzovaného trhu; četnost výskytů anomálie</a:t>
          </a:r>
          <a:endParaRPr lang="cs-CZ" sz="1000" b="1" i="1">
            <a:solidFill>
              <a:srgbClr val="002060"/>
            </a:solidFill>
            <a:latin typeface="+mj-lt"/>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0.29057</cdr:x>
      <cdr:y>0.07651</cdr:y>
    </cdr:from>
    <cdr:to>
      <cdr:x>1</cdr:x>
      <cdr:y>0.12283</cdr:y>
    </cdr:to>
    <cdr:sp macro="" textlink="">
      <cdr:nvSpPr>
        <cdr:cNvPr id="2" name="TextovéPole 2"/>
        <cdr:cNvSpPr txBox="1"/>
      </cdr:nvSpPr>
      <cdr:spPr>
        <a:xfrm xmlns:a="http://schemas.openxmlformats.org/drawingml/2006/main">
          <a:off x="1673525" y="664578"/>
          <a:ext cx="4085925" cy="40234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cs-CZ" sz="1050" i="1">
              <a:solidFill>
                <a:srgbClr val="002060"/>
              </a:solidFill>
              <a:latin typeface="+mj-lt"/>
            </a:rPr>
            <a:t>1.</a:t>
          </a:r>
          <a:r>
            <a:rPr lang="cs-CZ" sz="1050" i="1" baseline="0">
              <a:solidFill>
                <a:srgbClr val="002060"/>
              </a:solidFill>
              <a:latin typeface="+mj-lt"/>
            </a:rPr>
            <a:t> celková velikost trhu dle Porovnání </a:t>
          </a:r>
          <a:r>
            <a:rPr lang="cs-CZ" sz="1050" i="1" baseline="0">
              <a:solidFill>
                <a:srgbClr val="002060"/>
              </a:solidFill>
              <a:latin typeface="+mj-lt"/>
              <a:ea typeface="+mn-ea"/>
              <a:cs typeface="+mn-cs"/>
            </a:rPr>
            <a:t>473,197 mil. m</a:t>
          </a:r>
          <a:r>
            <a:rPr lang="cs-CZ" sz="1050" i="1" baseline="30000">
              <a:solidFill>
                <a:srgbClr val="002060"/>
              </a:solidFill>
              <a:latin typeface="+mj-lt"/>
              <a:ea typeface="+mn-ea"/>
              <a:cs typeface="+mn-cs"/>
            </a:rPr>
            <a:t>3</a:t>
          </a:r>
        </a:p>
        <a:p xmlns:a="http://schemas.openxmlformats.org/drawingml/2006/main">
          <a:r>
            <a:rPr lang="cs-CZ" sz="1050" i="1" baseline="0">
              <a:solidFill>
                <a:srgbClr val="002060"/>
              </a:solidFill>
              <a:latin typeface="+mj-lt"/>
              <a:ea typeface="+mn-ea"/>
              <a:cs typeface="+mn-cs"/>
            </a:rPr>
            <a:t>2. velikost části analyzovaného trhu 461,355 </a:t>
          </a:r>
          <a:r>
            <a:rPr lang="cs-CZ" sz="1050" i="1" baseline="0">
              <a:solidFill>
                <a:srgbClr val="002060"/>
              </a:solidFill>
              <a:latin typeface="+mj-lt"/>
            </a:rPr>
            <a:t>mil. m</a:t>
          </a:r>
          <a:r>
            <a:rPr lang="cs-CZ" sz="1050" i="1" baseline="30000">
              <a:solidFill>
                <a:srgbClr val="002060"/>
              </a:solidFill>
              <a:latin typeface="+mj-lt"/>
            </a:rPr>
            <a:t>3 </a:t>
          </a:r>
          <a:r>
            <a:rPr lang="cs-CZ" sz="1050" i="1" baseline="0">
              <a:solidFill>
                <a:srgbClr val="002060"/>
              </a:solidFill>
              <a:latin typeface="+mj-lt"/>
            </a:rPr>
            <a:t>(97,5% podíl trhu)</a:t>
          </a:r>
          <a:endParaRPr lang="cs-CZ" sz="1050" i="1" baseline="30000">
            <a:solidFill>
              <a:srgbClr val="002060"/>
            </a:solidFill>
            <a:latin typeface="+mj-lt"/>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0.35015</cdr:x>
      <cdr:y>0.06022</cdr:y>
    </cdr:from>
    <cdr:to>
      <cdr:x>0.97659</cdr:x>
      <cdr:y>0.12516</cdr:y>
    </cdr:to>
    <cdr:sp macro="" textlink="">
      <cdr:nvSpPr>
        <cdr:cNvPr id="3" name="TextovéPole 2"/>
        <cdr:cNvSpPr txBox="1"/>
      </cdr:nvSpPr>
      <cdr:spPr>
        <a:xfrm xmlns:a="http://schemas.openxmlformats.org/drawingml/2006/main">
          <a:off x="2294627" y="519104"/>
          <a:ext cx="4105163" cy="55979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1100" i="1">
              <a:solidFill>
                <a:schemeClr val="accent2">
                  <a:lumMod val="75000"/>
                </a:schemeClr>
              </a:solidFill>
            </a:rPr>
            <a:t>1.</a:t>
          </a:r>
          <a:r>
            <a:rPr lang="cs-CZ" sz="1100" i="1" baseline="0">
              <a:solidFill>
                <a:schemeClr val="accent2">
                  <a:lumMod val="75000"/>
                </a:schemeClr>
              </a:solidFill>
            </a:rPr>
            <a:t> celková velikost trhu dle Porovnání 510,81 mil. m</a:t>
          </a:r>
          <a:r>
            <a:rPr lang="cs-CZ" sz="1100" i="1" baseline="30000">
              <a:solidFill>
                <a:schemeClr val="accent2">
                  <a:lumMod val="75000"/>
                </a:schemeClr>
              </a:solidFill>
            </a:rPr>
            <a:t>3</a:t>
          </a:r>
        </a:p>
        <a:p xmlns:a="http://schemas.openxmlformats.org/drawingml/2006/main">
          <a:r>
            <a:rPr lang="cs-CZ" sz="1100" i="1" baseline="0">
              <a:solidFill>
                <a:schemeClr val="accent2">
                  <a:lumMod val="75000"/>
                </a:schemeClr>
              </a:solidFill>
            </a:rPr>
            <a:t>2. velikost části analyzovaného trhu 499,50 mil. m</a:t>
          </a:r>
          <a:r>
            <a:rPr lang="cs-CZ" sz="1100" i="1" baseline="30000">
              <a:solidFill>
                <a:schemeClr val="accent2">
                  <a:lumMod val="75000"/>
                </a:schemeClr>
              </a:solidFill>
            </a:rPr>
            <a:t>3 </a:t>
          </a:r>
          <a:r>
            <a:rPr lang="cs-CZ" sz="1100" i="1" baseline="0">
              <a:solidFill>
                <a:schemeClr val="accent2">
                  <a:lumMod val="75000"/>
                </a:schemeClr>
              </a:solidFill>
            </a:rPr>
            <a:t> (97,8% podíl trhu)</a:t>
          </a:r>
          <a:endParaRPr lang="cs-CZ" sz="1100" i="1" baseline="30000">
            <a:solidFill>
              <a:schemeClr val="accent2">
                <a:lumMod val="75000"/>
              </a:schemeClr>
            </a:solidFill>
          </a:endParaRPr>
        </a:p>
      </cdr:txBody>
    </cdr:sp>
  </cdr:relSizeAnchor>
  <cdr:relSizeAnchor xmlns:cdr="http://schemas.openxmlformats.org/drawingml/2006/chartDrawing">
    <cdr:from>
      <cdr:x>0.06967</cdr:x>
      <cdr:y>0.93728</cdr:y>
    </cdr:from>
    <cdr:to>
      <cdr:x>0.92742</cdr:x>
      <cdr:y>0.95917</cdr:y>
    </cdr:to>
    <cdr:sp macro="" textlink="">
      <cdr:nvSpPr>
        <cdr:cNvPr id="5" name="BlokTextu 1"/>
        <cdr:cNvSpPr txBox="1"/>
      </cdr:nvSpPr>
      <cdr:spPr>
        <a:xfrm xmlns:a="http://schemas.openxmlformats.org/drawingml/2006/main">
          <a:off x="436099" y="7093270"/>
          <a:ext cx="5369393" cy="16566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cs-CZ" sz="1100" b="1" i="1">
              <a:solidFill>
                <a:srgbClr val="ED7D31">
                  <a:lumMod val="50000"/>
                </a:srgbClr>
              </a:solidFill>
            </a:rPr>
            <a:t>množství</a:t>
          </a:r>
          <a:r>
            <a:rPr lang="cs-CZ" sz="1100" b="1" i="1" baseline="0">
              <a:solidFill>
                <a:srgbClr val="ED7D31">
                  <a:lumMod val="50000"/>
                </a:srgbClr>
              </a:solidFill>
            </a:rPr>
            <a:t> vody </a:t>
          </a:r>
          <a:r>
            <a:rPr lang="cs-CZ" sz="1100" b="1" i="1" baseline="0">
              <a:solidFill>
                <a:srgbClr val="ED7D31">
                  <a:lumMod val="50000"/>
                </a:srgbClr>
              </a:solidFill>
              <a:latin typeface="Calibri"/>
              <a:ea typeface="+mn-ea"/>
              <a:cs typeface="+mn-cs"/>
            </a:rPr>
            <a:t>fakturované</a:t>
          </a:r>
          <a:r>
            <a:rPr lang="cs-CZ" sz="1100" b="1" i="1" baseline="0">
              <a:solidFill>
                <a:schemeClr val="accent2">
                  <a:lumMod val="50000"/>
                </a:schemeClr>
              </a:solidFill>
            </a:rPr>
            <a:t>; % podíl analyzovaného trhu; četnost výskytů anomálie</a:t>
          </a:r>
          <a:endParaRPr lang="cs-CZ" sz="1100" b="1" i="1">
            <a:solidFill>
              <a:schemeClr val="accent2">
                <a:lumMod val="50000"/>
              </a:schemeClr>
            </a:solidFill>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0.35887</cdr:x>
      <cdr:y>0.09953</cdr:y>
    </cdr:from>
    <cdr:to>
      <cdr:x>1</cdr:x>
      <cdr:y>0.1644</cdr:y>
    </cdr:to>
    <cdr:sp macro="" textlink="">
      <cdr:nvSpPr>
        <cdr:cNvPr id="3" name="TextovéPole 2"/>
        <cdr:cNvSpPr txBox="1"/>
      </cdr:nvSpPr>
      <cdr:spPr>
        <a:xfrm xmlns:a="http://schemas.openxmlformats.org/drawingml/2006/main">
          <a:off x="2191110" y="697745"/>
          <a:ext cx="3914415" cy="4547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cs-CZ" sz="1000" i="1">
              <a:solidFill>
                <a:schemeClr val="accent2">
                  <a:lumMod val="50000"/>
                </a:schemeClr>
              </a:solidFill>
            </a:rPr>
            <a:t>1.</a:t>
          </a:r>
          <a:r>
            <a:rPr lang="cs-CZ" sz="1000" i="1" baseline="0">
              <a:solidFill>
                <a:schemeClr val="accent2">
                  <a:lumMod val="50000"/>
                </a:schemeClr>
              </a:solidFill>
            </a:rPr>
            <a:t> celková velikost trhu dle Porovnání 510,81 mil. m</a:t>
          </a:r>
          <a:r>
            <a:rPr lang="cs-CZ" sz="1000" i="1" baseline="30000">
              <a:solidFill>
                <a:schemeClr val="accent2">
                  <a:lumMod val="50000"/>
                </a:schemeClr>
              </a:solidFill>
            </a:rPr>
            <a:t>3</a:t>
          </a:r>
        </a:p>
        <a:p xmlns:a="http://schemas.openxmlformats.org/drawingml/2006/main">
          <a:r>
            <a:rPr lang="cs-CZ" sz="1000" i="1" baseline="0">
              <a:solidFill>
                <a:schemeClr val="accent2">
                  <a:lumMod val="50000"/>
                </a:schemeClr>
              </a:solidFill>
            </a:rPr>
            <a:t>2. velikost části analyzovaného trhu 499,50 mil. m</a:t>
          </a:r>
          <a:r>
            <a:rPr lang="cs-CZ" sz="1000" i="1" baseline="30000">
              <a:solidFill>
                <a:schemeClr val="accent2">
                  <a:lumMod val="50000"/>
                </a:schemeClr>
              </a:solidFill>
            </a:rPr>
            <a:t>3 </a:t>
          </a:r>
          <a:r>
            <a:rPr lang="cs-CZ" sz="1000" i="1" baseline="0">
              <a:solidFill>
                <a:schemeClr val="accent2">
                  <a:lumMod val="50000"/>
                </a:schemeClr>
              </a:solidFill>
            </a:rPr>
            <a:t>(97,8% podíl trhu)</a:t>
          </a:r>
        </a:p>
      </cdr:txBody>
    </cdr:sp>
  </cdr:relSizeAnchor>
</c:userShapes>
</file>

<file path=word/drawings/drawing5.xml><?xml version="1.0" encoding="utf-8"?>
<c:userShapes xmlns:c="http://schemas.openxmlformats.org/drawingml/2006/chart">
  <cdr:relSizeAnchor xmlns:cdr="http://schemas.openxmlformats.org/drawingml/2006/chartDrawing">
    <cdr:from>
      <cdr:x>0.2696</cdr:x>
      <cdr:y>0.05295</cdr:y>
    </cdr:from>
    <cdr:to>
      <cdr:x>0.95473</cdr:x>
      <cdr:y>0.11802</cdr:y>
    </cdr:to>
    <cdr:sp macro="" textlink="">
      <cdr:nvSpPr>
        <cdr:cNvPr id="3" name="TextovéPole 2"/>
        <cdr:cNvSpPr txBox="1"/>
      </cdr:nvSpPr>
      <cdr:spPr>
        <a:xfrm xmlns:a="http://schemas.openxmlformats.org/drawingml/2006/main">
          <a:off x="1552754" y="414068"/>
          <a:ext cx="3945966" cy="5089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1050" i="1">
              <a:solidFill>
                <a:srgbClr val="002060"/>
              </a:solidFill>
            </a:rPr>
            <a:t>1.</a:t>
          </a:r>
          <a:r>
            <a:rPr lang="cs-CZ" sz="1050" i="1" baseline="0">
              <a:solidFill>
                <a:srgbClr val="002060"/>
              </a:solidFill>
            </a:rPr>
            <a:t> celková velikost trhu dle Porovnání 473,197 mil. m</a:t>
          </a:r>
          <a:r>
            <a:rPr lang="cs-CZ" sz="1050" i="1" baseline="30000">
              <a:solidFill>
                <a:srgbClr val="002060"/>
              </a:solidFill>
            </a:rPr>
            <a:t>3</a:t>
          </a:r>
        </a:p>
        <a:p xmlns:a="http://schemas.openxmlformats.org/drawingml/2006/main">
          <a:r>
            <a:rPr lang="cs-CZ" sz="1050" i="1" baseline="0">
              <a:solidFill>
                <a:srgbClr val="002060"/>
              </a:solidFill>
            </a:rPr>
            <a:t>2. velikost části analyzovaného trhu 461,355 mil. m</a:t>
          </a:r>
          <a:r>
            <a:rPr lang="cs-CZ" sz="1050" i="1" baseline="30000">
              <a:solidFill>
                <a:srgbClr val="002060"/>
              </a:solidFill>
            </a:rPr>
            <a:t>3 </a:t>
          </a:r>
          <a:r>
            <a:rPr lang="cs-CZ" sz="1050" i="1" baseline="0">
              <a:solidFill>
                <a:srgbClr val="002060"/>
              </a:solidFill>
            </a:rPr>
            <a:t>(97,5% podíl trhu)</a:t>
          </a:r>
        </a:p>
      </cdr:txBody>
    </cdr:sp>
  </cdr:relSizeAnchor>
  <cdr:relSizeAnchor xmlns:cdr="http://schemas.openxmlformats.org/drawingml/2006/chartDrawing">
    <cdr:from>
      <cdr:x>0.10185</cdr:x>
      <cdr:y>0.94851</cdr:y>
    </cdr:from>
    <cdr:to>
      <cdr:x>0.89139</cdr:x>
      <cdr:y>0.9828</cdr:y>
    </cdr:to>
    <cdr:sp macro="" textlink="">
      <cdr:nvSpPr>
        <cdr:cNvPr id="4" name="BlokTextu 1"/>
        <cdr:cNvSpPr txBox="1"/>
      </cdr:nvSpPr>
      <cdr:spPr>
        <a:xfrm xmlns:a="http://schemas.openxmlformats.org/drawingml/2006/main">
          <a:off x="586596" y="7417967"/>
          <a:ext cx="4547348" cy="2681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cs-CZ" sz="900" b="1" i="1">
              <a:solidFill>
                <a:srgbClr val="002060"/>
              </a:solidFill>
            </a:rPr>
            <a:t>množství</a:t>
          </a:r>
          <a:r>
            <a:rPr lang="cs-CZ" sz="900" b="1" i="1" baseline="0">
              <a:solidFill>
                <a:srgbClr val="002060"/>
              </a:solidFill>
            </a:rPr>
            <a:t> vody fakturované; % podíl analyzovaného trhu; četnost výskytů anomálie</a:t>
          </a:r>
          <a:endParaRPr lang="cs-CZ" sz="900" b="1" i="1">
            <a:solidFill>
              <a:srgbClr val="002060"/>
            </a:solidFill>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0.34258</cdr:x>
      <cdr:y>0.08729</cdr:y>
    </cdr:from>
    <cdr:to>
      <cdr:x>0.98371</cdr:x>
      <cdr:y>0.13876</cdr:y>
    </cdr:to>
    <cdr:sp macro="" textlink="">
      <cdr:nvSpPr>
        <cdr:cNvPr id="2" name="TextovéPole 2"/>
        <cdr:cNvSpPr txBox="1"/>
      </cdr:nvSpPr>
      <cdr:spPr>
        <a:xfrm xmlns:a="http://schemas.openxmlformats.org/drawingml/2006/main">
          <a:off x="2178659" y="780276"/>
          <a:ext cx="4077270" cy="46012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cs-CZ" sz="1050" i="1">
              <a:solidFill>
                <a:srgbClr val="002060"/>
              </a:solidFill>
              <a:latin typeface="+mj-lt"/>
            </a:rPr>
            <a:t>1.</a:t>
          </a:r>
          <a:r>
            <a:rPr lang="cs-CZ" sz="1050" i="1" baseline="0">
              <a:solidFill>
                <a:srgbClr val="002060"/>
              </a:solidFill>
              <a:latin typeface="+mj-lt"/>
            </a:rPr>
            <a:t> celková velikost trhu dle </a:t>
          </a:r>
          <a:r>
            <a:rPr lang="cs-CZ" sz="1050" i="1" baseline="0">
              <a:solidFill>
                <a:srgbClr val="002060"/>
              </a:solidFill>
              <a:latin typeface="+mj-lt"/>
              <a:ea typeface="+mn-ea"/>
              <a:cs typeface="+mn-cs"/>
            </a:rPr>
            <a:t>Porovnání 473,197 mil. m</a:t>
          </a:r>
          <a:r>
            <a:rPr lang="cs-CZ" sz="1050" i="1" baseline="30000">
              <a:solidFill>
                <a:srgbClr val="002060"/>
              </a:solidFill>
              <a:latin typeface="+mj-lt"/>
              <a:ea typeface="+mn-ea"/>
              <a:cs typeface="+mn-cs"/>
            </a:rPr>
            <a:t>3</a:t>
          </a:r>
        </a:p>
        <a:p xmlns:a="http://schemas.openxmlformats.org/drawingml/2006/main">
          <a:r>
            <a:rPr lang="cs-CZ" sz="1050" i="1" baseline="0">
              <a:solidFill>
                <a:srgbClr val="002060"/>
              </a:solidFill>
              <a:latin typeface="+mj-lt"/>
              <a:ea typeface="+mn-ea"/>
              <a:cs typeface="+mn-cs"/>
            </a:rPr>
            <a:t>2. velikost části analyzovaného trhu 461,355 m</a:t>
          </a:r>
          <a:r>
            <a:rPr lang="cs-CZ" sz="1050" i="1" baseline="0">
              <a:solidFill>
                <a:srgbClr val="002060"/>
              </a:solidFill>
              <a:latin typeface="+mj-lt"/>
            </a:rPr>
            <a:t>il. m</a:t>
          </a:r>
          <a:r>
            <a:rPr lang="cs-CZ" sz="1050" i="1" baseline="30000">
              <a:solidFill>
                <a:srgbClr val="002060"/>
              </a:solidFill>
              <a:latin typeface="+mj-lt"/>
            </a:rPr>
            <a:t>3  </a:t>
          </a:r>
          <a:r>
            <a:rPr lang="cs-CZ" sz="1050" i="1" baseline="0">
              <a:solidFill>
                <a:srgbClr val="002060"/>
              </a:solidFill>
              <a:latin typeface="+mj-lt"/>
              <a:ea typeface="+mn-ea"/>
              <a:cs typeface="+mn-cs"/>
            </a:rPr>
            <a:t>(97,5% podíl trhu)</a:t>
          </a:r>
        </a:p>
      </cdr:txBody>
    </cdr:sp>
  </cdr:relSizeAnchor>
  <cdr:relSizeAnchor xmlns:cdr="http://schemas.openxmlformats.org/drawingml/2006/chartDrawing">
    <cdr:from>
      <cdr:x>0.96614</cdr:x>
      <cdr:y>0.35885</cdr:y>
    </cdr:from>
    <cdr:to>
      <cdr:x>0.99594</cdr:x>
      <cdr:y>0.45848</cdr:y>
    </cdr:to>
    <cdr:sp macro="" textlink="">
      <cdr:nvSpPr>
        <cdr:cNvPr id="5" name="TextovéPole 4"/>
        <cdr:cNvSpPr txBox="1"/>
      </cdr:nvSpPr>
      <cdr:spPr>
        <a:xfrm xmlns:a="http://schemas.openxmlformats.org/drawingml/2006/main" rot="16200000">
          <a:off x="6324710" y="5753880"/>
          <a:ext cx="1428750" cy="213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cs-CZ" sz="1000" b="1">
              <a:solidFill>
                <a:srgbClr val="FF3399"/>
              </a:solidFill>
              <a:latin typeface="+mj-lt"/>
            </a:rPr>
            <a:t>četnost výskytů anomálií</a:t>
          </a:r>
        </a:p>
      </cdr:txBody>
    </cdr:sp>
  </cdr:relSizeAnchor>
</c:userShapes>
</file>

<file path=word/drawings/drawing7.xml><?xml version="1.0" encoding="utf-8"?>
<c:userShapes xmlns:c="http://schemas.openxmlformats.org/drawingml/2006/chart">
  <cdr:relSizeAnchor xmlns:cdr="http://schemas.openxmlformats.org/drawingml/2006/chartDrawing">
    <cdr:from>
      <cdr:x>0.12174</cdr:x>
      <cdr:y>0.91824</cdr:y>
    </cdr:from>
    <cdr:to>
      <cdr:x>0.85396</cdr:x>
      <cdr:y>0.94483</cdr:y>
    </cdr:to>
    <cdr:sp macro="" textlink="">
      <cdr:nvSpPr>
        <cdr:cNvPr id="5" name="BlokTextu 4"/>
        <cdr:cNvSpPr txBox="1"/>
      </cdr:nvSpPr>
      <cdr:spPr>
        <a:xfrm xmlns:a="http://schemas.openxmlformats.org/drawingml/2006/main">
          <a:off x="779228" y="7995226"/>
          <a:ext cx="4686799" cy="2315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cs-CZ" sz="1050" b="1" i="1">
              <a:solidFill>
                <a:schemeClr val="accent2">
                  <a:lumMod val="50000"/>
                </a:schemeClr>
              </a:solidFill>
            </a:rPr>
            <a:t>množství</a:t>
          </a:r>
          <a:r>
            <a:rPr lang="cs-CZ" sz="1050" b="1" i="1" baseline="0">
              <a:solidFill>
                <a:schemeClr val="accent2">
                  <a:lumMod val="50000"/>
                </a:schemeClr>
              </a:solidFill>
            </a:rPr>
            <a:t> vody </a:t>
          </a:r>
          <a:r>
            <a:rPr lang="cs-CZ" sz="1050" b="1" i="1" baseline="0">
              <a:solidFill>
                <a:schemeClr val="accent2">
                  <a:lumMod val="50000"/>
                </a:schemeClr>
              </a:solidFill>
              <a:latin typeface="+mn-lt"/>
              <a:ea typeface="+mn-ea"/>
              <a:cs typeface="+mn-cs"/>
            </a:rPr>
            <a:t>fakturované; % podíl analyzovaného trhu; četnost výskytů anomálie</a:t>
          </a:r>
        </a:p>
      </cdr:txBody>
    </cdr:sp>
  </cdr:relSizeAnchor>
  <cdr:relSizeAnchor xmlns:cdr="http://schemas.openxmlformats.org/drawingml/2006/chartDrawing">
    <cdr:from>
      <cdr:x>0.34534</cdr:x>
      <cdr:y>0.09863</cdr:y>
    </cdr:from>
    <cdr:to>
      <cdr:x>0.99514</cdr:x>
      <cdr:y>0.15243</cdr:y>
    </cdr:to>
    <cdr:sp macro="" textlink="">
      <cdr:nvSpPr>
        <cdr:cNvPr id="4" name="TextovéPole 2"/>
        <cdr:cNvSpPr txBox="1"/>
      </cdr:nvSpPr>
      <cdr:spPr>
        <a:xfrm xmlns:a="http://schemas.openxmlformats.org/drawingml/2006/main">
          <a:off x="2210462" y="858741"/>
          <a:ext cx="4159233" cy="46846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cs-CZ" sz="1050" i="1">
              <a:solidFill>
                <a:schemeClr val="accent2">
                  <a:lumMod val="75000"/>
                </a:schemeClr>
              </a:solidFill>
            </a:rPr>
            <a:t>1.</a:t>
          </a:r>
          <a:r>
            <a:rPr lang="cs-CZ" sz="1050" i="1" baseline="0">
              <a:solidFill>
                <a:schemeClr val="accent2">
                  <a:lumMod val="75000"/>
                </a:schemeClr>
              </a:solidFill>
            </a:rPr>
            <a:t> celková velikost trhu dle Porovnání 510,81 mil. m</a:t>
          </a:r>
          <a:r>
            <a:rPr lang="cs-CZ" sz="1050" i="1" baseline="30000">
              <a:solidFill>
                <a:schemeClr val="accent2">
                  <a:lumMod val="75000"/>
                </a:schemeClr>
              </a:solidFill>
            </a:rPr>
            <a:t>3</a:t>
          </a:r>
        </a:p>
        <a:p xmlns:a="http://schemas.openxmlformats.org/drawingml/2006/main">
          <a:r>
            <a:rPr lang="cs-CZ" sz="1050" i="1" baseline="0">
              <a:solidFill>
                <a:schemeClr val="accent2">
                  <a:lumMod val="75000"/>
                </a:schemeClr>
              </a:solidFill>
            </a:rPr>
            <a:t>2. velikost části analyzovaného trhu 499,50 mil. m</a:t>
          </a:r>
          <a:r>
            <a:rPr lang="cs-CZ" sz="1050" i="1" baseline="30000">
              <a:solidFill>
                <a:schemeClr val="accent2">
                  <a:lumMod val="75000"/>
                </a:schemeClr>
              </a:solidFill>
            </a:rPr>
            <a:t>3 </a:t>
          </a:r>
          <a:r>
            <a:rPr lang="cs-CZ" sz="1050" i="1" baseline="0">
              <a:solidFill>
                <a:schemeClr val="accent2">
                  <a:lumMod val="75000"/>
                </a:schemeClr>
              </a:solidFill>
            </a:rPr>
            <a:t>(97,8% podíl trhu)</a:t>
          </a:r>
        </a:p>
      </cdr:txBody>
    </cdr:sp>
  </cdr:relSizeAnchor>
</c:userShapes>
</file>

<file path=word/drawings/drawing8.xml><?xml version="1.0" encoding="utf-8"?>
<c:userShapes xmlns:c="http://schemas.openxmlformats.org/drawingml/2006/chart">
  <cdr:relSizeAnchor xmlns:cdr="http://schemas.openxmlformats.org/drawingml/2006/chartDrawing">
    <cdr:from>
      <cdr:x>0.37786</cdr:x>
      <cdr:y>0.06757</cdr:y>
    </cdr:from>
    <cdr:to>
      <cdr:x>1</cdr:x>
      <cdr:y>0.11365</cdr:y>
    </cdr:to>
    <cdr:sp macro="" textlink="">
      <cdr:nvSpPr>
        <cdr:cNvPr id="2" name="TextovéPole 2"/>
        <cdr:cNvSpPr txBox="1"/>
      </cdr:nvSpPr>
      <cdr:spPr>
        <a:xfrm xmlns:a="http://schemas.openxmlformats.org/drawingml/2006/main">
          <a:off x="2553196" y="600998"/>
          <a:ext cx="4203839" cy="40985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cs-CZ" sz="1100" i="1">
              <a:solidFill>
                <a:schemeClr val="accent2">
                  <a:lumMod val="50000"/>
                </a:schemeClr>
              </a:solidFill>
            </a:rPr>
            <a:t>1.</a:t>
          </a:r>
          <a:r>
            <a:rPr lang="cs-CZ" sz="1100" i="1" baseline="0">
              <a:solidFill>
                <a:schemeClr val="accent2">
                  <a:lumMod val="50000"/>
                </a:schemeClr>
              </a:solidFill>
            </a:rPr>
            <a:t> celková velikost trhu dle Porovnání 510,81 mil. m</a:t>
          </a:r>
          <a:r>
            <a:rPr lang="cs-CZ" sz="1100" i="1" baseline="30000">
              <a:solidFill>
                <a:schemeClr val="accent2">
                  <a:lumMod val="50000"/>
                </a:schemeClr>
              </a:solidFill>
            </a:rPr>
            <a:t>3</a:t>
          </a:r>
        </a:p>
        <a:p xmlns:a="http://schemas.openxmlformats.org/drawingml/2006/main">
          <a:r>
            <a:rPr lang="cs-CZ" sz="1100" i="1" baseline="0">
              <a:solidFill>
                <a:schemeClr val="accent2">
                  <a:lumMod val="50000"/>
                </a:schemeClr>
              </a:solidFill>
            </a:rPr>
            <a:t>2. velikost části analyzovaného trhu 499,50 mil. </a:t>
          </a:r>
          <a:r>
            <a:rPr lang="cs-CZ" sz="1100" i="1" baseline="0">
              <a:solidFill>
                <a:schemeClr val="accent2">
                  <a:lumMod val="50000"/>
                </a:schemeClr>
              </a:solidFill>
              <a:latin typeface="Calibri"/>
              <a:ea typeface="+mn-ea"/>
              <a:cs typeface="+mn-cs"/>
            </a:rPr>
            <a:t>m</a:t>
          </a:r>
          <a:r>
            <a:rPr lang="cs-CZ" sz="1100" i="1" baseline="30000">
              <a:solidFill>
                <a:schemeClr val="accent2">
                  <a:lumMod val="50000"/>
                </a:schemeClr>
              </a:solidFill>
              <a:latin typeface="Calibri"/>
              <a:ea typeface="+mn-ea"/>
              <a:cs typeface="+mn-cs"/>
            </a:rPr>
            <a:t>3</a:t>
          </a:r>
          <a:r>
            <a:rPr lang="cs-CZ" sz="1100" i="1" baseline="0">
              <a:solidFill>
                <a:schemeClr val="accent2">
                  <a:lumMod val="50000"/>
                </a:schemeClr>
              </a:solidFill>
              <a:latin typeface="Calibri"/>
              <a:ea typeface="+mn-ea"/>
              <a:cs typeface="+mn-cs"/>
            </a:rPr>
            <a:t> (97,8% podíl trhu)</a:t>
          </a:r>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29892-C114-41E0-B114-C02E1B83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81</Pages>
  <Words>21883</Words>
  <Characters>129116</Characters>
  <Application>Microsoft Office Word</Application>
  <DocSecurity>0</DocSecurity>
  <Lines>1075</Lines>
  <Paragraphs>301</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150698</CharactersWithSpaces>
  <SharedDoc>false</SharedDoc>
  <HLinks>
    <vt:vector size="306" baseType="variant">
      <vt:variant>
        <vt:i4>1441840</vt:i4>
      </vt:variant>
      <vt:variant>
        <vt:i4>302</vt:i4>
      </vt:variant>
      <vt:variant>
        <vt:i4>0</vt:i4>
      </vt:variant>
      <vt:variant>
        <vt:i4>5</vt:i4>
      </vt:variant>
      <vt:variant>
        <vt:lpwstr/>
      </vt:variant>
      <vt:variant>
        <vt:lpwstr>_Toc503716708</vt:lpwstr>
      </vt:variant>
      <vt:variant>
        <vt:i4>1441840</vt:i4>
      </vt:variant>
      <vt:variant>
        <vt:i4>296</vt:i4>
      </vt:variant>
      <vt:variant>
        <vt:i4>0</vt:i4>
      </vt:variant>
      <vt:variant>
        <vt:i4>5</vt:i4>
      </vt:variant>
      <vt:variant>
        <vt:lpwstr/>
      </vt:variant>
      <vt:variant>
        <vt:lpwstr>_Toc503716707</vt:lpwstr>
      </vt:variant>
      <vt:variant>
        <vt:i4>1441840</vt:i4>
      </vt:variant>
      <vt:variant>
        <vt:i4>290</vt:i4>
      </vt:variant>
      <vt:variant>
        <vt:i4>0</vt:i4>
      </vt:variant>
      <vt:variant>
        <vt:i4>5</vt:i4>
      </vt:variant>
      <vt:variant>
        <vt:lpwstr/>
      </vt:variant>
      <vt:variant>
        <vt:lpwstr>_Toc503716706</vt:lpwstr>
      </vt:variant>
      <vt:variant>
        <vt:i4>1441840</vt:i4>
      </vt:variant>
      <vt:variant>
        <vt:i4>284</vt:i4>
      </vt:variant>
      <vt:variant>
        <vt:i4>0</vt:i4>
      </vt:variant>
      <vt:variant>
        <vt:i4>5</vt:i4>
      </vt:variant>
      <vt:variant>
        <vt:lpwstr/>
      </vt:variant>
      <vt:variant>
        <vt:lpwstr>_Toc503716705</vt:lpwstr>
      </vt:variant>
      <vt:variant>
        <vt:i4>1441840</vt:i4>
      </vt:variant>
      <vt:variant>
        <vt:i4>278</vt:i4>
      </vt:variant>
      <vt:variant>
        <vt:i4>0</vt:i4>
      </vt:variant>
      <vt:variant>
        <vt:i4>5</vt:i4>
      </vt:variant>
      <vt:variant>
        <vt:lpwstr/>
      </vt:variant>
      <vt:variant>
        <vt:lpwstr>_Toc503716704</vt:lpwstr>
      </vt:variant>
      <vt:variant>
        <vt:i4>1441840</vt:i4>
      </vt:variant>
      <vt:variant>
        <vt:i4>272</vt:i4>
      </vt:variant>
      <vt:variant>
        <vt:i4>0</vt:i4>
      </vt:variant>
      <vt:variant>
        <vt:i4>5</vt:i4>
      </vt:variant>
      <vt:variant>
        <vt:lpwstr/>
      </vt:variant>
      <vt:variant>
        <vt:lpwstr>_Toc503716703</vt:lpwstr>
      </vt:variant>
      <vt:variant>
        <vt:i4>1441840</vt:i4>
      </vt:variant>
      <vt:variant>
        <vt:i4>266</vt:i4>
      </vt:variant>
      <vt:variant>
        <vt:i4>0</vt:i4>
      </vt:variant>
      <vt:variant>
        <vt:i4>5</vt:i4>
      </vt:variant>
      <vt:variant>
        <vt:lpwstr/>
      </vt:variant>
      <vt:variant>
        <vt:lpwstr>_Toc503716702</vt:lpwstr>
      </vt:variant>
      <vt:variant>
        <vt:i4>1441840</vt:i4>
      </vt:variant>
      <vt:variant>
        <vt:i4>260</vt:i4>
      </vt:variant>
      <vt:variant>
        <vt:i4>0</vt:i4>
      </vt:variant>
      <vt:variant>
        <vt:i4>5</vt:i4>
      </vt:variant>
      <vt:variant>
        <vt:lpwstr/>
      </vt:variant>
      <vt:variant>
        <vt:lpwstr>_Toc503716701</vt:lpwstr>
      </vt:variant>
      <vt:variant>
        <vt:i4>1441840</vt:i4>
      </vt:variant>
      <vt:variant>
        <vt:i4>254</vt:i4>
      </vt:variant>
      <vt:variant>
        <vt:i4>0</vt:i4>
      </vt:variant>
      <vt:variant>
        <vt:i4>5</vt:i4>
      </vt:variant>
      <vt:variant>
        <vt:lpwstr/>
      </vt:variant>
      <vt:variant>
        <vt:lpwstr>_Toc503716700</vt:lpwstr>
      </vt:variant>
      <vt:variant>
        <vt:i4>2031665</vt:i4>
      </vt:variant>
      <vt:variant>
        <vt:i4>248</vt:i4>
      </vt:variant>
      <vt:variant>
        <vt:i4>0</vt:i4>
      </vt:variant>
      <vt:variant>
        <vt:i4>5</vt:i4>
      </vt:variant>
      <vt:variant>
        <vt:lpwstr/>
      </vt:variant>
      <vt:variant>
        <vt:lpwstr>_Toc503716699</vt:lpwstr>
      </vt:variant>
      <vt:variant>
        <vt:i4>2031665</vt:i4>
      </vt:variant>
      <vt:variant>
        <vt:i4>242</vt:i4>
      </vt:variant>
      <vt:variant>
        <vt:i4>0</vt:i4>
      </vt:variant>
      <vt:variant>
        <vt:i4>5</vt:i4>
      </vt:variant>
      <vt:variant>
        <vt:lpwstr/>
      </vt:variant>
      <vt:variant>
        <vt:lpwstr>_Toc503716698</vt:lpwstr>
      </vt:variant>
      <vt:variant>
        <vt:i4>2031665</vt:i4>
      </vt:variant>
      <vt:variant>
        <vt:i4>236</vt:i4>
      </vt:variant>
      <vt:variant>
        <vt:i4>0</vt:i4>
      </vt:variant>
      <vt:variant>
        <vt:i4>5</vt:i4>
      </vt:variant>
      <vt:variant>
        <vt:lpwstr/>
      </vt:variant>
      <vt:variant>
        <vt:lpwstr>_Toc503716697</vt:lpwstr>
      </vt:variant>
      <vt:variant>
        <vt:i4>2031665</vt:i4>
      </vt:variant>
      <vt:variant>
        <vt:i4>230</vt:i4>
      </vt:variant>
      <vt:variant>
        <vt:i4>0</vt:i4>
      </vt:variant>
      <vt:variant>
        <vt:i4>5</vt:i4>
      </vt:variant>
      <vt:variant>
        <vt:lpwstr/>
      </vt:variant>
      <vt:variant>
        <vt:lpwstr>_Toc503716696</vt:lpwstr>
      </vt:variant>
      <vt:variant>
        <vt:i4>2031665</vt:i4>
      </vt:variant>
      <vt:variant>
        <vt:i4>224</vt:i4>
      </vt:variant>
      <vt:variant>
        <vt:i4>0</vt:i4>
      </vt:variant>
      <vt:variant>
        <vt:i4>5</vt:i4>
      </vt:variant>
      <vt:variant>
        <vt:lpwstr/>
      </vt:variant>
      <vt:variant>
        <vt:lpwstr>_Toc503716695</vt:lpwstr>
      </vt:variant>
      <vt:variant>
        <vt:i4>2031665</vt:i4>
      </vt:variant>
      <vt:variant>
        <vt:i4>218</vt:i4>
      </vt:variant>
      <vt:variant>
        <vt:i4>0</vt:i4>
      </vt:variant>
      <vt:variant>
        <vt:i4>5</vt:i4>
      </vt:variant>
      <vt:variant>
        <vt:lpwstr/>
      </vt:variant>
      <vt:variant>
        <vt:lpwstr>_Toc503716694</vt:lpwstr>
      </vt:variant>
      <vt:variant>
        <vt:i4>2031665</vt:i4>
      </vt:variant>
      <vt:variant>
        <vt:i4>212</vt:i4>
      </vt:variant>
      <vt:variant>
        <vt:i4>0</vt:i4>
      </vt:variant>
      <vt:variant>
        <vt:i4>5</vt:i4>
      </vt:variant>
      <vt:variant>
        <vt:lpwstr/>
      </vt:variant>
      <vt:variant>
        <vt:lpwstr>_Toc503716693</vt:lpwstr>
      </vt:variant>
      <vt:variant>
        <vt:i4>2031665</vt:i4>
      </vt:variant>
      <vt:variant>
        <vt:i4>206</vt:i4>
      </vt:variant>
      <vt:variant>
        <vt:i4>0</vt:i4>
      </vt:variant>
      <vt:variant>
        <vt:i4>5</vt:i4>
      </vt:variant>
      <vt:variant>
        <vt:lpwstr/>
      </vt:variant>
      <vt:variant>
        <vt:lpwstr>_Toc503716692</vt:lpwstr>
      </vt:variant>
      <vt:variant>
        <vt:i4>2031665</vt:i4>
      </vt:variant>
      <vt:variant>
        <vt:i4>200</vt:i4>
      </vt:variant>
      <vt:variant>
        <vt:i4>0</vt:i4>
      </vt:variant>
      <vt:variant>
        <vt:i4>5</vt:i4>
      </vt:variant>
      <vt:variant>
        <vt:lpwstr/>
      </vt:variant>
      <vt:variant>
        <vt:lpwstr>_Toc503716691</vt:lpwstr>
      </vt:variant>
      <vt:variant>
        <vt:i4>2031665</vt:i4>
      </vt:variant>
      <vt:variant>
        <vt:i4>194</vt:i4>
      </vt:variant>
      <vt:variant>
        <vt:i4>0</vt:i4>
      </vt:variant>
      <vt:variant>
        <vt:i4>5</vt:i4>
      </vt:variant>
      <vt:variant>
        <vt:lpwstr/>
      </vt:variant>
      <vt:variant>
        <vt:lpwstr>_Toc503716690</vt:lpwstr>
      </vt:variant>
      <vt:variant>
        <vt:i4>1966129</vt:i4>
      </vt:variant>
      <vt:variant>
        <vt:i4>188</vt:i4>
      </vt:variant>
      <vt:variant>
        <vt:i4>0</vt:i4>
      </vt:variant>
      <vt:variant>
        <vt:i4>5</vt:i4>
      </vt:variant>
      <vt:variant>
        <vt:lpwstr/>
      </vt:variant>
      <vt:variant>
        <vt:lpwstr>_Toc503716689</vt:lpwstr>
      </vt:variant>
      <vt:variant>
        <vt:i4>1966129</vt:i4>
      </vt:variant>
      <vt:variant>
        <vt:i4>182</vt:i4>
      </vt:variant>
      <vt:variant>
        <vt:i4>0</vt:i4>
      </vt:variant>
      <vt:variant>
        <vt:i4>5</vt:i4>
      </vt:variant>
      <vt:variant>
        <vt:lpwstr/>
      </vt:variant>
      <vt:variant>
        <vt:lpwstr>_Toc503716688</vt:lpwstr>
      </vt:variant>
      <vt:variant>
        <vt:i4>1966129</vt:i4>
      </vt:variant>
      <vt:variant>
        <vt:i4>176</vt:i4>
      </vt:variant>
      <vt:variant>
        <vt:i4>0</vt:i4>
      </vt:variant>
      <vt:variant>
        <vt:i4>5</vt:i4>
      </vt:variant>
      <vt:variant>
        <vt:lpwstr/>
      </vt:variant>
      <vt:variant>
        <vt:lpwstr>_Toc503716687</vt:lpwstr>
      </vt:variant>
      <vt:variant>
        <vt:i4>1966129</vt:i4>
      </vt:variant>
      <vt:variant>
        <vt:i4>170</vt:i4>
      </vt:variant>
      <vt:variant>
        <vt:i4>0</vt:i4>
      </vt:variant>
      <vt:variant>
        <vt:i4>5</vt:i4>
      </vt:variant>
      <vt:variant>
        <vt:lpwstr/>
      </vt:variant>
      <vt:variant>
        <vt:lpwstr>_Toc503716686</vt:lpwstr>
      </vt:variant>
      <vt:variant>
        <vt:i4>1966129</vt:i4>
      </vt:variant>
      <vt:variant>
        <vt:i4>164</vt:i4>
      </vt:variant>
      <vt:variant>
        <vt:i4>0</vt:i4>
      </vt:variant>
      <vt:variant>
        <vt:i4>5</vt:i4>
      </vt:variant>
      <vt:variant>
        <vt:lpwstr/>
      </vt:variant>
      <vt:variant>
        <vt:lpwstr>_Toc503716685</vt:lpwstr>
      </vt:variant>
      <vt:variant>
        <vt:i4>1966129</vt:i4>
      </vt:variant>
      <vt:variant>
        <vt:i4>158</vt:i4>
      </vt:variant>
      <vt:variant>
        <vt:i4>0</vt:i4>
      </vt:variant>
      <vt:variant>
        <vt:i4>5</vt:i4>
      </vt:variant>
      <vt:variant>
        <vt:lpwstr/>
      </vt:variant>
      <vt:variant>
        <vt:lpwstr>_Toc503716684</vt:lpwstr>
      </vt:variant>
      <vt:variant>
        <vt:i4>1966129</vt:i4>
      </vt:variant>
      <vt:variant>
        <vt:i4>152</vt:i4>
      </vt:variant>
      <vt:variant>
        <vt:i4>0</vt:i4>
      </vt:variant>
      <vt:variant>
        <vt:i4>5</vt:i4>
      </vt:variant>
      <vt:variant>
        <vt:lpwstr/>
      </vt:variant>
      <vt:variant>
        <vt:lpwstr>_Toc503716683</vt:lpwstr>
      </vt:variant>
      <vt:variant>
        <vt:i4>1966129</vt:i4>
      </vt:variant>
      <vt:variant>
        <vt:i4>146</vt:i4>
      </vt:variant>
      <vt:variant>
        <vt:i4>0</vt:i4>
      </vt:variant>
      <vt:variant>
        <vt:i4>5</vt:i4>
      </vt:variant>
      <vt:variant>
        <vt:lpwstr/>
      </vt:variant>
      <vt:variant>
        <vt:lpwstr>_Toc503716682</vt:lpwstr>
      </vt:variant>
      <vt:variant>
        <vt:i4>1966129</vt:i4>
      </vt:variant>
      <vt:variant>
        <vt:i4>140</vt:i4>
      </vt:variant>
      <vt:variant>
        <vt:i4>0</vt:i4>
      </vt:variant>
      <vt:variant>
        <vt:i4>5</vt:i4>
      </vt:variant>
      <vt:variant>
        <vt:lpwstr/>
      </vt:variant>
      <vt:variant>
        <vt:lpwstr>_Toc503716681</vt:lpwstr>
      </vt:variant>
      <vt:variant>
        <vt:i4>1966129</vt:i4>
      </vt:variant>
      <vt:variant>
        <vt:i4>134</vt:i4>
      </vt:variant>
      <vt:variant>
        <vt:i4>0</vt:i4>
      </vt:variant>
      <vt:variant>
        <vt:i4>5</vt:i4>
      </vt:variant>
      <vt:variant>
        <vt:lpwstr/>
      </vt:variant>
      <vt:variant>
        <vt:lpwstr>_Toc503716680</vt:lpwstr>
      </vt:variant>
      <vt:variant>
        <vt:i4>1114161</vt:i4>
      </vt:variant>
      <vt:variant>
        <vt:i4>128</vt:i4>
      </vt:variant>
      <vt:variant>
        <vt:i4>0</vt:i4>
      </vt:variant>
      <vt:variant>
        <vt:i4>5</vt:i4>
      </vt:variant>
      <vt:variant>
        <vt:lpwstr/>
      </vt:variant>
      <vt:variant>
        <vt:lpwstr>_Toc503716679</vt:lpwstr>
      </vt:variant>
      <vt:variant>
        <vt:i4>1114161</vt:i4>
      </vt:variant>
      <vt:variant>
        <vt:i4>122</vt:i4>
      </vt:variant>
      <vt:variant>
        <vt:i4>0</vt:i4>
      </vt:variant>
      <vt:variant>
        <vt:i4>5</vt:i4>
      </vt:variant>
      <vt:variant>
        <vt:lpwstr/>
      </vt:variant>
      <vt:variant>
        <vt:lpwstr>_Toc503716678</vt:lpwstr>
      </vt:variant>
      <vt:variant>
        <vt:i4>1114161</vt:i4>
      </vt:variant>
      <vt:variant>
        <vt:i4>116</vt:i4>
      </vt:variant>
      <vt:variant>
        <vt:i4>0</vt:i4>
      </vt:variant>
      <vt:variant>
        <vt:i4>5</vt:i4>
      </vt:variant>
      <vt:variant>
        <vt:lpwstr/>
      </vt:variant>
      <vt:variant>
        <vt:lpwstr>_Toc503716677</vt:lpwstr>
      </vt:variant>
      <vt:variant>
        <vt:i4>1114161</vt:i4>
      </vt:variant>
      <vt:variant>
        <vt:i4>110</vt:i4>
      </vt:variant>
      <vt:variant>
        <vt:i4>0</vt:i4>
      </vt:variant>
      <vt:variant>
        <vt:i4>5</vt:i4>
      </vt:variant>
      <vt:variant>
        <vt:lpwstr/>
      </vt:variant>
      <vt:variant>
        <vt:lpwstr>_Toc503716676</vt:lpwstr>
      </vt:variant>
      <vt:variant>
        <vt:i4>1114161</vt:i4>
      </vt:variant>
      <vt:variant>
        <vt:i4>104</vt:i4>
      </vt:variant>
      <vt:variant>
        <vt:i4>0</vt:i4>
      </vt:variant>
      <vt:variant>
        <vt:i4>5</vt:i4>
      </vt:variant>
      <vt:variant>
        <vt:lpwstr/>
      </vt:variant>
      <vt:variant>
        <vt:lpwstr>_Toc503716675</vt:lpwstr>
      </vt:variant>
      <vt:variant>
        <vt:i4>1114161</vt:i4>
      </vt:variant>
      <vt:variant>
        <vt:i4>98</vt:i4>
      </vt:variant>
      <vt:variant>
        <vt:i4>0</vt:i4>
      </vt:variant>
      <vt:variant>
        <vt:i4>5</vt:i4>
      </vt:variant>
      <vt:variant>
        <vt:lpwstr/>
      </vt:variant>
      <vt:variant>
        <vt:lpwstr>_Toc503716674</vt:lpwstr>
      </vt:variant>
      <vt:variant>
        <vt:i4>1114161</vt:i4>
      </vt:variant>
      <vt:variant>
        <vt:i4>92</vt:i4>
      </vt:variant>
      <vt:variant>
        <vt:i4>0</vt:i4>
      </vt:variant>
      <vt:variant>
        <vt:i4>5</vt:i4>
      </vt:variant>
      <vt:variant>
        <vt:lpwstr/>
      </vt:variant>
      <vt:variant>
        <vt:lpwstr>_Toc503716673</vt:lpwstr>
      </vt:variant>
      <vt:variant>
        <vt:i4>1114161</vt:i4>
      </vt:variant>
      <vt:variant>
        <vt:i4>86</vt:i4>
      </vt:variant>
      <vt:variant>
        <vt:i4>0</vt:i4>
      </vt:variant>
      <vt:variant>
        <vt:i4>5</vt:i4>
      </vt:variant>
      <vt:variant>
        <vt:lpwstr/>
      </vt:variant>
      <vt:variant>
        <vt:lpwstr>_Toc503716672</vt:lpwstr>
      </vt:variant>
      <vt:variant>
        <vt:i4>1114161</vt:i4>
      </vt:variant>
      <vt:variant>
        <vt:i4>80</vt:i4>
      </vt:variant>
      <vt:variant>
        <vt:i4>0</vt:i4>
      </vt:variant>
      <vt:variant>
        <vt:i4>5</vt:i4>
      </vt:variant>
      <vt:variant>
        <vt:lpwstr/>
      </vt:variant>
      <vt:variant>
        <vt:lpwstr>_Toc503716671</vt:lpwstr>
      </vt:variant>
      <vt:variant>
        <vt:i4>1114161</vt:i4>
      </vt:variant>
      <vt:variant>
        <vt:i4>74</vt:i4>
      </vt:variant>
      <vt:variant>
        <vt:i4>0</vt:i4>
      </vt:variant>
      <vt:variant>
        <vt:i4>5</vt:i4>
      </vt:variant>
      <vt:variant>
        <vt:lpwstr/>
      </vt:variant>
      <vt:variant>
        <vt:lpwstr>_Toc503716670</vt:lpwstr>
      </vt:variant>
      <vt:variant>
        <vt:i4>1048625</vt:i4>
      </vt:variant>
      <vt:variant>
        <vt:i4>68</vt:i4>
      </vt:variant>
      <vt:variant>
        <vt:i4>0</vt:i4>
      </vt:variant>
      <vt:variant>
        <vt:i4>5</vt:i4>
      </vt:variant>
      <vt:variant>
        <vt:lpwstr/>
      </vt:variant>
      <vt:variant>
        <vt:lpwstr>_Toc503716669</vt:lpwstr>
      </vt:variant>
      <vt:variant>
        <vt:i4>1048625</vt:i4>
      </vt:variant>
      <vt:variant>
        <vt:i4>62</vt:i4>
      </vt:variant>
      <vt:variant>
        <vt:i4>0</vt:i4>
      </vt:variant>
      <vt:variant>
        <vt:i4>5</vt:i4>
      </vt:variant>
      <vt:variant>
        <vt:lpwstr/>
      </vt:variant>
      <vt:variant>
        <vt:lpwstr>_Toc503716668</vt:lpwstr>
      </vt:variant>
      <vt:variant>
        <vt:i4>1048625</vt:i4>
      </vt:variant>
      <vt:variant>
        <vt:i4>56</vt:i4>
      </vt:variant>
      <vt:variant>
        <vt:i4>0</vt:i4>
      </vt:variant>
      <vt:variant>
        <vt:i4>5</vt:i4>
      </vt:variant>
      <vt:variant>
        <vt:lpwstr/>
      </vt:variant>
      <vt:variant>
        <vt:lpwstr>_Toc503716667</vt:lpwstr>
      </vt:variant>
      <vt:variant>
        <vt:i4>1048625</vt:i4>
      </vt:variant>
      <vt:variant>
        <vt:i4>50</vt:i4>
      </vt:variant>
      <vt:variant>
        <vt:i4>0</vt:i4>
      </vt:variant>
      <vt:variant>
        <vt:i4>5</vt:i4>
      </vt:variant>
      <vt:variant>
        <vt:lpwstr/>
      </vt:variant>
      <vt:variant>
        <vt:lpwstr>_Toc503716666</vt:lpwstr>
      </vt:variant>
      <vt:variant>
        <vt:i4>1048625</vt:i4>
      </vt:variant>
      <vt:variant>
        <vt:i4>44</vt:i4>
      </vt:variant>
      <vt:variant>
        <vt:i4>0</vt:i4>
      </vt:variant>
      <vt:variant>
        <vt:i4>5</vt:i4>
      </vt:variant>
      <vt:variant>
        <vt:lpwstr/>
      </vt:variant>
      <vt:variant>
        <vt:lpwstr>_Toc503716665</vt:lpwstr>
      </vt:variant>
      <vt:variant>
        <vt:i4>1048625</vt:i4>
      </vt:variant>
      <vt:variant>
        <vt:i4>38</vt:i4>
      </vt:variant>
      <vt:variant>
        <vt:i4>0</vt:i4>
      </vt:variant>
      <vt:variant>
        <vt:i4>5</vt:i4>
      </vt:variant>
      <vt:variant>
        <vt:lpwstr/>
      </vt:variant>
      <vt:variant>
        <vt:lpwstr>_Toc503716664</vt:lpwstr>
      </vt:variant>
      <vt:variant>
        <vt:i4>1048625</vt:i4>
      </vt:variant>
      <vt:variant>
        <vt:i4>32</vt:i4>
      </vt:variant>
      <vt:variant>
        <vt:i4>0</vt:i4>
      </vt:variant>
      <vt:variant>
        <vt:i4>5</vt:i4>
      </vt:variant>
      <vt:variant>
        <vt:lpwstr/>
      </vt:variant>
      <vt:variant>
        <vt:lpwstr>_Toc503716663</vt:lpwstr>
      </vt:variant>
      <vt:variant>
        <vt:i4>1048625</vt:i4>
      </vt:variant>
      <vt:variant>
        <vt:i4>26</vt:i4>
      </vt:variant>
      <vt:variant>
        <vt:i4>0</vt:i4>
      </vt:variant>
      <vt:variant>
        <vt:i4>5</vt:i4>
      </vt:variant>
      <vt:variant>
        <vt:lpwstr/>
      </vt:variant>
      <vt:variant>
        <vt:lpwstr>_Toc503716662</vt:lpwstr>
      </vt:variant>
      <vt:variant>
        <vt:i4>1048625</vt:i4>
      </vt:variant>
      <vt:variant>
        <vt:i4>20</vt:i4>
      </vt:variant>
      <vt:variant>
        <vt:i4>0</vt:i4>
      </vt:variant>
      <vt:variant>
        <vt:i4>5</vt:i4>
      </vt:variant>
      <vt:variant>
        <vt:lpwstr/>
      </vt:variant>
      <vt:variant>
        <vt:lpwstr>_Toc503716661</vt:lpwstr>
      </vt:variant>
      <vt:variant>
        <vt:i4>1048625</vt:i4>
      </vt:variant>
      <vt:variant>
        <vt:i4>14</vt:i4>
      </vt:variant>
      <vt:variant>
        <vt:i4>0</vt:i4>
      </vt:variant>
      <vt:variant>
        <vt:i4>5</vt:i4>
      </vt:variant>
      <vt:variant>
        <vt:lpwstr/>
      </vt:variant>
      <vt:variant>
        <vt:lpwstr>_Toc503716660</vt:lpwstr>
      </vt:variant>
      <vt:variant>
        <vt:i4>1245233</vt:i4>
      </vt:variant>
      <vt:variant>
        <vt:i4>8</vt:i4>
      </vt:variant>
      <vt:variant>
        <vt:i4>0</vt:i4>
      </vt:variant>
      <vt:variant>
        <vt:i4>5</vt:i4>
      </vt:variant>
      <vt:variant>
        <vt:lpwstr/>
      </vt:variant>
      <vt:variant>
        <vt:lpwstr>_Toc503716659</vt:lpwstr>
      </vt:variant>
      <vt:variant>
        <vt:i4>1245233</vt:i4>
      </vt:variant>
      <vt:variant>
        <vt:i4>2</vt:i4>
      </vt:variant>
      <vt:variant>
        <vt:i4>0</vt:i4>
      </vt:variant>
      <vt:variant>
        <vt:i4>5</vt:i4>
      </vt:variant>
      <vt:variant>
        <vt:lpwstr/>
      </vt:variant>
      <vt:variant>
        <vt:lpwstr>_Toc503716658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Macková Želmíra</dc:creator>
  <cp:lastModifiedBy>Macková Želmíra</cp:lastModifiedBy>
  <cp:revision>23</cp:revision>
  <cp:lastPrinted>2019-03-21T09:52:00Z</cp:lastPrinted>
  <dcterms:created xsi:type="dcterms:W3CDTF">2019-02-14T09:18:00Z</dcterms:created>
  <dcterms:modified xsi:type="dcterms:W3CDTF">2019-04-10T07:20:00Z</dcterms:modified>
</cp:coreProperties>
</file>